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26DD84D4"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w:t>
      </w:r>
      <w:r w:rsidR="00925E96">
        <w:rPr>
          <w:rFonts w:ascii="Verdana" w:hAnsi="Verdana"/>
          <w:b/>
          <w:smallCaps/>
          <w:sz w:val="20"/>
          <w:szCs w:val="20"/>
        </w:rPr>
        <w:t>3</w:t>
      </w:r>
      <w:r>
        <w:rPr>
          <w:rFonts w:ascii="Verdana" w:hAnsi="Verdana"/>
          <w:b/>
          <w:smallCaps/>
          <w:sz w:val="20"/>
          <w:szCs w:val="20"/>
        </w:rPr>
        <w:t xml:space="preserve"> (</w:t>
      </w:r>
      <w:r w:rsidR="00925E96">
        <w:rPr>
          <w:rFonts w:ascii="Verdana" w:hAnsi="Verdana"/>
          <w:b/>
          <w:smallCaps/>
          <w:sz w:val="20"/>
          <w:szCs w:val="20"/>
        </w:rPr>
        <w:t>TRÊS</w:t>
      </w:r>
      <w:r>
        <w:rPr>
          <w:rFonts w:ascii="Verdana" w:hAnsi="Verdana"/>
          <w:b/>
          <w:smallCaps/>
          <w:sz w:val="20"/>
          <w:szCs w:val="20"/>
        </w:rPr>
        <w:t>)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1B3D6F6B"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sidR="00925E96">
        <w:rPr>
          <w:rFonts w:ascii="Verdana" w:hAnsi="Verdana"/>
          <w:b/>
          <w:smallCaps/>
          <w:sz w:val="20"/>
          <w:szCs w:val="20"/>
        </w:rPr>
        <w:t>3 (TRÊS) SÉRIES</w:t>
      </w:r>
      <w:r>
        <w:rPr>
          <w:rStyle w:val="DeltaViewInsertion"/>
          <w:rFonts w:ascii="Verdana" w:hAnsi="Verdana"/>
          <w:b/>
          <w:smallCaps/>
          <w:color w:val="auto"/>
          <w:sz w:val="20"/>
          <w:szCs w:val="20"/>
          <w:u w:val="none"/>
        </w:rPr>
        <w:t xml:space="preserve">,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46E3E38A"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741E1F00"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w:t>
      </w:r>
      <w:r w:rsidR="00877D42">
        <w:rPr>
          <w:rFonts w:ascii="Verdana" w:hAnsi="Verdana"/>
          <w:sz w:val="20"/>
          <w:szCs w:val="20"/>
        </w:rPr>
        <w:t>ERT</w:t>
      </w:r>
      <w:r>
        <w:rPr>
          <w:rFonts w:ascii="Verdana" w:hAnsi="Verdana"/>
          <w:sz w:val="20"/>
          <w:szCs w:val="20"/>
        </w:rPr>
        <w:t>-</w:t>
      </w:r>
      <w:proofErr w:type="spellStart"/>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21B693FF"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r w:rsidR="001C3E55">
              <w:rPr>
                <w:rFonts w:ascii="Verdana" w:eastAsia="Arial Unicode MS" w:hAnsi="Verdana" w:cs="Tahoma"/>
                <w:sz w:val="20"/>
                <w:szCs w:val="20"/>
              </w:rPr>
              <w:t>28</w:t>
            </w:r>
            <w:r w:rsidR="00877D42">
              <w:rPr>
                <w:rFonts w:ascii="Verdana" w:eastAsia="Arial Unicode MS" w:hAnsi="Verdana" w:cs="Tahoma"/>
                <w:sz w:val="20"/>
                <w:szCs w:val="20"/>
              </w:rPr>
              <w:t xml:space="preserve"> </w:t>
            </w:r>
            <w:r>
              <w:rPr>
                <w:rFonts w:ascii="Verdana" w:eastAsia="Arial Unicode MS" w:hAnsi="Verdana" w:cs="Tahoma"/>
                <w:sz w:val="20"/>
                <w:szCs w:val="20"/>
              </w:rPr>
              <w:t>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530C638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C02F9E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60DA620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4C72F3C1"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sidR="00877D42">
              <w:rPr>
                <w:rFonts w:ascii="Verdana" w:hAnsi="Verdana" w:cs="Tahoma"/>
                <w:sz w:val="20"/>
                <w:szCs w:val="20"/>
                <w:u w:val="single"/>
              </w:rPr>
              <w:t xml:space="preserve">Agente de </w:t>
            </w:r>
            <w:proofErr w:type="spellStart"/>
            <w:r w:rsidR="00877D42">
              <w:rPr>
                <w:rFonts w:ascii="Verdana" w:hAnsi="Verdana" w:cs="Tahoma"/>
                <w:sz w:val="20"/>
                <w:szCs w:val="20"/>
                <w:u w:val="single"/>
              </w:rPr>
              <w:t>LiquidaçãoAgente</w:t>
            </w:r>
            <w:proofErr w:type="spellEnd"/>
            <w:r w:rsidR="00877D42">
              <w:rPr>
                <w:rFonts w:ascii="Verdana" w:hAnsi="Verdana" w:cs="Tahoma"/>
                <w:sz w:val="20"/>
                <w:szCs w:val="20"/>
                <w:u w:val="single"/>
              </w:rPr>
              <w:t xml:space="preserve"> de Liquidação</w:t>
            </w:r>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51A16AA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0" w:name="_Hlk510708344"/>
            <w:r>
              <w:rPr>
                <w:rFonts w:ascii="Verdana" w:hAnsi="Verdana" w:cs="Tahoma"/>
                <w:bCs/>
                <w:sz w:val="20"/>
                <w:szCs w:val="20"/>
              </w:rPr>
              <w:t>Rua Cardeal Arcoverde, nº 2.365, 7º andar, Pinheiros, CEP 05407-003</w:t>
            </w:r>
            <w:bookmarkEnd w:id="0"/>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70FE1EE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w:t>
            </w:r>
            <w:r w:rsidR="00925E96">
              <w:rPr>
                <w:rFonts w:ascii="Verdana" w:hAnsi="Verdana" w:cs="Tahoma"/>
                <w:sz w:val="20"/>
                <w:szCs w:val="20"/>
              </w:rPr>
              <w:t xml:space="preserve">três </w:t>
            </w:r>
            <w:r>
              <w:rPr>
                <w:rFonts w:ascii="Verdana" w:hAnsi="Verdana" w:cs="Tahoma"/>
                <w:sz w:val="20"/>
                <w:szCs w:val="20"/>
              </w:rPr>
              <w:t xml:space="preserve">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r w:rsidR="00A870AB">
              <w:rPr>
                <w:rFonts w:ascii="Verdana" w:hAnsi="Verdana"/>
                <w:sz w:val="20"/>
                <w:szCs w:val="20"/>
              </w:rPr>
              <w:t>VERT</w:t>
            </w:r>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657AC0" w14:paraId="1044C636" w14:textId="77777777">
        <w:tc>
          <w:tcPr>
            <w:tcW w:w="2970" w:type="dxa"/>
          </w:tcPr>
          <w:p w14:paraId="05F923F5" w14:textId="30AD9AF9"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Terceira Série</w:t>
            </w:r>
            <w:r>
              <w:rPr>
                <w:rFonts w:ascii="Verdana" w:hAnsi="Verdana" w:cs="Tahoma"/>
                <w:sz w:val="20"/>
                <w:szCs w:val="20"/>
              </w:rPr>
              <w:t>”</w:t>
            </w:r>
          </w:p>
        </w:tc>
        <w:tc>
          <w:tcPr>
            <w:tcW w:w="6316" w:type="dxa"/>
          </w:tcPr>
          <w:p w14:paraId="41E52EE4" w14:textId="166E6430"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Terceira Série.</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13EA414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Qualquer Data de Integralização das Debêntures da Primeira Série ou qualquer Data de Integralização das Debêntures da Segunda Série, </w:t>
            </w:r>
            <w:r w:rsidR="00657AC0">
              <w:rPr>
                <w:rFonts w:ascii="Verdana" w:hAnsi="Verdana" w:cs="Tahoma"/>
                <w:sz w:val="20"/>
                <w:szCs w:val="20"/>
              </w:rPr>
              <w:t xml:space="preserve">ou Terceira Série </w:t>
            </w:r>
            <w:r>
              <w:rPr>
                <w:rFonts w:ascii="Verdana" w:hAnsi="Verdana" w:cs="Tahoma"/>
                <w:sz w:val="20"/>
                <w:szCs w:val="20"/>
              </w:rPr>
              <w:t>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54C981C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1004DA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77B63B2" w14:textId="77777777">
        <w:tc>
          <w:tcPr>
            <w:tcW w:w="2970" w:type="dxa"/>
          </w:tcPr>
          <w:p w14:paraId="61C6A52E" w14:textId="11D93C56" w:rsidR="00657AC0" w:rsidRDefault="00657AC0"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Terceira Série</w:t>
            </w:r>
          </w:p>
        </w:tc>
        <w:tc>
          <w:tcPr>
            <w:tcW w:w="6316" w:type="dxa"/>
          </w:tcPr>
          <w:p w14:paraId="1CBBB0D4" w14:textId="326491EB"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01B440F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5FF59F4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w:t>
            </w:r>
            <w:r w:rsidR="00925E96">
              <w:rPr>
                <w:rFonts w:ascii="Verdana" w:hAnsi="Verdana" w:cs="Tahoma"/>
                <w:sz w:val="20"/>
                <w:szCs w:val="20"/>
              </w:rPr>
              <w:t xml:space="preserve">três </w:t>
            </w:r>
            <w:r>
              <w:rPr>
                <w:rFonts w:ascii="Verdana" w:hAnsi="Verdana" w:cs="Tahoma"/>
                <w:sz w:val="20"/>
                <w:szCs w:val="20"/>
              </w:rPr>
              <w:t xml:space="preserve">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w:t>
            </w:r>
            <w:r w:rsidR="00657AC0">
              <w:rPr>
                <w:rFonts w:ascii="Verdana" w:hAnsi="Verdana" w:cs="Tahoma"/>
                <w:sz w:val="20"/>
                <w:szCs w:val="20"/>
              </w:rPr>
              <w:t xml:space="preserve">e as Debêntures da Terceira Série </w:t>
            </w:r>
            <w:r>
              <w:rPr>
                <w:rFonts w:ascii="Verdana" w:hAnsi="Verdana" w:cs="Tahoma"/>
                <w:sz w:val="20"/>
                <w:szCs w:val="20"/>
              </w:rPr>
              <w:t xml:space="preserve">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51B5884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43120D5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34D1770" w14:textId="77777777">
        <w:tc>
          <w:tcPr>
            <w:tcW w:w="2970" w:type="dxa"/>
          </w:tcPr>
          <w:p w14:paraId="21BAB432" w14:textId="01CBBB90"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Terceira Série</w:t>
            </w:r>
            <w:r>
              <w:rPr>
                <w:rFonts w:ascii="Verdana" w:hAnsi="Verdana" w:cs="Tahoma"/>
                <w:sz w:val="20"/>
                <w:szCs w:val="20"/>
              </w:rPr>
              <w:t>”</w:t>
            </w:r>
          </w:p>
        </w:tc>
        <w:tc>
          <w:tcPr>
            <w:tcW w:w="6316" w:type="dxa"/>
          </w:tcPr>
          <w:p w14:paraId="129FB0C4" w14:textId="6B63E6B8"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8C7B381" w14:textId="77777777">
        <w:tc>
          <w:tcPr>
            <w:tcW w:w="2970" w:type="dxa"/>
          </w:tcPr>
          <w:p w14:paraId="110EC3F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657AC0" w14:paraId="68342B90" w14:textId="77777777">
        <w:tc>
          <w:tcPr>
            <w:tcW w:w="2970" w:type="dxa"/>
          </w:tcPr>
          <w:p w14:paraId="603E1F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6CEC225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Pr="00950EAF">
              <w:rPr>
                <w:rFonts w:ascii="Verdana" w:hAnsi="Verdana" w:cs="Tahoma"/>
                <w:sz w:val="20"/>
                <w:szCs w:val="20"/>
              </w:rPr>
              <w:t>Gyramais</w:t>
            </w:r>
            <w:proofErr w:type="spellEnd"/>
            <w:r w:rsidRPr="00950EAF">
              <w:rPr>
                <w:rFonts w:ascii="Verdana" w:hAnsi="Verdana" w:cs="Tahoma"/>
                <w:sz w:val="20"/>
                <w:szCs w:val="20"/>
              </w:rPr>
              <w:t xml:space="preserve"> Tecnologia S.A., equivalentes a até </w:t>
            </w:r>
            <w:r>
              <w:rPr>
                <w:rFonts w:ascii="Verdana" w:hAnsi="Verdana" w:cs="Tahoma"/>
                <w:sz w:val="20"/>
                <w:szCs w:val="20"/>
              </w:rPr>
              <w:t>2,50</w:t>
            </w:r>
            <w:r w:rsidRPr="00950EAF">
              <w:rPr>
                <w:rFonts w:ascii="Verdana" w:hAnsi="Verdana" w:cs="Tahoma"/>
                <w:sz w:val="20"/>
                <w:szCs w:val="20"/>
              </w:rPr>
              <w:t>% (</w:t>
            </w:r>
            <w:r>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w:t>
            </w:r>
            <w:r w:rsidR="00877D42">
              <w:rPr>
                <w:rFonts w:ascii="Verdana" w:hAnsi="Verdana" w:cs="Tahoma"/>
                <w:sz w:val="20"/>
                <w:szCs w:val="20"/>
              </w:rPr>
              <w:t>Agente de Liquidação</w:t>
            </w:r>
            <w:r w:rsidRPr="00950EAF">
              <w:rPr>
                <w:rFonts w:ascii="Verdana" w:hAnsi="Verdana" w:cs="Tahoma"/>
                <w:sz w:val="20"/>
                <w:szCs w:val="20"/>
              </w:rPr>
              <w:t xml:space="preserv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r>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despesas necessárias à realização de Assembleias Gerais dos Debenturistas, incluindo despesas com sua convocação; </w:t>
            </w:r>
            <w:r w:rsidRPr="008D6F6D">
              <w:rPr>
                <w:rFonts w:ascii="Verdana" w:hAnsi="Verdana" w:cs="Tahoma"/>
                <w:b/>
                <w:bCs/>
                <w:sz w:val="20"/>
                <w:szCs w:val="20"/>
              </w:rPr>
              <w:t>(</w:t>
            </w:r>
            <w:proofErr w:type="spellStart"/>
            <w:r w:rsidRPr="008D6F6D">
              <w:rPr>
                <w:rFonts w:ascii="Verdana" w:hAnsi="Verdana" w:cs="Tahoma"/>
                <w:b/>
                <w:bCs/>
                <w:sz w:val="20"/>
                <w:szCs w:val="20"/>
              </w:rPr>
              <w:t>xiv</w:t>
            </w:r>
            <w:proofErr w:type="spellEnd"/>
            <w:r w:rsidRPr="008D6F6D">
              <w:rPr>
                <w:rFonts w:ascii="Verdana" w:hAnsi="Verdana" w:cs="Tahoma"/>
                <w:b/>
                <w:bCs/>
                <w:sz w:val="20"/>
                <w:szCs w:val="20"/>
              </w:rPr>
              <w:t>)</w:t>
            </w:r>
            <w:r w:rsidRPr="00A870AB">
              <w:rPr>
                <w:rFonts w:ascii="Verdana" w:hAnsi="Verdana" w:cs="Tahoma"/>
                <w:sz w:val="20"/>
                <w:szCs w:val="20"/>
              </w:rPr>
              <w:tab/>
              <w:t>os valores devidos pela Emissora à CVM em razão da manutenção do seu registro de companhia aberta</w:t>
            </w:r>
            <w:r>
              <w:rPr>
                <w:rFonts w:ascii="Verdana" w:hAnsi="Verdana" w:cs="Tahoma"/>
                <w:sz w:val="20"/>
                <w:szCs w:val="20"/>
              </w:rPr>
              <w:t xml:space="preserve">; </w:t>
            </w:r>
            <w:r w:rsidRPr="008D6F6D">
              <w:rPr>
                <w:rFonts w:ascii="Verdana" w:hAnsi="Verdana" w:cs="Tahoma"/>
                <w:b/>
                <w:bCs/>
                <w:sz w:val="20"/>
                <w:szCs w:val="20"/>
              </w:rPr>
              <w:t>(</w:t>
            </w:r>
            <w:proofErr w:type="spellStart"/>
            <w:r w:rsidRPr="008D6F6D">
              <w:rPr>
                <w:rFonts w:ascii="Verdana" w:hAnsi="Verdana" w:cs="Tahoma"/>
                <w:b/>
                <w:bCs/>
                <w:sz w:val="20"/>
                <w:szCs w:val="20"/>
              </w:rPr>
              <w:t>xv</w:t>
            </w:r>
            <w:proofErr w:type="spellEnd"/>
            <w:r w:rsidRPr="008D6F6D">
              <w:rPr>
                <w:rFonts w:ascii="Verdana" w:hAnsi="Verdana" w:cs="Tahoma"/>
                <w:b/>
                <w:bCs/>
                <w:sz w:val="20"/>
                <w:szCs w:val="20"/>
              </w:rPr>
              <w:t>)</w:t>
            </w:r>
            <w:r>
              <w:rPr>
                <w:rFonts w:ascii="Verdana" w:hAnsi="Verdana" w:cs="Tahoma"/>
                <w:sz w:val="20"/>
                <w:szCs w:val="20"/>
              </w:rPr>
              <w:t xml:space="preserve"> </w:t>
            </w:r>
            <w:r w:rsidRPr="00A870AB">
              <w:rPr>
                <w:rFonts w:ascii="Verdana" w:hAnsi="Verdana" w:cs="Tahoma"/>
                <w:sz w:val="20"/>
                <w:szCs w:val="20"/>
              </w:rPr>
              <w:t xml:space="preserve">eventuais taxas devida à ANBIMA no âmbito da </w:t>
            </w:r>
            <w:r>
              <w:rPr>
                <w:rFonts w:ascii="Verdana" w:hAnsi="Verdana" w:cs="Tahoma"/>
                <w:sz w:val="20"/>
                <w:szCs w:val="20"/>
              </w:rPr>
              <w:t>E</w:t>
            </w:r>
            <w:r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657AC0" w14:paraId="247E8057" w14:textId="77777777">
        <w:tc>
          <w:tcPr>
            <w:tcW w:w="2970" w:type="dxa"/>
          </w:tcPr>
          <w:p w14:paraId="34782C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657AC0" w14:paraId="405DF29E" w14:textId="77777777">
        <w:tc>
          <w:tcPr>
            <w:tcW w:w="2970" w:type="dxa"/>
          </w:tcPr>
          <w:p w14:paraId="240E59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657AC0" w14:paraId="02A6049F" w14:textId="77777777">
        <w:tc>
          <w:tcPr>
            <w:tcW w:w="2970" w:type="dxa"/>
          </w:tcPr>
          <w:p w14:paraId="6F317F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657AC0" w14:paraId="66F3575F" w14:textId="77777777">
        <w:tc>
          <w:tcPr>
            <w:tcW w:w="2970" w:type="dxa"/>
          </w:tcPr>
          <w:p w14:paraId="360BEF2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657AC0" w14:paraId="6310EB16" w14:textId="77777777">
        <w:tc>
          <w:tcPr>
            <w:tcW w:w="2970" w:type="dxa"/>
          </w:tcPr>
          <w:p w14:paraId="206BD373"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657AC0" w14:paraId="7D1C6E09" w14:textId="77777777">
        <w:tc>
          <w:tcPr>
            <w:tcW w:w="2970" w:type="dxa"/>
          </w:tcPr>
          <w:p w14:paraId="1B178B0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39EF0CC6"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2ª (segunda) emissão das Debêntures da Emissora, em três séries. </w:t>
            </w:r>
          </w:p>
        </w:tc>
      </w:tr>
      <w:tr w:rsidR="00657AC0" w14:paraId="0E9EEB4E" w14:textId="77777777">
        <w:tc>
          <w:tcPr>
            <w:tcW w:w="2970" w:type="dxa"/>
          </w:tcPr>
          <w:p w14:paraId="46B63C9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VERT-</w:t>
            </w:r>
            <w:proofErr w:type="spellStart"/>
            <w:r>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657AC0" w14:paraId="35B55EF9" w14:textId="77777777">
        <w:tc>
          <w:tcPr>
            <w:tcW w:w="2970" w:type="dxa"/>
          </w:tcPr>
          <w:p w14:paraId="01B5C7C3"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263E3030"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FE04BD4" w14:textId="77777777">
        <w:tc>
          <w:tcPr>
            <w:tcW w:w="2970" w:type="dxa"/>
          </w:tcPr>
          <w:p w14:paraId="0A094E0D" w14:textId="0DF47DD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0B78DA31" w:rsidR="00657AC0" w:rsidRDefault="00657AC0" w:rsidP="00657AC0">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Pr>
                <w:rFonts w:ascii="Verdana" w:eastAsia="Arial Unicode MS" w:hAnsi="Verdana" w:cs="Tahoma"/>
              </w:rPr>
              <w:t>Gyramais</w:t>
            </w:r>
            <w:proofErr w:type="spellEnd"/>
            <w:r>
              <w:rPr>
                <w:rFonts w:ascii="Verdana" w:eastAsia="Arial Unicode MS" w:hAnsi="Verdana" w:cs="Tahoma"/>
              </w:rPr>
              <w:t xml:space="preserve"> Tecnologia S.A., seus controladores e acionistas (diretos ou indiretos), afiliadas, subsidiárias (diretas ou indiretas), sociedades sob o controle comum e seus respectivos diretores, administradores ou empregados.</w:t>
            </w:r>
          </w:p>
        </w:tc>
      </w:tr>
      <w:tr w:rsidR="00657AC0" w14:paraId="629F442B" w14:textId="77777777">
        <w:tc>
          <w:tcPr>
            <w:tcW w:w="2970" w:type="dxa"/>
          </w:tcPr>
          <w:p w14:paraId="2AC9C7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32663C9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2ª (Segunda) Emissão de Debêntures Simples, Não Conversíveis em Ações, em até 3 (três) Séries, da Espécie com Garantia Real,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VERT-</w:t>
            </w:r>
            <w:proofErr w:type="spellStart"/>
            <w:r>
              <w:rPr>
                <w:rFonts w:ascii="Verdana" w:hAnsi="Verdana"/>
                <w:sz w:val="20"/>
                <w:szCs w:val="20"/>
              </w:rPr>
              <w:t>Gyra</w:t>
            </w:r>
            <w:proofErr w:type="spellEnd"/>
            <w:r>
              <w:rPr>
                <w:rFonts w:ascii="Verdana" w:eastAsia="Arial Unicode MS" w:hAnsi="Verdana" w:cs="Tahoma"/>
                <w:sz w:val="20"/>
                <w:szCs w:val="20"/>
              </w:rPr>
              <w:t>”.</w:t>
            </w:r>
          </w:p>
        </w:tc>
      </w:tr>
      <w:tr w:rsidR="00657AC0" w14:paraId="5D2F7649" w14:textId="77777777">
        <w:tc>
          <w:tcPr>
            <w:tcW w:w="2970" w:type="dxa"/>
          </w:tcPr>
          <w:p w14:paraId="13071B09"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26545D5F" w:rsidR="00657AC0" w:rsidRDefault="00657AC0" w:rsidP="00657AC0">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1A49B1">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657AC0"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38D142C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1A49B1">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657AC0" w14:paraId="54A29C82" w14:textId="77777777">
        <w:tc>
          <w:tcPr>
            <w:tcW w:w="2970" w:type="dxa"/>
          </w:tcPr>
          <w:p w14:paraId="65341F1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912605B"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C2702FF" w14:textId="77777777">
        <w:tc>
          <w:tcPr>
            <w:tcW w:w="2970" w:type="dxa"/>
          </w:tcPr>
          <w:p w14:paraId="7D5AFF44"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265AC913"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3.29.1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6F4C866" w14:textId="77777777">
        <w:tc>
          <w:tcPr>
            <w:tcW w:w="2970" w:type="dxa"/>
          </w:tcPr>
          <w:p w14:paraId="3FAAC3CF"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3BA3B8DF" w:rsidR="00657AC0" w:rsidRDefault="00657AC0" w:rsidP="00657AC0">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r w:rsidR="00623024">
              <w:rPr>
                <w:rFonts w:ascii="Verdana" w:hAnsi="Verdana"/>
                <w:sz w:val="20"/>
                <w:szCs w:val="20"/>
              </w:rPr>
              <w:t>7</w:t>
            </w:r>
            <w:r>
              <w:rPr>
                <w:rFonts w:ascii="Verdana" w:hAnsi="Verdana"/>
                <w:sz w:val="20"/>
                <w:szCs w:val="20"/>
              </w:rPr>
              <w:t xml:space="preserve">0% </w:t>
            </w:r>
            <w:r w:rsidRPr="00F947EC">
              <w:rPr>
                <w:rFonts w:ascii="Verdana" w:hAnsi="Verdana"/>
                <w:iCs/>
                <w:sz w:val="20"/>
                <w:szCs w:val="20"/>
              </w:rPr>
              <w:t>(</w:t>
            </w:r>
            <w:r w:rsidR="00623024">
              <w:rPr>
                <w:rFonts w:ascii="Verdana" w:hAnsi="Verdana"/>
                <w:iCs/>
                <w:sz w:val="20"/>
                <w:szCs w:val="20"/>
              </w:rPr>
              <w:t>setenta</w:t>
            </w:r>
            <w:r w:rsidRPr="00F947EC">
              <w:rPr>
                <w:rFonts w:ascii="Verdana" w:hAnsi="Verdana"/>
                <w:iCs/>
                <w:sz w:val="20"/>
                <w:szCs w:val="20"/>
              </w:rPr>
              <w:t xml:space="preserve"> por cento).</w:t>
            </w:r>
          </w:p>
        </w:tc>
      </w:tr>
      <w:tr w:rsidR="00623024" w14:paraId="2889BD6E" w14:textId="77777777">
        <w:tc>
          <w:tcPr>
            <w:tcW w:w="2970" w:type="dxa"/>
          </w:tcPr>
          <w:p w14:paraId="77B89DEF" w14:textId="503B8A21" w:rsidR="00623024" w:rsidRDefault="00623024" w:rsidP="00623024">
            <w:pPr>
              <w:spacing w:before="120" w:after="120" w:line="280" w:lineRule="exact"/>
              <w:rPr>
                <w:rFonts w:ascii="Verdana" w:hAnsi="Verdana" w:cs="Tahoma"/>
                <w:sz w:val="20"/>
                <w:szCs w:val="20"/>
              </w:rPr>
            </w:pPr>
            <w:r w:rsidRPr="001A49B1">
              <w:rPr>
                <w:rFonts w:ascii="Verdana" w:eastAsia="Arial Unicode MS" w:hAnsi="Verdana"/>
                <w:w w:val="0"/>
                <w:sz w:val="20"/>
              </w:rPr>
              <w:t>“</w:t>
            </w:r>
            <w:r>
              <w:rPr>
                <w:rFonts w:ascii="Verdana" w:eastAsia="Arial Unicode MS" w:hAnsi="Verdana" w:cs="Tahoma"/>
                <w:w w:val="0"/>
                <w:sz w:val="20"/>
                <w:szCs w:val="20"/>
                <w:u w:val="single"/>
              </w:rPr>
              <w:t>Fator</w:t>
            </w:r>
            <w:r w:rsidRPr="001A49B1">
              <w:rPr>
                <w:rFonts w:ascii="Verdana" w:eastAsia="Arial Unicode MS" w:hAnsi="Verdana"/>
                <w:w w:val="0"/>
                <w:sz w:val="20"/>
                <w:u w:val="single"/>
              </w:rPr>
              <w:t xml:space="preserve"> de </w:t>
            </w:r>
            <w:r>
              <w:rPr>
                <w:rFonts w:ascii="Verdana" w:eastAsia="Arial Unicode MS" w:hAnsi="Verdana" w:cs="Tahoma"/>
                <w:w w:val="0"/>
                <w:sz w:val="20"/>
                <w:szCs w:val="20"/>
                <w:u w:val="single"/>
              </w:rPr>
              <w:t>Ponderação da Segunda Série</w:t>
            </w:r>
            <w:r>
              <w:rPr>
                <w:rFonts w:ascii="Verdana" w:eastAsia="Arial Unicode MS" w:hAnsi="Verdana" w:cs="Tahoma"/>
                <w:w w:val="0"/>
                <w:sz w:val="20"/>
                <w:szCs w:val="20"/>
              </w:rPr>
              <w:t xml:space="preserve">” </w:t>
            </w:r>
          </w:p>
        </w:tc>
        <w:tc>
          <w:tcPr>
            <w:tcW w:w="6316" w:type="dxa"/>
          </w:tcPr>
          <w:p w14:paraId="008FD277" w14:textId="7E41515D" w:rsidR="00623024" w:rsidRDefault="00623024" w:rsidP="00623024">
            <w:pPr>
              <w:tabs>
                <w:tab w:val="left" w:pos="1134"/>
              </w:tabs>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10% </w:t>
            </w:r>
            <w:r w:rsidRPr="00F947EC">
              <w:rPr>
                <w:rFonts w:ascii="Verdana" w:hAnsi="Verdana"/>
                <w:iCs/>
                <w:sz w:val="20"/>
                <w:szCs w:val="20"/>
              </w:rPr>
              <w:t>(</w:t>
            </w:r>
            <w:r>
              <w:rPr>
                <w:rFonts w:ascii="Verdana" w:hAnsi="Verdana"/>
                <w:iCs/>
                <w:sz w:val="20"/>
                <w:szCs w:val="20"/>
              </w:rPr>
              <w:t>dez por cento</w:t>
            </w:r>
            <w:r w:rsidRPr="00F947EC">
              <w:rPr>
                <w:rFonts w:ascii="Verdana" w:hAnsi="Verdana"/>
                <w:iCs/>
                <w:sz w:val="20"/>
                <w:szCs w:val="20"/>
              </w:rPr>
              <w:t>).</w:t>
            </w:r>
          </w:p>
        </w:tc>
      </w:tr>
      <w:tr w:rsidR="00623024" w14:paraId="4DBB03BC" w14:textId="77777777">
        <w:tc>
          <w:tcPr>
            <w:tcW w:w="2970" w:type="dxa"/>
          </w:tcPr>
          <w:p w14:paraId="4734E028"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623024" w14:paraId="58DFE18C" w14:textId="77777777">
        <w:tc>
          <w:tcPr>
            <w:tcW w:w="2970" w:type="dxa"/>
          </w:tcPr>
          <w:p w14:paraId="7628BC96" w14:textId="18A9A8BD"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623024" w:rsidRDefault="00623024" w:rsidP="00623024">
            <w:pPr>
              <w:spacing w:before="120" w:after="120" w:line="280" w:lineRule="exact"/>
              <w:jc w:val="both"/>
              <w:rPr>
                <w:rFonts w:ascii="Verdana" w:hAnsi="Verdana" w:cs="Tahoma"/>
                <w:sz w:val="20"/>
                <w:szCs w:val="20"/>
              </w:rPr>
            </w:pPr>
            <w:r w:rsidRPr="000B7D26">
              <w:rPr>
                <w:rFonts w:ascii="Verdana" w:eastAsia="MS Mincho" w:hAnsi="Verdana"/>
                <w:sz w:val="20"/>
              </w:rPr>
              <w:t xml:space="preserve">É a </w:t>
            </w:r>
            <w:proofErr w:type="spellStart"/>
            <w:r w:rsidRPr="000B7D26">
              <w:rPr>
                <w:rFonts w:ascii="Verdana" w:eastAsia="MS Mincho" w:hAnsi="Verdana"/>
                <w:sz w:val="20"/>
              </w:rPr>
              <w:t>Gyramais</w:t>
            </w:r>
            <w:proofErr w:type="spellEnd"/>
            <w:r w:rsidRPr="000B7D26">
              <w:rPr>
                <w:rFonts w:ascii="Verdana" w:eastAsia="MS Mincho" w:hAnsi="Verdana"/>
                <w:sz w:val="20"/>
              </w:rPr>
              <w:t xml:space="preserve"> Tecnologia S.A., sociedade anônima com sede na Rua Farme de Amoêdo, nº.76, sala 403, Ipanema, CEP 22420-020, inscrita perante o CNPJ/ME sob o nº. 27.734.451/0001-09.</w:t>
            </w:r>
          </w:p>
        </w:tc>
      </w:tr>
      <w:tr w:rsidR="00623024" w14:paraId="4C836AD6" w14:textId="77777777">
        <w:tc>
          <w:tcPr>
            <w:tcW w:w="2970" w:type="dxa"/>
          </w:tcPr>
          <w:p w14:paraId="1A8B28D4" w14:textId="3398025C" w:rsidR="00623024" w:rsidRDefault="00623024" w:rsidP="00623024">
            <w:pPr>
              <w:spacing w:before="120" w:after="120" w:line="280" w:lineRule="exact"/>
              <w:jc w:val="both"/>
              <w:rPr>
                <w:rFonts w:ascii="Verdana" w:hAnsi="Verdana" w:cs="Tahoma"/>
                <w:sz w:val="20"/>
                <w:szCs w:val="20"/>
              </w:rPr>
            </w:pPr>
            <w:bookmarkStart w:id="1"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 da Primeira Série</w:t>
            </w:r>
            <w:r>
              <w:rPr>
                <w:rStyle w:val="DeltaViewDeletion"/>
                <w:rFonts w:ascii="Verdana" w:eastAsia="MS Mincho" w:hAnsi="Verdana" w:cs="Tahoma"/>
                <w:strike w:val="0"/>
                <w:color w:val="auto"/>
                <w:sz w:val="20"/>
                <w:szCs w:val="20"/>
              </w:rPr>
              <w:t>”</w:t>
            </w:r>
            <w:bookmarkEnd w:id="1"/>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623024" w:rsidRDefault="00623024" w:rsidP="00623024">
            <w:pPr>
              <w:tabs>
                <w:tab w:val="left" w:pos="1134"/>
              </w:tabs>
              <w:spacing w:before="120" w:after="120" w:line="276" w:lineRule="auto"/>
              <w:jc w:val="both"/>
              <w:rPr>
                <w:rFonts w:ascii="Verdana" w:eastAsia="Arial Unicode MS" w:hAnsi="Verdana" w:cs="Tahoma"/>
                <w:sz w:val="20"/>
                <w:szCs w:val="20"/>
              </w:rPr>
            </w:pPr>
            <w:bookmarkStart w:id="2"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2"/>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623024" w:rsidRDefault="009D0976" w:rsidP="00623024">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623024" w:rsidRDefault="00623024" w:rsidP="00623024">
            <w:pPr>
              <w:tabs>
                <w:tab w:val="left" w:pos="1134"/>
              </w:tabs>
              <w:spacing w:before="120" w:after="120" w:line="280" w:lineRule="exact"/>
              <w:jc w:val="both"/>
              <w:rPr>
                <w:rFonts w:ascii="Verdana" w:hAnsi="Verdana" w:cs="Tahoma"/>
                <w:sz w:val="20"/>
                <w:szCs w:val="20"/>
              </w:rPr>
            </w:pPr>
          </w:p>
        </w:tc>
      </w:tr>
      <w:tr w:rsidR="00623024" w14:paraId="7E9BCC8F" w14:textId="77777777">
        <w:tc>
          <w:tcPr>
            <w:tcW w:w="2970" w:type="dxa"/>
          </w:tcPr>
          <w:p w14:paraId="68A67350" w14:textId="39358B62" w:rsidR="00623024" w:rsidRDefault="00623024" w:rsidP="00623024">
            <w:pPr>
              <w:spacing w:before="120" w:after="120" w:line="280" w:lineRule="exact"/>
              <w:jc w:val="both"/>
              <w:rPr>
                <w:rStyle w:val="DeltaViewDeletion"/>
                <w:rFonts w:ascii="Verdana" w:eastAsia="MS Mincho" w:hAnsi="Verdana" w:cs="Tahoma"/>
                <w:i/>
                <w:strike w:val="0"/>
                <w:color w:val="auto"/>
                <w:sz w:val="20"/>
                <w:szCs w:val="20"/>
              </w:rPr>
            </w:pPr>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 da Segunda Série</w:t>
            </w:r>
            <w:r>
              <w:rPr>
                <w:rStyle w:val="DeltaViewDeletion"/>
                <w:rFonts w:ascii="Verdana" w:eastAsia="MS Mincho" w:hAnsi="Verdana" w:cs="Tahoma"/>
                <w:strike w:val="0"/>
                <w:color w:val="auto"/>
                <w:sz w:val="20"/>
                <w:szCs w:val="20"/>
              </w:rPr>
              <w:t xml:space="preserve">” </w:t>
            </w:r>
          </w:p>
        </w:tc>
        <w:tc>
          <w:tcPr>
            <w:tcW w:w="6316" w:type="dxa"/>
          </w:tcPr>
          <w:p w14:paraId="039BDA48" w14:textId="2FB10E6C" w:rsidR="00623024" w:rsidRDefault="00623024" w:rsidP="00623024">
            <w:pPr>
              <w:tabs>
                <w:tab w:val="left" w:pos="1134"/>
              </w:tabs>
              <w:spacing w:before="120" w:after="120" w:line="276" w:lineRule="auto"/>
              <w:jc w:val="both"/>
              <w:rPr>
                <w:rFonts w:ascii="Verdana" w:eastAsia="Arial Unicode MS" w:hAnsi="Verdana" w:cs="Tahoma"/>
                <w:sz w:val="20"/>
                <w:szCs w:val="20"/>
              </w:rPr>
            </w:pPr>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D11A4B2" w14:textId="18B380B0" w:rsidR="00623024" w:rsidRDefault="009D0976" w:rsidP="00623024">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Segunda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Segunda Série</m:t>
                    </m:r>
                  </m:den>
                </m:f>
              </m:oMath>
            </m:oMathPara>
          </w:p>
          <w:p w14:paraId="54A2A4DE" w14:textId="7E7257B6" w:rsidR="00623024" w:rsidRDefault="00623024" w:rsidP="00623024">
            <w:pPr>
              <w:tabs>
                <w:tab w:val="left" w:pos="1134"/>
              </w:tabs>
              <w:spacing w:before="120" w:after="120" w:line="276" w:lineRule="auto"/>
              <w:jc w:val="both"/>
              <w:rPr>
                <w:rStyle w:val="DeltaViewDeletion"/>
                <w:rFonts w:ascii="Verdana" w:eastAsia="Arial Unicode MS" w:hAnsi="Verdana" w:cs="Tahoma"/>
                <w:strike w:val="0"/>
                <w:color w:val="auto"/>
                <w:sz w:val="20"/>
                <w:szCs w:val="20"/>
              </w:rPr>
            </w:pPr>
          </w:p>
        </w:tc>
      </w:tr>
      <w:tr w:rsidR="00623024" w14:paraId="67732658" w14:textId="77777777">
        <w:tc>
          <w:tcPr>
            <w:tcW w:w="2970" w:type="dxa"/>
          </w:tcPr>
          <w:p w14:paraId="3A038A14" w14:textId="6A23DB95"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Instituição Financeira Endossante</w:t>
            </w:r>
            <w:r>
              <w:rPr>
                <w:rFonts w:ascii="Verdana" w:hAnsi="Verdana" w:cs="Tahoma"/>
                <w:sz w:val="20"/>
                <w:szCs w:val="20"/>
              </w:rPr>
              <w:t>”</w:t>
            </w:r>
          </w:p>
        </w:tc>
        <w:tc>
          <w:tcPr>
            <w:tcW w:w="6316" w:type="dxa"/>
          </w:tcPr>
          <w:p w14:paraId="34D4EC1F"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623024" w14:paraId="3E74EAF1" w14:textId="77777777">
        <w:tc>
          <w:tcPr>
            <w:tcW w:w="2970" w:type="dxa"/>
          </w:tcPr>
          <w:p w14:paraId="4792E9F1"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623024" w14:paraId="25270301" w14:textId="77777777">
        <w:tc>
          <w:tcPr>
            <w:tcW w:w="2970" w:type="dxa"/>
          </w:tcPr>
          <w:p w14:paraId="2665FBB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623024" w14:paraId="774360AE" w14:textId="77777777">
        <w:tc>
          <w:tcPr>
            <w:tcW w:w="2970" w:type="dxa"/>
          </w:tcPr>
          <w:p w14:paraId="64AAF0D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623024" w14:paraId="619CD01F" w14:textId="77777777">
        <w:tc>
          <w:tcPr>
            <w:tcW w:w="2970" w:type="dxa"/>
          </w:tcPr>
          <w:p w14:paraId="6EE0E7C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623024" w14:paraId="3FCCF3D8" w14:textId="77777777">
        <w:tc>
          <w:tcPr>
            <w:tcW w:w="2970" w:type="dxa"/>
          </w:tcPr>
          <w:p w14:paraId="57E91D1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623024" w:rsidRDefault="00623024" w:rsidP="00623024">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623024" w14:paraId="2794E795" w14:textId="77777777">
        <w:tc>
          <w:tcPr>
            <w:tcW w:w="2970" w:type="dxa"/>
          </w:tcPr>
          <w:p w14:paraId="34B36D0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gerida por um ou mais cotistas, que sejam investidores qualificados.</w:t>
            </w:r>
          </w:p>
        </w:tc>
      </w:tr>
      <w:tr w:rsidR="00623024" w14:paraId="0E410FF9" w14:textId="77777777">
        <w:tc>
          <w:tcPr>
            <w:tcW w:w="2970" w:type="dxa"/>
          </w:tcPr>
          <w:p w14:paraId="1684FEA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230C5EC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21447671" w14:textId="77777777">
        <w:tc>
          <w:tcPr>
            <w:tcW w:w="2970" w:type="dxa"/>
          </w:tcPr>
          <w:p w14:paraId="710E814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623024" w14:paraId="33A9A55B" w14:textId="77777777">
        <w:tc>
          <w:tcPr>
            <w:tcW w:w="2970" w:type="dxa"/>
          </w:tcPr>
          <w:p w14:paraId="5A80824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623024" w14:paraId="28A818D6" w14:textId="77777777">
        <w:tc>
          <w:tcPr>
            <w:tcW w:w="2970" w:type="dxa"/>
          </w:tcPr>
          <w:p w14:paraId="0E396AE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623024" w14:paraId="7D9526AC" w14:textId="77777777">
        <w:tc>
          <w:tcPr>
            <w:tcW w:w="2970" w:type="dxa"/>
          </w:tcPr>
          <w:p w14:paraId="53CD88FB"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623024" w14:paraId="1557EA08" w14:textId="77777777">
        <w:tc>
          <w:tcPr>
            <w:tcW w:w="2970" w:type="dxa"/>
          </w:tcPr>
          <w:p w14:paraId="5DF99D8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623024" w:rsidRDefault="00623024" w:rsidP="00623024">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623024" w14:paraId="4BFF8A45" w14:textId="77777777">
        <w:tc>
          <w:tcPr>
            <w:tcW w:w="2970" w:type="dxa"/>
          </w:tcPr>
          <w:p w14:paraId="68BA04D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623024" w:rsidRDefault="00623024" w:rsidP="00623024">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623024" w14:paraId="2487602E" w14:textId="77777777">
        <w:tc>
          <w:tcPr>
            <w:tcW w:w="2970" w:type="dxa"/>
          </w:tcPr>
          <w:p w14:paraId="25686291"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623024" w14:paraId="78FFB53B" w14:textId="77777777">
        <w:tc>
          <w:tcPr>
            <w:tcW w:w="2970" w:type="dxa"/>
          </w:tcPr>
          <w:p w14:paraId="78819482"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623024" w14:paraId="492003D1" w14:textId="77777777">
        <w:tc>
          <w:tcPr>
            <w:tcW w:w="2970" w:type="dxa"/>
          </w:tcPr>
          <w:p w14:paraId="04D8813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5AFEFF1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15B4A538" w14:textId="77777777">
        <w:tc>
          <w:tcPr>
            <w:tcW w:w="2970" w:type="dxa"/>
          </w:tcPr>
          <w:p w14:paraId="6C3F5319"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259C3C6C"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4EAEB5B8" w14:textId="77777777">
        <w:tc>
          <w:tcPr>
            <w:tcW w:w="2970" w:type="dxa"/>
          </w:tcPr>
          <w:p w14:paraId="4E331EC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52205AA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176E376C" w14:textId="77777777">
        <w:tc>
          <w:tcPr>
            <w:tcW w:w="2970" w:type="dxa"/>
          </w:tcPr>
          <w:p w14:paraId="5BAFB542" w14:textId="08C72B6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Terceira Série</w:t>
            </w:r>
            <w:r>
              <w:rPr>
                <w:rFonts w:ascii="Verdana" w:hAnsi="Verdana" w:cs="Tahoma"/>
                <w:sz w:val="20"/>
                <w:szCs w:val="20"/>
              </w:rPr>
              <w:t>”</w:t>
            </w:r>
          </w:p>
        </w:tc>
        <w:tc>
          <w:tcPr>
            <w:tcW w:w="6316" w:type="dxa"/>
          </w:tcPr>
          <w:p w14:paraId="7EC99BE2" w14:textId="6880B14F"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6ADBEB01" w14:textId="77777777">
        <w:tc>
          <w:tcPr>
            <w:tcW w:w="2970" w:type="dxa"/>
          </w:tcPr>
          <w:p w14:paraId="1F7E431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623024" w14:paraId="0CEF4301" w14:textId="77777777">
        <w:tc>
          <w:tcPr>
            <w:tcW w:w="2970" w:type="dxa"/>
          </w:tcPr>
          <w:p w14:paraId="11D37203" w14:textId="77777777"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623024" w14:paraId="6B62B30A" w14:textId="77777777">
        <w:tc>
          <w:tcPr>
            <w:tcW w:w="2970" w:type="dxa"/>
          </w:tcPr>
          <w:p w14:paraId="5193214F"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42038FB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623024" w14:paraId="03AE09FC" w14:textId="77777777">
        <w:tc>
          <w:tcPr>
            <w:tcW w:w="2970" w:type="dxa"/>
          </w:tcPr>
          <w:p w14:paraId="447B784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623024" w14:paraId="1F5314A5" w14:textId="77777777">
        <w:tc>
          <w:tcPr>
            <w:tcW w:w="2970" w:type="dxa"/>
          </w:tcPr>
          <w:p w14:paraId="46C1B05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407D946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588EA927" w14:textId="77777777">
        <w:tc>
          <w:tcPr>
            <w:tcW w:w="2970" w:type="dxa"/>
          </w:tcPr>
          <w:p w14:paraId="514BB81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5F08F44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Pr>
                <w:rFonts w:ascii="Verdana" w:hAnsi="Verdana" w:cs="Tahoma"/>
                <w:b/>
                <w:sz w:val="20"/>
                <w:szCs w:val="20"/>
              </w:rPr>
              <w:t xml:space="preserve"> (</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tc>
      </w:tr>
      <w:tr w:rsidR="00623024" w14:paraId="24010BBD" w14:textId="77777777">
        <w:tc>
          <w:tcPr>
            <w:tcW w:w="2970" w:type="dxa"/>
          </w:tcPr>
          <w:p w14:paraId="73FC2CB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623024" w14:paraId="07D684BA" w14:textId="77777777">
        <w:tc>
          <w:tcPr>
            <w:tcW w:w="2970" w:type="dxa"/>
          </w:tcPr>
          <w:p w14:paraId="572C1971"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for constatado a decretação de um Evento de Aceleração de Vencimento. </w:t>
            </w:r>
          </w:p>
        </w:tc>
      </w:tr>
      <w:tr w:rsidR="00623024" w14:paraId="69ED3E0D" w14:textId="77777777">
        <w:tc>
          <w:tcPr>
            <w:tcW w:w="2970" w:type="dxa"/>
          </w:tcPr>
          <w:p w14:paraId="4BAE943C" w14:textId="71680A9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 da 1ª Série</w:t>
            </w:r>
            <w:r>
              <w:rPr>
                <w:rFonts w:ascii="Verdana" w:hAnsi="Verdana" w:cs="Tahoma"/>
                <w:sz w:val="20"/>
                <w:szCs w:val="20"/>
              </w:rPr>
              <w:t>”</w:t>
            </w:r>
          </w:p>
        </w:tc>
        <w:tc>
          <w:tcPr>
            <w:tcW w:w="6316" w:type="dxa"/>
          </w:tcPr>
          <w:p w14:paraId="03799246" w14:textId="74FBE58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25559530" w14:textId="77777777">
        <w:tc>
          <w:tcPr>
            <w:tcW w:w="2970" w:type="dxa"/>
          </w:tcPr>
          <w:p w14:paraId="5D802298" w14:textId="478DC47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 da 2ª Série</w:t>
            </w:r>
            <w:r>
              <w:rPr>
                <w:rFonts w:ascii="Verdana" w:hAnsi="Verdana" w:cs="Tahoma"/>
                <w:sz w:val="20"/>
                <w:szCs w:val="20"/>
              </w:rPr>
              <w:t>”</w:t>
            </w:r>
          </w:p>
        </w:tc>
        <w:tc>
          <w:tcPr>
            <w:tcW w:w="6316" w:type="dxa"/>
          </w:tcPr>
          <w:p w14:paraId="17BC13F0" w14:textId="1154E16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591CAA6" w14:textId="77777777">
        <w:tc>
          <w:tcPr>
            <w:tcW w:w="2970" w:type="dxa"/>
          </w:tcPr>
          <w:p w14:paraId="4D726285" w14:textId="77777777"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prazo de 12 (doze) meses a contar do início da Oferta Restrita.</w:t>
            </w:r>
          </w:p>
        </w:tc>
      </w:tr>
      <w:tr w:rsidR="00623024" w14:paraId="6FC9CF63" w14:textId="77777777">
        <w:tc>
          <w:tcPr>
            <w:tcW w:w="2970" w:type="dxa"/>
          </w:tcPr>
          <w:p w14:paraId="3518139A" w14:textId="77777777" w:rsidR="00623024" w:rsidRPr="00F947EC" w:rsidRDefault="00623024" w:rsidP="00623024">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5E92687D" w:rsidR="00623024" w:rsidRPr="00F947EC" w:rsidRDefault="00623024" w:rsidP="00623024">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001A49B1">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623024" w14:paraId="703EADAF" w14:textId="77777777">
        <w:tc>
          <w:tcPr>
            <w:tcW w:w="2970" w:type="dxa"/>
          </w:tcPr>
          <w:p w14:paraId="2C25F949"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623024" w:rsidRPr="004509C0" w:rsidRDefault="00623024" w:rsidP="00623024">
            <w:pPr>
              <w:spacing w:before="120" w:line="280" w:lineRule="exact"/>
              <w:jc w:val="both"/>
              <w:rPr>
                <w:rFonts w:ascii="Verdana" w:hAnsi="Verdana" w:cs="Tahoma"/>
                <w:sz w:val="20"/>
                <w:szCs w:val="20"/>
                <w:highlight w:val="yellow"/>
              </w:rPr>
            </w:pPr>
            <w:r w:rsidRPr="009E4D05">
              <w:rPr>
                <w:rFonts w:ascii="Verdana" w:hAnsi="Verdana" w:cs="Tahoma"/>
                <w:sz w:val="20"/>
                <w:szCs w:val="20"/>
              </w:rPr>
              <w:t>A plataforma eletrônica acessível pelo sítio http://www.gyramais.com</w:t>
            </w:r>
            <w:r>
              <w:rPr>
                <w:rFonts w:ascii="Verdana" w:hAnsi="Verdana" w:cs="Tahoma"/>
                <w:sz w:val="20"/>
                <w:szCs w:val="20"/>
              </w:rPr>
              <w:t>,</w:t>
            </w:r>
            <w:r w:rsidRPr="009E4D05">
              <w:rPr>
                <w:rFonts w:ascii="Verdana" w:hAnsi="Verdana" w:cs="Tahoma"/>
                <w:sz w:val="20"/>
                <w:szCs w:val="20"/>
              </w:rPr>
              <w:t xml:space="preserve"> desenvolvida e mantida pela </w:t>
            </w:r>
            <w:proofErr w:type="spellStart"/>
            <w:r>
              <w:rPr>
                <w:rFonts w:ascii="Verdana" w:hAnsi="Verdana" w:cs="Tahoma"/>
                <w:sz w:val="20"/>
                <w:szCs w:val="20"/>
              </w:rPr>
              <w:t>Gyramais</w:t>
            </w:r>
            <w:proofErr w:type="spellEnd"/>
            <w:r w:rsidRPr="009E4D05">
              <w:rPr>
                <w:rFonts w:ascii="Verdana" w:hAnsi="Verdana" w:cs="Tahoma"/>
                <w:sz w:val="20"/>
                <w:szCs w:val="20"/>
              </w:rPr>
              <w:t>.</w:t>
            </w:r>
          </w:p>
        </w:tc>
      </w:tr>
      <w:tr w:rsidR="00623024" w14:paraId="637C54E3" w14:textId="77777777">
        <w:tc>
          <w:tcPr>
            <w:tcW w:w="2970" w:type="dxa"/>
          </w:tcPr>
          <w:p w14:paraId="2F9A005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144468B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tc>
      </w:tr>
      <w:tr w:rsidR="00623024" w14:paraId="5368079E" w14:textId="77777777">
        <w:tc>
          <w:tcPr>
            <w:tcW w:w="2970" w:type="dxa"/>
          </w:tcPr>
          <w:p w14:paraId="33D1698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17B95749" w:rsidR="00623024" w:rsidRDefault="00623024" w:rsidP="00623024">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5FC2563B" w14:textId="77777777">
        <w:tc>
          <w:tcPr>
            <w:tcW w:w="2970" w:type="dxa"/>
          </w:tcPr>
          <w:p w14:paraId="58F92A9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52EC979F"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5B951FEF" w14:textId="77777777">
        <w:tc>
          <w:tcPr>
            <w:tcW w:w="2970" w:type="dxa"/>
          </w:tcPr>
          <w:p w14:paraId="499BEB65" w14:textId="122FE170"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Terceira Série</w:t>
            </w:r>
            <w:r>
              <w:rPr>
                <w:rFonts w:ascii="Verdana" w:hAnsi="Verdana" w:cs="Tahoma"/>
                <w:sz w:val="20"/>
                <w:szCs w:val="20"/>
              </w:rPr>
              <w:t>”</w:t>
            </w:r>
          </w:p>
        </w:tc>
        <w:tc>
          <w:tcPr>
            <w:tcW w:w="6316" w:type="dxa"/>
          </w:tcPr>
          <w:p w14:paraId="7DA26F4F" w14:textId="5FD1DEDF"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719F9411" w14:textId="77777777">
        <w:tc>
          <w:tcPr>
            <w:tcW w:w="2970" w:type="dxa"/>
          </w:tcPr>
          <w:p w14:paraId="3D7310B1" w14:textId="3D8B29FB"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4306B9D1"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35ACC940" w14:textId="77777777">
        <w:trPr>
          <w:trHeight w:val="812"/>
        </w:trPr>
        <w:tc>
          <w:tcPr>
            <w:tcW w:w="2970" w:type="dxa"/>
          </w:tcPr>
          <w:p w14:paraId="1200526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248B7540" w:rsidR="00623024" w:rsidRDefault="00623024" w:rsidP="00623024">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21E7C6EF" w14:textId="77777777">
        <w:tc>
          <w:tcPr>
            <w:tcW w:w="2970" w:type="dxa"/>
          </w:tcPr>
          <w:p w14:paraId="40B1714B"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C25499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w:t>
            </w:r>
            <w:r w:rsidRPr="00227DC5">
              <w:rPr>
                <w:rFonts w:ascii="Verdana" w:eastAsia="Arial Unicode MS" w:hAnsi="Verdana" w:cs="Tahoma"/>
                <w:b/>
                <w:bCs/>
                <w:sz w:val="20"/>
                <w:szCs w:val="20"/>
              </w:rPr>
              <w:t>(</w:t>
            </w:r>
            <w:proofErr w:type="spellStart"/>
            <w:r w:rsidRPr="00227DC5">
              <w:rPr>
                <w:rFonts w:ascii="Verdana" w:eastAsia="Arial Unicode MS" w:hAnsi="Verdana" w:cs="Tahoma"/>
                <w:b/>
                <w:bCs/>
                <w:sz w:val="20"/>
                <w:szCs w:val="20"/>
              </w:rPr>
              <w:t>ii</w:t>
            </w:r>
            <w:proofErr w:type="spellEnd"/>
            <w:r w:rsidRPr="00227DC5">
              <w:rPr>
                <w:rFonts w:ascii="Verdana" w:eastAsia="Arial Unicode MS" w:hAnsi="Verdana" w:cs="Tahoma"/>
                <w:b/>
                <w:bCs/>
                <w:sz w:val="20"/>
                <w:szCs w:val="20"/>
              </w:rPr>
              <w:t>)</w:t>
            </w:r>
            <w:r>
              <w:rPr>
                <w:rFonts w:ascii="Verdana" w:eastAsia="Arial Unicode MS" w:hAnsi="Verdana" w:cs="Tahoma"/>
                <w:sz w:val="20"/>
                <w:szCs w:val="20"/>
              </w:rPr>
              <w:t xml:space="preserve"> o volume total de Debêntures da Terceira Série efetivamente integralizadas no âmbito da Emissão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 a Razão Mínima de Subordinação deverá ser igual ou maior que 30% (trinta por cento). </w:t>
            </w:r>
          </w:p>
        </w:tc>
      </w:tr>
      <w:tr w:rsidR="00623024" w14:paraId="617540BC" w14:textId="77777777">
        <w:tc>
          <w:tcPr>
            <w:tcW w:w="2970" w:type="dxa"/>
          </w:tcPr>
          <w:p w14:paraId="192986D0"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623024" w14:paraId="1479BB2C" w14:textId="77777777">
        <w:tc>
          <w:tcPr>
            <w:tcW w:w="2970" w:type="dxa"/>
          </w:tcPr>
          <w:p w14:paraId="6A4147A2"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623024" w14:paraId="6212D189" w14:textId="77777777">
        <w:tc>
          <w:tcPr>
            <w:tcW w:w="2970" w:type="dxa"/>
          </w:tcPr>
          <w:p w14:paraId="1D0E3657" w14:textId="7CFFDC2C" w:rsidR="00623024" w:rsidRDefault="00623024" w:rsidP="00623024">
            <w:pPr>
              <w:spacing w:before="120" w:after="120" w:line="280" w:lineRule="exact"/>
              <w:jc w:val="both"/>
              <w:rPr>
                <w:rFonts w:ascii="Verdana" w:hAnsi="Verdana" w:cs="Tahoma"/>
                <w:sz w:val="20"/>
                <w:szCs w:val="20"/>
              </w:rPr>
            </w:pPr>
          </w:p>
        </w:tc>
        <w:tc>
          <w:tcPr>
            <w:tcW w:w="6316" w:type="dxa"/>
          </w:tcPr>
          <w:p w14:paraId="454779A7" w14:textId="09B88440" w:rsidR="00623024" w:rsidRDefault="00623024" w:rsidP="00623024">
            <w:pPr>
              <w:spacing w:before="120" w:after="120" w:line="280" w:lineRule="exact"/>
              <w:jc w:val="both"/>
              <w:rPr>
                <w:rFonts w:ascii="Verdana" w:hAnsi="Verdana" w:cs="Tahoma"/>
                <w:sz w:val="20"/>
                <w:szCs w:val="20"/>
              </w:rPr>
            </w:pPr>
          </w:p>
        </w:tc>
      </w:tr>
      <w:tr w:rsidR="00623024" w14:paraId="5AB25C64" w14:textId="77777777">
        <w:tc>
          <w:tcPr>
            <w:tcW w:w="2970" w:type="dxa"/>
          </w:tcPr>
          <w:p w14:paraId="06FD54C2"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623024" w14:paraId="1661B9C2" w14:textId="77777777">
        <w:tc>
          <w:tcPr>
            <w:tcW w:w="2970" w:type="dxa"/>
          </w:tcPr>
          <w:p w14:paraId="078F554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33D567F7"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33372855" w14:textId="77777777">
        <w:tc>
          <w:tcPr>
            <w:tcW w:w="2970" w:type="dxa"/>
          </w:tcPr>
          <w:p w14:paraId="28DBBC0D" w14:textId="1D8512B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Segunda Série</w:t>
            </w:r>
            <w:r>
              <w:rPr>
                <w:rFonts w:ascii="Verdana" w:hAnsi="Verdana" w:cs="Tahoma"/>
                <w:sz w:val="20"/>
                <w:szCs w:val="20"/>
              </w:rPr>
              <w:t>”</w:t>
            </w:r>
          </w:p>
        </w:tc>
        <w:tc>
          <w:tcPr>
            <w:tcW w:w="6316" w:type="dxa"/>
          </w:tcPr>
          <w:p w14:paraId="10CA1292" w14:textId="27852FF9" w:rsidR="00623024" w:rsidRDefault="00623024" w:rsidP="00623024">
            <w:pPr>
              <w:tabs>
                <w:tab w:val="left" w:pos="1134"/>
              </w:tabs>
              <w:autoSpaceDE/>
              <w:autoSpaceDN/>
              <w:adjustRightInd/>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13AA6FF5" w14:textId="77777777">
        <w:tc>
          <w:tcPr>
            <w:tcW w:w="2970" w:type="dxa"/>
          </w:tcPr>
          <w:p w14:paraId="3E200225" w14:textId="77DFB30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623024" w14:paraId="77B9F9CD" w14:textId="77777777">
        <w:tc>
          <w:tcPr>
            <w:tcW w:w="2970" w:type="dxa"/>
          </w:tcPr>
          <w:p w14:paraId="0C95D5E9" w14:textId="082E828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623024" w14:paraId="203F3124" w14:textId="77777777">
        <w:tc>
          <w:tcPr>
            <w:tcW w:w="2970" w:type="dxa"/>
          </w:tcPr>
          <w:p w14:paraId="34B1292E" w14:textId="76A1CB5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623024" w:rsidRDefault="00623024" w:rsidP="00623024">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623024" w14:paraId="714D66D6" w14:textId="77777777">
        <w:tc>
          <w:tcPr>
            <w:tcW w:w="2970" w:type="dxa"/>
          </w:tcPr>
          <w:p w14:paraId="2BA58034" w14:textId="57658E8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Terceira Série</w:t>
            </w:r>
            <w:r>
              <w:rPr>
                <w:rFonts w:ascii="Verdana" w:hAnsi="Verdana" w:cs="Tahoma"/>
                <w:sz w:val="20"/>
                <w:szCs w:val="20"/>
              </w:rPr>
              <w:t>”</w:t>
            </w:r>
          </w:p>
        </w:tc>
        <w:tc>
          <w:tcPr>
            <w:tcW w:w="6316" w:type="dxa"/>
          </w:tcPr>
          <w:p w14:paraId="0734026B" w14:textId="54AF603B" w:rsidR="00623024" w:rsidRPr="000A456E" w:rsidRDefault="00623024" w:rsidP="00623024">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tc>
      </w:tr>
      <w:tr w:rsidR="00623024" w14:paraId="4A2D7326" w14:textId="77777777">
        <w:tc>
          <w:tcPr>
            <w:tcW w:w="2970" w:type="dxa"/>
          </w:tcPr>
          <w:p w14:paraId="334CE5B4" w14:textId="79E5FFA0" w:rsidR="00623024" w:rsidRDefault="00623024" w:rsidP="00623024">
            <w:pPr>
              <w:spacing w:before="120" w:after="120" w:line="280" w:lineRule="exact"/>
              <w:jc w:val="both"/>
              <w:rPr>
                <w:rFonts w:ascii="Verdana" w:hAnsi="Verdana" w:cs="Tahoma"/>
                <w:sz w:val="20"/>
                <w:szCs w:val="20"/>
              </w:rPr>
            </w:pPr>
          </w:p>
        </w:tc>
        <w:tc>
          <w:tcPr>
            <w:tcW w:w="6316" w:type="dxa"/>
          </w:tcPr>
          <w:p w14:paraId="28150A00" w14:textId="2C9354C4" w:rsidR="00623024" w:rsidRDefault="00623024" w:rsidP="00623024">
            <w:pPr>
              <w:pStyle w:val="Corpodetexto"/>
              <w:spacing w:before="120" w:line="280" w:lineRule="exact"/>
              <w:jc w:val="both"/>
              <w:rPr>
                <w:rFonts w:ascii="Verdana" w:hAnsi="Verdana"/>
                <w:sz w:val="20"/>
              </w:rPr>
            </w:pPr>
          </w:p>
        </w:tc>
      </w:tr>
      <w:tr w:rsidR="00623024" w14:paraId="79714746" w14:textId="77777777">
        <w:tc>
          <w:tcPr>
            <w:tcW w:w="2970" w:type="dxa"/>
          </w:tcPr>
          <w:p w14:paraId="4CA747C7" w14:textId="3A8A2E2D"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623024" w14:paraId="44319E32" w14:textId="77777777">
        <w:tc>
          <w:tcPr>
            <w:tcW w:w="2970" w:type="dxa"/>
          </w:tcPr>
          <w:p w14:paraId="09C8536D" w14:textId="2210C2F3"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623024" w14:paraId="4160A4E1" w14:textId="77777777">
        <w:tc>
          <w:tcPr>
            <w:tcW w:w="2970" w:type="dxa"/>
          </w:tcPr>
          <w:p w14:paraId="3E8EBDDB" w14:textId="0A7C504F" w:rsidR="00623024" w:rsidRPr="000B7D26" w:rsidRDefault="00623024" w:rsidP="00623024">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178AE24A"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6FEC121D" w14:textId="77777777">
        <w:tc>
          <w:tcPr>
            <w:tcW w:w="2970" w:type="dxa"/>
          </w:tcPr>
          <w:p w14:paraId="33A21937" w14:textId="4AA47B62" w:rsidR="00623024" w:rsidRPr="000B7D26" w:rsidRDefault="00623024" w:rsidP="00623024">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2071EEA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2C32F54" w14:textId="77777777">
        <w:tc>
          <w:tcPr>
            <w:tcW w:w="2970" w:type="dxa"/>
          </w:tcPr>
          <w:p w14:paraId="4E7FE609" w14:textId="5FD97CC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152C407D"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9" w:history="1">
              <w:r w:rsidRPr="007F0E95">
                <w:rPr>
                  <w:rStyle w:val="Hyperlink"/>
                  <w:rFonts w:ascii="Verdana" w:hAnsi="Verdana" w:cs="Tahoma"/>
                  <w:sz w:val="20"/>
                  <w:szCs w:val="20"/>
                </w:rPr>
                <w:t>http://www.b3.com.br</w:t>
              </w:r>
            </w:hyperlink>
            <w:r>
              <w:rPr>
                <w:rFonts w:ascii="Verdana" w:hAnsi="Verdana" w:cs="Tahoma"/>
                <w:sz w:val="20"/>
                <w:szCs w:val="20"/>
              </w:rPr>
              <w:t>.</w:t>
            </w:r>
          </w:p>
        </w:tc>
      </w:tr>
      <w:tr w:rsidR="00623024" w14:paraId="7AD8D2FF" w14:textId="77777777">
        <w:tc>
          <w:tcPr>
            <w:tcW w:w="2970" w:type="dxa"/>
          </w:tcPr>
          <w:p w14:paraId="4B3FA3C7" w14:textId="6068A0F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Terceira Série</w:t>
            </w:r>
            <w:r>
              <w:rPr>
                <w:rFonts w:ascii="Verdana" w:hAnsi="Verdana" w:cs="Tahoma"/>
                <w:sz w:val="20"/>
                <w:szCs w:val="20"/>
              </w:rPr>
              <w:t>”</w:t>
            </w:r>
          </w:p>
        </w:tc>
        <w:tc>
          <w:tcPr>
            <w:tcW w:w="6316" w:type="dxa"/>
          </w:tcPr>
          <w:p w14:paraId="637AD8B7" w14:textId="22B3344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05EE013C" w14:textId="77777777">
        <w:tc>
          <w:tcPr>
            <w:tcW w:w="2970" w:type="dxa"/>
          </w:tcPr>
          <w:p w14:paraId="04FB841C" w14:textId="53A6C1B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623024" w14:paraId="65840150" w14:textId="77777777">
        <w:tc>
          <w:tcPr>
            <w:tcW w:w="2970" w:type="dxa"/>
          </w:tcPr>
          <w:p w14:paraId="16B20668" w14:textId="0EAECD4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623024" w14:paraId="6A5122A1" w14:textId="77777777">
        <w:tc>
          <w:tcPr>
            <w:tcW w:w="2970" w:type="dxa"/>
          </w:tcPr>
          <w:p w14:paraId="14334DAE" w14:textId="02288AF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623024" w14:paraId="624C8DAD" w14:textId="77777777">
        <w:tc>
          <w:tcPr>
            <w:tcW w:w="2970" w:type="dxa"/>
          </w:tcPr>
          <w:p w14:paraId="45AA7CDD" w14:textId="3C1A4219" w:rsidR="00623024"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623024"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623024" w14:paraId="172D1B28" w14:textId="77777777">
        <w:tc>
          <w:tcPr>
            <w:tcW w:w="2970" w:type="dxa"/>
          </w:tcPr>
          <w:p w14:paraId="2DE3FEF0" w14:textId="657CDB24"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623024" w14:paraId="6ED64DE0" w14:textId="77777777">
        <w:tc>
          <w:tcPr>
            <w:tcW w:w="2970" w:type="dxa"/>
          </w:tcPr>
          <w:p w14:paraId="38779803" w14:textId="6236D8C3"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623024" w14:paraId="6ABCF800" w14:textId="77777777">
        <w:tc>
          <w:tcPr>
            <w:tcW w:w="2970" w:type="dxa"/>
          </w:tcPr>
          <w:p w14:paraId="2E767EE4" w14:textId="32DCABED" w:rsidR="00623024" w:rsidRPr="00B75E9B" w:rsidRDefault="00623024" w:rsidP="00623024">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2EF6DD95" w:rsidR="00623024" w:rsidRPr="00B75E9B" w:rsidRDefault="00623024" w:rsidP="00623024">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w:t>
            </w:r>
            <w:r>
              <w:rPr>
                <w:rFonts w:ascii="Verdana" w:hAnsi="Verdana" w:cs="Tahoma"/>
                <w:sz w:val="20"/>
                <w:szCs w:val="20"/>
              </w:rPr>
              <w:t xml:space="preserve">, </w:t>
            </w:r>
            <w:r w:rsidRPr="000713B1">
              <w:rPr>
                <w:rFonts w:ascii="Verdana" w:hAnsi="Verdana" w:cs="Tahoma"/>
                <w:sz w:val="20"/>
                <w:szCs w:val="20"/>
              </w:rPr>
              <w:t>o Volume Mínimo da Segunda Série</w:t>
            </w:r>
            <w:r>
              <w:rPr>
                <w:rFonts w:ascii="Verdana" w:hAnsi="Verdana" w:cs="Tahoma"/>
                <w:sz w:val="20"/>
                <w:szCs w:val="20"/>
              </w:rPr>
              <w:t xml:space="preserve"> e o Volume Mínimo da Terceira Série.</w:t>
            </w:r>
          </w:p>
        </w:tc>
      </w:tr>
      <w:tr w:rsidR="00623024" w14:paraId="1BC701FD" w14:textId="77777777">
        <w:tc>
          <w:tcPr>
            <w:tcW w:w="2970" w:type="dxa"/>
          </w:tcPr>
          <w:p w14:paraId="6E831ABF" w14:textId="78D68ACA" w:rsidR="00623024" w:rsidRPr="000713B1"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5BF987B1" w:rsidR="00623024" w:rsidRPr="000713B1"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76C6FF7" w14:textId="77777777">
        <w:tc>
          <w:tcPr>
            <w:tcW w:w="2970" w:type="dxa"/>
          </w:tcPr>
          <w:p w14:paraId="3CA3FB83" w14:textId="126125D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7BBCD8A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47BAE25D" w14:textId="77777777">
        <w:tc>
          <w:tcPr>
            <w:tcW w:w="2970" w:type="dxa"/>
          </w:tcPr>
          <w:p w14:paraId="6C1835B8" w14:textId="7BFCC74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Terceira Série</w:t>
            </w:r>
            <w:r>
              <w:rPr>
                <w:rFonts w:ascii="Verdana" w:hAnsi="Verdana" w:cs="Tahoma"/>
                <w:sz w:val="20"/>
                <w:szCs w:val="20"/>
              </w:rPr>
              <w:t>”</w:t>
            </w:r>
          </w:p>
        </w:tc>
        <w:tc>
          <w:tcPr>
            <w:tcW w:w="6316" w:type="dxa"/>
          </w:tcPr>
          <w:p w14:paraId="77D1D3E5" w14:textId="50D4F11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7D536240" w14:textId="77777777">
        <w:tc>
          <w:tcPr>
            <w:tcW w:w="2970" w:type="dxa"/>
          </w:tcPr>
          <w:p w14:paraId="56102A93" w14:textId="644A28F7" w:rsidR="00623024" w:rsidRDefault="00623024" w:rsidP="00623024">
            <w:pPr>
              <w:spacing w:before="120" w:after="120" w:line="280" w:lineRule="exact"/>
              <w:jc w:val="both"/>
              <w:rPr>
                <w:rFonts w:ascii="Verdana" w:hAnsi="Verdana" w:cs="Tahoma"/>
                <w:sz w:val="20"/>
                <w:szCs w:val="20"/>
              </w:rPr>
            </w:pPr>
          </w:p>
        </w:tc>
        <w:tc>
          <w:tcPr>
            <w:tcW w:w="6316" w:type="dxa"/>
          </w:tcPr>
          <w:p w14:paraId="453E2D0F" w14:textId="7E9C9D64" w:rsidR="00623024" w:rsidRDefault="00623024" w:rsidP="00623024">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4" w:name="_DV_M23"/>
      <w:bookmarkEnd w:id="4"/>
      <w:r>
        <w:rPr>
          <w:rFonts w:ascii="Verdana" w:eastAsia="MS Mincho" w:hAnsi="Verdana" w:cs="Tahoma"/>
          <w:b/>
          <w:sz w:val="20"/>
          <w:szCs w:val="20"/>
        </w:rPr>
        <w:t xml:space="preserve">CLÁUSULA PRIMEIRA </w:t>
      </w:r>
      <w:bookmarkStart w:id="5" w:name="_DV_M24"/>
      <w:bookmarkEnd w:id="5"/>
      <w:r>
        <w:rPr>
          <w:rFonts w:ascii="Verdana" w:eastAsia="MS Mincho" w:hAnsi="Verdana" w:cs="Tahoma"/>
          <w:b/>
          <w:sz w:val="20"/>
          <w:szCs w:val="20"/>
        </w:rPr>
        <w:t>– AUTORIZAÇÃO</w:t>
      </w:r>
    </w:p>
    <w:p w14:paraId="634B3BA7" w14:textId="425E3710" w:rsidR="00EB5CDB" w:rsidRDefault="008E55E6">
      <w:pPr>
        <w:numPr>
          <w:ilvl w:val="1"/>
          <w:numId w:val="2"/>
        </w:numPr>
        <w:spacing w:before="120" w:after="120" w:line="280" w:lineRule="exact"/>
        <w:jc w:val="both"/>
        <w:rPr>
          <w:rFonts w:ascii="Verdana" w:eastAsia="MS Mincho" w:hAnsi="Verdana" w:cs="Tahoma"/>
          <w:sz w:val="20"/>
          <w:szCs w:val="20"/>
        </w:rPr>
      </w:pPr>
      <w:bookmarkStart w:id="6" w:name="_DV_M25"/>
      <w:bookmarkStart w:id="7" w:name="_DV_M26"/>
      <w:bookmarkEnd w:id="6"/>
      <w:bookmarkEnd w:id="7"/>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w:t>
      </w:r>
      <w:r w:rsidR="00925E96">
        <w:rPr>
          <w:rFonts w:ascii="Verdana" w:eastAsia="MS Mincho" w:hAnsi="Verdana" w:cs="Tahoma"/>
          <w:sz w:val="20"/>
          <w:szCs w:val="20"/>
        </w:rPr>
        <w:t>três</w:t>
      </w:r>
      <w:r>
        <w:rPr>
          <w:rFonts w:ascii="Verdana" w:eastAsia="MS Mincho" w:hAnsi="Verdana" w:cs="Tahoma"/>
          <w:sz w:val="20"/>
          <w:szCs w:val="20"/>
        </w:rPr>
        <w:t xml:space="preserve">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8" w:name="_DV_M29"/>
      <w:bookmarkEnd w:id="8"/>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 w:name="_DV_M30"/>
      <w:bookmarkEnd w:id="9"/>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0" w:name="_DV_M31"/>
      <w:bookmarkEnd w:id="10"/>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1" w:name="_DV_M38"/>
      <w:bookmarkStart w:id="12" w:name="_Ref422391391"/>
      <w:bookmarkEnd w:id="11"/>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2"/>
    </w:p>
    <w:p w14:paraId="37BB2028" w14:textId="67B4BDCB"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3" w:name="_DV_M32"/>
      <w:bookmarkStart w:id="14" w:name="_Ref490743716"/>
      <w:bookmarkStart w:id="15" w:name="_Ref481587098"/>
      <w:bookmarkEnd w:id="13"/>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4"/>
      <w:bookmarkEnd w:id="15"/>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6E34AFC5"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Pr>
          <w:rFonts w:ascii="Verdana" w:eastAsia="MS Mincho" w:hAnsi="Verdana" w:cs="Tahoma"/>
          <w:b/>
          <w:sz w:val="20"/>
          <w:szCs w:val="20"/>
        </w:rPr>
        <w:t xml:space="preserve">Depósito para Distribuição, </w:t>
      </w:r>
      <w:r w:rsidR="005233B6">
        <w:rPr>
          <w:rFonts w:ascii="Verdana" w:eastAsia="MS Mincho" w:hAnsi="Verdana" w:cs="Tahoma"/>
          <w:b/>
          <w:sz w:val="20"/>
          <w:szCs w:val="20"/>
        </w:rPr>
        <w:t xml:space="preserve">Negociação, </w:t>
      </w:r>
      <w:r>
        <w:rPr>
          <w:rFonts w:ascii="Verdana" w:eastAsia="MS Mincho" w:hAnsi="Verdana" w:cs="Tahoma"/>
          <w:b/>
          <w:sz w:val="20"/>
          <w:szCs w:val="20"/>
        </w:rPr>
        <w:t>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21" w:name="_DV_M43"/>
      <w:bookmarkStart w:id="22" w:name="_Ref481569233"/>
      <w:bookmarkEnd w:id="21"/>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22"/>
    </w:p>
    <w:p w14:paraId="34D249DA" w14:textId="48CF3C88"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23" w:name="_DV_M44"/>
      <w:bookmarkEnd w:id="23"/>
      <w:r>
        <w:rPr>
          <w:rFonts w:ascii="Verdana" w:eastAsia="MS Mincho" w:hAnsi="Verdana" w:cs="Tahoma"/>
          <w:b/>
          <w:sz w:val="20"/>
          <w:szCs w:val="20"/>
        </w:rPr>
        <w:t xml:space="preserve">CLÁUSULA TERCEIRA – </w:t>
      </w:r>
      <w:bookmarkStart w:id="24" w:name="_DV_M45"/>
      <w:bookmarkEnd w:id="24"/>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25"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25"/>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6" w:name="_DV_M46"/>
      <w:bookmarkEnd w:id="26"/>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27" w:name="_DV_M71"/>
      <w:bookmarkEnd w:id="27"/>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28"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28"/>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5691A330" w:rsidR="00EB5CDB" w:rsidRDefault="008E55E6">
      <w:pPr>
        <w:numPr>
          <w:ilvl w:val="2"/>
          <w:numId w:val="4"/>
        </w:numPr>
        <w:spacing w:before="120" w:after="120" w:line="280" w:lineRule="exact"/>
        <w:jc w:val="both"/>
        <w:rPr>
          <w:rFonts w:ascii="Verdana" w:eastAsia="MS Mincho" w:hAnsi="Verdana" w:cs="Tahoma"/>
          <w:sz w:val="20"/>
          <w:szCs w:val="20"/>
        </w:rPr>
      </w:pPr>
      <w:bookmarkStart w:id="29" w:name="_DV_M58"/>
      <w:bookmarkStart w:id="30" w:name="_DV_M59"/>
      <w:bookmarkStart w:id="31" w:name="_Ref495596607"/>
      <w:bookmarkEnd w:id="29"/>
      <w:bookmarkEnd w:id="30"/>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r w:rsidR="00F85A0A">
        <w:rPr>
          <w:rFonts w:ascii="Verdana" w:hAnsi="Verdana" w:cs="Tahoma"/>
          <w:sz w:val="20"/>
          <w:szCs w:val="20"/>
        </w:rPr>
        <w:t>35</w:t>
      </w:r>
      <w:r w:rsidR="004D2F65">
        <w:rPr>
          <w:rFonts w:ascii="Verdana" w:hAnsi="Verdana" w:cs="Tahoma"/>
          <w:sz w:val="20"/>
          <w:szCs w:val="20"/>
        </w:rPr>
        <w:t>.000</w:t>
      </w:r>
      <w:r>
        <w:rPr>
          <w:rFonts w:ascii="Verdana" w:eastAsia="MS Mincho" w:hAnsi="Verdana" w:cs="Tahoma"/>
          <w:sz w:val="20"/>
          <w:szCs w:val="20"/>
        </w:rPr>
        <w:t xml:space="preserve"> </w:t>
      </w:r>
      <w:r w:rsidR="004D2F65">
        <w:rPr>
          <w:rFonts w:ascii="Verdana" w:eastAsia="MS Mincho" w:hAnsi="Verdana" w:cs="Tahoma"/>
          <w:sz w:val="20"/>
          <w:szCs w:val="20"/>
        </w:rPr>
        <w:t>(</w:t>
      </w:r>
      <w:r w:rsidR="00373A67">
        <w:rPr>
          <w:rFonts w:ascii="Verdana" w:eastAsia="MS Mincho" w:hAnsi="Verdana" w:cs="Tahoma"/>
          <w:sz w:val="20"/>
          <w:szCs w:val="20"/>
        </w:rPr>
        <w:t>trinta e cinco</w:t>
      </w:r>
      <w:r w:rsidR="004D2F65">
        <w:rPr>
          <w:rFonts w:ascii="Verdana" w:eastAsia="MS Mincho" w:hAnsi="Verdana" w:cs="Tahoma"/>
          <w:sz w:val="20"/>
          <w:szCs w:val="20"/>
        </w:rPr>
        <w:t xml:space="preserve">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w:t>
      </w:r>
      <w:r w:rsidR="00F85A0A">
        <w:rPr>
          <w:rFonts w:ascii="Verdana" w:eastAsia="MS Mincho" w:hAnsi="Verdana" w:cs="Tahoma"/>
          <w:sz w:val="20"/>
          <w:szCs w:val="20"/>
        </w:rPr>
        <w:t xml:space="preserve">, 5.000 (cinco mil) debêntures da segunda série </w:t>
      </w:r>
      <w:r w:rsidR="00A104FE">
        <w:rPr>
          <w:rFonts w:ascii="Verdana" w:eastAsia="MS Mincho" w:hAnsi="Verdana" w:cs="Tahoma"/>
          <w:sz w:val="20"/>
          <w:szCs w:val="20"/>
        </w:rPr>
        <w:t>(“</w:t>
      </w:r>
      <w:r w:rsidR="00A104FE">
        <w:rPr>
          <w:rFonts w:ascii="Verdana" w:eastAsia="MS Mincho" w:hAnsi="Verdana" w:cs="Tahoma"/>
          <w:sz w:val="20"/>
          <w:szCs w:val="20"/>
          <w:u w:val="single"/>
        </w:rPr>
        <w:t>Segunda Série</w:t>
      </w:r>
      <w:r w:rsidR="00A104FE">
        <w:rPr>
          <w:rFonts w:ascii="Verdana" w:eastAsia="MS Mincho" w:hAnsi="Verdana" w:cs="Tahoma"/>
          <w:sz w:val="20"/>
          <w:szCs w:val="20"/>
        </w:rPr>
        <w:t>” e “</w:t>
      </w:r>
      <w:r w:rsidR="00A104FE">
        <w:rPr>
          <w:rFonts w:ascii="Verdana" w:eastAsia="MS Mincho" w:hAnsi="Verdana" w:cs="Tahoma"/>
          <w:sz w:val="20"/>
          <w:szCs w:val="20"/>
          <w:u w:val="single"/>
        </w:rPr>
        <w:t>Debêntures da Segunda Série</w:t>
      </w:r>
      <w:r w:rsidR="00A104FE">
        <w:rPr>
          <w:rFonts w:ascii="Verdana" w:eastAsia="MS Mincho" w:hAnsi="Verdana" w:cs="Tahoma"/>
          <w:sz w:val="20"/>
          <w:szCs w:val="20"/>
        </w:rPr>
        <w:t xml:space="preserve">”) e </w:t>
      </w:r>
      <w:r w:rsidR="004D2F65">
        <w:rPr>
          <w:rFonts w:ascii="Verdana" w:hAnsi="Verdana" w:cs="Tahoma"/>
          <w:sz w:val="20"/>
          <w:szCs w:val="20"/>
        </w:rPr>
        <w:t>10.000 (dez mil)</w:t>
      </w:r>
      <w:r>
        <w:rPr>
          <w:rFonts w:ascii="Verdana" w:eastAsia="MS Mincho" w:hAnsi="Verdana" w:cs="Tahoma"/>
          <w:sz w:val="20"/>
          <w:szCs w:val="20"/>
        </w:rPr>
        <w:t xml:space="preserve"> integrantes da </w:t>
      </w:r>
      <w:r w:rsidR="00A104FE">
        <w:rPr>
          <w:rFonts w:ascii="Verdana" w:eastAsia="MS Mincho" w:hAnsi="Verdana" w:cs="Tahoma"/>
          <w:sz w:val="20"/>
          <w:szCs w:val="20"/>
        </w:rPr>
        <w:t xml:space="preserve">terceira </w:t>
      </w:r>
      <w:r>
        <w:rPr>
          <w:rFonts w:ascii="Verdana" w:eastAsia="MS Mincho" w:hAnsi="Verdana" w:cs="Tahoma"/>
          <w:sz w:val="20"/>
          <w:szCs w:val="20"/>
        </w:rPr>
        <w:t>série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 e, em conjunto com Primeira Série</w:t>
      </w:r>
      <w:r w:rsidR="00A104FE">
        <w:rPr>
          <w:rFonts w:ascii="Verdana" w:eastAsia="MS Mincho" w:hAnsi="Verdana" w:cs="Tahoma"/>
          <w:sz w:val="20"/>
          <w:szCs w:val="20"/>
        </w:rPr>
        <w:t xml:space="preserve"> e Segund</w:t>
      </w:r>
      <w:r w:rsidR="00373A67">
        <w:rPr>
          <w:rFonts w:ascii="Verdana" w:eastAsia="MS Mincho" w:hAnsi="Verdana" w:cs="Tahoma"/>
          <w:sz w:val="20"/>
          <w:szCs w:val="20"/>
        </w:rPr>
        <w:t>a</w:t>
      </w:r>
      <w:r w:rsidR="00A104FE">
        <w:rPr>
          <w:rFonts w:ascii="Verdana" w:eastAsia="MS Mincho" w:hAnsi="Verdana" w:cs="Tahoma"/>
          <w:sz w:val="20"/>
          <w:szCs w:val="20"/>
        </w:rPr>
        <w:t xml:space="preserve"> Série</w:t>
      </w:r>
      <w:r>
        <w:rPr>
          <w:rFonts w:ascii="Verdana" w:eastAsia="MS Mincho" w:hAnsi="Verdana" w:cs="Tahoma"/>
          <w:sz w:val="20"/>
          <w:szCs w:val="20"/>
        </w:rPr>
        <w:t xml:space="preserv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 xml:space="preserve">Debêntures da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w:t>
      </w:r>
      <w:bookmarkEnd w:id="31"/>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426CD748"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32" w:name="_DV_M47"/>
      <w:bookmarkStart w:id="33" w:name="_DV_M48"/>
      <w:bookmarkEnd w:id="32"/>
      <w:bookmarkEnd w:id="33"/>
      <w:r>
        <w:rPr>
          <w:rFonts w:ascii="Verdana" w:eastAsia="MS Mincho" w:hAnsi="Verdana" w:cs="Tahoma"/>
          <w:sz w:val="20"/>
          <w:szCs w:val="20"/>
        </w:rPr>
        <w:t xml:space="preserve">A Emissão será realizada em </w:t>
      </w:r>
      <w:r w:rsidR="00925E96">
        <w:rPr>
          <w:rFonts w:ascii="Verdana" w:eastAsia="MS Mincho" w:hAnsi="Verdana" w:cs="Tahoma"/>
          <w:sz w:val="20"/>
          <w:szCs w:val="20"/>
        </w:rPr>
        <w:t>três</w:t>
      </w:r>
      <w:r>
        <w:rPr>
          <w:rFonts w:ascii="Verdana" w:eastAsia="MS Mincho" w:hAnsi="Verdana" w:cs="Tahoma"/>
          <w:sz w:val="20"/>
          <w:szCs w:val="20"/>
        </w:rPr>
        <w:t xml:space="preserve">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4" w:name="_Ref422391421"/>
      <w:r>
        <w:rPr>
          <w:rFonts w:ascii="Verdana" w:eastAsia="MS Mincho" w:hAnsi="Verdana" w:cs="Tahoma"/>
          <w:b/>
          <w:sz w:val="20"/>
          <w:szCs w:val="20"/>
        </w:rPr>
        <w:t>Destinação dos Recursos</w:t>
      </w:r>
      <w:bookmarkEnd w:id="34"/>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4D9FC51F" w:rsidR="00EB5CDB" w:rsidRDefault="008E55E6">
      <w:pPr>
        <w:numPr>
          <w:ilvl w:val="2"/>
          <w:numId w:val="4"/>
        </w:numPr>
        <w:spacing w:before="120" w:after="120" w:line="280" w:lineRule="exact"/>
        <w:jc w:val="both"/>
        <w:rPr>
          <w:rFonts w:ascii="Verdana" w:hAnsi="Verdana" w:cs="Tahoma"/>
          <w:sz w:val="20"/>
          <w:szCs w:val="20"/>
        </w:rPr>
      </w:pPr>
      <w:bookmarkStart w:id="35" w:name="_DV_M61"/>
      <w:bookmarkStart w:id="36" w:name="_DV_M70"/>
      <w:bookmarkStart w:id="37" w:name="_Ref422391407"/>
      <w:bookmarkStart w:id="38" w:name="_Ref454963225"/>
      <w:bookmarkEnd w:id="35"/>
      <w:bookmarkEnd w:id="36"/>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7"/>
      <w:bookmarkEnd w:id="38"/>
    </w:p>
    <w:p w14:paraId="03ABC77E" w14:textId="1658BD8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9" w:name="_Ref495584033"/>
      <w:r>
        <w:rPr>
          <w:rFonts w:ascii="Verdana" w:hAnsi="Verdana" w:cs="Tahoma"/>
          <w:sz w:val="20"/>
          <w:szCs w:val="20"/>
        </w:rPr>
        <w:t>A atualização do Anexo II deverá ser realizada mensalmente pela Emissora até o 5º (quinto) Dia Útil de cada mês (cada uma de tais datas uma “</w:t>
      </w:r>
      <w:bookmarkStart w:id="40" w:name="_Hlk494399553"/>
      <w:r>
        <w:rPr>
          <w:rFonts w:ascii="Verdana" w:hAnsi="Verdana" w:cs="Tahoma"/>
          <w:sz w:val="20"/>
          <w:szCs w:val="20"/>
          <w:u w:val="single"/>
        </w:rPr>
        <w:t>Data Limite de Atualização de CCB</w:t>
      </w:r>
      <w:bookmarkEnd w:id="40"/>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39"/>
    <w:p w14:paraId="7010CFC3" w14:textId="515D3F89"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24EE0BA6"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proofErr w:type="spellStart"/>
      <w:r w:rsidR="004D2F65">
        <w:rPr>
          <w:rFonts w:ascii="Verdana" w:hAnsi="Verdana" w:cs="Tahoma"/>
          <w:sz w:val="20"/>
          <w:szCs w:val="20"/>
        </w:rPr>
        <w:t>de</w:t>
      </w:r>
      <w:proofErr w:type="spellEnd"/>
      <w:r w:rsidR="004D2F65">
        <w:rPr>
          <w:rFonts w:ascii="Verdana" w:hAnsi="Verdana" w:cs="Tahoma"/>
          <w:sz w:val="20"/>
          <w:szCs w:val="20"/>
        </w:rPr>
        <w:t xml:space="preserv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02C0DFA9" w:rsidR="00EB5CDB" w:rsidRDefault="008E55E6">
      <w:pPr>
        <w:numPr>
          <w:ilvl w:val="2"/>
          <w:numId w:val="4"/>
        </w:numPr>
        <w:spacing w:before="120" w:after="120" w:line="280" w:lineRule="exact"/>
        <w:jc w:val="both"/>
        <w:rPr>
          <w:rFonts w:ascii="Verdana" w:hAnsi="Verdana" w:cs="Tahoma"/>
          <w:sz w:val="20"/>
          <w:szCs w:val="20"/>
        </w:rPr>
      </w:pPr>
      <w:bookmarkStart w:id="41" w:name="_Ref465344335"/>
      <w:bookmarkStart w:id="42"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41"/>
      <w:r>
        <w:rPr>
          <w:rFonts w:ascii="Verdana" w:hAnsi="Verdana" w:cs="Tahoma"/>
          <w:sz w:val="20"/>
          <w:szCs w:val="20"/>
        </w:rPr>
        <w:t>.</w:t>
      </w:r>
      <w:bookmarkEnd w:id="42"/>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7FEAA5D5"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3" w:name="_Ref517621787"/>
      <w:r>
        <w:rPr>
          <w:rFonts w:ascii="Verdana" w:eastAsia="MS Mincho" w:hAnsi="Verdana" w:cs="Tahoma"/>
          <w:b/>
          <w:sz w:val="20"/>
          <w:szCs w:val="20"/>
        </w:rPr>
        <w:t>Investimentos Permitidos</w:t>
      </w:r>
      <w:bookmarkEnd w:id="43"/>
    </w:p>
    <w:p w14:paraId="2FDA3D76" w14:textId="6A1E409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4"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sidR="001A49B1">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45" w:name="_Ref449679308"/>
      <w:r>
        <w:rPr>
          <w:rFonts w:ascii="Verdana" w:hAnsi="Verdana"/>
          <w:sz w:val="20"/>
          <w:szCs w:val="20"/>
        </w:rPr>
        <w:t>letras financeiras do Tesouro Nacional (LFT);</w:t>
      </w:r>
      <w:bookmarkEnd w:id="45"/>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46" w:name="_Ref449908823"/>
      <w:r>
        <w:rPr>
          <w:rFonts w:ascii="Verdana" w:hAnsi="Verdana"/>
          <w:sz w:val="20"/>
          <w:szCs w:val="20"/>
        </w:rPr>
        <w:t>demais títulos de emissão do Tesouro Nacional, com prazo de vencimento máximo de 1 (um) ano;</w:t>
      </w:r>
      <w:bookmarkEnd w:id="46"/>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47" w:name="_Ref449679311"/>
      <w:r>
        <w:rPr>
          <w:rFonts w:ascii="Verdana" w:hAnsi="Verdana"/>
          <w:sz w:val="20"/>
          <w:szCs w:val="20"/>
        </w:rPr>
        <w:t>certificados de depósito financeiro, com liquidez diária cujas rentabilidades sejam vinculadas às Taxa DI, emitidos por qualquer das Instituições Autorizadas; e</w:t>
      </w:r>
      <w:bookmarkEnd w:id="47"/>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8" w:name="_Ref450676472"/>
      <w:bookmarkEnd w:id="44"/>
      <w:r>
        <w:rPr>
          <w:rFonts w:ascii="Verdana" w:eastAsia="MS Mincho" w:hAnsi="Verdana" w:cs="Tahoma"/>
          <w:b/>
          <w:sz w:val="20"/>
          <w:szCs w:val="20"/>
        </w:rPr>
        <w:t>Direitos Creditórios Vinculados às Debêntures</w:t>
      </w:r>
      <w:bookmarkEnd w:id="48"/>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9"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49"/>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7CBA5F6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 w:name="_DV_M49"/>
      <w:bookmarkStart w:id="51" w:name="_DV_M50"/>
      <w:bookmarkStart w:id="52" w:name="_DV_M57"/>
      <w:bookmarkStart w:id="53" w:name="_DV_M60"/>
      <w:bookmarkStart w:id="54" w:name="_Ref465195304"/>
      <w:bookmarkEnd w:id="50"/>
      <w:bookmarkEnd w:id="51"/>
      <w:bookmarkEnd w:id="52"/>
      <w:bookmarkEnd w:id="53"/>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4"/>
    </w:p>
    <w:p w14:paraId="087BC245" w14:textId="6C51BD4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sidR="001A49B1">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55"/>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rFonts w:ascii="Verdana" w:hAnsi="Verdana" w:cs="Tahoma"/>
          <w:sz w:val="20"/>
          <w:szCs w:val="20"/>
        </w:rPr>
      </w:pPr>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p>
    <w:p w14:paraId="70E71405" w14:textId="77777777" w:rsidR="001F5F8A" w:rsidRDefault="001F5F8A" w:rsidP="001F5F8A">
      <w:pPr>
        <w:pStyle w:val="PargrafodaLista"/>
        <w:spacing w:line="280" w:lineRule="exact"/>
        <w:ind w:left="0"/>
        <w:jc w:val="both"/>
        <w:rPr>
          <w:rFonts w:ascii="Verdana" w:hAnsi="Verdana" w:cs="Tahoma"/>
          <w:sz w:val="20"/>
          <w:szCs w:val="20"/>
        </w:rPr>
      </w:pPr>
    </w:p>
    <w:p w14:paraId="6BF808D0" w14:textId="77777777" w:rsidR="001F5F8A" w:rsidRPr="00280BC1" w:rsidRDefault="001F5F8A" w:rsidP="001F5F8A">
      <w:pPr>
        <w:spacing w:line="280" w:lineRule="exact"/>
        <w:ind w:left="567"/>
        <w:jc w:val="both"/>
        <w:rPr>
          <w:rFonts w:ascii="Verdana" w:hAnsi="Verdana" w:cs="Tahoma"/>
          <w:sz w:val="20"/>
          <w:szCs w:val="20"/>
        </w:rPr>
      </w:pPr>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p>
    <w:p w14:paraId="2576FD4A" w14:textId="77777777" w:rsidR="001F5F8A" w:rsidRDefault="001F5F8A" w:rsidP="001F5F8A">
      <w:pPr>
        <w:ind w:left="567"/>
      </w:pPr>
    </w:p>
    <w:p w14:paraId="60DFBEBF"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p>
    <w:p w14:paraId="02A58E71"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r>
        <w:rPr>
          <w:rFonts w:ascii="Verdana" w:hAnsi="Verdana"/>
          <w:b/>
          <w:sz w:val="20"/>
        </w:rPr>
        <w:t>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w:t>
      </w:r>
      <w:proofErr w:type="spellStart"/>
      <w:r w:rsidRPr="00044CC7">
        <w:rPr>
          <w:rFonts w:ascii="Verdana" w:hAnsi="Verdana" w:cs="Tahoma"/>
          <w:sz w:val="20"/>
          <w:szCs w:val="20"/>
        </w:rPr>
        <w:t>não</w:t>
      </w:r>
      <w:proofErr w:type="spellEnd"/>
      <w:r w:rsidRPr="00044CC7">
        <w:rPr>
          <w:rFonts w:ascii="Verdana" w:hAnsi="Verdana" w:cs="Tahoma"/>
          <w:sz w:val="20"/>
          <w:szCs w:val="20"/>
        </w:rPr>
        <w:t xml:space="preserve"> </w:t>
      </w:r>
      <w:proofErr w:type="spellStart"/>
      <w:r w:rsidRPr="00044CC7">
        <w:rPr>
          <w:rFonts w:ascii="Verdana" w:hAnsi="Verdana" w:cs="Tahoma"/>
          <w:sz w:val="20"/>
          <w:szCs w:val="20"/>
        </w:rPr>
        <w:t>podera</w:t>
      </w:r>
      <w:proofErr w:type="spellEnd"/>
      <w:r w:rsidRPr="00044CC7">
        <w:rPr>
          <w:rFonts w:ascii="Verdana" w:hAnsi="Verdana" w:cs="Tahoma"/>
          <w:sz w:val="20"/>
          <w:szCs w:val="20"/>
        </w:rPr>
        <w:t xml:space="preserve">́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w:t>
      </w:r>
      <w:proofErr w:type="spellStart"/>
      <w:r w:rsidRPr="00044CC7">
        <w:rPr>
          <w:rFonts w:ascii="Verdana" w:hAnsi="Verdana" w:cs="Tahoma"/>
          <w:sz w:val="20"/>
          <w:szCs w:val="20"/>
        </w:rPr>
        <w:t>Emissão</w:t>
      </w:r>
      <w:proofErr w:type="spellEnd"/>
      <w:r w:rsidRPr="00044CC7">
        <w:rPr>
          <w:rFonts w:ascii="Verdana" w:hAnsi="Verdana" w:cs="Tahoma"/>
          <w:sz w:val="20"/>
          <w:szCs w:val="20"/>
        </w:rPr>
        <w:t xml:space="preserve">; </w:t>
      </w:r>
    </w:p>
    <w:p w14:paraId="18CF3B39" w14:textId="77777777" w:rsidR="001F5F8A" w:rsidRPr="0088178E" w:rsidRDefault="001F5F8A" w:rsidP="001F5F8A">
      <w:pPr>
        <w:spacing w:line="280" w:lineRule="exact"/>
        <w:jc w:val="both"/>
        <w:rPr>
          <w:rFonts w:ascii="Verdana" w:hAnsi="Verdana" w:cs="Tahoma"/>
          <w:sz w:val="20"/>
          <w:szCs w:val="20"/>
        </w:rPr>
      </w:pPr>
    </w:p>
    <w:p w14:paraId="611FB7E5"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w:t>
      </w:r>
      <w:r>
        <w:rPr>
          <w:rFonts w:ascii="Verdana" w:hAnsi="Verdana"/>
          <w:b/>
          <w:sz w:val="20"/>
        </w:rPr>
        <w:t>v</w:t>
      </w:r>
      <w:proofErr w:type="spellEnd"/>
      <w:r w:rsidRPr="00817FB4">
        <w:rPr>
          <w:rFonts w:ascii="Verdana" w:hAnsi="Verdana"/>
          <w:b/>
          <w:sz w:val="20"/>
        </w:rPr>
        <w:t>)</w:t>
      </w:r>
      <w:r w:rsidRPr="00817FB4">
        <w:rPr>
          <w:rFonts w:ascii="Verdana" w:hAnsi="Verdana" w:cs="Tahoma"/>
          <w:sz w:val="20"/>
          <w:szCs w:val="20"/>
        </w:rPr>
        <w:t xml:space="preserve"> que as CCB não estejam vencidas em sua data de aquisição; </w:t>
      </w:r>
    </w:p>
    <w:p w14:paraId="18DEC341" w14:textId="77777777" w:rsidR="001F5F8A" w:rsidRPr="00280BC1" w:rsidRDefault="001F5F8A" w:rsidP="001F5F8A">
      <w:pPr>
        <w:spacing w:line="280" w:lineRule="exact"/>
        <w:jc w:val="both"/>
        <w:rPr>
          <w:rFonts w:ascii="Verdana" w:hAnsi="Verdana" w:cs="Tahoma"/>
          <w:sz w:val="20"/>
          <w:szCs w:val="20"/>
        </w:rPr>
      </w:pPr>
    </w:p>
    <w:p w14:paraId="34F56024"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p>
    <w:p w14:paraId="44762284" w14:textId="77777777" w:rsidR="001F5F8A" w:rsidRDefault="001F5F8A" w:rsidP="001F5F8A">
      <w:pPr>
        <w:pStyle w:val="PargrafodaLista"/>
        <w:spacing w:line="280" w:lineRule="exact"/>
        <w:ind w:left="567"/>
        <w:jc w:val="both"/>
        <w:rPr>
          <w:rFonts w:ascii="Verdana" w:hAnsi="Verdana" w:cs="Tahoma"/>
          <w:sz w:val="20"/>
          <w:szCs w:val="20"/>
        </w:rPr>
      </w:pPr>
    </w:p>
    <w:p w14:paraId="0316E8D7"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p>
    <w:p w14:paraId="20EF2D24" w14:textId="77777777" w:rsidR="001F5F8A" w:rsidRDefault="001F5F8A" w:rsidP="001F5F8A">
      <w:pPr>
        <w:pStyle w:val="PargrafodaLista"/>
        <w:spacing w:line="280" w:lineRule="exact"/>
        <w:ind w:left="567"/>
        <w:jc w:val="both"/>
        <w:rPr>
          <w:rFonts w:ascii="Verdana" w:hAnsi="Verdana" w:cs="Tahoma"/>
          <w:sz w:val="20"/>
          <w:szCs w:val="20"/>
        </w:rPr>
      </w:pPr>
    </w:p>
    <w:p w14:paraId="12A377EE"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cs="Tahoma"/>
          <w:b/>
          <w:sz w:val="20"/>
          <w:szCs w:val="20"/>
        </w:rPr>
        <w:t>(</w:t>
      </w:r>
      <w:proofErr w:type="spellStart"/>
      <w:r w:rsidRPr="00817FB4">
        <w:rPr>
          <w:rFonts w:ascii="Verdana" w:hAnsi="Verdana" w:cs="Tahoma"/>
          <w:b/>
          <w:sz w:val="20"/>
          <w:szCs w:val="20"/>
        </w:rPr>
        <w:t>vi</w:t>
      </w:r>
      <w:r>
        <w:rPr>
          <w:rFonts w:ascii="Verdana" w:hAnsi="Verdana" w:cs="Tahoma"/>
          <w:b/>
          <w:sz w:val="20"/>
          <w:szCs w:val="20"/>
        </w:rPr>
        <w:t>i</w:t>
      </w:r>
      <w:proofErr w:type="spellEnd"/>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p>
    <w:p w14:paraId="243C9245" w14:textId="77777777" w:rsidR="001F5F8A" w:rsidRDefault="001F5F8A" w:rsidP="001F5F8A">
      <w:pPr>
        <w:pStyle w:val="PargrafodaLista"/>
        <w:spacing w:line="280" w:lineRule="exact"/>
        <w:ind w:left="567"/>
        <w:jc w:val="both"/>
        <w:rPr>
          <w:rFonts w:ascii="Verdana" w:hAnsi="Verdana" w:cs="Tahoma"/>
          <w:sz w:val="20"/>
          <w:szCs w:val="20"/>
        </w:rPr>
      </w:pPr>
    </w:p>
    <w:p w14:paraId="42C42C5F" w14:textId="77777777" w:rsidR="001F5F8A" w:rsidRDefault="001F5F8A" w:rsidP="001F5F8A">
      <w:pPr>
        <w:pStyle w:val="PargrafodaLista"/>
        <w:spacing w:line="280" w:lineRule="exact"/>
        <w:ind w:left="567"/>
        <w:jc w:val="both"/>
        <w:rPr>
          <w:rFonts w:ascii="Verdana" w:hAnsi="Verdana" w:cs="Tahoma"/>
          <w:color w:val="FF0000"/>
          <w:sz w:val="20"/>
          <w:szCs w:val="20"/>
        </w:rPr>
      </w:pPr>
      <w:r w:rsidRPr="009C31FD">
        <w:rPr>
          <w:rFonts w:ascii="Verdana" w:hAnsi="Verdana" w:cs="Tahoma"/>
          <w:b/>
          <w:sz w:val="20"/>
          <w:szCs w:val="20"/>
        </w:rPr>
        <w:t>(</w:t>
      </w:r>
      <w:proofErr w:type="spellStart"/>
      <w:r w:rsidRPr="009C31FD">
        <w:rPr>
          <w:rFonts w:ascii="Verdana" w:hAnsi="Verdana" w:cs="Tahoma"/>
          <w:b/>
          <w:sz w:val="20"/>
          <w:szCs w:val="20"/>
        </w:rPr>
        <w:t>v</w:t>
      </w:r>
      <w:r>
        <w:rPr>
          <w:rFonts w:ascii="Verdana" w:hAnsi="Verdana" w:cs="Tahoma"/>
          <w:b/>
          <w:sz w:val="20"/>
          <w:szCs w:val="20"/>
        </w:rPr>
        <w:t>iii</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deverá observar </w:t>
      </w:r>
      <w:proofErr w:type="gramStart"/>
      <w:r w:rsidRPr="00FA4680">
        <w:rPr>
          <w:rFonts w:ascii="Verdana" w:hAnsi="Verdana" w:cs="Tahoma"/>
          <w:sz w:val="20"/>
          <w:szCs w:val="20"/>
        </w:rPr>
        <w:t xml:space="preserve">os seguintes </w:t>
      </w:r>
      <w:r>
        <w:rPr>
          <w:rFonts w:ascii="Verdana" w:hAnsi="Verdana" w:cs="Tahoma"/>
          <w:sz w:val="20"/>
          <w:szCs w:val="20"/>
        </w:rPr>
        <w:t>variações mínimas</w:t>
      </w:r>
      <w:proofErr w:type="gramEnd"/>
      <w:r w:rsidRPr="00FA4680">
        <w:rPr>
          <w:rFonts w:ascii="Verdana" w:hAnsi="Verdana" w:cs="Tahoma"/>
          <w:sz w:val="20"/>
          <w:szCs w:val="20"/>
        </w:rPr>
        <w:t xml:space="preserve"> por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xml:space="preserve">: </w:t>
      </w:r>
    </w:p>
    <w:p w14:paraId="7AE7010A" w14:textId="77777777" w:rsidR="001F5F8A" w:rsidRDefault="001F5F8A" w:rsidP="001F5F8A">
      <w:pPr>
        <w:pStyle w:val="PargrafodaLista"/>
        <w:spacing w:line="280" w:lineRule="exact"/>
        <w:ind w:left="567"/>
        <w:jc w:val="both"/>
        <w:rPr>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c>
          <w:tcPr>
            <w:tcW w:w="3974" w:type="dxa"/>
          </w:tcPr>
          <w:p w14:paraId="5F6ADAD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sidRPr="00817FB4">
              <w:rPr>
                <w:rFonts w:ascii="Verdana" w:hAnsi="Verdana" w:cs="Tahoma"/>
                <w:b/>
                <w:bCs/>
                <w:sz w:val="20"/>
                <w:szCs w:val="20"/>
              </w:rPr>
              <w:t>Rating A</w:t>
            </w:r>
          </w:p>
        </w:tc>
        <w:tc>
          <w:tcPr>
            <w:tcW w:w="3953" w:type="dxa"/>
          </w:tcPr>
          <w:p w14:paraId="215B6864" w14:textId="3B8E1B81" w:rsidR="001F5F8A" w:rsidRPr="00280BC1"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 xml:space="preserve">Entre </w:t>
            </w:r>
            <w:r w:rsidR="003740F1">
              <w:rPr>
                <w:rFonts w:ascii="Verdana" w:hAnsi="Verdana"/>
                <w:sz w:val="20"/>
              </w:rPr>
              <w:t>1,99</w:t>
            </w:r>
            <w:r>
              <w:rPr>
                <w:rFonts w:ascii="Verdana" w:hAnsi="Verdana"/>
                <w:sz w:val="20"/>
              </w:rPr>
              <w:t xml:space="preserve">% </w:t>
            </w:r>
            <w:proofErr w:type="spellStart"/>
            <w:r>
              <w:rPr>
                <w:rFonts w:ascii="Verdana" w:hAnsi="Verdana"/>
                <w:sz w:val="20"/>
              </w:rPr>
              <w:t>a.m</w:t>
            </w:r>
            <w:proofErr w:type="spellEnd"/>
            <w:r>
              <w:rPr>
                <w:rFonts w:ascii="Verdana" w:hAnsi="Verdana"/>
                <w:sz w:val="20"/>
              </w:rPr>
              <w:t xml:space="preserve"> a 3,99 % </w:t>
            </w:r>
            <w:proofErr w:type="spellStart"/>
            <w:r>
              <w:rPr>
                <w:rFonts w:ascii="Verdana" w:hAnsi="Verdana"/>
                <w:sz w:val="20"/>
              </w:rPr>
              <w:t>a.m</w:t>
            </w:r>
            <w:proofErr w:type="spellEnd"/>
          </w:p>
        </w:tc>
      </w:tr>
      <w:tr w:rsidR="001F5F8A" w14:paraId="61CFAE75" w14:textId="77777777" w:rsidTr="009E7B17">
        <w:tc>
          <w:tcPr>
            <w:tcW w:w="3974" w:type="dxa"/>
          </w:tcPr>
          <w:p w14:paraId="58F3FB24"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B</w:t>
            </w:r>
          </w:p>
        </w:tc>
        <w:tc>
          <w:tcPr>
            <w:tcW w:w="3953" w:type="dxa"/>
          </w:tcPr>
          <w:p w14:paraId="22F666BA"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2,99%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4,49% </w:t>
            </w:r>
            <w:proofErr w:type="spellStart"/>
            <w:r>
              <w:rPr>
                <w:rFonts w:ascii="Verdana" w:hAnsi="Verdana"/>
                <w:sz w:val="20"/>
              </w:rPr>
              <w:t>a.m</w:t>
            </w:r>
            <w:proofErr w:type="spellEnd"/>
          </w:p>
        </w:tc>
      </w:tr>
      <w:tr w:rsidR="001F5F8A" w14:paraId="104CD522" w14:textId="77777777" w:rsidTr="009E7B17">
        <w:tc>
          <w:tcPr>
            <w:tcW w:w="3974" w:type="dxa"/>
          </w:tcPr>
          <w:p w14:paraId="7764A3E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C</w:t>
            </w:r>
          </w:p>
        </w:tc>
        <w:tc>
          <w:tcPr>
            <w:tcW w:w="3953" w:type="dxa"/>
          </w:tcPr>
          <w:p w14:paraId="6AEFE5B9"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3,49%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4,99% </w:t>
            </w:r>
            <w:proofErr w:type="spellStart"/>
            <w:r>
              <w:rPr>
                <w:rFonts w:ascii="Verdana" w:hAnsi="Verdana"/>
                <w:sz w:val="20"/>
              </w:rPr>
              <w:t>a.m</w:t>
            </w:r>
            <w:proofErr w:type="spellEnd"/>
          </w:p>
        </w:tc>
      </w:tr>
      <w:tr w:rsidR="001F5F8A" w14:paraId="24F8481C" w14:textId="77777777" w:rsidTr="009E7B17">
        <w:tc>
          <w:tcPr>
            <w:tcW w:w="3974" w:type="dxa"/>
          </w:tcPr>
          <w:p w14:paraId="6E99349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D</w:t>
            </w:r>
          </w:p>
        </w:tc>
        <w:tc>
          <w:tcPr>
            <w:tcW w:w="3953" w:type="dxa"/>
          </w:tcPr>
          <w:p w14:paraId="0684853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4,99%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5,49% </w:t>
            </w:r>
            <w:proofErr w:type="spellStart"/>
            <w:r>
              <w:rPr>
                <w:rFonts w:ascii="Verdana" w:hAnsi="Verdana"/>
                <w:sz w:val="20"/>
              </w:rPr>
              <w:t>a.m</w:t>
            </w:r>
            <w:proofErr w:type="spellEnd"/>
          </w:p>
        </w:tc>
      </w:tr>
      <w:tr w:rsidR="001F5F8A" w14:paraId="7A51F3F1" w14:textId="77777777" w:rsidTr="009E7B17">
        <w:tc>
          <w:tcPr>
            <w:tcW w:w="3974" w:type="dxa"/>
          </w:tcPr>
          <w:p w14:paraId="63F3109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E</w:t>
            </w:r>
          </w:p>
        </w:tc>
        <w:tc>
          <w:tcPr>
            <w:tcW w:w="3953" w:type="dxa"/>
          </w:tcPr>
          <w:p w14:paraId="7ECF85E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5,49%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7,49% </w:t>
            </w:r>
            <w:proofErr w:type="spellStart"/>
            <w:r>
              <w:rPr>
                <w:rFonts w:ascii="Verdana" w:hAnsi="Verdana"/>
                <w:sz w:val="20"/>
              </w:rPr>
              <w:t>a.m</w:t>
            </w:r>
            <w:proofErr w:type="spellEnd"/>
          </w:p>
        </w:tc>
      </w:tr>
    </w:tbl>
    <w:p w14:paraId="350867C0" w14:textId="77777777" w:rsidR="001F5F8A" w:rsidRDefault="001F5F8A" w:rsidP="001F5F8A">
      <w:pPr>
        <w:pStyle w:val="PargrafodaLista"/>
        <w:spacing w:before="120" w:after="120" w:line="280" w:lineRule="exact"/>
        <w:ind w:left="567"/>
        <w:jc w:val="both"/>
        <w:rPr>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rFonts w:ascii="Verdana" w:hAnsi="Verdana" w:cs="Tahoma"/>
          <w:sz w:val="20"/>
          <w:szCs w:val="20"/>
        </w:rPr>
      </w:pPr>
      <w:r w:rsidRPr="009C31FD">
        <w:rPr>
          <w:rFonts w:ascii="Verdana" w:hAnsi="Verdana" w:cs="Tahoma"/>
          <w:b/>
          <w:sz w:val="20"/>
          <w:szCs w:val="20"/>
        </w:rPr>
        <w:t>(</w:t>
      </w:r>
      <w:proofErr w:type="spellStart"/>
      <w:r>
        <w:rPr>
          <w:rFonts w:ascii="Verdana" w:hAnsi="Verdana" w:cs="Tahoma"/>
          <w:b/>
          <w:sz w:val="20"/>
          <w:szCs w:val="20"/>
        </w:rPr>
        <w:t>ix</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considerando </w:t>
      </w:r>
      <w:proofErr w:type="spellStart"/>
      <w:r w:rsidRPr="00FA4680">
        <w:rPr>
          <w:rFonts w:ascii="Verdana" w:hAnsi="Verdana" w:cs="Tahoma"/>
          <w:sz w:val="20"/>
          <w:szCs w:val="20"/>
        </w:rPr>
        <w:t>pro-forma</w:t>
      </w:r>
      <w:proofErr w:type="spellEnd"/>
      <w:r w:rsidRPr="00FA4680">
        <w:rPr>
          <w:rFonts w:ascii="Verdana" w:hAnsi="Verdana" w:cs="Tahoma"/>
          <w:sz w:val="20"/>
          <w:szCs w:val="20"/>
        </w:rPr>
        <w:t xml:space="preserve"> a aquisição de novas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p>
    <w:p w14:paraId="57D090E8" w14:textId="77777777" w:rsidR="001F5F8A" w:rsidRDefault="001F5F8A" w:rsidP="001F5F8A">
      <w:pPr>
        <w:pStyle w:val="PargrafodaLista"/>
        <w:spacing w:before="120" w:after="120" w:line="280" w:lineRule="exact"/>
        <w:ind w:left="567"/>
        <w:jc w:val="both"/>
        <w:rPr>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c>
          <w:tcPr>
            <w:tcW w:w="4004" w:type="dxa"/>
          </w:tcPr>
          <w:p w14:paraId="7753ED5E"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 xml:space="preserve">Rating </w:t>
            </w:r>
            <w:r>
              <w:rPr>
                <w:rFonts w:ascii="Verdana" w:hAnsi="Verdana" w:cs="Tahoma"/>
                <w:b/>
                <w:bCs/>
                <w:sz w:val="20"/>
                <w:szCs w:val="20"/>
              </w:rPr>
              <w:t xml:space="preserve">A </w:t>
            </w:r>
          </w:p>
        </w:tc>
        <w:tc>
          <w:tcPr>
            <w:tcW w:w="3923" w:type="dxa"/>
          </w:tcPr>
          <w:p w14:paraId="69C62E39" w14:textId="55C1F89B"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4</w:t>
            </w:r>
            <w:r w:rsidR="001F5F8A">
              <w:rPr>
                <w:rFonts w:ascii="Verdana" w:hAnsi="Verdana"/>
                <w:sz w:val="20"/>
              </w:rPr>
              <w:t>0% (</w:t>
            </w:r>
            <w:r w:rsidR="00CE5BCE">
              <w:rPr>
                <w:rFonts w:ascii="Verdana" w:hAnsi="Verdana"/>
                <w:sz w:val="20"/>
              </w:rPr>
              <w:t>quarenta por cento)</w:t>
            </w:r>
          </w:p>
        </w:tc>
      </w:tr>
      <w:tr w:rsidR="001F5F8A" w14:paraId="5D074E61" w14:textId="77777777" w:rsidTr="009E7B17">
        <w:tc>
          <w:tcPr>
            <w:tcW w:w="4004" w:type="dxa"/>
          </w:tcPr>
          <w:p w14:paraId="536AF82D"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 xml:space="preserve">Rating </w:t>
            </w:r>
            <w:r>
              <w:rPr>
                <w:rFonts w:ascii="Verdana" w:hAnsi="Verdana" w:cs="Tahoma"/>
                <w:b/>
                <w:bCs/>
                <w:sz w:val="20"/>
                <w:szCs w:val="20"/>
              </w:rPr>
              <w:t xml:space="preserve">B </w:t>
            </w:r>
          </w:p>
        </w:tc>
        <w:tc>
          <w:tcPr>
            <w:tcW w:w="3923" w:type="dxa"/>
          </w:tcPr>
          <w:p w14:paraId="49BFC57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50% (cinquenta por cento)</w:t>
            </w:r>
          </w:p>
        </w:tc>
      </w:tr>
      <w:tr w:rsidR="001F5F8A" w14:paraId="6E2562AD" w14:textId="77777777" w:rsidTr="009E7B17">
        <w:tc>
          <w:tcPr>
            <w:tcW w:w="4004" w:type="dxa"/>
          </w:tcPr>
          <w:p w14:paraId="7C56CB82"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Rating C</w:t>
            </w:r>
          </w:p>
        </w:tc>
        <w:tc>
          <w:tcPr>
            <w:tcW w:w="3923" w:type="dxa"/>
          </w:tcPr>
          <w:p w14:paraId="28CA2620" w14:textId="0D6B3CDC"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4</w:t>
            </w:r>
            <w:r w:rsidR="001F5F8A">
              <w:rPr>
                <w:rFonts w:ascii="Verdana" w:hAnsi="Verdana"/>
                <w:sz w:val="20"/>
              </w:rPr>
              <w:t>0% (</w:t>
            </w:r>
            <w:r w:rsidR="00CE5BCE">
              <w:rPr>
                <w:rFonts w:ascii="Verdana" w:hAnsi="Verdana"/>
                <w:sz w:val="20"/>
              </w:rPr>
              <w:t xml:space="preserve">quarenta </w:t>
            </w:r>
            <w:r w:rsidR="001F5F8A">
              <w:rPr>
                <w:rFonts w:ascii="Verdana" w:hAnsi="Verdana"/>
                <w:sz w:val="20"/>
              </w:rPr>
              <w:t>por cento)</w:t>
            </w:r>
          </w:p>
        </w:tc>
      </w:tr>
      <w:tr w:rsidR="001F5F8A" w14:paraId="1B720740" w14:textId="77777777" w:rsidTr="009E7B17">
        <w:tc>
          <w:tcPr>
            <w:tcW w:w="4004" w:type="dxa"/>
          </w:tcPr>
          <w:p w14:paraId="2B478ADF"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D</w:t>
            </w:r>
          </w:p>
        </w:tc>
        <w:tc>
          <w:tcPr>
            <w:tcW w:w="3923" w:type="dxa"/>
          </w:tcPr>
          <w:p w14:paraId="72A768F2" w14:textId="660A82A3"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20</w:t>
            </w:r>
            <w:r w:rsidR="001F5F8A">
              <w:rPr>
                <w:rFonts w:ascii="Verdana" w:hAnsi="Verdana"/>
                <w:sz w:val="20"/>
              </w:rPr>
              <w:t xml:space="preserve">% </w:t>
            </w:r>
            <w:r w:rsidR="00CE5BCE">
              <w:rPr>
                <w:rFonts w:ascii="Verdana" w:hAnsi="Verdana"/>
                <w:sz w:val="20"/>
              </w:rPr>
              <w:t>(vinte</w:t>
            </w:r>
            <w:r w:rsidR="001F5F8A">
              <w:rPr>
                <w:rFonts w:ascii="Verdana" w:hAnsi="Verdana"/>
                <w:sz w:val="20"/>
              </w:rPr>
              <w:t xml:space="preserve"> por cento)</w:t>
            </w:r>
          </w:p>
        </w:tc>
      </w:tr>
      <w:tr w:rsidR="001F5F8A" w14:paraId="63C55EC9" w14:textId="77777777" w:rsidTr="009E7B17">
        <w:tc>
          <w:tcPr>
            <w:tcW w:w="4004" w:type="dxa"/>
          </w:tcPr>
          <w:p w14:paraId="008CD521"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E</w:t>
            </w:r>
          </w:p>
        </w:tc>
        <w:tc>
          <w:tcPr>
            <w:tcW w:w="3923" w:type="dxa"/>
          </w:tcPr>
          <w:p w14:paraId="35D91347" w14:textId="3C428254"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10</w:t>
            </w:r>
            <w:r w:rsidR="001F5F8A">
              <w:rPr>
                <w:rFonts w:ascii="Verdana" w:hAnsi="Verdana"/>
                <w:sz w:val="20"/>
              </w:rPr>
              <w:t>% (</w:t>
            </w:r>
            <w:r w:rsidR="00CE5BCE">
              <w:rPr>
                <w:rFonts w:ascii="Verdana" w:hAnsi="Verdana"/>
                <w:sz w:val="20"/>
              </w:rPr>
              <w:t>dez</w:t>
            </w:r>
            <w:r w:rsidR="001F5F8A">
              <w:rPr>
                <w:rFonts w:ascii="Verdana" w:hAnsi="Verdana"/>
                <w:sz w:val="20"/>
              </w:rPr>
              <w:t xml:space="preserve"> por cento)</w:t>
            </w:r>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r w:rsidRPr="002C0D20">
        <w:rPr>
          <w:rFonts w:ascii="Verdana" w:hAnsi="Verdana" w:cs="Tahoma"/>
          <w:sz w:val="20"/>
          <w:szCs w:val="20"/>
        </w:rPr>
        <w:t xml:space="preserve">Para fins da verificação dos critérios indicados nos subitens </w:t>
      </w:r>
      <w:r>
        <w:rPr>
          <w:rFonts w:ascii="Verdana" w:hAnsi="Verdana" w:cs="Tahoma"/>
          <w:sz w:val="20"/>
          <w:szCs w:val="20"/>
        </w:rPr>
        <w:t>(i), (</w:t>
      </w:r>
      <w:proofErr w:type="spellStart"/>
      <w:r>
        <w:rPr>
          <w:rFonts w:ascii="Verdana" w:hAnsi="Verdana" w:cs="Tahoma"/>
          <w:sz w:val="20"/>
          <w:szCs w:val="20"/>
        </w:rPr>
        <w:t>viii</w:t>
      </w:r>
      <w:proofErr w:type="spellEnd"/>
      <w:r>
        <w:rPr>
          <w:rFonts w:ascii="Verdana" w:hAnsi="Verdana" w:cs="Tahoma"/>
          <w:sz w:val="20"/>
          <w:szCs w:val="20"/>
        </w:rPr>
        <w:t>) e (</w:t>
      </w:r>
      <w:proofErr w:type="spellStart"/>
      <w:r>
        <w:rPr>
          <w:rFonts w:ascii="Verdana" w:hAnsi="Verdana" w:cs="Tahoma"/>
          <w:sz w:val="20"/>
          <w:szCs w:val="20"/>
        </w:rPr>
        <w:t>ix</w:t>
      </w:r>
      <w:proofErr w:type="spellEnd"/>
      <w:r>
        <w:rPr>
          <w:rFonts w:ascii="Verdana" w:hAnsi="Verdana" w:cs="Tahoma"/>
          <w:sz w:val="20"/>
          <w:szCs w:val="20"/>
        </w:rPr>
        <w:t>)</w:t>
      </w:r>
      <w:r w:rsidRPr="002C0D20">
        <w:rPr>
          <w:rFonts w:ascii="Verdana" w:hAnsi="Verdana" w:cs="Tahoma"/>
          <w:sz w:val="20"/>
          <w:szCs w:val="20"/>
        </w:rPr>
        <w:t xml:space="preserve"> acima, a </w:t>
      </w:r>
      <w:proofErr w:type="spellStart"/>
      <w:r>
        <w:rPr>
          <w:rFonts w:ascii="Verdana" w:hAnsi="Verdana" w:cs="Tahoma"/>
          <w:sz w:val="20"/>
          <w:szCs w:val="20"/>
        </w:rPr>
        <w:t>Gyra</w:t>
      </w:r>
      <w:proofErr w:type="spellEnd"/>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proofErr w:type="spellStart"/>
      <w:r>
        <w:rPr>
          <w:rFonts w:ascii="Verdana" w:hAnsi="Verdana" w:cs="Tahoma"/>
          <w:sz w:val="20"/>
          <w:szCs w:val="20"/>
        </w:rPr>
        <w:t>Gyra</w:t>
      </w:r>
      <w:proofErr w:type="spellEnd"/>
      <w:r>
        <w:rPr>
          <w:rFonts w:ascii="Verdana" w:hAnsi="Verdana" w:cs="Tahoma"/>
          <w:sz w:val="20"/>
          <w:szCs w:val="20"/>
        </w:rPr>
        <w:t xml:space="preserve">. </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56"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56"/>
    </w:p>
    <w:p w14:paraId="1F554888" w14:textId="37DA6CC7" w:rsidR="00EB5CDB" w:rsidRPr="006B26B3" w:rsidRDefault="008E55E6">
      <w:pPr>
        <w:numPr>
          <w:ilvl w:val="3"/>
          <w:numId w:val="4"/>
        </w:numPr>
        <w:spacing w:before="120" w:after="120" w:line="280" w:lineRule="exact"/>
        <w:jc w:val="both"/>
        <w:rPr>
          <w:rFonts w:ascii="Verdana" w:hAnsi="Verdana" w:cs="Tahoma"/>
          <w:sz w:val="20"/>
          <w:szCs w:val="20"/>
        </w:rPr>
      </w:pPr>
      <w:bookmarkStart w:id="57"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t>10.000 (dez mil)</w:t>
      </w:r>
      <w:r>
        <w:rPr>
          <w:rFonts w:ascii="Verdana" w:eastAsia="MS Mincho" w:hAnsi="Verdana" w:cs="Tahoma"/>
          <w:sz w:val="20"/>
          <w:szCs w:val="20"/>
        </w:rPr>
        <w:t xml:space="preserve"> Debêntures, que correspondem, na Data da 1ª Integralização, ao montante de </w:t>
      </w:r>
      <w:r w:rsidRPr="006B26B3">
        <w:rPr>
          <w:rFonts w:ascii="Verdana" w:eastAsia="MS Mincho" w:hAnsi="Verdana" w:cs="Tahoma"/>
          <w:sz w:val="20"/>
          <w:szCs w:val="20"/>
        </w:rPr>
        <w:t xml:space="preserve">R$ </w:t>
      </w:r>
      <w:r w:rsidR="006E2FA9" w:rsidRPr="006B26B3">
        <w:rPr>
          <w:rFonts w:ascii="Verdana" w:hAnsi="Verdana" w:cs="Tahoma"/>
          <w:sz w:val="20"/>
          <w:szCs w:val="20"/>
        </w:rPr>
        <w:t>10.000.000,00 (dez milhões de reais)</w:t>
      </w:r>
      <w:r w:rsidRPr="006B26B3">
        <w:rPr>
          <w:rFonts w:ascii="Verdana" w:eastAsia="MS Mincho" w:hAnsi="Verdana" w:cs="Tahoma"/>
          <w:sz w:val="20"/>
          <w:szCs w:val="20"/>
        </w:rPr>
        <w:t>, observado</w:t>
      </w:r>
      <w:r w:rsidRPr="006B26B3">
        <w:rPr>
          <w:rFonts w:ascii="Verdana" w:hAnsi="Verdana" w:cs="Tahoma"/>
          <w:sz w:val="20"/>
          <w:szCs w:val="20"/>
        </w:rPr>
        <w:t xml:space="preserve"> o disp</w:t>
      </w:r>
      <w:r w:rsidRPr="00574DDE">
        <w:rPr>
          <w:rFonts w:ascii="Verdana" w:hAnsi="Verdana" w:cs="Tahoma"/>
          <w:sz w:val="20"/>
          <w:szCs w:val="20"/>
        </w:rPr>
        <w:t xml:space="preserve">osto no item </w:t>
      </w:r>
      <w:r w:rsidRPr="006B26B3">
        <w:rPr>
          <w:rFonts w:ascii="Verdana" w:hAnsi="Verdana" w:cs="Tahoma"/>
          <w:sz w:val="20"/>
          <w:szCs w:val="20"/>
        </w:rPr>
        <w:fldChar w:fldCharType="begin"/>
      </w:r>
      <w:r w:rsidRPr="00A104FE">
        <w:rPr>
          <w:rFonts w:ascii="Verdana" w:hAnsi="Verdana" w:cs="Tahoma"/>
          <w:sz w:val="20"/>
          <w:szCs w:val="20"/>
        </w:rPr>
        <w:instrText xml:space="preserve"> REF _Ref496534541 \r \h  \* MERGEFORMAT </w:instrText>
      </w:r>
      <w:r w:rsidRPr="006B26B3">
        <w:rPr>
          <w:rFonts w:ascii="Verdana" w:hAnsi="Verdana" w:cs="Tahoma"/>
          <w:sz w:val="20"/>
          <w:szCs w:val="20"/>
        </w:rPr>
      </w:r>
      <w:r w:rsidRPr="006B26B3">
        <w:rPr>
          <w:rFonts w:ascii="Verdana" w:hAnsi="Verdana" w:cs="Tahoma"/>
          <w:sz w:val="20"/>
          <w:szCs w:val="20"/>
        </w:rPr>
        <w:fldChar w:fldCharType="separate"/>
      </w:r>
      <w:r w:rsidR="001A49B1">
        <w:rPr>
          <w:rFonts w:ascii="Verdana" w:hAnsi="Verdana" w:cs="Tahoma"/>
          <w:sz w:val="20"/>
          <w:szCs w:val="20"/>
        </w:rPr>
        <w:t>3.9.1.2</w:t>
      </w:r>
      <w:r w:rsidRPr="006B26B3">
        <w:rPr>
          <w:rFonts w:ascii="Verdana" w:hAnsi="Verdana" w:cs="Tahoma"/>
          <w:sz w:val="20"/>
          <w:szCs w:val="20"/>
        </w:rPr>
        <w:fldChar w:fldCharType="end"/>
      </w:r>
      <w:r w:rsidRPr="006B26B3">
        <w:rPr>
          <w:rFonts w:ascii="Verdana" w:hAnsi="Verdana" w:cs="Tahoma"/>
          <w:sz w:val="20"/>
          <w:szCs w:val="20"/>
        </w:rPr>
        <w:t xml:space="preserve"> abaixo.</w:t>
      </w:r>
      <w:bookmarkEnd w:id="57"/>
    </w:p>
    <w:p w14:paraId="25CC5CF4" w14:textId="23BB2C14" w:rsidR="00EB5CDB" w:rsidRPr="00574DDE" w:rsidRDefault="008E55E6">
      <w:pPr>
        <w:numPr>
          <w:ilvl w:val="3"/>
          <w:numId w:val="4"/>
        </w:numPr>
        <w:spacing w:before="120" w:after="120" w:line="280" w:lineRule="exact"/>
        <w:jc w:val="both"/>
        <w:rPr>
          <w:rFonts w:ascii="Verdana" w:hAnsi="Verdana" w:cs="Tahoma"/>
          <w:sz w:val="20"/>
          <w:szCs w:val="20"/>
        </w:rPr>
      </w:pPr>
      <w:bookmarkStart w:id="58" w:name="_Ref496534541"/>
      <w:r w:rsidRPr="00574DDE">
        <w:rPr>
          <w:rFonts w:ascii="Verdana" w:hAnsi="Verdana" w:cs="Tahoma"/>
          <w:sz w:val="20"/>
          <w:szCs w:val="20"/>
        </w:rPr>
        <w:t>A manutenção da Oferta Restrita está condicionada à subscrição da quantidade mínima de</w:t>
      </w:r>
      <w:r w:rsidRPr="00A104FE">
        <w:rPr>
          <w:rFonts w:ascii="Verdana" w:hAnsi="Verdana" w:cs="Tahoma"/>
          <w:b/>
          <w:sz w:val="20"/>
          <w:szCs w:val="20"/>
        </w:rPr>
        <w:t xml:space="preserve"> (i) </w:t>
      </w:r>
      <w:r w:rsidR="00373A67">
        <w:rPr>
          <w:rFonts w:ascii="Verdana" w:hAnsi="Verdana" w:cs="Tahoma"/>
          <w:bCs/>
          <w:sz w:val="20"/>
          <w:szCs w:val="20"/>
        </w:rPr>
        <w:t>3.500</w:t>
      </w:r>
      <w:r w:rsidR="006E2FA9" w:rsidRPr="00A104FE">
        <w:rPr>
          <w:rFonts w:ascii="Verdana" w:hAnsi="Verdana" w:cs="Tahoma"/>
          <w:bCs/>
          <w:sz w:val="20"/>
          <w:szCs w:val="20"/>
        </w:rPr>
        <w:t xml:space="preserve"> (</w:t>
      </w:r>
      <w:r w:rsidR="00373A67">
        <w:rPr>
          <w:rFonts w:ascii="Verdana" w:hAnsi="Verdana" w:cs="Tahoma"/>
          <w:bCs/>
          <w:sz w:val="20"/>
          <w:szCs w:val="20"/>
        </w:rPr>
        <w:t>três mil e quinhentas</w:t>
      </w:r>
      <w:r w:rsidR="006E2FA9" w:rsidRPr="00A104FE">
        <w:rPr>
          <w:rFonts w:ascii="Verdana" w:hAnsi="Verdana" w:cs="Tahoma"/>
          <w:bCs/>
          <w:sz w:val="20"/>
          <w:szCs w:val="20"/>
        </w:rPr>
        <w:t>)</w:t>
      </w:r>
      <w:r w:rsidR="00A104FE">
        <w:rPr>
          <w:rFonts w:ascii="Verdana" w:hAnsi="Verdana" w:cs="Tahoma"/>
          <w:bCs/>
          <w:sz w:val="20"/>
          <w:szCs w:val="20"/>
        </w:rPr>
        <w:t xml:space="preserve"> </w:t>
      </w:r>
      <w:r w:rsidRPr="006B26B3">
        <w:rPr>
          <w:rFonts w:ascii="Verdana" w:hAnsi="Verdana" w:cs="Tahoma"/>
          <w:sz w:val="20"/>
          <w:szCs w:val="20"/>
        </w:rPr>
        <w:t xml:space="preserve">Debêntures da Primeira Série, que correspondem a R$ </w:t>
      </w:r>
      <w:r w:rsidR="00373A67">
        <w:rPr>
          <w:rFonts w:ascii="Verdana" w:hAnsi="Verdana" w:cs="Tahoma"/>
          <w:sz w:val="20"/>
          <w:szCs w:val="20"/>
        </w:rPr>
        <w:t>3</w:t>
      </w:r>
      <w:r w:rsidR="006E2FA9" w:rsidRPr="006B26B3">
        <w:rPr>
          <w:rFonts w:ascii="Verdana" w:hAnsi="Verdana" w:cs="Tahoma"/>
          <w:sz w:val="20"/>
          <w:szCs w:val="20"/>
        </w:rPr>
        <w:t>.</w:t>
      </w:r>
      <w:r w:rsidR="00373A67">
        <w:rPr>
          <w:rFonts w:ascii="Verdana" w:hAnsi="Verdana" w:cs="Tahoma"/>
          <w:sz w:val="20"/>
          <w:szCs w:val="20"/>
        </w:rPr>
        <w:t>5</w:t>
      </w:r>
      <w:r w:rsidR="006E2FA9" w:rsidRPr="006B26B3">
        <w:rPr>
          <w:rFonts w:ascii="Verdana" w:hAnsi="Verdana" w:cs="Tahoma"/>
          <w:sz w:val="20"/>
          <w:szCs w:val="20"/>
        </w:rPr>
        <w:t>00.000,00 (</w:t>
      </w:r>
      <w:r w:rsidR="00373A67">
        <w:rPr>
          <w:rFonts w:ascii="Verdana" w:hAnsi="Verdana" w:cs="Tahoma"/>
          <w:sz w:val="20"/>
          <w:szCs w:val="20"/>
        </w:rPr>
        <w:t>três milhões e quinhentos mil</w:t>
      </w:r>
      <w:r w:rsidR="006E2FA9" w:rsidRPr="006B26B3">
        <w:rPr>
          <w:rFonts w:ascii="Verdana" w:hAnsi="Verdana" w:cs="Tahoma"/>
          <w:sz w:val="20"/>
          <w:szCs w:val="20"/>
        </w:rPr>
        <w:t xml:space="preserve"> reais)</w:t>
      </w:r>
      <w:r w:rsidRPr="00574DDE">
        <w:rPr>
          <w:rFonts w:ascii="Verdana" w:hAnsi="Verdana" w:cs="Tahoma"/>
          <w:sz w:val="20"/>
          <w:szCs w:val="20"/>
        </w:rPr>
        <w:t xml:space="preserve"> na </w:t>
      </w:r>
      <w:r w:rsidRPr="00A104FE">
        <w:rPr>
          <w:rFonts w:ascii="Verdana" w:hAnsi="Verdana" w:cs="Tahoma"/>
          <w:sz w:val="20"/>
          <w:szCs w:val="20"/>
        </w:rPr>
        <w:t>Data da 1ª Integralização da Primeira Série (“</w:t>
      </w:r>
      <w:r w:rsidRPr="00A104FE">
        <w:rPr>
          <w:rFonts w:ascii="Verdana" w:hAnsi="Verdana" w:cs="Tahoma"/>
          <w:sz w:val="20"/>
          <w:szCs w:val="20"/>
          <w:u w:val="single"/>
        </w:rPr>
        <w:t>Volume Mínimo da Primeira Série</w:t>
      </w:r>
      <w:r w:rsidRPr="00A104FE">
        <w:rPr>
          <w:rFonts w:ascii="Verdana" w:hAnsi="Verdana" w:cs="Tahoma"/>
          <w:sz w:val="20"/>
          <w:szCs w:val="20"/>
        </w:rPr>
        <w:t>”)</w:t>
      </w:r>
      <w:r w:rsidR="00373A67">
        <w:rPr>
          <w:rFonts w:ascii="Verdana" w:hAnsi="Verdana" w:cs="Tahoma"/>
          <w:sz w:val="20"/>
          <w:szCs w:val="20"/>
        </w:rPr>
        <w:t>;</w:t>
      </w:r>
      <w:r w:rsidRPr="00A104FE">
        <w:rPr>
          <w:rFonts w:ascii="Verdana" w:hAnsi="Verdana" w:cs="Tahoma"/>
          <w:sz w:val="20"/>
          <w:szCs w:val="20"/>
        </w:rPr>
        <w:t xml:space="preserve">  </w:t>
      </w:r>
      <w:r w:rsidRPr="00A104FE">
        <w:rPr>
          <w:rFonts w:ascii="Verdana" w:hAnsi="Verdana" w:cs="Tahoma"/>
          <w:b/>
          <w:sz w:val="20"/>
          <w:szCs w:val="20"/>
        </w:rPr>
        <w:t>(</w:t>
      </w:r>
      <w:proofErr w:type="spellStart"/>
      <w:r w:rsidRPr="00A104FE">
        <w:rPr>
          <w:rFonts w:ascii="Verdana" w:hAnsi="Verdana" w:cs="Tahoma"/>
          <w:b/>
          <w:sz w:val="20"/>
          <w:szCs w:val="20"/>
        </w:rPr>
        <w:t>ii</w:t>
      </w:r>
      <w:proofErr w:type="spellEnd"/>
      <w:r w:rsidRPr="00A104FE">
        <w:rPr>
          <w:rFonts w:ascii="Verdana" w:hAnsi="Verdana" w:cs="Tahoma"/>
          <w:b/>
          <w:sz w:val="20"/>
          <w:szCs w:val="20"/>
        </w:rPr>
        <w:t>)</w:t>
      </w:r>
      <w:r w:rsidR="00A104FE" w:rsidRPr="00227DC5">
        <w:rPr>
          <w:rFonts w:ascii="Verdana" w:hAnsi="Verdana" w:cs="Tahoma"/>
          <w:b/>
          <w:sz w:val="20"/>
          <w:szCs w:val="20"/>
        </w:rPr>
        <w:t xml:space="preserve"> </w:t>
      </w:r>
      <w:r w:rsidR="00373A67">
        <w:rPr>
          <w:rFonts w:ascii="Verdana" w:hAnsi="Verdana" w:cs="Tahoma"/>
          <w:bCs/>
          <w:sz w:val="20"/>
          <w:szCs w:val="20"/>
        </w:rPr>
        <w:t>5</w:t>
      </w:r>
      <w:r w:rsidR="00A104FE" w:rsidRPr="00227DC5">
        <w:rPr>
          <w:rFonts w:ascii="Verdana" w:hAnsi="Verdana" w:cs="Tahoma"/>
          <w:bCs/>
          <w:sz w:val="20"/>
          <w:szCs w:val="20"/>
        </w:rPr>
        <w:t>.00</w:t>
      </w:r>
      <w:r w:rsidR="00373A67">
        <w:rPr>
          <w:rFonts w:ascii="Verdana" w:hAnsi="Verdana" w:cs="Tahoma"/>
          <w:bCs/>
          <w:sz w:val="20"/>
          <w:szCs w:val="20"/>
        </w:rPr>
        <w:t xml:space="preserve"> </w:t>
      </w:r>
      <w:r w:rsidR="00A104FE">
        <w:rPr>
          <w:rFonts w:ascii="Verdana" w:hAnsi="Verdana" w:cs="Tahoma"/>
          <w:sz w:val="20"/>
          <w:szCs w:val="20"/>
        </w:rPr>
        <w:t>(</w:t>
      </w:r>
      <w:r w:rsidR="00373A67">
        <w:rPr>
          <w:rFonts w:ascii="Verdana" w:hAnsi="Verdana" w:cs="Tahoma"/>
          <w:sz w:val="20"/>
          <w:szCs w:val="20"/>
        </w:rPr>
        <w:t>quinhentas</w:t>
      </w:r>
      <w:r w:rsidR="00A104FE">
        <w:rPr>
          <w:rFonts w:ascii="Verdana" w:hAnsi="Verdana" w:cs="Tahoma"/>
          <w:sz w:val="20"/>
          <w:szCs w:val="20"/>
        </w:rPr>
        <w:t>)</w:t>
      </w:r>
      <w:r w:rsidR="00A104FE" w:rsidRPr="00A104FE">
        <w:rPr>
          <w:rFonts w:ascii="Verdana" w:hAnsi="Verdana" w:cs="Tahoma"/>
          <w:sz w:val="20"/>
          <w:szCs w:val="20"/>
        </w:rPr>
        <w:t xml:space="preserve"> </w:t>
      </w:r>
      <w:r w:rsidR="00A104FE" w:rsidRPr="00B52D1E">
        <w:rPr>
          <w:rFonts w:ascii="Verdana" w:hAnsi="Verdana" w:cs="Tahoma"/>
          <w:sz w:val="20"/>
          <w:szCs w:val="20"/>
        </w:rPr>
        <w:t xml:space="preserve">Debêntures da </w:t>
      </w:r>
      <w:r w:rsidR="00A104FE">
        <w:rPr>
          <w:rFonts w:ascii="Verdana" w:hAnsi="Verdana" w:cs="Tahoma"/>
          <w:sz w:val="20"/>
          <w:szCs w:val="20"/>
        </w:rPr>
        <w:t>Segunda</w:t>
      </w:r>
      <w:r w:rsidR="00A104FE" w:rsidRPr="00B52D1E">
        <w:rPr>
          <w:rFonts w:ascii="Verdana" w:hAnsi="Verdana" w:cs="Tahoma"/>
          <w:sz w:val="20"/>
          <w:szCs w:val="20"/>
        </w:rPr>
        <w:t xml:space="preserve"> Série, que correspondem a R$ </w:t>
      </w:r>
      <w:r w:rsidR="00373A67">
        <w:rPr>
          <w:rFonts w:ascii="Verdana" w:hAnsi="Verdana" w:cs="Tahoma"/>
          <w:sz w:val="20"/>
          <w:szCs w:val="20"/>
        </w:rPr>
        <w:t>5</w:t>
      </w:r>
      <w:r w:rsidR="00A104FE" w:rsidRPr="00B52D1E">
        <w:rPr>
          <w:rFonts w:ascii="Verdana" w:hAnsi="Verdana" w:cs="Tahoma"/>
          <w:sz w:val="20"/>
          <w:szCs w:val="20"/>
        </w:rPr>
        <w:t>.000,00 (</w:t>
      </w:r>
      <w:r w:rsidR="00373A67">
        <w:rPr>
          <w:rFonts w:ascii="Verdana" w:hAnsi="Verdana" w:cs="Tahoma"/>
          <w:sz w:val="20"/>
          <w:szCs w:val="20"/>
        </w:rPr>
        <w:t>quinhentos mil reais</w:t>
      </w:r>
      <w:r w:rsidR="00A104FE" w:rsidRPr="00B52D1E">
        <w:rPr>
          <w:rFonts w:ascii="Verdana" w:hAnsi="Verdana" w:cs="Tahoma"/>
          <w:sz w:val="20"/>
          <w:szCs w:val="20"/>
        </w:rPr>
        <w:t xml:space="preserve">) na Data da 1ª Integralização da </w:t>
      </w:r>
      <w:r w:rsidR="00A104FE">
        <w:rPr>
          <w:rFonts w:ascii="Verdana" w:hAnsi="Verdana" w:cs="Tahoma"/>
          <w:sz w:val="20"/>
          <w:szCs w:val="20"/>
        </w:rPr>
        <w:t>Segunda</w:t>
      </w:r>
      <w:r w:rsidR="00A104FE" w:rsidRPr="00B52D1E">
        <w:rPr>
          <w:rFonts w:ascii="Verdana" w:hAnsi="Verdana" w:cs="Tahoma"/>
          <w:sz w:val="20"/>
          <w:szCs w:val="20"/>
        </w:rPr>
        <w:t xml:space="preserve"> Série (“</w:t>
      </w:r>
      <w:r w:rsidR="00A104FE" w:rsidRPr="00B52D1E">
        <w:rPr>
          <w:rFonts w:ascii="Verdana" w:hAnsi="Verdana" w:cs="Tahoma"/>
          <w:sz w:val="20"/>
          <w:szCs w:val="20"/>
          <w:u w:val="single"/>
        </w:rPr>
        <w:t xml:space="preserve">Volume Mínimo da </w:t>
      </w:r>
      <w:r w:rsidR="00A104FE">
        <w:rPr>
          <w:rFonts w:ascii="Verdana" w:hAnsi="Verdana" w:cs="Tahoma"/>
          <w:sz w:val="20"/>
          <w:szCs w:val="20"/>
          <w:u w:val="single"/>
        </w:rPr>
        <w:t>Segunda</w:t>
      </w:r>
      <w:r w:rsidR="00A104FE" w:rsidRPr="00B52D1E">
        <w:rPr>
          <w:rFonts w:ascii="Verdana" w:hAnsi="Verdana" w:cs="Tahoma"/>
          <w:sz w:val="20"/>
          <w:szCs w:val="20"/>
          <w:u w:val="single"/>
        </w:rPr>
        <w:t xml:space="preserve"> Série</w:t>
      </w:r>
      <w:r w:rsidR="00A104FE" w:rsidRPr="00B52D1E">
        <w:rPr>
          <w:rFonts w:ascii="Verdana" w:hAnsi="Verdana" w:cs="Tahoma"/>
          <w:sz w:val="20"/>
          <w:szCs w:val="20"/>
        </w:rPr>
        <w:t>”)</w:t>
      </w:r>
      <w:r w:rsidR="00373A67">
        <w:rPr>
          <w:rFonts w:ascii="Verdana" w:hAnsi="Verdana" w:cs="Tahoma"/>
          <w:sz w:val="20"/>
          <w:szCs w:val="20"/>
        </w:rPr>
        <w:t xml:space="preserve">; e </w:t>
      </w:r>
      <w:r w:rsidR="00A104FE" w:rsidRPr="00227DC5">
        <w:rPr>
          <w:rFonts w:ascii="Verdana" w:hAnsi="Verdana" w:cs="Tahoma"/>
          <w:b/>
          <w:bCs/>
          <w:sz w:val="20"/>
          <w:szCs w:val="20"/>
        </w:rPr>
        <w:t>(</w:t>
      </w:r>
      <w:proofErr w:type="spellStart"/>
      <w:r w:rsidR="00A104FE" w:rsidRPr="00227DC5">
        <w:rPr>
          <w:rFonts w:ascii="Verdana" w:hAnsi="Verdana" w:cs="Tahoma"/>
          <w:b/>
          <w:bCs/>
          <w:sz w:val="20"/>
          <w:szCs w:val="20"/>
        </w:rPr>
        <w:t>iii</w:t>
      </w:r>
      <w:proofErr w:type="spellEnd"/>
      <w:r w:rsidR="00A104FE" w:rsidRPr="00227DC5">
        <w:rPr>
          <w:rFonts w:ascii="Verdana" w:hAnsi="Verdana" w:cs="Tahoma"/>
          <w:b/>
          <w:bCs/>
          <w:sz w:val="20"/>
          <w:szCs w:val="20"/>
        </w:rPr>
        <w:t>)</w:t>
      </w:r>
      <w:r w:rsidRPr="006B26B3">
        <w:rPr>
          <w:rFonts w:ascii="Verdana" w:hAnsi="Verdana" w:cs="Tahoma"/>
          <w:sz w:val="20"/>
          <w:szCs w:val="20"/>
        </w:rPr>
        <w:t xml:space="preserve"> </w:t>
      </w:r>
      <w:r w:rsidR="00373A67">
        <w:rPr>
          <w:rFonts w:ascii="Verdana" w:hAnsi="Verdana" w:cs="Tahoma"/>
          <w:sz w:val="20"/>
          <w:szCs w:val="20"/>
        </w:rPr>
        <w:t>1</w:t>
      </w:r>
      <w:r w:rsidR="006E2FA9" w:rsidRPr="006B26B3">
        <w:rPr>
          <w:rFonts w:ascii="Verdana" w:hAnsi="Verdana" w:cs="Tahoma"/>
          <w:sz w:val="20"/>
          <w:szCs w:val="20"/>
        </w:rPr>
        <w:t>.000 (mil)</w:t>
      </w:r>
      <w:r w:rsidRPr="006B26B3">
        <w:rPr>
          <w:rFonts w:ascii="Verdana" w:hAnsi="Verdana" w:cs="Tahoma"/>
          <w:sz w:val="20"/>
          <w:szCs w:val="20"/>
        </w:rPr>
        <w:t xml:space="preserve"> Debêntures da </w:t>
      </w:r>
      <w:r w:rsidR="00776316">
        <w:rPr>
          <w:rFonts w:ascii="Verdana" w:hAnsi="Verdana" w:cs="Tahoma"/>
          <w:sz w:val="20"/>
          <w:szCs w:val="20"/>
        </w:rPr>
        <w:t xml:space="preserve">Terceira </w:t>
      </w:r>
      <w:r w:rsidRPr="00A104FE">
        <w:rPr>
          <w:rFonts w:ascii="Verdana" w:hAnsi="Verdana" w:cs="Tahoma"/>
          <w:sz w:val="20"/>
          <w:szCs w:val="20"/>
        </w:rPr>
        <w:t>Série</w:t>
      </w:r>
      <w:r w:rsidR="00373A67">
        <w:rPr>
          <w:rFonts w:ascii="Verdana" w:hAnsi="Verdana" w:cs="Tahoma"/>
          <w:sz w:val="20"/>
          <w:szCs w:val="20"/>
        </w:rPr>
        <w:t xml:space="preserve"> </w:t>
      </w:r>
      <w:r w:rsidRPr="00A104FE">
        <w:rPr>
          <w:rFonts w:ascii="Verdana" w:hAnsi="Verdana" w:cs="Tahoma"/>
          <w:sz w:val="20"/>
          <w:szCs w:val="20"/>
        </w:rPr>
        <w:t>(“</w:t>
      </w:r>
      <w:r w:rsidRPr="00A104FE">
        <w:rPr>
          <w:rFonts w:ascii="Verdana" w:hAnsi="Verdana" w:cs="Tahoma"/>
          <w:sz w:val="20"/>
          <w:szCs w:val="20"/>
          <w:u w:val="single"/>
        </w:rPr>
        <w:t xml:space="preserve">Volume Mínimo da </w:t>
      </w:r>
      <w:r w:rsidR="00776316">
        <w:rPr>
          <w:rFonts w:ascii="Verdana" w:hAnsi="Verdana" w:cs="Tahoma"/>
          <w:sz w:val="20"/>
          <w:szCs w:val="20"/>
          <w:u w:val="single"/>
        </w:rPr>
        <w:t>Terceira</w:t>
      </w:r>
      <w:r w:rsidR="00776316" w:rsidRPr="006B26B3">
        <w:rPr>
          <w:rFonts w:ascii="Verdana" w:hAnsi="Verdana" w:cs="Tahoma"/>
          <w:sz w:val="20"/>
          <w:szCs w:val="20"/>
          <w:u w:val="single"/>
        </w:rPr>
        <w:t xml:space="preserve"> </w:t>
      </w:r>
      <w:r w:rsidRPr="006B26B3">
        <w:rPr>
          <w:rFonts w:ascii="Verdana" w:hAnsi="Verdana" w:cs="Tahoma"/>
          <w:sz w:val="20"/>
          <w:szCs w:val="20"/>
          <w:u w:val="single"/>
        </w:rPr>
        <w:t>Série</w:t>
      </w:r>
      <w:r w:rsidRPr="006B26B3">
        <w:rPr>
          <w:rFonts w:ascii="Verdana" w:hAnsi="Verdana" w:cs="Tahoma"/>
          <w:sz w:val="20"/>
          <w:szCs w:val="20"/>
        </w:rPr>
        <w:t xml:space="preserve">”). </w:t>
      </w:r>
      <w:bookmarkEnd w:id="58"/>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59"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59"/>
    </w:p>
    <w:p w14:paraId="007A3D87" w14:textId="7E32DF15"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60" w:name="_DV_M106"/>
      <w:bookmarkEnd w:id="60"/>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5A2DAFC9"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sidR="001A49B1">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31E7A64"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1" w:name="_DV_M95"/>
      <w:bookmarkEnd w:id="61"/>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 w:name="_DV_M132"/>
      <w:bookmarkEnd w:id="62"/>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 w:name="_DV_M91"/>
      <w:bookmarkStart w:id="64" w:name="_DV_M92"/>
      <w:bookmarkStart w:id="65" w:name="_DV_M93"/>
      <w:bookmarkStart w:id="66" w:name="_DV_M94"/>
      <w:bookmarkEnd w:id="63"/>
      <w:bookmarkEnd w:id="64"/>
      <w:bookmarkEnd w:id="65"/>
      <w:bookmarkEnd w:id="66"/>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67" w:name="_Ref422391547"/>
      <w:bookmarkStart w:id="68" w:name="_Ref477878438"/>
      <w:bookmarkStart w:id="69" w:name="_Ref495596571"/>
      <w:bookmarkStart w:id="70"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71" w:name="_Ref450673894"/>
      <w:bookmarkEnd w:id="67"/>
      <w:r>
        <w:rPr>
          <w:rFonts w:ascii="Verdana" w:hAnsi="Verdana" w:cs="Tahoma"/>
          <w:sz w:val="20"/>
          <w:szCs w:val="20"/>
        </w:rPr>
        <w:t>.</w:t>
      </w:r>
      <w:bookmarkEnd w:id="68"/>
      <w:bookmarkEnd w:id="71"/>
      <w:r>
        <w:rPr>
          <w:rFonts w:ascii="Verdana" w:hAnsi="Verdana" w:cs="Tahoma"/>
          <w:sz w:val="20"/>
          <w:szCs w:val="20"/>
        </w:rPr>
        <w:t xml:space="preserve"> A Razão Mínima de Subordinação deverá ser observada como condição para a integralização das Debêntures da Primeira Série.</w:t>
      </w:r>
      <w:bookmarkEnd w:id="69"/>
    </w:p>
    <w:p w14:paraId="65566303" w14:textId="22D69E73"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72"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r w:rsidR="00373A67">
        <w:rPr>
          <w:rFonts w:ascii="Verdana" w:hAnsi="Verdana" w:cs="Tahoma"/>
          <w:sz w:val="20"/>
          <w:szCs w:val="20"/>
        </w:rPr>
        <w:t>da Remuneração das Debêntures da Segunda Série</w:t>
      </w:r>
      <w:r>
        <w:rPr>
          <w:rFonts w:ascii="Verdana" w:hAnsi="Verdana" w:cs="Tahoma"/>
          <w:sz w:val="20"/>
          <w:szCs w:val="20"/>
        </w:rPr>
        <w:t xml:space="preserv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72"/>
      <w:r>
        <w:rPr>
          <w:rFonts w:ascii="Verdana" w:hAnsi="Verdana" w:cs="Tahoma"/>
          <w:sz w:val="20"/>
          <w:szCs w:val="20"/>
        </w:rPr>
        <w:t xml:space="preserve"> </w:t>
      </w:r>
    </w:p>
    <w:p w14:paraId="370EF39E" w14:textId="067C1533" w:rsidR="00776316" w:rsidRPr="006B26B3" w:rsidRDefault="00776316" w:rsidP="006B26B3">
      <w:pPr>
        <w:pStyle w:val="PargrafodaLista"/>
        <w:numPr>
          <w:ilvl w:val="3"/>
          <w:numId w:val="4"/>
        </w:num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As Debêntures da Terceira Série serão integralizadas em moeda corrente nacional </w:t>
      </w:r>
      <w:r>
        <w:rPr>
          <w:rFonts w:ascii="Verdana" w:hAnsi="Verdana" w:cs="Tahoma"/>
          <w:sz w:val="20"/>
          <w:szCs w:val="20"/>
        </w:rPr>
        <w:t xml:space="preserve">pelo seu Valor Nominal Unitário, acrescido de ágio correspondente à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Terceira Série (inclusive) até a respectiva data de integralização (exclusive) (“</w:t>
      </w:r>
      <w:r>
        <w:rPr>
          <w:rFonts w:ascii="Verdana" w:hAnsi="Verdana" w:cs="Tahoma"/>
          <w:sz w:val="20"/>
          <w:szCs w:val="20"/>
          <w:u w:val="single"/>
        </w:rPr>
        <w:t>Preço de Integralização das Debêntures da Terceira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Terceira Série</w:t>
      </w:r>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70"/>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5ED329E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3"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r w:rsidR="006B26B3">
        <w:rPr>
          <w:rFonts w:ascii="Verdana" w:hAnsi="Verdana" w:cs="Tahoma"/>
          <w:sz w:val="20"/>
          <w:szCs w:val="20"/>
        </w:rPr>
        <w:t xml:space="preserve">, </w:t>
      </w:r>
      <w:r>
        <w:rPr>
          <w:rFonts w:ascii="Verdana" w:hAnsi="Verdana" w:cs="Tahoma"/>
          <w:sz w:val="20"/>
          <w:szCs w:val="20"/>
        </w:rPr>
        <w:t>do Volume Mínimo da Segunda Série</w:t>
      </w:r>
      <w:r w:rsidR="006B26B3">
        <w:rPr>
          <w:rFonts w:ascii="Verdana" w:hAnsi="Verdana" w:cs="Tahoma"/>
          <w:sz w:val="20"/>
          <w:szCs w:val="20"/>
        </w:rPr>
        <w:t xml:space="preserve"> e/ou Volume Mínimo da Terceira Série</w:t>
      </w:r>
      <w:r>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73"/>
    </w:p>
    <w:p w14:paraId="28EB52A4" w14:textId="40B356CD"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Caso não haja subscrição de Debêntures em montante igual ou superior ao Volume Mínimo da Primeira Série</w:t>
      </w:r>
      <w:r w:rsidR="006B26B3">
        <w:rPr>
          <w:rFonts w:ascii="Verdana" w:hAnsi="Verdana" w:cs="Tahoma"/>
          <w:sz w:val="20"/>
          <w:szCs w:val="20"/>
        </w:rPr>
        <w:t>,</w:t>
      </w:r>
      <w:r>
        <w:rPr>
          <w:rFonts w:ascii="Verdana" w:hAnsi="Verdana" w:cs="Tahoma"/>
          <w:sz w:val="20"/>
          <w:szCs w:val="20"/>
        </w:rPr>
        <w:t xml:space="preserve"> ao Volume Mínimo da Segunda Série</w:t>
      </w:r>
      <w:r w:rsidR="006B26B3">
        <w:rPr>
          <w:rFonts w:ascii="Verdana" w:hAnsi="Verdana" w:cs="Tahoma"/>
          <w:sz w:val="20"/>
          <w:szCs w:val="20"/>
        </w:rPr>
        <w:t xml:space="preserve"> e/ou Volume Mínimo da Terceira Série</w:t>
      </w:r>
      <w:r>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1236F6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74" w:name="_DV_M146"/>
      <w:bookmarkEnd w:id="74"/>
      <w:r>
        <w:rPr>
          <w:rFonts w:ascii="Verdana" w:eastAsia="Arial Unicode MS" w:hAnsi="Verdana" w:cs="Tahoma"/>
          <w:sz w:val="20"/>
          <w:szCs w:val="20"/>
        </w:rPr>
        <w:t xml:space="preserve">As Debêntures terão prazo de vigência de </w:t>
      </w:r>
      <w:r w:rsidR="00773C5E">
        <w:rPr>
          <w:rFonts w:ascii="Verdana" w:hAnsi="Verdana" w:cs="Tahoma"/>
          <w:sz w:val="20"/>
          <w:szCs w:val="20"/>
        </w:rPr>
        <w:t xml:space="preserve">1277 (mil duzentos e setenta e sete) </w:t>
      </w:r>
      <w:r>
        <w:rPr>
          <w:rFonts w:ascii="Verdana" w:eastAsia="Arial Unicode MS" w:hAnsi="Verdana" w:cs="Tahoma"/>
          <w:sz w:val="20"/>
          <w:szCs w:val="20"/>
        </w:rPr>
        <w:t xml:space="preserve">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75" w:name="_Ref422946329"/>
      <w:bookmarkStart w:id="76" w:name="_Ref492045632"/>
      <w:r>
        <w:rPr>
          <w:rFonts w:ascii="Verdana" w:hAnsi="Verdana" w:cs="Tahoma"/>
          <w:b/>
          <w:sz w:val="20"/>
          <w:szCs w:val="20"/>
        </w:rPr>
        <w:t>Remuneração das Debêntures</w:t>
      </w:r>
    </w:p>
    <w:p w14:paraId="3C66358E" w14:textId="4D756F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7"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6B26B3">
        <w:rPr>
          <w:rFonts w:ascii="Verdana" w:hAnsi="Verdana"/>
          <w:sz w:val="20"/>
          <w:szCs w:val="20"/>
        </w:rPr>
        <w:t>7</w:t>
      </w:r>
      <w:r>
        <w:rPr>
          <w:rFonts w:ascii="Verdana" w:hAnsi="Verdana"/>
          <w:sz w:val="20"/>
          <w:szCs w:val="20"/>
        </w:rPr>
        <w:t>,00% (</w:t>
      </w:r>
      <w:r w:rsidR="006B26B3">
        <w:rPr>
          <w:rFonts w:ascii="Verdana" w:hAnsi="Verdana"/>
          <w:sz w:val="20"/>
          <w:szCs w:val="20"/>
        </w:rPr>
        <w:t>sete</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77"/>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8" w:name="_Ref497551838"/>
      <w:bookmarkStart w:id="79" w:name="_Ref476845774"/>
      <w:bookmarkStart w:id="8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78"/>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9D0976">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2842578" r:id="rId11"/>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9D0976">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62842579" r:id="rId13"/>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0157823"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9D0976">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62842580" r:id="rId15"/>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2D3B39AF"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sidR="006B26B3">
        <w:rPr>
          <w:rFonts w:ascii="Verdana" w:hAnsi="Verdana"/>
          <w:sz w:val="20"/>
          <w:szCs w:val="20"/>
        </w:rPr>
        <w:t>7</w:t>
      </w:r>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2AAC3C24"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sidR="006B26B3">
        <w:rPr>
          <w:rFonts w:ascii="Verdana" w:hAnsi="Verdana" w:cs="Arial"/>
          <w:color w:val="000000"/>
          <w:sz w:val="20"/>
          <w:szCs w:val="20"/>
          <w:u w:val="single"/>
        </w:rPr>
        <w:t xml:space="preserve"> da 1ª Série</w:t>
      </w:r>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3F362955" w14:textId="03202DC0"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Remuneração das Debêntures da Segunda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de 11,00% (onze por cento) ao ano, base 252 (duzentos e cinquenta e dois) Dias Úteis (“</w:t>
      </w:r>
      <w:r>
        <w:rPr>
          <w:rFonts w:ascii="Verdana" w:hAnsi="Verdana"/>
          <w:sz w:val="20"/>
          <w:szCs w:val="20"/>
          <w:u w:val="single"/>
        </w:rPr>
        <w:t>Remuneração das Debêntures da Segunda Série</w:t>
      </w:r>
      <w:r>
        <w:rPr>
          <w:rFonts w:ascii="Verdana" w:hAnsi="Verdana"/>
          <w:sz w:val="20"/>
          <w:szCs w:val="20"/>
        </w:rPr>
        <w:t>”).</w:t>
      </w:r>
      <w:r>
        <w:rPr>
          <w:rFonts w:ascii="Verdana" w:hAnsi="Verdana" w:cs="Tahoma"/>
          <w:sz w:val="20"/>
          <w:szCs w:val="20"/>
        </w:rPr>
        <w:t xml:space="preserve"> </w:t>
      </w:r>
    </w:p>
    <w:p w14:paraId="1BDC7D98" w14:textId="58E04F1B"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Remuneração das Debêntures da Segunda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74CAF048" w14:textId="77777777" w:rsidR="006B26B3" w:rsidRDefault="006B26B3" w:rsidP="006B26B3">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Juros – 1)</w:t>
      </w:r>
    </w:p>
    <w:p w14:paraId="2870DF9C" w14:textId="77777777" w:rsidR="006B26B3" w:rsidRDefault="006B26B3" w:rsidP="006B26B3">
      <w:pPr>
        <w:tabs>
          <w:tab w:val="left" w:pos="2366"/>
        </w:tabs>
        <w:spacing w:before="120" w:after="120" w:line="280" w:lineRule="exact"/>
        <w:ind w:left="709"/>
        <w:rPr>
          <w:rFonts w:ascii="Verdana" w:hAnsi="Verdana"/>
          <w:sz w:val="20"/>
          <w:szCs w:val="20"/>
        </w:rPr>
      </w:pPr>
    </w:p>
    <w:p w14:paraId="0D3F3B6B" w14:textId="77777777"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4DD71FE2" w14:textId="531453D2"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0EEFACA" w14:textId="6AA616AB" w:rsidR="006B26B3" w:rsidRDefault="006B26B3" w:rsidP="006B26B3">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 das Debêntures da Segunda Série, conforme o caso, informado/calculado com 8 (oito) casas decimais, sem arredondamento; e</w:t>
      </w:r>
    </w:p>
    <w:p w14:paraId="7B18017A" w14:textId="77777777" w:rsidR="006B26B3" w:rsidRDefault="006B26B3" w:rsidP="006B26B3">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62FDAD50" w14:textId="77777777" w:rsidR="006B26B3" w:rsidRDefault="006B26B3" w:rsidP="006B26B3">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38EEC9FA" w14:textId="77777777" w:rsidR="006B26B3" w:rsidRDefault="006B26B3" w:rsidP="006B26B3">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3BC75596" w14:textId="2EC2224C" w:rsidR="006B26B3" w:rsidRDefault="006B26B3" w:rsidP="006B26B3">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Default="009D0976"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0" o:title=""/>
          </v:shape>
          <o:OLEObject Type="Embed" ProgID="Equation.3" ShapeID="_x0000_s1029" DrawAspect="Content" ObjectID="_1662842581" r:id="rId16"/>
        </w:object>
      </w:r>
    </w:p>
    <w:p w14:paraId="376529AD" w14:textId="77777777" w:rsidR="006B26B3" w:rsidRDefault="006B26B3" w:rsidP="006B26B3">
      <w:pPr>
        <w:tabs>
          <w:tab w:val="left" w:pos="2127"/>
          <w:tab w:val="left" w:pos="2366"/>
        </w:tabs>
        <w:spacing w:before="120" w:after="120" w:line="280" w:lineRule="exact"/>
        <w:ind w:left="709"/>
        <w:jc w:val="both"/>
        <w:rPr>
          <w:rFonts w:ascii="Verdana" w:hAnsi="Verdana"/>
          <w:sz w:val="20"/>
          <w:szCs w:val="20"/>
        </w:rPr>
      </w:pPr>
    </w:p>
    <w:p w14:paraId="3EFC9F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87654C"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1461B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299BF5AC" w14:textId="77777777" w:rsidR="006B26B3" w:rsidRDefault="006B26B3" w:rsidP="006B26B3">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5F2C8E4A"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Default="009D0976" w:rsidP="006B26B3">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2" o:title=""/>
          </v:shape>
          <o:OLEObject Type="Embed" ProgID="Equation.3" ShapeID="_x0000_s1030" DrawAspect="Content" ObjectID="_1662842582" r:id="rId17"/>
        </w:object>
      </w:r>
    </w:p>
    <w:p w14:paraId="15096DD1"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5C6A6B8" w14:textId="77777777" w:rsidR="006B26B3" w:rsidRDefault="006B26B3" w:rsidP="006B26B3">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50F6B8BC"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419E09C" w14:textId="78DC7A32" w:rsidR="006B26B3" w:rsidRDefault="006B26B3" w:rsidP="006B26B3">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FCA921F"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695473BE" w14:textId="77777777" w:rsidR="006B26B3" w:rsidRDefault="009D0976" w:rsidP="006B26B3">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4" o:title=""/>
          </v:shape>
          <o:OLEObject Type="Embed" ProgID="Equation.3" ShapeID="_x0000_s1031" DrawAspect="Content" ObjectID="_1662842583" r:id="rId18"/>
        </w:object>
      </w:r>
    </w:p>
    <w:p w14:paraId="67E940F9"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A6E8172"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68EF51"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60B1EED5" w14:textId="1A89AB3B" w:rsidR="006B26B3" w:rsidRDefault="006B26B3" w:rsidP="006B26B3">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Pr>
          <w:rFonts w:ascii="Verdana" w:hAnsi="Verdana"/>
          <w:sz w:val="20"/>
          <w:szCs w:val="20"/>
        </w:rPr>
        <w:t>11,000</w:t>
      </w:r>
    </w:p>
    <w:p w14:paraId="25245DB0" w14:textId="7A4831FA"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7F2AE986"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2C4DA9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3A6E410B"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32C20D07"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597A8A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4D27E7F8" w14:textId="77777777"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EFAE100" w14:textId="0186E86F"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 da 2ª Série</w:t>
      </w:r>
      <w:r>
        <w:rPr>
          <w:rFonts w:ascii="Verdana" w:hAnsi="Verdana" w:cs="Arial"/>
          <w:color w:val="000000"/>
          <w:sz w:val="20"/>
          <w:szCs w:val="20"/>
        </w:rPr>
        <w:t xml:space="preserve">”, considerar-se-á o intervalo de tempo que se inicia na respectiva </w:t>
      </w:r>
      <w:r w:rsidRPr="000B7D26">
        <w:rPr>
          <w:rFonts w:ascii="Verdana" w:hAnsi="Verdana"/>
          <w:sz w:val="20"/>
        </w:rPr>
        <w:t xml:space="preserve">Data da 1ª Integralização </w:t>
      </w:r>
      <w:r>
        <w:rPr>
          <w:rFonts w:ascii="Verdana" w:hAnsi="Verdana" w:cs="Tahoma"/>
          <w:sz w:val="20"/>
          <w:szCs w:val="20"/>
        </w:rPr>
        <w:t>da Segunda Série</w:t>
      </w:r>
      <w:r>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75508131" w14:textId="77777777" w:rsidR="006B26B3" w:rsidRDefault="006B26B3" w:rsidP="00227DC5">
      <w:pPr>
        <w:spacing w:before="120" w:after="120" w:line="280" w:lineRule="exact"/>
        <w:jc w:val="both"/>
        <w:rPr>
          <w:rFonts w:ascii="Verdana" w:hAnsi="Verdana" w:cs="Arial"/>
          <w:color w:val="000000"/>
          <w:sz w:val="20"/>
          <w:szCs w:val="20"/>
        </w:rPr>
      </w:pP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E89BBCF" w14:textId="5420B335" w:rsidR="006B26B3"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20281C98" w14:textId="2157E0D5"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 xml:space="preserve">Pagamento da Remuneração das Debêntures da </w:t>
      </w:r>
      <w:r w:rsidR="00781B4E">
        <w:rPr>
          <w:rFonts w:ascii="Verdana" w:hAnsi="Verdana" w:cs="Tahoma"/>
          <w:b/>
          <w:bCs/>
          <w:i/>
          <w:sz w:val="20"/>
          <w:szCs w:val="20"/>
        </w:rPr>
        <w:t>Segunda</w:t>
      </w:r>
      <w:r w:rsidRPr="003C450E">
        <w:rPr>
          <w:rFonts w:ascii="Verdana" w:hAnsi="Verdana" w:cs="Tahoma"/>
          <w:b/>
          <w:bCs/>
          <w:i/>
          <w:sz w:val="20"/>
          <w:szCs w:val="20"/>
        </w:rPr>
        <w:t xml:space="preserve"> Série</w:t>
      </w:r>
      <w:r>
        <w:rPr>
          <w:rFonts w:ascii="Verdana" w:hAnsi="Verdana" w:cs="Tahoma"/>
          <w:sz w:val="20"/>
          <w:szCs w:val="20"/>
        </w:rPr>
        <w:t xml:space="preserve">. Após decorrido o Período de Alocação, a Remuneração das Debêntures da </w:t>
      </w:r>
      <w:r w:rsidR="00781B4E">
        <w:rPr>
          <w:rFonts w:ascii="Verdana" w:hAnsi="Verdana" w:cs="Tahoma"/>
          <w:sz w:val="20"/>
          <w:szCs w:val="20"/>
        </w:rPr>
        <w:t>Segunda Série</w:t>
      </w:r>
      <w:r>
        <w:rPr>
          <w:rFonts w:ascii="Verdana" w:hAnsi="Verdana" w:cs="Tahoma"/>
          <w:sz w:val="20"/>
          <w:szCs w:val="20"/>
        </w:rPr>
        <w:t xml:space="preserve"> será paga pela Emissora em cada Data de Pagamento, observada a Ordem de Alocação de Recursos. </w:t>
      </w:r>
    </w:p>
    <w:p w14:paraId="5F847AD5" w14:textId="0587E0C8" w:rsidR="00EB5CDB" w:rsidRPr="00574DDE" w:rsidRDefault="006B26B3"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em determinada Data de Pagamento, o saldo da Remuneração das Debêntures da </w:t>
      </w:r>
      <w:r w:rsidR="00781B4E">
        <w:rPr>
          <w:rFonts w:ascii="Verdana" w:hAnsi="Verdana" w:cs="Tahoma"/>
          <w:sz w:val="20"/>
          <w:szCs w:val="20"/>
        </w:rPr>
        <w:t>Segunda</w:t>
      </w:r>
      <w:r>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continuará a incidir sobre a referida parcela não paga, e deverá ser calculada a partir do primeiro dia do respectivo Período de Capitalização</w:t>
      </w:r>
      <w:r w:rsidR="00781B4E">
        <w:rPr>
          <w:rFonts w:ascii="Verdana" w:hAnsi="Verdana" w:cs="Tahoma"/>
          <w:sz w:val="20"/>
          <w:szCs w:val="20"/>
        </w:rPr>
        <w:t xml:space="preserve"> da Segunda Série</w:t>
      </w:r>
      <w:r>
        <w:rPr>
          <w:rFonts w:ascii="Verdana" w:hAnsi="Verdana" w:cs="Tahoma"/>
          <w:sz w:val="20"/>
          <w:szCs w:val="20"/>
        </w:rPr>
        <w:t xml:space="preserve"> referente à </w:t>
      </w:r>
      <w:r>
        <w:rPr>
          <w:rFonts w:ascii="Verdana" w:hAnsi="Verdana"/>
          <w:sz w:val="20"/>
          <w:szCs w:val="20"/>
        </w:rPr>
        <w:t xml:space="preserve">Remuneração das Debêntures da </w:t>
      </w:r>
      <w:r w:rsidR="00373A67">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pagos, não serão devidos Encargos Moratórios.</w:t>
      </w:r>
    </w:p>
    <w:p w14:paraId="786936D6" w14:textId="5E2C7DCF"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81" w:name="_Ref515465259"/>
      <w:bookmarkEnd w:id="79"/>
      <w:bookmarkEnd w:id="80"/>
      <w:r w:rsidRPr="008D6F6D">
        <w:rPr>
          <w:rFonts w:ascii="Verdana" w:hAnsi="Verdana" w:cs="Tahoma"/>
          <w:sz w:val="20"/>
          <w:szCs w:val="20"/>
        </w:rPr>
        <w:t xml:space="preserve">Não será devida qualquer remuneração sobre as Debêntures da </w:t>
      </w:r>
      <w:r w:rsidR="006B26B3">
        <w:rPr>
          <w:rFonts w:ascii="Verdana" w:hAnsi="Verdana" w:cs="Tahoma"/>
          <w:sz w:val="20"/>
          <w:szCs w:val="20"/>
        </w:rPr>
        <w:t>Terceira</w:t>
      </w:r>
      <w:r w:rsidRPr="008D6F6D">
        <w:rPr>
          <w:rFonts w:ascii="Verdana" w:hAnsi="Verdana" w:cs="Tahoma"/>
          <w:sz w:val="20"/>
          <w:szCs w:val="20"/>
        </w:rPr>
        <w:t xml:space="preserve"> Série e nem sobre eventual montante que incida sobre o Valor Nominal Unitário das Debêntures da </w:t>
      </w:r>
      <w:r w:rsidR="006B26B3">
        <w:rPr>
          <w:rFonts w:ascii="Verdana" w:hAnsi="Verdana" w:cs="Tahoma"/>
          <w:sz w:val="20"/>
          <w:szCs w:val="20"/>
        </w:rPr>
        <w:t>Terceira</w:t>
      </w:r>
      <w:r w:rsidRPr="008D6F6D">
        <w:rPr>
          <w:rFonts w:ascii="Verdana" w:hAnsi="Verdana" w:cs="Tahoma"/>
          <w:sz w:val="20"/>
          <w:szCs w:val="20"/>
        </w:rPr>
        <w:t xml:space="preserve"> Série, exclusivamente para fins de cálculo do Preço de Integralização das Debêntures da Segunda Série na forma da</w:t>
      </w:r>
      <w:r>
        <w:rPr>
          <w:rFonts w:ascii="Verdana" w:hAnsi="Verdana" w:cs="Tahoma"/>
          <w:sz w:val="20"/>
          <w:szCs w:val="20"/>
        </w:rPr>
        <w:t xml:space="preserve"> Cláusula 3.15.1.</w:t>
      </w:r>
      <w:r w:rsidR="006B26B3">
        <w:rPr>
          <w:rFonts w:ascii="Verdana" w:hAnsi="Verdana" w:cs="Tahoma"/>
          <w:sz w:val="20"/>
          <w:szCs w:val="20"/>
        </w:rPr>
        <w:t>3</w:t>
      </w:r>
      <w:r w:rsidRPr="008D6F6D">
        <w:rPr>
          <w:rFonts w:ascii="Verdana" w:hAnsi="Verdana" w:cs="Tahoma"/>
          <w:sz w:val="20"/>
          <w:szCs w:val="20"/>
        </w:rPr>
        <w:t>.</w:t>
      </w:r>
      <w:bookmarkEnd w:id="81"/>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82"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82"/>
    </w:p>
    <w:p w14:paraId="4A9C4868" w14:textId="21723F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3"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83"/>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7DFA9A6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4"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84"/>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75"/>
      <w:r>
        <w:rPr>
          <w:rFonts w:ascii="Verdana" w:eastAsia="MS Mincho" w:hAnsi="Verdana" w:cs="Tahoma"/>
          <w:b/>
          <w:sz w:val="20"/>
          <w:szCs w:val="20"/>
        </w:rPr>
        <w:t xml:space="preserve"> Obrigatória</w:t>
      </w:r>
      <w:bookmarkEnd w:id="76"/>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5"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85"/>
    </w:p>
    <w:p w14:paraId="4C88E422" w14:textId="3009EE3D"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6" w:name="_Ref495583440"/>
      <w:r>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Pr>
          <w:rFonts w:ascii="Verdana" w:hAnsi="Verdana" w:cs="Tahoma"/>
          <w:sz w:val="20"/>
          <w:szCs w:val="20"/>
        </w:rPr>
        <w:t xml:space="preserve"> ou na Reserva de Liquidação da Terceira Série</w:t>
      </w:r>
      <w:r>
        <w:rPr>
          <w:rFonts w:ascii="Verdana" w:hAnsi="Verdana" w:cs="Tahoma"/>
          <w:sz w:val="20"/>
          <w:szCs w:val="20"/>
        </w:rPr>
        <w:t xml:space="preserv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86"/>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0599BF3F"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87"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87"/>
    </w:p>
    <w:p w14:paraId="5EAA5397" w14:textId="20D2EDA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8" w:name="_Ref479690860"/>
      <w:bookmarkStart w:id="89"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88"/>
      <w:r w:rsidR="005233B6">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4755BF11" w14:textId="6606214D"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90" w:name="_Ref497581146"/>
      <w:bookmarkEnd w:id="89"/>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90"/>
    </w:p>
    <w:p w14:paraId="3F8FC8A4" w14:textId="11F42B1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0A1110C6" w14:textId="6E94158A"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91"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91"/>
    </w:p>
    <w:p w14:paraId="1247E0AB" w14:textId="55F97080" w:rsidR="00781B4E" w:rsidRDefault="00781B4E" w:rsidP="00781B4E">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b/>
          <w:i/>
          <w:sz w:val="20"/>
          <w:szCs w:val="20"/>
        </w:rPr>
        <w:t>Amortização Extraordinária Obrigatória das Debêntures da Terceira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Pr>
          <w:rFonts w:ascii="Verdana" w:hAnsi="Verdana" w:cs="Tahoma"/>
          <w:sz w:val="20"/>
          <w:szCs w:val="20"/>
          <w:u w:val="single"/>
        </w:rPr>
        <w:t>Limite da Amortização Extraordinária Obrigatória da Terceira Série</w:t>
      </w:r>
      <w:r>
        <w:rPr>
          <w:rFonts w:ascii="Verdana" w:hAnsi="Verdana" w:cs="Tahoma"/>
          <w:sz w:val="20"/>
          <w:szCs w:val="20"/>
        </w:rPr>
        <w:t>” e, quando em conjunto com Limite da Amortização Extraordinária Obrigatória da Primeira Série e Limite da Amortização Extraordinária Obrigatória da Segunda Série</w:t>
      </w:r>
      <w:r w:rsidR="00373A67">
        <w:rPr>
          <w:rFonts w:ascii="Verdana" w:hAnsi="Verdana" w:cs="Tahoma"/>
          <w:sz w:val="20"/>
          <w:szCs w:val="20"/>
        </w:rPr>
        <w:t>,</w:t>
      </w:r>
      <w:r>
        <w:rPr>
          <w:rFonts w:ascii="Verdana" w:hAnsi="Verdana" w:cs="Tahoma"/>
          <w:sz w:val="20"/>
          <w:szCs w:val="20"/>
        </w:rPr>
        <w:t xml:space="preserve"> “</w:t>
      </w:r>
      <w:r>
        <w:rPr>
          <w:rFonts w:ascii="Verdana" w:hAnsi="Verdana" w:cs="Tahoma"/>
          <w:sz w:val="20"/>
          <w:szCs w:val="20"/>
          <w:u w:val="single"/>
        </w:rPr>
        <w:t>Limite da Amortização Extraordinária Obrigatória</w:t>
      </w:r>
      <w:r>
        <w:rPr>
          <w:rFonts w:ascii="Verdana" w:hAnsi="Verdana" w:cs="Tahoma"/>
          <w:sz w:val="20"/>
          <w:szCs w:val="20"/>
        </w:rPr>
        <w:t>”).</w:t>
      </w:r>
    </w:p>
    <w:p w14:paraId="6A82BEAF" w14:textId="19E9FD84" w:rsidR="00781B4E" w:rsidRDefault="00781B4E" w:rsidP="00781B4E">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4BBD4390" w14:textId="59E78EBA" w:rsidR="00EB5CDB" w:rsidRPr="00781B4E" w:rsidRDefault="00781B4E"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92" w:name="_Ref521594228"/>
      <w:bookmarkStart w:id="93" w:name="_Ref517600953"/>
      <w:r>
        <w:rPr>
          <w:rFonts w:ascii="Verdana" w:hAnsi="Verdana" w:cs="Tahoma"/>
          <w:b/>
          <w:sz w:val="20"/>
          <w:szCs w:val="20"/>
        </w:rPr>
        <w:t xml:space="preserve">Prêmio Sobre a Receita dos </w:t>
      </w:r>
      <w:bookmarkEnd w:id="92"/>
      <w:r w:rsidRPr="000B7D26">
        <w:rPr>
          <w:rFonts w:ascii="Verdana" w:eastAsia="MS Mincho" w:hAnsi="Verdana"/>
          <w:b/>
          <w:sz w:val="20"/>
        </w:rPr>
        <w:t xml:space="preserve">Direitos Creditórios </w:t>
      </w:r>
      <w:bookmarkEnd w:id="93"/>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235B5D0D" w:rsidR="00EB5CDB" w:rsidRDefault="008E55E6">
      <w:pPr>
        <w:pStyle w:val="PargrafodaLista"/>
        <w:numPr>
          <w:ilvl w:val="2"/>
          <w:numId w:val="4"/>
        </w:numPr>
        <w:spacing w:before="120" w:after="120" w:line="280" w:lineRule="exact"/>
        <w:jc w:val="both"/>
        <w:rPr>
          <w:rFonts w:ascii="Verdana" w:hAnsi="Verdana"/>
          <w:sz w:val="20"/>
          <w:szCs w:val="20"/>
        </w:rPr>
      </w:pPr>
      <w:bookmarkStart w:id="94"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w:t>
      </w:r>
      <w:r w:rsidR="00781B4E">
        <w:rPr>
          <w:rFonts w:ascii="Verdana" w:hAnsi="Verdana" w:cs="Tahoma"/>
          <w:sz w:val="20"/>
          <w:szCs w:val="20"/>
        </w:rPr>
        <w:t>Terceira</w:t>
      </w:r>
      <w:r>
        <w:rPr>
          <w:rFonts w:ascii="Verdana" w:hAnsi="Verdana" w:cs="Tahoma"/>
          <w:sz w:val="20"/>
          <w:szCs w:val="20"/>
        </w:rPr>
        <w:t xml:space="preserve">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94"/>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017229BF" w14:textId="13D0B1D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95" w:name="_DV_M139"/>
      <w:bookmarkStart w:id="96" w:name="_DV_M141"/>
      <w:bookmarkEnd w:id="95"/>
      <w:bookmarkEnd w:id="96"/>
      <w:r>
        <w:rPr>
          <w:rFonts w:ascii="Verdana" w:eastAsia="MS Mincho" w:hAnsi="Verdana" w:cs="Tahoma"/>
          <w:b/>
          <w:sz w:val="20"/>
          <w:szCs w:val="20"/>
        </w:rPr>
        <w:t xml:space="preserve">Pagamento Condicionado, Ordem de Alocação dos Recursos e Subordinação das Debêntures da </w:t>
      </w:r>
      <w:r w:rsidR="00781B4E">
        <w:rPr>
          <w:rFonts w:ascii="Verdana" w:eastAsia="MS Mincho" w:hAnsi="Verdana" w:cs="Tahoma"/>
          <w:b/>
          <w:sz w:val="20"/>
          <w:szCs w:val="20"/>
        </w:rPr>
        <w:t xml:space="preserve">Terceira </w:t>
      </w:r>
      <w:r>
        <w:rPr>
          <w:rFonts w:ascii="Verdana" w:eastAsia="MS Mincho" w:hAnsi="Verdana" w:cs="Tahoma"/>
          <w:b/>
          <w:sz w:val="20"/>
          <w:szCs w:val="20"/>
        </w:rPr>
        <w:t>Série.</w:t>
      </w:r>
    </w:p>
    <w:p w14:paraId="13B839D0" w14:textId="2B4AFD2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97" w:name="_Ref474448575"/>
      <w:bookmarkStart w:id="98" w:name="_Ref476852704"/>
      <w:bookmarkStart w:id="99"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97"/>
      <w:bookmarkEnd w:id="98"/>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w:t>
      </w:r>
      <w:r w:rsidR="00574DDE">
        <w:rPr>
          <w:rFonts w:ascii="Verdana" w:hAnsi="Verdana" w:cs="Tahoma"/>
          <w:sz w:val="20"/>
          <w:szCs w:val="20"/>
        </w:rPr>
        <w:t>,</w:t>
      </w:r>
      <w:r>
        <w:rPr>
          <w:rFonts w:ascii="Verdana" w:hAnsi="Verdana" w:cs="Tahoma"/>
          <w:sz w:val="20"/>
          <w:szCs w:val="20"/>
        </w:rPr>
        <w:t xml:space="preserve"> da Segunda </w:t>
      </w:r>
      <w:r w:rsidR="00574DDE">
        <w:rPr>
          <w:rFonts w:ascii="Verdana" w:hAnsi="Verdana" w:cs="Tahoma"/>
          <w:sz w:val="20"/>
          <w:szCs w:val="20"/>
        </w:rPr>
        <w:t>e da Terceira Séries</w:t>
      </w:r>
      <w:r>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na Reserva de Liquidação da Segunda Série</w:t>
      </w:r>
      <w:r w:rsidR="00574DDE">
        <w:rPr>
          <w:rFonts w:ascii="Verdana" w:hAnsi="Verdana" w:cs="Tahoma"/>
          <w:sz w:val="20"/>
          <w:szCs w:val="20"/>
        </w:rPr>
        <w:t xml:space="preserve"> ou na Reserva de Liquidação da Terceira Série </w:t>
      </w:r>
      <w:r>
        <w:rPr>
          <w:rFonts w:ascii="Verdana" w:hAnsi="Verdana" w:cs="Tahoma"/>
          <w:sz w:val="20"/>
          <w:szCs w:val="20"/>
        </w:rPr>
        <w:t xml:space="preserve">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99"/>
    </w:p>
    <w:p w14:paraId="04C05F0E" w14:textId="7DA9D0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0" w:name="_Ref475542670"/>
      <w:bookmarkStart w:id="101" w:name="_Ref478044661"/>
      <w:bookmarkStart w:id="102"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 xml:space="preserve"> na Reserva de Liquidação da Segunda Série</w:t>
      </w:r>
      <w:r w:rsidR="00574DDE">
        <w:rPr>
          <w:rFonts w:ascii="Verdana" w:hAnsi="Verdana" w:cs="Tahoma"/>
          <w:sz w:val="20"/>
          <w:szCs w:val="20"/>
        </w:rPr>
        <w:t xml:space="preserve"> e/ou na Reserva de Liquidação da Terceira Série</w:t>
      </w:r>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w:t>
      </w:r>
      <w:r w:rsidR="00574DDE">
        <w:rPr>
          <w:rFonts w:ascii="Verdana" w:hAnsi="Verdana" w:cs="Tahoma"/>
          <w:sz w:val="20"/>
          <w:szCs w:val="20"/>
        </w:rPr>
        <w:t>,</w:t>
      </w:r>
      <w:r>
        <w:rPr>
          <w:rFonts w:ascii="Verdana" w:hAnsi="Verdana" w:cs="Tahoma"/>
          <w:sz w:val="20"/>
          <w:szCs w:val="20"/>
        </w:rPr>
        <w:t xml:space="preserve"> da Segunda Série</w:t>
      </w:r>
      <w:r w:rsidR="00574DDE">
        <w:rPr>
          <w:rFonts w:ascii="Verdana" w:hAnsi="Verdana" w:cs="Tahoma"/>
          <w:sz w:val="20"/>
          <w:szCs w:val="20"/>
        </w:rPr>
        <w:t xml:space="preserve"> e da Terceira Série</w:t>
      </w:r>
      <w:r>
        <w:rPr>
          <w:rFonts w:ascii="Verdana" w:hAnsi="Verdana" w:cs="Tahoma"/>
          <w:sz w:val="20"/>
          <w:szCs w:val="20"/>
        </w:rPr>
        <w:t xml:space="preserve"> serão sempre calculados e pagos nas mesmas data-base, observando-se a subordinação do pagamento dos valores relativos às Debêntures da </w:t>
      </w:r>
      <w:r w:rsidR="00574DDE">
        <w:rPr>
          <w:rFonts w:ascii="Verdana" w:hAnsi="Verdana" w:cs="Tahoma"/>
          <w:sz w:val="20"/>
          <w:szCs w:val="20"/>
        </w:rPr>
        <w:t>Terceira</w:t>
      </w:r>
      <w:r>
        <w:rPr>
          <w:rFonts w:ascii="Verdana" w:hAnsi="Verdana" w:cs="Tahoma"/>
          <w:sz w:val="20"/>
          <w:szCs w:val="20"/>
        </w:rPr>
        <w:t xml:space="preserve"> Série ao pagamento dos valores relativos às Debêntures da Primeira</w:t>
      </w:r>
      <w:r w:rsidR="00574DDE">
        <w:rPr>
          <w:rFonts w:ascii="Verdana" w:hAnsi="Verdana" w:cs="Tahoma"/>
          <w:sz w:val="20"/>
          <w:szCs w:val="20"/>
        </w:rPr>
        <w:t xml:space="preserve"> e da Segunda</w:t>
      </w:r>
      <w:r>
        <w:rPr>
          <w:rFonts w:ascii="Verdana" w:hAnsi="Verdana" w:cs="Tahoma"/>
          <w:sz w:val="20"/>
          <w:szCs w:val="20"/>
        </w:rPr>
        <w:t xml:space="preserve"> Série</w:t>
      </w:r>
      <w:bookmarkEnd w:id="100"/>
      <w:bookmarkEnd w:id="101"/>
      <w:r w:rsidR="00574DDE">
        <w:rPr>
          <w:rFonts w:ascii="Verdana" w:hAnsi="Verdana" w:cs="Tahoma"/>
          <w:sz w:val="20"/>
          <w:szCs w:val="20"/>
        </w:rPr>
        <w:t>s</w:t>
      </w:r>
      <w:r>
        <w:rPr>
          <w:rFonts w:ascii="Verdana" w:hAnsi="Verdana" w:cs="Tahoma"/>
          <w:sz w:val="20"/>
          <w:szCs w:val="20"/>
        </w:rPr>
        <w:t>:</w:t>
      </w:r>
      <w:bookmarkEnd w:id="102"/>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103" w:name="_DV_M197"/>
      <w:bookmarkStart w:id="104" w:name="_Ref475679731"/>
      <w:bookmarkEnd w:id="103"/>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6E61BFB1"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sidR="001A49B1">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6A8FB39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5EA91D6" w14:textId="6498ED8D"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Segunda Série</w:t>
      </w:r>
      <w:r w:rsidR="00AC28EA">
        <w:rPr>
          <w:rFonts w:ascii="Verdana" w:hAnsi="Verdana" w:cs="Tahoma"/>
          <w:sz w:val="20"/>
          <w:szCs w:val="20"/>
          <w:lang w:val="pt-BR"/>
        </w:rPr>
        <w:t>;</w:t>
      </w:r>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C459A8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547366B" w14:textId="0E5BB249"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08B51977" w14:textId="34C97F88"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2E5CD732" w14:textId="4CC6C91F"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Terceira Série;</w:t>
      </w:r>
    </w:p>
    <w:p w14:paraId="10A44343" w14:textId="3F0EF9A5" w:rsidR="00574DDE" w:rsidRP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Pr>
          <w:rFonts w:ascii="Verdana" w:hAnsi="Verdana" w:cs="Tahoma"/>
          <w:sz w:val="20"/>
          <w:szCs w:val="20"/>
          <w:lang w:val="pt-BR"/>
        </w:rPr>
        <w:t>Terceira</w:t>
      </w:r>
      <w:r>
        <w:rPr>
          <w:rFonts w:ascii="Verdana" w:hAnsi="Verdana" w:cs="Tahoma"/>
          <w:sz w:val="20"/>
          <w:szCs w:val="20"/>
          <w:lang w:val="pt-BR"/>
        </w:rPr>
        <w:t xml:space="preserve"> Série;</w:t>
      </w:r>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0D72BB9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Pr>
          <w:rFonts w:ascii="Verdana" w:hAnsi="Verdana" w:cs="Tahoma"/>
          <w:sz w:val="20"/>
          <w:szCs w:val="20"/>
          <w:lang w:val="pt-BR"/>
        </w:rPr>
        <w:t>Terceir</w:t>
      </w:r>
      <w:r>
        <w:rPr>
          <w:rFonts w:ascii="Verdana" w:hAnsi="Verdana" w:cs="Tahoma"/>
          <w:sz w:val="20"/>
          <w:szCs w:val="20"/>
          <w:lang w:val="pt-BR"/>
        </w:rPr>
        <w:t>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104"/>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05"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105"/>
    </w:p>
    <w:p w14:paraId="133E81AA" w14:textId="281CB9E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6" w:name="_Ref498986511"/>
      <w:bookmarkStart w:id="107"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08" w:name="art1365p"/>
      <w:bookmarkEnd w:id="106"/>
      <w:bookmarkEnd w:id="107"/>
      <w:bookmarkEnd w:id="108"/>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53F10C7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9" w:name="_Ref497551749"/>
      <w:bookmarkStart w:id="110"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111"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111"/>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109"/>
    </w:p>
    <w:bookmarkEnd w:id="110"/>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12" w:name="_Ref495594053"/>
      <w:r>
        <w:rPr>
          <w:rFonts w:ascii="Verdana" w:hAnsi="Verdana" w:cs="Tahoma"/>
          <w:sz w:val="20"/>
          <w:szCs w:val="20"/>
        </w:rPr>
        <w:t xml:space="preserve"> e o Agente Fiduciário assim decidam, não restando qualquer relação entre </w:t>
      </w:r>
      <w:bookmarkEnd w:id="112"/>
      <w:r>
        <w:rPr>
          <w:rFonts w:ascii="Verdana" w:hAnsi="Verdana" w:cs="Tahoma"/>
          <w:sz w:val="20"/>
          <w:szCs w:val="20"/>
        </w:rPr>
        <w:t>o Agente Fiduciário e a Emissora em relação às Debêntures.</w:t>
      </w:r>
    </w:p>
    <w:p w14:paraId="11D20F54" w14:textId="72DC347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3" w:name="_Ref495594341"/>
      <w:bookmarkStart w:id="114" w:name="_Ref495593987"/>
      <w:r>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w:t>
      </w:r>
      <w:r w:rsidR="00572833">
        <w:rPr>
          <w:rFonts w:ascii="Verdana" w:hAnsi="Verdana" w:cs="Tahoma"/>
          <w:sz w:val="20"/>
          <w:szCs w:val="20"/>
        </w:rPr>
        <w:t xml:space="preserve">, </w:t>
      </w:r>
      <w:r>
        <w:rPr>
          <w:rFonts w:ascii="Verdana" w:hAnsi="Verdana" w:cs="Tahoma"/>
          <w:sz w:val="20"/>
          <w:szCs w:val="20"/>
        </w:rPr>
        <w:t>os titulares das Debêntures da Segunda Série</w:t>
      </w:r>
      <w:r w:rsidR="00572833">
        <w:rPr>
          <w:rFonts w:ascii="Verdana" w:hAnsi="Verdana" w:cs="Tahoma"/>
          <w:sz w:val="20"/>
          <w:szCs w:val="20"/>
        </w:rPr>
        <w:t xml:space="preserve"> e os titulares das Debêntures da Terceira Série</w:t>
      </w:r>
      <w:r>
        <w:rPr>
          <w:rFonts w:ascii="Verdana" w:hAnsi="Verdana" w:cs="Tahoma"/>
          <w:sz w:val="20"/>
          <w:szCs w:val="20"/>
        </w:rPr>
        <w:t xml:space="preserv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13"/>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04D62CAD"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r w:rsidR="00572833">
        <w:rPr>
          <w:rFonts w:ascii="Verdana" w:hAnsi="Verdana" w:cs="Tahoma"/>
          <w:sz w:val="20"/>
          <w:szCs w:val="20"/>
        </w:rPr>
        <w:t xml:space="preserve"> e das Debêntures da Terceira Série</w:t>
      </w:r>
      <w:r>
        <w:rPr>
          <w:rFonts w:ascii="Verdana" w:hAnsi="Verdana" w:cs="Tahoma"/>
          <w:sz w:val="20"/>
          <w:szCs w:val="20"/>
        </w:rPr>
        <w:t xml:space="preserv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w:t>
      </w:r>
      <w:r w:rsidR="00572833">
        <w:rPr>
          <w:rFonts w:ascii="Verdana" w:hAnsi="Verdana" w:cs="Tahoma"/>
          <w:sz w:val="20"/>
          <w:szCs w:val="20"/>
        </w:rPr>
        <w:t xml:space="preserve">Terceira </w:t>
      </w:r>
      <w:r>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4"/>
    </w:p>
    <w:p w14:paraId="207BDF04" w14:textId="4A8ED46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5" w:name="_DV_M211"/>
      <w:bookmarkEnd w:id="115"/>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24BF989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w:t>
      </w:r>
      <w:r w:rsidR="00877D42">
        <w:rPr>
          <w:rFonts w:ascii="Verdana" w:hAnsi="Verdana"/>
          <w:sz w:val="20"/>
          <w:szCs w:val="20"/>
        </w:rPr>
        <w:t>Agente de Liquidação</w:t>
      </w:r>
      <w:r>
        <w:rPr>
          <w:rFonts w:ascii="Verdana" w:hAnsi="Verdana"/>
          <w:sz w:val="20"/>
          <w:szCs w:val="20"/>
        </w:rPr>
        <w:t xml:space="preserv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6" w:name="_DV_M212"/>
      <w:bookmarkEnd w:id="116"/>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7" w:name="_Ref495596651"/>
      <w:r>
        <w:rPr>
          <w:rFonts w:ascii="Verdana" w:eastAsia="MS Mincho" w:hAnsi="Verdana" w:cs="Tahoma"/>
          <w:b/>
          <w:sz w:val="20"/>
          <w:szCs w:val="20"/>
        </w:rPr>
        <w:t>Encargos Moratórios</w:t>
      </w:r>
      <w:bookmarkEnd w:id="117"/>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03962FFA" w:rsidR="00EB5CDB" w:rsidRDefault="00877D42">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Agente de Liquidação</w:t>
      </w:r>
      <w:r w:rsidR="008E55E6">
        <w:rPr>
          <w:rFonts w:ascii="Verdana" w:eastAsia="MS Mincho" w:hAnsi="Verdana" w:cs="Tahoma"/>
          <w:b/>
          <w:sz w:val="20"/>
          <w:szCs w:val="20"/>
        </w:rPr>
        <w:t xml:space="preserve"> e </w:t>
      </w:r>
      <w:proofErr w:type="spellStart"/>
      <w:r w:rsidR="008E55E6">
        <w:rPr>
          <w:rFonts w:ascii="Verdana" w:eastAsia="MS Mincho" w:hAnsi="Verdana" w:cs="Tahoma"/>
          <w:b/>
          <w:sz w:val="20"/>
          <w:szCs w:val="20"/>
        </w:rPr>
        <w:t>Escriturador</w:t>
      </w:r>
      <w:proofErr w:type="spellEnd"/>
    </w:p>
    <w:p w14:paraId="73489A28" w14:textId="33BB47B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sidR="00877D42">
        <w:rPr>
          <w:rFonts w:ascii="Verdana" w:hAnsi="Verdana" w:cs="Tahoma"/>
          <w:sz w:val="20"/>
          <w:szCs w:val="20"/>
        </w:rPr>
        <w:t>Agente de Liquidação</w:t>
      </w:r>
      <w:r>
        <w:rPr>
          <w:rFonts w:ascii="Verdana" w:hAnsi="Verdana" w:cs="Tahoma"/>
          <w:sz w:val="20"/>
          <w:szCs w:val="20"/>
        </w:rPr>
        <w:t xml:space="preserv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118" w:name="_DV_M96"/>
      <w:bookmarkEnd w:id="118"/>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9" w:name="_Ref481525172"/>
      <w:r>
        <w:rPr>
          <w:rFonts w:ascii="Verdana" w:eastAsia="MS Mincho" w:hAnsi="Verdana" w:cs="Tahoma"/>
          <w:b/>
          <w:sz w:val="20"/>
          <w:szCs w:val="20"/>
        </w:rPr>
        <w:t>Garantia</w:t>
      </w:r>
      <w:bookmarkEnd w:id="119"/>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460C2E28"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acima.</w:t>
      </w:r>
    </w:p>
    <w:p w14:paraId="4B6F12BD" w14:textId="0A142082"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3.29.10</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0" w:name="_DV_M147"/>
      <w:bookmarkStart w:id="121" w:name="_Ref422391862"/>
      <w:bookmarkStart w:id="122" w:name="_Ref491979942"/>
      <w:bookmarkStart w:id="123" w:name="_Ref497553343"/>
      <w:bookmarkEnd w:id="120"/>
      <w:r>
        <w:rPr>
          <w:rFonts w:ascii="Verdana" w:eastAsia="MS Mincho" w:hAnsi="Verdana" w:cs="Tahoma"/>
          <w:b/>
          <w:sz w:val="20"/>
          <w:szCs w:val="20"/>
        </w:rPr>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124" w:name="_DV_M168"/>
      <w:bookmarkEnd w:id="121"/>
      <w:bookmarkEnd w:id="122"/>
      <w:bookmarkEnd w:id="123"/>
      <w:bookmarkEnd w:id="124"/>
    </w:p>
    <w:p w14:paraId="74BBA973" w14:textId="7443BDB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25" w:name="_Ref518568334"/>
      <w:bookmarkStart w:id="126"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w:t>
      </w:r>
      <w:r w:rsidR="00623024">
        <w:rPr>
          <w:rStyle w:val="DeltaViewInsertion"/>
          <w:rFonts w:ascii="Verdana" w:hAnsi="Verdana" w:cs="Tahoma"/>
          <w:color w:val="auto"/>
          <w:sz w:val="20"/>
          <w:szCs w:val="20"/>
          <w:u w:val="none"/>
        </w:rPr>
        <w:t>desta Escritura</w:t>
      </w:r>
      <w:r>
        <w:rPr>
          <w:rFonts w:ascii="Verdana" w:hAnsi="Verdana" w:cs="Tahoma"/>
          <w:sz w:val="20"/>
          <w:szCs w:val="20"/>
        </w:rPr>
        <w:t xml:space="preserve">, acarretar </w:t>
      </w:r>
      <w:proofErr w:type="gramStart"/>
      <w:r>
        <w:rPr>
          <w:rFonts w:ascii="Verdana" w:hAnsi="Verdana" w:cs="Tahoma"/>
          <w:sz w:val="20"/>
          <w:szCs w:val="20"/>
        </w:rPr>
        <w:t>na</w:t>
      </w:r>
      <w:proofErr w:type="gramEnd"/>
      <w:r>
        <w:rPr>
          <w:rFonts w:ascii="Verdana" w:hAnsi="Verdana" w:cs="Tahoma"/>
          <w:sz w:val="20"/>
          <w:szCs w:val="20"/>
        </w:rPr>
        <w:t xml:space="preserve"> declaração do Evento de Aceleração de Vencimento:</w:t>
      </w:r>
      <w:bookmarkEnd w:id="125"/>
    </w:p>
    <w:p w14:paraId="5E6089AD" w14:textId="393C800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Pr>
          <w:rFonts w:ascii="Verdana" w:hAnsi="Verdana" w:cs="Tahoma"/>
          <w:sz w:val="20"/>
          <w:szCs w:val="20"/>
        </w:rPr>
        <w:t>da Primeira Série</w:t>
      </w:r>
      <w:r w:rsidR="009D0976">
        <w:rPr>
          <w:rFonts w:ascii="Verdana" w:hAnsi="Verdana" w:cs="Tahoma"/>
          <w:sz w:val="20"/>
          <w:szCs w:val="20"/>
        </w:rPr>
        <w:t xml:space="preserve"> ou o Índice de Cobertura da Segunda Série</w:t>
      </w:r>
      <w:r w:rsidR="00623024">
        <w:rPr>
          <w:rFonts w:ascii="Verdana" w:hAnsi="Verdana" w:cs="Tahoma"/>
          <w:sz w:val="20"/>
          <w:szCs w:val="20"/>
        </w:rPr>
        <w:t xml:space="preserve"> </w:t>
      </w:r>
      <w:r>
        <w:rPr>
          <w:rFonts w:ascii="Verdana" w:hAnsi="Verdana" w:cs="Tahoma"/>
          <w:sz w:val="20"/>
          <w:szCs w:val="20"/>
        </w:rPr>
        <w:t>é menor que 0,</w:t>
      </w:r>
      <w:r w:rsidR="009D0976">
        <w:rPr>
          <w:rFonts w:ascii="Verdana" w:hAnsi="Verdana" w:cs="Tahoma"/>
          <w:sz w:val="20"/>
          <w:szCs w:val="20"/>
        </w:rPr>
        <w:t>8</w:t>
      </w:r>
      <w:r>
        <w:rPr>
          <w:rFonts w:ascii="Verdana" w:hAnsi="Verdana" w:cs="Tahoma"/>
          <w:sz w:val="20"/>
          <w:szCs w:val="20"/>
        </w:rPr>
        <w:t xml:space="preserve"> (</w:t>
      </w:r>
      <w:r w:rsidR="009D0976">
        <w:rPr>
          <w:rFonts w:ascii="Verdana" w:hAnsi="Verdana" w:cs="Tahoma"/>
          <w:sz w:val="20"/>
          <w:szCs w:val="20"/>
        </w:rPr>
        <w:t>oito</w:t>
      </w:r>
      <w:r w:rsidR="00623024">
        <w:rPr>
          <w:rFonts w:ascii="Verdana" w:hAnsi="Verdana" w:cs="Tahoma"/>
          <w:sz w:val="20"/>
          <w:szCs w:val="20"/>
        </w:rPr>
        <w:t xml:space="preserve"> décimos</w:t>
      </w:r>
      <w:r>
        <w:rPr>
          <w:rFonts w:ascii="Verdana" w:hAnsi="Verdana" w:cs="Tahoma"/>
          <w:sz w:val="20"/>
          <w:szCs w:val="20"/>
        </w:rPr>
        <w:t xml:space="preserve">);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127" w:name="_Ref518574648"/>
      <w:r>
        <w:rPr>
          <w:rFonts w:ascii="Verdana" w:hAnsi="Verdana" w:cs="Tahoma"/>
          <w:sz w:val="20"/>
          <w:szCs w:val="20"/>
        </w:rPr>
        <w:t>vencimento antecipado de qualquer obrigação financeira da Emissora, em valor individual ou agregado superior a R$500.000,00 (quinhentos mil reais);</w:t>
      </w:r>
      <w:bookmarkEnd w:id="127"/>
    </w:p>
    <w:p w14:paraId="28C7C2F2" w14:textId="3B99B2E6"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proofErr w:type="spellStart"/>
      <w:r w:rsidR="0059795D">
        <w:rPr>
          <w:rFonts w:ascii="Verdana" w:hAnsi="Verdana" w:cs="Tahoma"/>
          <w:sz w:val="20"/>
          <w:szCs w:val="20"/>
        </w:rPr>
        <w:t>Gyramais</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0059795D">
        <w:rPr>
          <w:rFonts w:ascii="Verdana" w:hAnsi="Verdana" w:cs="Tahoma"/>
          <w:sz w:val="20"/>
          <w:szCs w:val="20"/>
        </w:rPr>
        <w:t>Gyramais</w:t>
      </w:r>
      <w:proofErr w:type="spellEnd"/>
      <w:r>
        <w:rPr>
          <w:rFonts w:ascii="Verdana" w:hAnsi="Verdana" w:cs="Tahoma"/>
          <w:sz w:val="20"/>
          <w:szCs w:val="20"/>
        </w:rPr>
        <w:t>;</w:t>
      </w:r>
    </w:p>
    <w:p w14:paraId="128E913D" w14:textId="4FD3FD89"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proofErr w:type="spellStart"/>
      <w:r w:rsidR="0059795D">
        <w:rPr>
          <w:rFonts w:ascii="Verdana" w:hAnsi="Verdana" w:cs="Tahoma"/>
          <w:sz w:val="20"/>
          <w:szCs w:val="20"/>
        </w:rPr>
        <w:t>Gyramais</w:t>
      </w:r>
      <w:proofErr w:type="spellEnd"/>
      <w:r>
        <w:rPr>
          <w:rFonts w:ascii="Verdana" w:hAnsi="Verdana" w:cs="Tahoma"/>
          <w:sz w:val="20"/>
          <w:szCs w:val="20"/>
        </w:rPr>
        <w:t xml:space="preserve"> e não devidamente elidido no prazo legal;</w:t>
      </w:r>
    </w:p>
    <w:p w14:paraId="6112B9E9" w14:textId="609F6968"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8"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128"/>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9"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129"/>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30"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w:t>
      </w:r>
      <w:proofErr w:type="gramStart"/>
      <w:r>
        <w:rPr>
          <w:rStyle w:val="DeltaViewInsertion"/>
          <w:rFonts w:ascii="Verdana" w:hAnsi="Verdana" w:cs="Tahoma"/>
          <w:color w:val="auto"/>
          <w:sz w:val="20"/>
          <w:szCs w:val="20"/>
          <w:u w:val="none"/>
        </w:rPr>
        <w:t>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w:t>
      </w:r>
      <w:proofErr w:type="gramEnd"/>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w:t>
      </w:r>
      <w:proofErr w:type="gramStart"/>
      <w:r w:rsidR="00F95482">
        <w:rPr>
          <w:rStyle w:val="DeltaViewInsertion"/>
          <w:rFonts w:ascii="Verdana" w:hAnsi="Verdana" w:cs="Tahoma"/>
          <w:color w:val="auto"/>
          <w:sz w:val="20"/>
          <w:szCs w:val="20"/>
          <w:u w:val="none"/>
        </w:rPr>
        <w:t xml:space="preserve">acima, </w:t>
      </w:r>
      <w:r>
        <w:rPr>
          <w:rStyle w:val="DeltaViewInsertion"/>
          <w:rFonts w:ascii="Verdana" w:hAnsi="Verdana" w:cs="Tahoma"/>
          <w:color w:val="auto"/>
          <w:sz w:val="20"/>
          <w:szCs w:val="20"/>
          <w:u w:val="none"/>
        </w:rPr>
        <w:t xml:space="preserve"> </w:t>
      </w:r>
      <w:r>
        <w:rPr>
          <w:rFonts w:ascii="Verdana" w:hAnsi="Verdana" w:cs="Tahoma"/>
          <w:sz w:val="20"/>
          <w:szCs w:val="20"/>
        </w:rPr>
        <w:t>o</w:t>
      </w:r>
      <w:proofErr w:type="gramEnd"/>
      <w:r>
        <w:rPr>
          <w:rFonts w:ascii="Verdana" w:hAnsi="Verdana" w:cs="Tahoma"/>
          <w:sz w:val="20"/>
          <w:szCs w:val="20"/>
        </w:rPr>
        <w:t xml:space="preserve"> Agente Fiduciário deverá convocar uma Assembleia Geral de Debenturistas, em até 2 (dois) Dias Úteis contados da data em que tomar ciência do referido evento, para deliberar sobre a declaração do Evento de Aceleração de Vencimento.</w:t>
      </w:r>
      <w:bookmarkEnd w:id="130"/>
      <w:r>
        <w:rPr>
          <w:rFonts w:ascii="Verdana" w:hAnsi="Verdana" w:cs="Tahoma"/>
          <w:sz w:val="20"/>
          <w:szCs w:val="20"/>
        </w:rPr>
        <w:t xml:space="preserve"> Tal Assembleia Geral de Debenturistas deverá observar o disposto na Cláusula 4.6 abaixo.</w:t>
      </w:r>
    </w:p>
    <w:p w14:paraId="578248B3" w14:textId="2DB536A6"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1A49B1">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30E408BB"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126"/>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1"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131"/>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2"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32"/>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3"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133"/>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4" w:name="_Ref422392046"/>
      <w:r>
        <w:rPr>
          <w:rFonts w:ascii="Verdana" w:hAnsi="Verdana" w:cs="Tahoma"/>
          <w:sz w:val="20"/>
          <w:szCs w:val="20"/>
        </w:rPr>
        <w:t>cessação pela Emissora de suas atividades empresariais e/ou adoção de medidas societárias voltadas à sua liquidação, dissolução ou extinção;</w:t>
      </w:r>
      <w:bookmarkEnd w:id="134"/>
    </w:p>
    <w:p w14:paraId="33C103B2" w14:textId="3AE8595D"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5"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135"/>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6"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7"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136"/>
      <w:bookmarkEnd w:id="137"/>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8"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138"/>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9" w:name="_Ref422392038"/>
      <w:bookmarkStart w:id="140"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39"/>
      <w:r>
        <w:rPr>
          <w:rFonts w:ascii="Verdana" w:hAnsi="Verdana" w:cs="Tahoma"/>
          <w:sz w:val="20"/>
          <w:szCs w:val="20"/>
        </w:rPr>
        <w:t>;</w:t>
      </w:r>
      <w:bookmarkEnd w:id="140"/>
    </w:p>
    <w:p w14:paraId="59D349A6" w14:textId="1F1DAEB2"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41"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41"/>
    </w:p>
    <w:p w14:paraId="0DDB6CB8" w14:textId="6C759DC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2" w:name="_DV_M280"/>
      <w:bookmarkStart w:id="143" w:name="_DV_M287"/>
      <w:bookmarkStart w:id="144" w:name="_Ref436843003"/>
      <w:bookmarkEnd w:id="142"/>
      <w:bookmarkEnd w:id="143"/>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ii</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iii</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iv</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3.29.8 abaixo</w:t>
      </w:r>
      <w:r>
        <w:rPr>
          <w:rFonts w:ascii="Verdana" w:hAnsi="Verdana" w:cs="Tahoma"/>
          <w:sz w:val="20"/>
          <w:szCs w:val="20"/>
        </w:rPr>
        <w:fldChar w:fldCharType="end"/>
      </w:r>
      <w:r>
        <w:rPr>
          <w:rFonts w:ascii="Verdana" w:hAnsi="Verdana" w:cs="Tahoma"/>
          <w:sz w:val="20"/>
          <w:szCs w:val="20"/>
        </w:rPr>
        <w:t>.</w:t>
      </w:r>
      <w:bookmarkEnd w:id="144"/>
    </w:p>
    <w:p w14:paraId="35E67D86" w14:textId="15CC912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5"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145"/>
      <w:r>
        <w:rPr>
          <w:rFonts w:ascii="Verdana" w:hAnsi="Verdana" w:cs="Tahoma"/>
          <w:sz w:val="20"/>
          <w:szCs w:val="20"/>
        </w:rPr>
        <w:t xml:space="preserve"> Tal Assembleia Geral de Debenturistas deverá observar o disposto na Cláusula 4.6 abaixo.</w:t>
      </w:r>
    </w:p>
    <w:p w14:paraId="666A5DBC" w14:textId="14F09398"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146" w:name="_DV_M189"/>
      <w:bookmarkStart w:id="147" w:name="_DV_M200"/>
      <w:bookmarkEnd w:id="146"/>
      <w:bookmarkEnd w:id="147"/>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1A49B1">
        <w:rPr>
          <w:rStyle w:val="DeltaViewInsertion"/>
          <w:rFonts w:ascii="Verdana" w:hAnsi="Verdana" w:cs="Tahoma"/>
          <w:color w:val="auto"/>
          <w:sz w:val="20"/>
          <w:szCs w:val="20"/>
          <w:u w:val="none"/>
        </w:rPr>
        <w:t>3.29.6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0241C35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8"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75715929"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sidR="00572833" w:rsidRPr="00572833">
        <w:rPr>
          <w:rFonts w:ascii="Verdana" w:hAnsi="Verdana" w:cs="Tahoma"/>
          <w:sz w:val="20"/>
          <w:szCs w:val="20"/>
        </w:rPr>
        <w:t xml:space="preserve"> </w:t>
      </w:r>
      <w:r w:rsidR="00572833">
        <w:rPr>
          <w:rFonts w:ascii="Verdana" w:hAnsi="Verdana" w:cs="Tahoma"/>
          <w:sz w:val="20"/>
          <w:szCs w:val="20"/>
        </w:rPr>
        <w:t xml:space="preserve">do Valor Nominal Unitário ou saldo do Valor Nominal Unitário, conforme o caso, acrescido da Remuneração das Debêntures da </w:t>
      </w:r>
      <w:r w:rsidR="00AC28EA">
        <w:rPr>
          <w:rFonts w:ascii="Verdana" w:hAnsi="Verdana" w:cs="Tahoma"/>
          <w:sz w:val="20"/>
          <w:szCs w:val="20"/>
        </w:rPr>
        <w:t>Segunda</w:t>
      </w:r>
      <w:r w:rsidR="00572833">
        <w:rPr>
          <w:rFonts w:ascii="Verdana" w:hAnsi="Verdana" w:cs="Tahoma"/>
          <w:sz w:val="20"/>
          <w:szCs w:val="20"/>
        </w:rPr>
        <w:t xml:space="preserve">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w:t>
      </w:r>
      <w:r w:rsidR="00AC28EA">
        <w:rPr>
          <w:rFonts w:ascii="Verdana" w:hAnsi="Verdana" w:cs="Tahoma"/>
          <w:sz w:val="20"/>
          <w:szCs w:val="20"/>
        </w:rPr>
        <w:t>Segunda</w:t>
      </w:r>
      <w:r w:rsidR="00572833">
        <w:rPr>
          <w:rFonts w:ascii="Verdana" w:hAnsi="Verdana" w:cs="Tahoma"/>
          <w:sz w:val="20"/>
          <w:szCs w:val="20"/>
        </w:rPr>
        <w:t xml:space="preserve"> Série nos termos desta Escritura de Emissão, inclusive encargos moratórios, </w:t>
      </w:r>
      <w:r w:rsidR="00572833" w:rsidRPr="00227DC5">
        <w:rPr>
          <w:rFonts w:ascii="Verdana" w:hAnsi="Verdana" w:cs="Tahoma"/>
          <w:b/>
          <w:bCs/>
          <w:sz w:val="20"/>
          <w:szCs w:val="20"/>
        </w:rPr>
        <w:t>(z)</w:t>
      </w:r>
      <w:r>
        <w:rPr>
          <w:rFonts w:ascii="Verdana" w:hAnsi="Verdana" w:cs="Tahoma"/>
          <w:sz w:val="20"/>
          <w:szCs w:val="20"/>
        </w:rPr>
        <w:t xml:space="preserve"> após realizados integralmente os pagamentos referentes às Debêntures da Primeira</w:t>
      </w:r>
      <w:r w:rsidR="00572833">
        <w:rPr>
          <w:rFonts w:ascii="Verdana" w:hAnsi="Verdana" w:cs="Tahoma"/>
          <w:sz w:val="20"/>
          <w:szCs w:val="20"/>
        </w:rPr>
        <w:t xml:space="preserve"> e Segunda</w:t>
      </w:r>
      <w:r>
        <w:rPr>
          <w:rFonts w:ascii="Verdana" w:hAnsi="Verdana" w:cs="Tahoma"/>
          <w:sz w:val="20"/>
          <w:szCs w:val="20"/>
        </w:rPr>
        <w:t xml:space="preserve"> Série</w:t>
      </w:r>
      <w:r w:rsidR="00572833">
        <w:rPr>
          <w:rFonts w:ascii="Verdana" w:hAnsi="Verdana" w:cs="Tahoma"/>
          <w:sz w:val="20"/>
          <w:szCs w:val="20"/>
        </w:rPr>
        <w:t>s</w:t>
      </w:r>
      <w:r>
        <w:rPr>
          <w:rFonts w:ascii="Verdana" w:hAnsi="Verdana" w:cs="Tahoma"/>
          <w:sz w:val="20"/>
          <w:szCs w:val="20"/>
        </w:rPr>
        <w:t xml:space="preserv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w:t>
      </w:r>
      <w:r w:rsidR="00572833">
        <w:rPr>
          <w:rFonts w:ascii="Verdana" w:hAnsi="Verdana" w:cs="Tahoma"/>
          <w:sz w:val="20"/>
          <w:szCs w:val="20"/>
        </w:rPr>
        <w:t>Terceira</w:t>
      </w:r>
      <w:r>
        <w:rPr>
          <w:rFonts w:ascii="Verdana" w:hAnsi="Verdana" w:cs="Tahoma"/>
          <w:sz w:val="20"/>
          <w:szCs w:val="20"/>
        </w:rPr>
        <w:t xml:space="preserve"> Série, bem como quaisquer outros valores eventualmente devidos pela Emissora relativos às Debêntures da </w:t>
      </w:r>
      <w:r w:rsidR="00AC28EA">
        <w:rPr>
          <w:rFonts w:ascii="Verdana" w:hAnsi="Verdana" w:cs="Tahoma"/>
          <w:sz w:val="20"/>
          <w:szCs w:val="20"/>
        </w:rPr>
        <w:t xml:space="preserve">Terceira </w:t>
      </w:r>
      <w:r>
        <w:rPr>
          <w:rFonts w:ascii="Verdana" w:hAnsi="Verdana" w:cs="Tahoma"/>
          <w:sz w:val="20"/>
          <w:szCs w:val="20"/>
        </w:rPr>
        <w:t>Série nos termos desta Escritura de Emissão, inclusive encargos moratórios, fora do âmbito da B3, sendo certo que os pagamentos previstos nos itens (x)</w:t>
      </w:r>
      <w:r w:rsidR="00572833">
        <w:rPr>
          <w:rFonts w:ascii="Verdana" w:hAnsi="Verdana" w:cs="Tahoma"/>
          <w:sz w:val="20"/>
          <w:szCs w:val="20"/>
        </w:rPr>
        <w:t xml:space="preserve">, </w:t>
      </w:r>
      <w:r>
        <w:rPr>
          <w:rFonts w:ascii="Verdana" w:hAnsi="Verdana" w:cs="Tahoma"/>
          <w:sz w:val="20"/>
          <w:szCs w:val="20"/>
        </w:rPr>
        <w:t>(y)</w:t>
      </w:r>
      <w:r w:rsidR="00572833">
        <w:rPr>
          <w:rFonts w:ascii="Verdana" w:hAnsi="Verdana" w:cs="Tahoma"/>
          <w:sz w:val="20"/>
          <w:szCs w:val="20"/>
        </w:rPr>
        <w:t>, (z)</w:t>
      </w:r>
      <w:r>
        <w:rPr>
          <w:rFonts w:ascii="Verdana" w:hAnsi="Verdana" w:cs="Tahoma"/>
          <w:sz w:val="20"/>
          <w:szCs w:val="20"/>
        </w:rPr>
        <w:t xml:space="preserve">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148"/>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582DBF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9"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49"/>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0"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150"/>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r w:rsidR="00017F48">
        <w:rPr>
          <w:rFonts w:ascii="Verdana" w:hAnsi="Verdana"/>
          <w:b/>
          <w:sz w:val="20"/>
          <w:szCs w:val="20"/>
        </w:rPr>
        <w:t>VERT</w:t>
      </w:r>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82BBD7" w14:textId="77777777"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012D35E2" w14:textId="27C19148" w:rsidR="00A1258F" w:rsidRDefault="009E7B17" w:rsidP="009E7B17">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19" w:history="1">
        <w:r w:rsidRPr="0022316E">
          <w:rPr>
            <w:rStyle w:val="Hyperlink"/>
            <w:rFonts w:ascii="Verdana" w:eastAsia="MS Mincho" w:hAnsi="Verdana"/>
            <w:bCs/>
            <w:sz w:val="20"/>
            <w:szCs w:val="20"/>
          </w:rPr>
          <w:t>spestruturacao@simplificpavarini.com.br</w:t>
        </w:r>
      </w:hyperlink>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1BE1074F"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w:t>
      </w:r>
      <w:r w:rsidR="00877D42">
        <w:rPr>
          <w:rFonts w:ascii="Verdana" w:hAnsi="Verdana"/>
          <w:i/>
          <w:sz w:val="20"/>
          <w:szCs w:val="20"/>
          <w:u w:val="single"/>
        </w:rPr>
        <w:t>Agente de Liquidação</w:t>
      </w:r>
      <w:r>
        <w:rPr>
          <w:rFonts w:ascii="Verdana" w:hAnsi="Verdana"/>
          <w:i/>
          <w:sz w:val="20"/>
          <w:szCs w:val="20"/>
          <w:u w:val="single"/>
        </w:rPr>
        <w:t xml:space="preserv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789145F5"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Títulos Corporativos e Fundos - SCF</w:t>
      </w:r>
    </w:p>
    <w:p w14:paraId="7835ADC1"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2565-5061</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w:t>
      </w:r>
      <w:proofErr w:type="spellStart"/>
      <w:r w:rsidR="00017F48" w:rsidRPr="000B7D26">
        <w:rPr>
          <w:rFonts w:ascii="Verdana" w:hAnsi="Verdana"/>
          <w:sz w:val="20"/>
        </w:rPr>
        <w:t>ii</w:t>
      </w:r>
      <w:proofErr w:type="spellEnd"/>
      <w:r w:rsidR="00017F48" w:rsidRPr="000B7D26">
        <w:rPr>
          <w:rFonts w:ascii="Verdana" w:hAnsi="Verdana"/>
          <w:sz w:val="20"/>
        </w:rPr>
        <w:t>)</w:t>
      </w:r>
      <w:r w:rsidR="00017F48" w:rsidRPr="00017F48">
        <w:rPr>
          <w:rFonts w:ascii="Verdana" w:hAnsi="Verdana"/>
          <w:sz w:val="20"/>
          <w:szCs w:val="20"/>
        </w:rPr>
        <w:t xml:space="preserve"> pela </w:t>
      </w:r>
      <w:proofErr w:type="spellStart"/>
      <w:r w:rsidR="00017F48">
        <w:rPr>
          <w:rFonts w:ascii="Verdana" w:hAnsi="Verdana"/>
          <w:sz w:val="20"/>
          <w:szCs w:val="20"/>
        </w:rPr>
        <w:t>Gyra</w:t>
      </w:r>
      <w:proofErr w:type="spellEnd"/>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151" w:name="_DV_M299"/>
      <w:bookmarkStart w:id="152" w:name="_DV_M300"/>
      <w:bookmarkStart w:id="153" w:name="_DV_M301"/>
      <w:bookmarkStart w:id="154" w:name="_DV_M303"/>
      <w:bookmarkStart w:id="155" w:name="_DV_M304"/>
      <w:bookmarkStart w:id="156" w:name="_DV_M305"/>
      <w:bookmarkStart w:id="157" w:name="_DV_M306"/>
      <w:bookmarkStart w:id="158" w:name="_DV_M307"/>
      <w:bookmarkStart w:id="159" w:name="_DV_M308"/>
      <w:bookmarkStart w:id="160" w:name="_DV_M309"/>
      <w:bookmarkStart w:id="161" w:name="_DV_M310"/>
      <w:bookmarkStart w:id="162" w:name="_DV_M313"/>
      <w:bookmarkStart w:id="163" w:name="_DV_M314"/>
      <w:bookmarkStart w:id="164" w:name="_DV_M214"/>
      <w:bookmarkStart w:id="165" w:name="_DV_M31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603AEDD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66"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r w:rsidR="009E7B17">
        <w:rPr>
          <w:rFonts w:ascii="Verdana" w:hAnsi="Verdana" w:cs="Tahoma"/>
          <w:sz w:val="20"/>
          <w:szCs w:val="20"/>
        </w:rPr>
        <w:t>poderão ser realizadas de forma presencial, parcial ou 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bookmarkEnd w:id="166"/>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0D7E0B16"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167" w:name="_Ref497554208"/>
      <w:bookmarkStart w:id="168" w:name="_Ref422392340"/>
      <w:r>
        <w:rPr>
          <w:rFonts w:ascii="Verdana" w:hAnsi="Verdana" w:cs="Tahoma"/>
          <w:sz w:val="20"/>
          <w:szCs w:val="20"/>
        </w:rPr>
        <w:t xml:space="preserve">As deliberações relativas </w:t>
      </w:r>
      <w:bookmarkStart w:id="169" w:name="_DV_C599"/>
      <w:r>
        <w:rPr>
          <w:rStyle w:val="DeltaViewDeletion"/>
          <w:rFonts w:ascii="Verdana" w:hAnsi="Verdana"/>
          <w:strike w:val="0"/>
          <w:color w:val="000000"/>
          <w:sz w:val="20"/>
          <w:szCs w:val="20"/>
        </w:rPr>
        <w:t xml:space="preserve">às seguintes </w:t>
      </w:r>
      <w:bookmarkStart w:id="170" w:name="_DV_M533"/>
      <w:bookmarkEnd w:id="169"/>
      <w:bookmarkEnd w:id="170"/>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167"/>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171" w:name="_DV_C605"/>
      <w:bookmarkStart w:id="172" w:name="_DV_X601"/>
      <w:r>
        <w:rPr>
          <w:rStyle w:val="DeltaViewMoveSource"/>
          <w:rFonts w:ascii="Verdana" w:hAnsi="Verdana" w:cs="Tahoma"/>
          <w:strike w:val="0"/>
          <w:color w:val="000000"/>
          <w:sz w:val="20"/>
          <w:szCs w:val="20"/>
        </w:rPr>
        <w:t>modificação da Data de Vencimento das Debêntures</w:t>
      </w:r>
      <w:bookmarkStart w:id="173" w:name="_DV_C606"/>
      <w:bookmarkEnd w:id="171"/>
      <w:bookmarkEnd w:id="172"/>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173"/>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174"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174"/>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5"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168"/>
      <w:bookmarkEnd w:id="175"/>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1444D6E2"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176"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176"/>
    </w:p>
    <w:p w14:paraId="1DF70334" w14:textId="1419E20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7"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 xml:space="preserve">Debêntures da Segunda Série </w:t>
      </w:r>
      <w:r w:rsidR="00572833">
        <w:rPr>
          <w:rFonts w:ascii="Verdana" w:hAnsi="Verdana" w:cs="Tahoma"/>
          <w:sz w:val="20"/>
          <w:szCs w:val="20"/>
        </w:rPr>
        <w:t xml:space="preserve">e Debêntures da Terceira Série </w:t>
      </w:r>
      <w:r>
        <w:rPr>
          <w:rFonts w:ascii="Verdana" w:hAnsi="Verdana" w:cs="Tahoma"/>
          <w:sz w:val="20"/>
          <w:szCs w:val="20"/>
        </w:rPr>
        <w:t>em circulação, em primeira e segunda convocação.</w:t>
      </w:r>
      <w:bookmarkEnd w:id="177"/>
    </w:p>
    <w:p w14:paraId="2842B0F1" w14:textId="13A81C3E"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178" w:name="_Ref497584412"/>
      <w:r>
        <w:rPr>
          <w:rFonts w:ascii="Verdana" w:hAnsi="Verdana" w:cs="Tahoma"/>
          <w:sz w:val="20"/>
          <w:szCs w:val="20"/>
        </w:rPr>
        <w:t xml:space="preserve">As deliberações relativas </w:t>
      </w:r>
      <w:proofErr w:type="gramStart"/>
      <w:r w:rsidR="00435E3F">
        <w:rPr>
          <w:rFonts w:ascii="Verdana" w:hAnsi="Verdana" w:cs="Tahoma"/>
          <w:sz w:val="20"/>
          <w:szCs w:val="20"/>
        </w:rPr>
        <w:t>a</w:t>
      </w:r>
      <w:proofErr w:type="gramEnd"/>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Debêntures da Segunda Série</w:t>
      </w:r>
      <w:r w:rsidR="00572833">
        <w:rPr>
          <w:rFonts w:ascii="Verdana" w:hAnsi="Verdana" w:cs="Tahoma"/>
          <w:sz w:val="20"/>
          <w:szCs w:val="20"/>
        </w:rPr>
        <w:t xml:space="preserve"> e Debêntures da Terceira Série</w:t>
      </w:r>
      <w:r>
        <w:rPr>
          <w:rFonts w:ascii="Verdana" w:hAnsi="Verdana" w:cs="Tahoma"/>
          <w:sz w:val="20"/>
          <w:szCs w:val="20"/>
        </w:rPr>
        <w:t xml:space="preserve"> em circulação, em primeira e segunda convocação.</w:t>
      </w:r>
      <w:bookmarkEnd w:id="178"/>
    </w:p>
    <w:p w14:paraId="75D301AB" w14:textId="7A4580A3" w:rsidR="004B7DFE" w:rsidRPr="00227DC5" w:rsidRDefault="004B7DFE" w:rsidP="004B7DFE">
      <w:pPr>
        <w:pStyle w:val="PargrafodaLista"/>
        <w:numPr>
          <w:ilvl w:val="2"/>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As deliberações relativas </w:t>
      </w:r>
      <w:proofErr w:type="gramStart"/>
      <w:r>
        <w:rPr>
          <w:rFonts w:ascii="Verdana" w:hAnsi="Verdana" w:cs="Tahoma"/>
          <w:sz w:val="20"/>
          <w:szCs w:val="20"/>
        </w:rPr>
        <w:t>a</w:t>
      </w:r>
      <w:proofErr w:type="gramEnd"/>
      <w:r>
        <w:rPr>
          <w:rFonts w:ascii="Verdana" w:hAnsi="Verdana" w:cs="Tahoma"/>
          <w:sz w:val="20"/>
          <w:szCs w:val="20"/>
        </w:rPr>
        <w:t xml:space="preserve"> limitação de quaisquer outros direitos conferidos às Debêntures da Terceira Série dependerão da aprovação por titulares das Debêntures da </w:t>
      </w:r>
      <w:r w:rsidR="00AC28EA">
        <w:rPr>
          <w:rFonts w:ascii="Verdana" w:hAnsi="Verdana" w:cs="Tahoma"/>
          <w:sz w:val="20"/>
          <w:szCs w:val="20"/>
        </w:rPr>
        <w:t>Terceira</w:t>
      </w:r>
      <w:r>
        <w:rPr>
          <w:rFonts w:ascii="Verdana" w:hAnsi="Verdana" w:cs="Tahoma"/>
          <w:sz w:val="20"/>
          <w:szCs w:val="20"/>
        </w:rPr>
        <w:t xml:space="preserve"> Série representando, pelo menos, 75% (setenta e cinco por cento) das Debêntures da </w:t>
      </w:r>
      <w:r w:rsidR="00AC28EA">
        <w:rPr>
          <w:rFonts w:ascii="Verdana" w:hAnsi="Verdana" w:cs="Tahoma"/>
          <w:sz w:val="20"/>
          <w:szCs w:val="20"/>
        </w:rPr>
        <w:t>Terceira</w:t>
      </w:r>
      <w:r>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18AD93B" w14:textId="5F848765"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6F4DAF99"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179" w:name="_DV_M298"/>
      <w:bookmarkStart w:id="180" w:name="_DV_M203"/>
      <w:bookmarkStart w:id="181" w:name="_DV_M209"/>
      <w:bookmarkStart w:id="182" w:name="_DV_M216"/>
      <w:bookmarkStart w:id="183" w:name="_DV_M217"/>
      <w:bookmarkStart w:id="184" w:name="_DV_M218"/>
      <w:bookmarkStart w:id="185" w:name="_DV_M220"/>
      <w:bookmarkStart w:id="186" w:name="_Ref497571040"/>
      <w:bookmarkStart w:id="187" w:name="_Ref497578042"/>
      <w:bookmarkEnd w:id="179"/>
      <w:bookmarkEnd w:id="180"/>
      <w:bookmarkEnd w:id="181"/>
      <w:bookmarkEnd w:id="182"/>
      <w:bookmarkEnd w:id="183"/>
      <w:bookmarkEnd w:id="184"/>
      <w:bookmarkEnd w:id="185"/>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186"/>
      <w:bookmarkEnd w:id="187"/>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10C8F3D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xii</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xiii</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5E02F5" w14:paraId="603C0C76" w14:textId="77777777" w:rsidTr="001A49B1">
        <w:tc>
          <w:tcPr>
            <w:tcW w:w="2977" w:type="dxa"/>
            <w:vAlign w:val="center"/>
          </w:tcPr>
          <w:p w14:paraId="4D6148D3" w14:textId="7BC358AA"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w:t>
            </w:r>
            <w:r w:rsidRPr="001A49B1">
              <w:rPr>
                <w:rFonts w:ascii="Verdana" w:hAnsi="Verdana"/>
                <w:b/>
                <w:caps/>
                <w:sz w:val="20"/>
              </w:rPr>
              <w:t xml:space="preserve"> Provisão </w:t>
            </w:r>
          </w:p>
        </w:tc>
      </w:tr>
      <w:tr w:rsidR="005E02F5" w14:paraId="3CBA75A4" w14:textId="77777777" w:rsidTr="001A49B1">
        <w:tc>
          <w:tcPr>
            <w:tcW w:w="2977" w:type="dxa"/>
            <w:vAlign w:val="center"/>
          </w:tcPr>
          <w:p w14:paraId="7AB6EBE5" w14:textId="7EEB63C3"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5684B902" w14:textId="03E50599"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0,50%</w:t>
            </w:r>
          </w:p>
        </w:tc>
      </w:tr>
      <w:tr w:rsidR="005E02F5" w14:paraId="5D9A53FE" w14:textId="77777777" w:rsidTr="001A49B1">
        <w:tc>
          <w:tcPr>
            <w:tcW w:w="2977" w:type="dxa"/>
            <w:vAlign w:val="center"/>
          </w:tcPr>
          <w:p w14:paraId="583FEE57" w14:textId="535FA6B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5EEDCB7C"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w:t>
            </w:r>
          </w:p>
        </w:tc>
      </w:tr>
      <w:tr w:rsidR="005E02F5" w14:paraId="72F5FF27" w14:textId="77777777" w:rsidTr="001A49B1">
        <w:tc>
          <w:tcPr>
            <w:tcW w:w="2977" w:type="dxa"/>
            <w:vAlign w:val="center"/>
          </w:tcPr>
          <w:p w14:paraId="04952B7E" w14:textId="5EBE1F6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052EEF07"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w:t>
            </w:r>
          </w:p>
        </w:tc>
      </w:tr>
      <w:tr w:rsidR="005E02F5" w14:paraId="1F4017EC" w14:textId="77777777" w:rsidTr="001A49B1">
        <w:tc>
          <w:tcPr>
            <w:tcW w:w="2977" w:type="dxa"/>
            <w:vAlign w:val="center"/>
          </w:tcPr>
          <w:p w14:paraId="624A808A" w14:textId="292A79B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662C5C92"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10,00%</w:t>
            </w:r>
          </w:p>
        </w:tc>
      </w:tr>
      <w:tr w:rsidR="005E02F5" w14:paraId="0C0BF880" w14:textId="77777777" w:rsidTr="001A49B1">
        <w:tc>
          <w:tcPr>
            <w:tcW w:w="2977" w:type="dxa"/>
            <w:vAlign w:val="center"/>
          </w:tcPr>
          <w:p w14:paraId="78E27A71" w14:textId="094BEF4D"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6E32A2DC"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30,00%</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764D60A"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w:t>
      </w:r>
      <w:r w:rsidR="00877D42">
        <w:rPr>
          <w:rFonts w:ascii="Verdana" w:hAnsi="Verdana" w:cs="Tahoma"/>
          <w:sz w:val="20"/>
          <w:szCs w:val="20"/>
        </w:rPr>
        <w:t>Agente de Liquidação</w:t>
      </w:r>
      <w:r>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8"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88"/>
    </w:p>
    <w:p w14:paraId="6765DE49" w14:textId="2065D25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9"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xxiii</w:t>
      </w:r>
      <w:proofErr w:type="spellEnd"/>
      <w:r w:rsidR="001A49B1">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189"/>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0" w:name="_DV_M270"/>
      <w:bookmarkStart w:id="191" w:name="_Ref168844079"/>
      <w:bookmarkEnd w:id="190"/>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191"/>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2" w:name="_Ref168844104"/>
      <w:r>
        <w:rPr>
          <w:rFonts w:ascii="Verdana" w:hAnsi="Verdana" w:cs="Tahoma"/>
          <w:sz w:val="20"/>
          <w:szCs w:val="20"/>
        </w:rPr>
        <w:t>comparecer à Assembleia Geral de Debenturistas, exceto se expressamente for informada por escrito pelo Agente Fiduciário de que não deve comparecer</w:t>
      </w:r>
      <w:bookmarkEnd w:id="192"/>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3EF59389"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193"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193"/>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194" w:name="_Ref436688104"/>
    </w:p>
    <w:p w14:paraId="1AB1D1E9" w14:textId="20C01FE8"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195" w:name="_Ref495595902"/>
      <w:bookmarkEnd w:id="194"/>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Pr>
          <w:rFonts w:ascii="Verdana" w:hAnsi="Verdana"/>
          <w:bCs/>
          <w:sz w:val="20"/>
          <w:szCs w:val="20"/>
        </w:rPr>
        <w:t>$ 12.000,00 (doze mil reais)</w:t>
      </w:r>
      <w:r>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195"/>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96"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196"/>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1A5C14B1"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6662B0C5"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197"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198" w:name="_Ref477873544"/>
      <w:r>
        <w:rPr>
          <w:rFonts w:ascii="Verdana" w:hAnsi="Verdana" w:cs="Tahoma"/>
          <w:sz w:val="20"/>
          <w:szCs w:val="20"/>
        </w:rPr>
        <w:t>Além de outros previstos em lei, em ato normativo da CVM, ou na presente Escritura de Emissão, constituem deveres e atribuições do Agente Fiduciário:</w:t>
      </w:r>
      <w:bookmarkEnd w:id="197"/>
      <w:bookmarkEnd w:id="198"/>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199"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199"/>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200"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0"/>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201" w:name="_Ref436983621"/>
      <w:r>
        <w:rPr>
          <w:rFonts w:ascii="Verdana" w:hAnsi="Verdana" w:cs="Tahoma"/>
          <w:sz w:val="20"/>
          <w:szCs w:val="20"/>
        </w:rPr>
        <w:t xml:space="preserve">disponibilizar o relatório de que trata </w:t>
      </w:r>
      <w:bookmarkStart w:id="202" w:name="_DV_M311"/>
      <w:bookmarkStart w:id="203" w:name="_DV_M312"/>
      <w:bookmarkEnd w:id="202"/>
      <w:bookmarkEnd w:id="203"/>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201"/>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3F2B849B" w14:textId="09B54396"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w:t>
      </w:r>
      <w:proofErr w:type="spellStart"/>
      <w:r w:rsidR="001A49B1">
        <w:rPr>
          <w:rFonts w:ascii="Verdana" w:hAnsi="Verdana" w:cs="Tahoma"/>
          <w:sz w:val="20"/>
          <w:szCs w:val="20"/>
        </w:rPr>
        <w:t>xii</w:t>
      </w:r>
      <w:proofErr w:type="spellEnd"/>
      <w:r w:rsidR="001A49B1">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204"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4"/>
    </w:p>
    <w:p w14:paraId="73C5D14D" w14:textId="1C36C960"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5"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205"/>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416A6AF1"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6" w:name="_Ref477873650"/>
      <w:r>
        <w:rPr>
          <w:rFonts w:ascii="Verdana" w:hAnsi="Verdana" w:cs="Tahoma"/>
          <w:sz w:val="20"/>
          <w:szCs w:val="20"/>
        </w:rPr>
        <w:t>tomar qualquer providência necessária para a realização dos créditos dos Debenturistas; e</w:t>
      </w:r>
      <w:bookmarkEnd w:id="206"/>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7"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207"/>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8" w:name="_Ref436688529"/>
    </w:p>
    <w:bookmarkEnd w:id="208"/>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09" w:name="_DV_X471"/>
      <w:bookmarkStart w:id="210"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211" w:name="_DV_C423"/>
      <w:bookmarkEnd w:id="209"/>
      <w:bookmarkEnd w:id="210"/>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212" w:name="_DV_X465"/>
      <w:bookmarkStart w:id="213" w:name="_DV_C425"/>
      <w:bookmarkEnd w:id="211"/>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214" w:name="_DV_C426"/>
      <w:bookmarkEnd w:id="212"/>
      <w:bookmarkEnd w:id="213"/>
      <w:r>
        <w:rPr>
          <w:rFonts w:ascii="Verdana" w:hAnsi="Verdana" w:cs="Tahoma"/>
          <w:sz w:val="20"/>
          <w:szCs w:val="20"/>
        </w:rPr>
        <w:t>, vinculativa e eficaz</w:t>
      </w:r>
      <w:bookmarkStart w:id="215" w:name="_DV_X467"/>
      <w:bookmarkStart w:id="216" w:name="_DV_C427"/>
      <w:bookmarkEnd w:id="214"/>
      <w:r>
        <w:rPr>
          <w:rFonts w:ascii="Verdana" w:hAnsi="Verdana" w:cs="Tahoma"/>
          <w:sz w:val="20"/>
          <w:szCs w:val="20"/>
        </w:rPr>
        <w:t xml:space="preserve"> do Agente Fiduciário, exequível de acordo com os seus termos e condições;</w:t>
      </w:r>
      <w:bookmarkEnd w:id="215"/>
      <w:bookmarkEnd w:id="216"/>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cs="Tahoma"/>
          <w:b/>
          <w:sz w:val="20"/>
          <w:szCs w:val="20"/>
        </w:rPr>
      </w:pPr>
      <w:bookmarkStart w:id="217" w:name="_DV_M201"/>
      <w:bookmarkStart w:id="218" w:name="_DV_M419"/>
      <w:bookmarkStart w:id="219" w:name="_DV_M327"/>
      <w:bookmarkStart w:id="220" w:name="_DV_M328"/>
      <w:bookmarkStart w:id="221" w:name="_DV_M329"/>
      <w:bookmarkStart w:id="222" w:name="_DV_M330"/>
      <w:bookmarkStart w:id="223" w:name="_DV_M331"/>
      <w:bookmarkStart w:id="224" w:name="_DV_M332"/>
      <w:bookmarkEnd w:id="217"/>
      <w:bookmarkEnd w:id="218"/>
      <w:bookmarkEnd w:id="219"/>
      <w:bookmarkEnd w:id="220"/>
      <w:bookmarkEnd w:id="221"/>
      <w:bookmarkEnd w:id="222"/>
      <w:bookmarkEnd w:id="223"/>
      <w:bookmarkEnd w:id="224"/>
    </w:p>
    <w:p w14:paraId="751AA0D9" w14:textId="3FC0D2FC"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r w:rsidR="009E7B17">
        <w:rPr>
          <w:rFonts w:ascii="Verdana" w:hAnsi="Verdana" w:cs="Tahoma"/>
          <w:b/>
          <w:sz w:val="20"/>
          <w:szCs w:val="20"/>
        </w:rPr>
        <w:t>OITAVA</w:t>
      </w:r>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8.1. Termos Definidos</w:t>
      </w:r>
    </w:p>
    <w:p w14:paraId="1D0EDF2D" w14:textId="706F14A5"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 xml:space="preserve">8.1.1. </w:t>
      </w: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 xml:space="preserve">8.2. Renúncia </w:t>
      </w:r>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Default="009E7B17">
      <w:pPr>
        <w:pStyle w:val="PargrafodaLista"/>
        <w:spacing w:before="120" w:after="120" w:line="280" w:lineRule="exact"/>
        <w:ind w:left="0"/>
        <w:jc w:val="both"/>
        <w:rPr>
          <w:rFonts w:ascii="Verdana" w:hAnsi="Verdana" w:cs="Tahoma"/>
          <w:b/>
          <w:sz w:val="20"/>
          <w:szCs w:val="20"/>
        </w:rPr>
      </w:pPr>
    </w:p>
    <w:p w14:paraId="46B315D3" w14:textId="1834213B"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8.3. 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 xml:space="preserve">. </w:t>
      </w:r>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8.4. 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r>
        <w:rPr>
          <w:rFonts w:ascii="Verdana" w:eastAsia="MS Mincho"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7C219924" w14:textId="50BA801B"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no que diz respeito ao Anexo II da presente Escritura de Emissão, na</w:t>
      </w:r>
      <w:r w:rsidR="001A49B1">
        <w:rPr>
          <w:rFonts w:ascii="Verdana" w:eastAsia="MS Mincho" w:hAnsi="Verdana" w:cs="Tahoma"/>
          <w:sz w:val="20"/>
          <w:szCs w:val="20"/>
        </w:rPr>
        <w:t>s</w:t>
      </w:r>
      <w:r>
        <w:rPr>
          <w:rFonts w:ascii="Verdana" w:eastAsia="MS Mincho" w:hAnsi="Verdana" w:cs="Tahoma"/>
          <w:sz w:val="20"/>
          <w:szCs w:val="20"/>
        </w:rPr>
        <w:t xml:space="preserve"> hipótese</w:t>
      </w:r>
      <w:r w:rsidR="001A49B1">
        <w:rPr>
          <w:rFonts w:ascii="Verdana" w:eastAsia="MS Mincho" w:hAnsi="Verdana" w:cs="Tahoma"/>
          <w:sz w:val="20"/>
          <w:szCs w:val="20"/>
        </w:rPr>
        <w:t>s</w:t>
      </w:r>
      <w:r>
        <w:rPr>
          <w:rFonts w:ascii="Verdana" w:eastAsia="MS Mincho" w:hAnsi="Verdana" w:cs="Tahoma"/>
          <w:sz w:val="20"/>
          <w:szCs w:val="20"/>
        </w:rPr>
        <w:t xml:space="preserve"> do item</w:t>
      </w:r>
      <w:r w:rsidR="001A49B1">
        <w:rPr>
          <w:rFonts w:ascii="Verdana" w:eastAsia="MS Mincho" w:hAnsi="Verdana" w:cs="Tahoma"/>
          <w:sz w:val="20"/>
          <w:szCs w:val="20"/>
        </w:rPr>
        <w:t xml:space="preserve"> previstas nesta Escritura de Emissão</w:t>
      </w:r>
      <w:r>
        <w:rPr>
          <w:rFonts w:ascii="Verdana" w:eastAsia="MS Mincho" w:hAnsi="Verdana" w:cs="Tahoma"/>
          <w:sz w:val="20"/>
          <w:szCs w:val="20"/>
        </w:rPr>
        <w:t xml:space="preserve">. </w:t>
      </w:r>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
    </w:p>
    <w:p w14:paraId="6441C242" w14:textId="3E13FAC1"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8.5. Cessão de Título</w:t>
      </w:r>
    </w:p>
    <w:p w14:paraId="49C659D5" w14:textId="275671AC"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5</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w:t>
      </w:r>
      <w:proofErr w:type="spellStart"/>
      <w:r w:rsidR="001A49B1">
        <w:rPr>
          <w:rFonts w:ascii="Verdana" w:eastAsia="MS Mincho" w:hAnsi="Verdana" w:cs="Tahoma"/>
          <w:sz w:val="20"/>
          <w:szCs w:val="20"/>
        </w:rPr>
        <w:t>viii</w:t>
      </w:r>
      <w:proofErr w:type="spellEnd"/>
      <w:r w:rsidR="001A49B1">
        <w:rPr>
          <w:rFonts w:ascii="Verdana" w:eastAsia="MS Mincho" w:hAnsi="Verdana" w:cs="Tahoma"/>
          <w:sz w:val="20"/>
          <w:szCs w:val="20"/>
        </w:rPr>
        <w:t>)</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eastAsia="MS Mincho" w:hAnsi="Verdana" w:cs="Tahoma"/>
          <w:sz w:val="20"/>
          <w:szCs w:val="20"/>
        </w:rPr>
        <w:t>Escriturador</w:t>
      </w:r>
      <w:proofErr w:type="spellEnd"/>
      <w:r>
        <w:rPr>
          <w:rFonts w:ascii="Verdana" w:eastAsia="MS Mincho" w:hAnsi="Verdana" w:cs="Tahoma"/>
          <w:sz w:val="20"/>
          <w:szCs w:val="20"/>
        </w:rPr>
        <w:t xml:space="preserve">,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8.6. 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Default="00EB5CDB">
      <w:pPr>
        <w:spacing w:before="120" w:after="120" w:line="280" w:lineRule="exact"/>
        <w:jc w:val="both"/>
        <w:rPr>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8.7. 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Esta Escritura de Emissão deverá ser regida e interpretada de acordo com as leis da República Federativa do Brasil. </w:t>
      </w:r>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8.8. 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6F660520" w:rsidR="00EB5CDB" w:rsidRDefault="008E55E6">
      <w:pPr>
        <w:autoSpaceDE/>
        <w:autoSpaceDN/>
        <w:adjustRightInd/>
        <w:spacing w:before="120" w:after="120" w:line="280" w:lineRule="exact"/>
        <w:jc w:val="center"/>
        <w:rPr>
          <w:rFonts w:ascii="Verdana" w:eastAsia="Arial Unicode MS" w:hAnsi="Verdana"/>
          <w:sz w:val="20"/>
          <w:szCs w:val="20"/>
        </w:rPr>
      </w:pPr>
      <w:bookmarkStart w:id="225" w:name="_DV_M436"/>
      <w:bookmarkEnd w:id="225"/>
      <w:r>
        <w:rPr>
          <w:rFonts w:ascii="Verdana" w:eastAsia="Arial Unicode MS" w:hAnsi="Verdana"/>
          <w:sz w:val="20"/>
          <w:szCs w:val="20"/>
        </w:rPr>
        <w:t xml:space="preserve">São Paulo, </w:t>
      </w:r>
      <w:r w:rsidR="00AC28EA">
        <w:rPr>
          <w:rFonts w:ascii="Verdana" w:eastAsia="Arial Unicode MS" w:hAnsi="Verdana"/>
          <w:sz w:val="20"/>
          <w:szCs w:val="20"/>
        </w:rPr>
        <w:t xml:space="preserve">28 </w:t>
      </w:r>
      <w:r>
        <w:rPr>
          <w:rFonts w:ascii="Verdana" w:eastAsia="Arial Unicode MS" w:hAnsi="Verdana"/>
          <w:sz w:val="20"/>
          <w:szCs w:val="20"/>
        </w:rPr>
        <w:t>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19484607"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w:t>
      </w:r>
      <w:r w:rsidR="00925E96">
        <w:rPr>
          <w:rFonts w:ascii="Verdana" w:hAnsi="Verdana"/>
          <w:i/>
          <w:sz w:val="20"/>
          <w:szCs w:val="20"/>
        </w:rPr>
        <w:t>3</w:t>
      </w:r>
      <w:r>
        <w:rPr>
          <w:rFonts w:ascii="Verdana" w:hAnsi="Verdana"/>
          <w:i/>
          <w:sz w:val="20"/>
          <w:szCs w:val="20"/>
        </w:rPr>
        <w:t xml:space="preserve"> (</w:t>
      </w:r>
      <w:r w:rsidR="00925E96">
        <w:rPr>
          <w:rFonts w:ascii="Verdana" w:hAnsi="Verdana"/>
          <w:i/>
          <w:sz w:val="20"/>
          <w:szCs w:val="20"/>
        </w:rPr>
        <w:t>três</w:t>
      </w:r>
      <w:r>
        <w:rPr>
          <w:rFonts w:ascii="Verdana" w:hAnsi="Verdana"/>
          <w:i/>
          <w:sz w:val="20"/>
          <w:szCs w:val="20"/>
        </w:rPr>
        <w:t xml:space="preserve">)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V</w:t>
      </w:r>
      <w:r w:rsidR="00065139">
        <w:rPr>
          <w:rFonts w:ascii="Verdana" w:hAnsi="Verdana"/>
          <w:i/>
          <w:sz w:val="20"/>
          <w:szCs w:val="20"/>
        </w:rPr>
        <w:t>ERT</w:t>
      </w:r>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0"/>
          <w:footerReference w:type="default" r:id="rId21"/>
          <w:headerReference w:type="first" r:id="rId22"/>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41E70AD2"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Data de Pagamento</w:t>
            </w:r>
          </w:p>
        </w:tc>
      </w:tr>
      <w:tr w:rsidR="001F5F8A" w:rsidRPr="001F5F8A" w14:paraId="62E0A31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30/11/2020</w:t>
            </w:r>
          </w:p>
        </w:tc>
      </w:tr>
      <w:tr w:rsidR="001F5F8A" w:rsidRPr="001F5F8A" w14:paraId="5834B09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29/12/2020</w:t>
            </w:r>
          </w:p>
        </w:tc>
      </w:tr>
      <w:tr w:rsidR="001F5F8A" w:rsidRPr="001F5F8A" w14:paraId="1D0C4C7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29/01/2021</w:t>
            </w:r>
          </w:p>
        </w:tc>
      </w:tr>
      <w:tr w:rsidR="001F5F8A" w:rsidRPr="001F5F8A" w14:paraId="504601E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02/03/2021</w:t>
            </w:r>
          </w:p>
        </w:tc>
      </w:tr>
      <w:tr w:rsidR="001F5F8A" w:rsidRPr="001F5F8A" w14:paraId="346A09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26/03/2021</w:t>
            </w:r>
          </w:p>
        </w:tc>
      </w:tr>
      <w:tr w:rsidR="001F5F8A" w:rsidRPr="001F5F8A" w14:paraId="3498C2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30/04/2021</w:t>
            </w:r>
          </w:p>
        </w:tc>
      </w:tr>
      <w:tr w:rsidR="001F5F8A" w:rsidRPr="001F5F8A" w14:paraId="2F12E6F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28/05/2021</w:t>
            </w:r>
          </w:p>
        </w:tc>
      </w:tr>
      <w:tr w:rsidR="001F5F8A" w:rsidRPr="001F5F8A" w14:paraId="2922515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29/06/2021</w:t>
            </w:r>
          </w:p>
        </w:tc>
      </w:tr>
      <w:tr w:rsidR="001F5F8A" w:rsidRPr="001F5F8A" w14:paraId="0C828F63"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28/07/2021</w:t>
            </w:r>
          </w:p>
        </w:tc>
      </w:tr>
      <w:tr w:rsidR="001F5F8A" w:rsidRPr="001F5F8A" w14:paraId="1F64EFC8"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27/08/2021</w:t>
            </w:r>
          </w:p>
        </w:tc>
      </w:tr>
      <w:tr w:rsidR="001F5F8A" w:rsidRPr="001F5F8A" w14:paraId="0F3F9B5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29/09/2021</w:t>
            </w:r>
          </w:p>
        </w:tc>
      </w:tr>
      <w:tr w:rsidR="001F5F8A" w:rsidRPr="001F5F8A" w14:paraId="7D2F3B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29/10/2021</w:t>
            </w:r>
          </w:p>
        </w:tc>
      </w:tr>
      <w:tr w:rsidR="001F5F8A" w:rsidRPr="001F5F8A" w14:paraId="156F39B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30/11/2021</w:t>
            </w:r>
          </w:p>
        </w:tc>
      </w:tr>
      <w:tr w:rsidR="001F5F8A" w:rsidRPr="001F5F8A" w14:paraId="6533E16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28/12/2021</w:t>
            </w:r>
          </w:p>
        </w:tc>
      </w:tr>
      <w:tr w:rsidR="001F5F8A" w:rsidRPr="001F5F8A" w14:paraId="50003FC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28/01/2022</w:t>
            </w:r>
          </w:p>
        </w:tc>
      </w:tr>
      <w:tr w:rsidR="001F5F8A" w:rsidRPr="001F5F8A" w14:paraId="40212EA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02/03/2022</w:t>
            </w:r>
          </w:p>
        </w:tc>
      </w:tr>
      <w:tr w:rsidR="001F5F8A" w:rsidRPr="001F5F8A" w14:paraId="60356CB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29/03/2022</w:t>
            </w:r>
          </w:p>
        </w:tc>
      </w:tr>
      <w:tr w:rsidR="001F5F8A" w:rsidRPr="001F5F8A" w14:paraId="068925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02/05/2022</w:t>
            </w:r>
          </w:p>
        </w:tc>
      </w:tr>
      <w:tr w:rsidR="001F5F8A" w:rsidRPr="001F5F8A" w14:paraId="7C976F0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27/05/2022</w:t>
            </w:r>
          </w:p>
        </w:tc>
      </w:tr>
      <w:tr w:rsidR="001F5F8A" w:rsidRPr="001F5F8A" w14:paraId="27CBB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29/06/2022</w:t>
            </w:r>
          </w:p>
        </w:tc>
      </w:tr>
      <w:tr w:rsidR="001F5F8A" w:rsidRPr="001F5F8A" w14:paraId="6C00F36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28/07/2022</w:t>
            </w:r>
          </w:p>
        </w:tc>
      </w:tr>
      <w:tr w:rsidR="001F5F8A" w:rsidRPr="001F5F8A" w14:paraId="32D0E94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26/08/2022</w:t>
            </w:r>
          </w:p>
        </w:tc>
      </w:tr>
      <w:tr w:rsidR="001F5F8A" w:rsidRPr="001F5F8A" w14:paraId="5BAA8C4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29/09/2022</w:t>
            </w:r>
          </w:p>
        </w:tc>
      </w:tr>
      <w:tr w:rsidR="001F5F8A" w:rsidRPr="001F5F8A" w14:paraId="5ED366D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31/10/2022</w:t>
            </w:r>
          </w:p>
        </w:tc>
      </w:tr>
      <w:tr w:rsidR="001F5F8A" w:rsidRPr="001F5F8A" w14:paraId="6F6F25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30/11/2022</w:t>
            </w:r>
          </w:p>
        </w:tc>
      </w:tr>
      <w:tr w:rsidR="001F5F8A" w:rsidRPr="001F5F8A" w14:paraId="0A2DF3D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28/12/2022</w:t>
            </w:r>
          </w:p>
        </w:tc>
      </w:tr>
      <w:tr w:rsidR="001F5F8A" w:rsidRPr="001F5F8A" w14:paraId="18E3384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27/01/2023</w:t>
            </w:r>
          </w:p>
        </w:tc>
      </w:tr>
      <w:tr w:rsidR="001F5F8A" w:rsidRPr="001F5F8A" w14:paraId="0C15F67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02/03/2023</w:t>
            </w:r>
          </w:p>
        </w:tc>
      </w:tr>
      <w:tr w:rsidR="001F5F8A" w:rsidRPr="001F5F8A" w14:paraId="662955D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28/03/2023</w:t>
            </w:r>
          </w:p>
        </w:tc>
      </w:tr>
      <w:tr w:rsidR="001F5F8A" w:rsidRPr="001F5F8A" w14:paraId="10F09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03/05/2023</w:t>
            </w:r>
          </w:p>
        </w:tc>
      </w:tr>
      <w:tr w:rsidR="001F5F8A" w:rsidRPr="001F5F8A" w14:paraId="1444847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29/05/2023</w:t>
            </w:r>
          </w:p>
        </w:tc>
      </w:tr>
      <w:tr w:rsidR="001F5F8A" w:rsidRPr="001F5F8A" w14:paraId="74DAD2E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29/06/2023</w:t>
            </w:r>
          </w:p>
        </w:tc>
      </w:tr>
      <w:tr w:rsidR="001F5F8A" w:rsidRPr="001F5F8A" w14:paraId="6278615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28/07/2023</w:t>
            </w:r>
          </w:p>
        </w:tc>
      </w:tr>
      <w:tr w:rsidR="001F5F8A" w:rsidRPr="001F5F8A" w14:paraId="4CDDA1B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28/08/2023</w:t>
            </w:r>
          </w:p>
        </w:tc>
      </w:tr>
      <w:tr w:rsidR="001F5F8A" w:rsidRPr="001F5F8A" w14:paraId="2E534D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29/09/2023</w:t>
            </w:r>
          </w:p>
        </w:tc>
      </w:tr>
      <w:tr w:rsidR="001F5F8A" w:rsidRPr="001F5F8A" w14:paraId="5E9AAD9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30/10/2023</w:t>
            </w:r>
          </w:p>
        </w:tc>
      </w:tr>
      <w:tr w:rsidR="001F5F8A" w:rsidRPr="001F5F8A" w14:paraId="62D1BB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30/11/2023</w:t>
            </w:r>
          </w:p>
        </w:tc>
      </w:tr>
      <w:tr w:rsidR="001F5F8A" w:rsidRPr="001F5F8A" w14:paraId="454F3EA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29/12/2023</w:t>
            </w:r>
          </w:p>
        </w:tc>
      </w:tr>
      <w:tr w:rsidR="001F5F8A" w:rsidRPr="001F5F8A" w14:paraId="75A35B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29/01/2024</w:t>
            </w:r>
          </w:p>
        </w:tc>
      </w:tr>
      <w:tr w:rsidR="001F5F8A" w:rsidRPr="001F5F8A" w14:paraId="0EC4CA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01/03/2024</w:t>
            </w:r>
          </w:p>
        </w:tc>
      </w:tr>
      <w:tr w:rsidR="001F5F8A" w:rsidRPr="001F5F8A" w14:paraId="1BEBBF2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30/03/2024</w:t>
            </w:r>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55542555"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796A6BE4"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226" w:name="_DV_M416"/>
      <w:bookmarkEnd w:id="226"/>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3602E7F2"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2D890CA0"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227"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27"/>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Primeira Série </w:t>
      </w:r>
    </w:p>
    <w:p w14:paraId="317EBC86" w14:textId="4D78552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Terceira</w:t>
      </w:r>
      <w:r>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Default="004B7DFE">
      <w:pPr>
        <w:autoSpaceDE/>
        <w:autoSpaceDN/>
        <w:adjustRightInd/>
        <w:spacing w:after="120" w:line="320" w:lineRule="exact"/>
        <w:jc w:val="both"/>
        <w:rPr>
          <w:rFonts w:ascii="Verdana" w:hAnsi="Verdana" w:cs="Tahoma"/>
          <w:sz w:val="20"/>
          <w:szCs w:val="20"/>
        </w:rPr>
      </w:pPr>
    </w:p>
    <w:p w14:paraId="7EA34994" w14:textId="02F22347" w:rsidR="004B7DFE" w:rsidRDefault="004B7DFE" w:rsidP="004B7DFE">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Segunda Série </w:t>
      </w:r>
    </w:p>
    <w:p w14:paraId="594AA747" w14:textId="2D6A3E47" w:rsidR="004B7DFE" w:rsidRDefault="004B7DFE" w:rsidP="004B7DFE">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1C6772A4"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 Possibilidade de Perdas relacionadas às Debêntures da </w:t>
      </w:r>
      <w:r w:rsidR="004B7DFE">
        <w:rPr>
          <w:rFonts w:ascii="Verdana" w:hAnsi="Verdana" w:cs="Tahoma"/>
          <w:i/>
          <w:sz w:val="20"/>
          <w:szCs w:val="20"/>
          <w:u w:val="single"/>
        </w:rPr>
        <w:t>Terceira</w:t>
      </w:r>
      <w:r>
        <w:rPr>
          <w:rFonts w:ascii="Verdana" w:hAnsi="Verdana" w:cs="Tahoma"/>
          <w:i/>
          <w:sz w:val="20"/>
          <w:szCs w:val="20"/>
          <w:u w:val="single"/>
        </w:rPr>
        <w:t xml:space="preserve"> Série</w:t>
      </w:r>
    </w:p>
    <w:p w14:paraId="057FA013" w14:textId="00EB530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 xml:space="preserve">Terceira </w:t>
      </w:r>
      <w:r>
        <w:rPr>
          <w:rFonts w:ascii="Verdana" w:hAnsi="Verdana" w:cs="Tahoma"/>
          <w:sz w:val="20"/>
          <w:szCs w:val="20"/>
        </w:rPr>
        <w:t xml:space="preserve">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w:t>
      </w:r>
      <w:r w:rsidR="004B7DFE">
        <w:rPr>
          <w:rFonts w:ascii="Verdana" w:hAnsi="Verdana" w:cs="Tahoma"/>
          <w:sz w:val="20"/>
          <w:szCs w:val="20"/>
        </w:rPr>
        <w:t>Terceira</w:t>
      </w:r>
      <w:r>
        <w:rPr>
          <w:rFonts w:ascii="Verdana" w:hAnsi="Verdana" w:cs="Tahoma"/>
          <w:sz w:val="20"/>
          <w:szCs w:val="20"/>
        </w:rPr>
        <w:t xml:space="preserve">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9FF9E4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w:t>
      </w:r>
      <w:r w:rsidR="004B7DFE">
        <w:rPr>
          <w:rFonts w:ascii="Verdana" w:hAnsi="Verdana" w:cs="Tahoma"/>
          <w:sz w:val="20"/>
          <w:szCs w:val="20"/>
        </w:rPr>
        <w:t>, a</w:t>
      </w:r>
      <w:r>
        <w:rPr>
          <w:rFonts w:ascii="Verdana" w:hAnsi="Verdana" w:cs="Tahoma"/>
          <w:sz w:val="20"/>
          <w:szCs w:val="20"/>
        </w:rPr>
        <w:t xml:space="preserve"> Reserva de Liquidação da Segunda Série </w:t>
      </w:r>
      <w:r w:rsidR="004B7DFE">
        <w:rPr>
          <w:rFonts w:ascii="Verdana" w:hAnsi="Verdana" w:cs="Tahoma"/>
          <w:sz w:val="20"/>
          <w:szCs w:val="20"/>
        </w:rPr>
        <w:t xml:space="preserve">e a Reserva de Liquidação da Terceira Série </w:t>
      </w:r>
      <w:r>
        <w:rPr>
          <w:rFonts w:ascii="Verdana" w:hAnsi="Verdana" w:cs="Tahoma"/>
          <w:sz w:val="20"/>
          <w:szCs w:val="20"/>
        </w:rPr>
        <w:t>não estabelecem a manutenção de uma ou mais parcelas de Remuneração das Debêntures da Primeira Série</w:t>
      </w:r>
      <w:r w:rsidR="004B7DFE">
        <w:rPr>
          <w:rFonts w:ascii="Verdana" w:hAnsi="Verdana" w:cs="Tahoma"/>
          <w:sz w:val="20"/>
          <w:szCs w:val="20"/>
        </w:rPr>
        <w:t xml:space="preserve">, </w:t>
      </w:r>
      <w:r>
        <w:rPr>
          <w:rFonts w:ascii="Verdana" w:hAnsi="Verdana" w:cs="Tahoma"/>
          <w:sz w:val="20"/>
          <w:szCs w:val="20"/>
        </w:rPr>
        <w:t xml:space="preserve"> das Debêntures da Segunda Série</w:t>
      </w:r>
      <w:r w:rsidR="004B7DFE">
        <w:rPr>
          <w:rFonts w:ascii="Verdana" w:hAnsi="Verdana" w:cs="Tahoma"/>
          <w:sz w:val="20"/>
          <w:szCs w:val="20"/>
        </w:rPr>
        <w:t xml:space="preserve"> ou das Debêntures da Terceira Série</w:t>
      </w:r>
      <w:r>
        <w:rPr>
          <w:rFonts w:ascii="Verdana" w:hAnsi="Verdana" w:cs="Tahoma"/>
          <w:sz w:val="20"/>
          <w:szCs w:val="20"/>
        </w:rPr>
        <w:t>,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5E67CC2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w:t>
      </w:r>
      <w:r w:rsidR="004B7DFE">
        <w:rPr>
          <w:rFonts w:ascii="Verdana" w:hAnsi="Verdana" w:cs="Tahoma"/>
          <w:sz w:val="20"/>
          <w:szCs w:val="20"/>
        </w:rPr>
        <w:t xml:space="preserve">, </w:t>
      </w:r>
      <w:r>
        <w:rPr>
          <w:rFonts w:ascii="Verdana" w:hAnsi="Verdana" w:cs="Tahoma"/>
          <w:sz w:val="20"/>
          <w:szCs w:val="20"/>
        </w:rPr>
        <w:t>das Debêntures da Segunda Série</w:t>
      </w:r>
      <w:r w:rsidR="004B7DFE">
        <w:rPr>
          <w:rFonts w:ascii="Verdana" w:hAnsi="Verdana" w:cs="Tahoma"/>
          <w:sz w:val="20"/>
          <w:szCs w:val="20"/>
        </w:rPr>
        <w:t xml:space="preserve"> e das Debêntures da Terceira</w:t>
      </w:r>
      <w:r>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28" w:name="_Toc441140068"/>
      <w:bookmarkStart w:id="229" w:name="_Toc448520300"/>
      <w:bookmarkStart w:id="230" w:name="_Toc462143032"/>
      <w:bookmarkStart w:id="231"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228"/>
      <w:bookmarkEnd w:id="229"/>
      <w:bookmarkEnd w:id="230"/>
      <w:bookmarkEnd w:id="231"/>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32" w:name="_Toc441140069"/>
      <w:bookmarkStart w:id="233" w:name="_Toc448520301"/>
      <w:bookmarkStart w:id="234" w:name="_Toc462143033"/>
      <w:bookmarkStart w:id="235" w:name="_Toc462143269"/>
      <w:r>
        <w:rPr>
          <w:rFonts w:ascii="Verdana" w:hAnsi="Verdana" w:cs="Tahoma"/>
          <w:i/>
          <w:sz w:val="20"/>
          <w:szCs w:val="20"/>
          <w:u w:val="single"/>
        </w:rPr>
        <w:t>Amortização ou resgate antecipado</w:t>
      </w:r>
      <w:bookmarkEnd w:id="232"/>
      <w:bookmarkEnd w:id="233"/>
      <w:bookmarkEnd w:id="234"/>
      <w:bookmarkEnd w:id="235"/>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Sobre </w:t>
      </w:r>
      <w:proofErr w:type="gramStart"/>
      <w:r w:rsidR="00017F48">
        <w:rPr>
          <w:rFonts w:ascii="Verdana" w:hAnsi="Verdana" w:cs="Tahoma"/>
          <w:sz w:val="20"/>
          <w:szCs w:val="20"/>
        </w:rPr>
        <w:t>a Receita dos Direitos Creditórios Vinculados</w:t>
      </w:r>
      <w:r>
        <w:rPr>
          <w:rFonts w:ascii="Verdana" w:hAnsi="Verdana" w:cs="Tahoma"/>
          <w:sz w:val="20"/>
          <w:szCs w:val="20"/>
        </w:rPr>
        <w:t xml:space="preserve"> estão</w:t>
      </w:r>
      <w:proofErr w:type="gramEnd"/>
      <w:r>
        <w:rPr>
          <w:rFonts w:ascii="Verdana" w:hAnsi="Verdana" w:cs="Tahoma"/>
          <w:sz w:val="20"/>
          <w:szCs w:val="20"/>
        </w:rPr>
        <w:t xml:space="preserve">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36" w:name="_Toc441140087"/>
      <w:bookmarkStart w:id="237" w:name="_Toc448520329"/>
      <w:bookmarkStart w:id="238" w:name="_Toc462143063"/>
      <w:bookmarkStart w:id="239" w:name="_Toc462143299"/>
      <w:r>
        <w:rPr>
          <w:rFonts w:ascii="Verdana" w:hAnsi="Verdana" w:cs="Tahoma"/>
          <w:i/>
          <w:sz w:val="20"/>
          <w:szCs w:val="20"/>
          <w:u w:val="single"/>
        </w:rPr>
        <w:t>Dação em pagamento</w:t>
      </w:r>
      <w:bookmarkEnd w:id="236"/>
      <w:bookmarkEnd w:id="237"/>
      <w:bookmarkEnd w:id="238"/>
      <w:bookmarkEnd w:id="239"/>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4F10D82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Não sendo verificado o exercício do Direito de Preferência na Aquisição dos Direitos Creditórios Vinculados na assembleia de Debenturistas da </w:t>
      </w:r>
      <w:r w:rsidR="004B7DFE">
        <w:rPr>
          <w:rFonts w:ascii="Verdana" w:hAnsi="Verdana" w:cs="Tahoma"/>
          <w:sz w:val="20"/>
          <w:szCs w:val="20"/>
        </w:rPr>
        <w:t xml:space="preserve"> Terceira </w:t>
      </w:r>
      <w:r>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54412908"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w:t>
      </w:r>
      <w:r w:rsidR="004B7DFE">
        <w:rPr>
          <w:rFonts w:ascii="Verdana" w:hAnsi="Verdana" w:cs="Tahoma"/>
          <w:sz w:val="20"/>
          <w:szCs w:val="20"/>
        </w:rPr>
        <w:t>, respectivamente,</w:t>
      </w:r>
      <w:r>
        <w:rPr>
          <w:rFonts w:ascii="Verdana" w:hAnsi="Verdana" w:cs="Tahoma"/>
          <w:sz w:val="20"/>
          <w:szCs w:val="20"/>
        </w:rPr>
        <w:t xml:space="preserve"> dos Debenturistas da Primeira Série</w:t>
      </w:r>
      <w:r w:rsidR="004B7DFE">
        <w:rPr>
          <w:rFonts w:ascii="Verdana" w:hAnsi="Verdana" w:cs="Tahoma"/>
          <w:sz w:val="20"/>
          <w:szCs w:val="20"/>
        </w:rPr>
        <w:t xml:space="preserve"> e Segunda Série</w:t>
      </w:r>
      <w:r>
        <w:rPr>
          <w:rFonts w:ascii="Verdana" w:hAnsi="Verdana" w:cs="Tahoma"/>
          <w:sz w:val="20"/>
          <w:szCs w:val="20"/>
        </w:rPr>
        <w:t xml:space="preserve">, em relação aos Debenturistas da </w:t>
      </w:r>
      <w:r w:rsidR="004B7DFE">
        <w:rPr>
          <w:rFonts w:ascii="Verdana" w:hAnsi="Verdana" w:cs="Tahoma"/>
          <w:sz w:val="20"/>
          <w:szCs w:val="20"/>
        </w:rPr>
        <w:t>Terceira</w:t>
      </w:r>
      <w:r>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10A8B00"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r w:rsidR="004B7DFE">
        <w:rPr>
          <w:rFonts w:ascii="Verdana" w:hAnsi="Verdana" w:cs="Tahoma"/>
          <w:sz w:val="20"/>
          <w:szCs w:val="20"/>
        </w:rPr>
        <w:t xml:space="preserve">, </w:t>
      </w:r>
      <w:r>
        <w:rPr>
          <w:rFonts w:ascii="Verdana" w:hAnsi="Verdana" w:cs="Tahoma"/>
          <w:sz w:val="20"/>
          <w:szCs w:val="20"/>
        </w:rPr>
        <w:t>Debêntures da Segunda Série</w:t>
      </w:r>
      <w:r w:rsidR="004B7DFE">
        <w:rPr>
          <w:rFonts w:ascii="Verdana" w:hAnsi="Verdana" w:cs="Tahoma"/>
          <w:sz w:val="20"/>
          <w:szCs w:val="20"/>
        </w:rPr>
        <w:t xml:space="preserve"> e Debêntures da Terceira Série</w:t>
      </w:r>
      <w:r>
        <w:rPr>
          <w:rFonts w:ascii="Verdana" w:hAnsi="Verdana" w:cs="Tahoma"/>
          <w:sz w:val="20"/>
          <w:szCs w:val="20"/>
        </w:rPr>
        <w:t xml:space="preserve">, não haverá mais subordinação entre pagamentos destinados a Debenturistas das </w:t>
      </w:r>
      <w:r w:rsidR="00925E96">
        <w:rPr>
          <w:rFonts w:ascii="Verdana" w:hAnsi="Verdana" w:cs="Tahoma"/>
          <w:sz w:val="20"/>
          <w:szCs w:val="20"/>
        </w:rPr>
        <w:t>3</w:t>
      </w:r>
      <w:r>
        <w:rPr>
          <w:rFonts w:ascii="Verdana" w:hAnsi="Verdana" w:cs="Tahoma"/>
          <w:sz w:val="20"/>
          <w:szCs w:val="20"/>
        </w:rPr>
        <w:t xml:space="preserve"> (</w:t>
      </w:r>
      <w:r w:rsidR="00925E96">
        <w:rPr>
          <w:rFonts w:ascii="Verdana" w:hAnsi="Verdana" w:cs="Tahoma"/>
          <w:sz w:val="20"/>
          <w:szCs w:val="20"/>
        </w:rPr>
        <w:t>três</w:t>
      </w:r>
      <w:r>
        <w:rPr>
          <w:rFonts w:ascii="Verdana" w:hAnsi="Verdana" w:cs="Tahoma"/>
          <w:sz w:val="20"/>
          <w:szCs w:val="20"/>
        </w:rPr>
        <w:t>)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40" w:name="_Toc441140071"/>
      <w:bookmarkStart w:id="241" w:name="_Toc448520303"/>
      <w:bookmarkStart w:id="242" w:name="_Toc462143035"/>
      <w:bookmarkStart w:id="243"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40"/>
      <w:bookmarkEnd w:id="241"/>
      <w:bookmarkEnd w:id="242"/>
      <w:bookmarkEnd w:id="243"/>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44" w:name="_Toc441140066"/>
      <w:bookmarkStart w:id="245" w:name="_Toc448520298"/>
      <w:bookmarkStart w:id="246" w:name="_Toc462143027"/>
      <w:bookmarkStart w:id="247" w:name="_Toc462143263"/>
      <w:r>
        <w:rPr>
          <w:rFonts w:ascii="Verdana" w:hAnsi="Verdana" w:cs="Tahoma"/>
          <w:i/>
          <w:sz w:val="20"/>
          <w:szCs w:val="20"/>
          <w:u w:val="single"/>
        </w:rPr>
        <w:t>Falhas na originação e formalização dos Direitos Creditórios</w:t>
      </w:r>
      <w:bookmarkEnd w:id="244"/>
      <w:bookmarkEnd w:id="245"/>
      <w:bookmarkEnd w:id="246"/>
      <w:bookmarkEnd w:id="247"/>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48" w:name="_Toc448520319"/>
      <w:bookmarkStart w:id="249" w:name="_Toc462143052"/>
      <w:bookmarkStart w:id="250" w:name="_Toc462143288"/>
      <w:r>
        <w:rPr>
          <w:rFonts w:ascii="Verdana" w:hAnsi="Verdana" w:cs="Tahoma"/>
          <w:i/>
          <w:sz w:val="20"/>
          <w:szCs w:val="20"/>
          <w:u w:val="single"/>
        </w:rPr>
        <w:t>Notificação dos Tomadores</w:t>
      </w:r>
      <w:bookmarkEnd w:id="248"/>
      <w:bookmarkEnd w:id="249"/>
      <w:bookmarkEnd w:id="250"/>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1" w:name="_Toc441140059"/>
      <w:bookmarkStart w:id="252" w:name="_Toc448520291"/>
      <w:bookmarkStart w:id="253" w:name="_Toc462143020"/>
      <w:bookmarkStart w:id="254"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251"/>
      <w:bookmarkEnd w:id="252"/>
      <w:bookmarkEnd w:id="253"/>
      <w:bookmarkEnd w:id="254"/>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3C837889"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w:t>
      </w:r>
      <w:r w:rsidR="004B7DFE">
        <w:rPr>
          <w:rFonts w:ascii="Verdana" w:hAnsi="Verdana" w:cs="Tahoma"/>
          <w:i/>
          <w:sz w:val="20"/>
          <w:szCs w:val="20"/>
          <w:u w:val="single"/>
        </w:rPr>
        <w:t>,</w:t>
      </w:r>
      <w:r>
        <w:rPr>
          <w:rFonts w:ascii="Verdana" w:hAnsi="Verdana" w:cs="Tahoma"/>
          <w:i/>
          <w:sz w:val="20"/>
          <w:szCs w:val="20"/>
          <w:u w:val="single"/>
        </w:rPr>
        <w:t xml:space="preserve"> da Segunda Série</w:t>
      </w:r>
      <w:r w:rsidR="004B7DFE">
        <w:rPr>
          <w:rFonts w:ascii="Verdana" w:hAnsi="Verdana" w:cs="Tahoma"/>
          <w:i/>
          <w:sz w:val="20"/>
          <w:szCs w:val="20"/>
          <w:u w:val="single"/>
        </w:rPr>
        <w:t xml:space="preserve"> e da Terceira Série</w:t>
      </w:r>
      <w:r>
        <w:rPr>
          <w:rFonts w:ascii="Verdana" w:hAnsi="Verdana" w:cs="Tahoma"/>
          <w:i/>
          <w:sz w:val="20"/>
          <w:szCs w:val="20"/>
          <w:u w:val="single"/>
        </w:rPr>
        <w:t xml:space="preserve"> no Contrato de Cessão Fiduciária</w:t>
      </w:r>
    </w:p>
    <w:p w14:paraId="35E364BD" w14:textId="1AB3EB3A"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r w:rsidR="004B7DFE">
        <w:rPr>
          <w:rFonts w:ascii="Verdana" w:hAnsi="Verdana" w:cs="Tahoma"/>
          <w:sz w:val="20"/>
          <w:szCs w:val="20"/>
        </w:rPr>
        <w:t xml:space="preserve">, </w:t>
      </w:r>
      <w:r>
        <w:rPr>
          <w:rFonts w:ascii="Verdana" w:hAnsi="Verdana" w:cs="Tahoma"/>
          <w:sz w:val="20"/>
          <w:szCs w:val="20"/>
        </w:rPr>
        <w:t xml:space="preserve"> posteriormente ao Saldo Devedor das Debêntures da Segunda Série</w:t>
      </w:r>
      <w:r w:rsidR="004B7DFE">
        <w:rPr>
          <w:rFonts w:ascii="Verdana" w:hAnsi="Verdana" w:cs="Tahoma"/>
          <w:sz w:val="20"/>
          <w:szCs w:val="20"/>
        </w:rPr>
        <w:t xml:space="preserve"> e por último,</w:t>
      </w:r>
      <w:r w:rsidR="004B7DFE" w:rsidRPr="004B7DFE">
        <w:rPr>
          <w:rFonts w:ascii="Verdana" w:hAnsi="Verdana" w:cs="Tahoma"/>
          <w:sz w:val="20"/>
          <w:szCs w:val="20"/>
        </w:rPr>
        <w:t xml:space="preserve"> </w:t>
      </w:r>
      <w:r w:rsidR="004B7DFE">
        <w:rPr>
          <w:rFonts w:ascii="Verdana" w:hAnsi="Verdana" w:cs="Tahoma"/>
          <w:sz w:val="20"/>
          <w:szCs w:val="20"/>
        </w:rPr>
        <w:t>ao Saldo Devedor das Debêntures da terceira Série</w:t>
      </w:r>
      <w:r>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5" w:name="_Toc441140083"/>
      <w:bookmarkStart w:id="256" w:name="_Toc448520325"/>
      <w:bookmarkStart w:id="257" w:name="_Toc462143059"/>
      <w:bookmarkStart w:id="258" w:name="_Toc462143295"/>
      <w:r>
        <w:rPr>
          <w:rFonts w:ascii="Verdana" w:eastAsia="Arial Unicode MS" w:hAnsi="Verdana" w:cs="Tahoma"/>
          <w:b/>
          <w:sz w:val="20"/>
          <w:szCs w:val="20"/>
        </w:rPr>
        <w:t>Risco de pré-</w:t>
      </w:r>
      <w:r>
        <w:rPr>
          <w:rFonts w:ascii="Verdana" w:hAnsi="Verdana" w:cs="Tahoma"/>
          <w:b/>
          <w:sz w:val="20"/>
          <w:szCs w:val="20"/>
        </w:rPr>
        <w:t>pagamento</w:t>
      </w:r>
      <w:bookmarkEnd w:id="255"/>
      <w:bookmarkEnd w:id="256"/>
      <w:bookmarkEnd w:id="257"/>
      <w:bookmarkEnd w:id="258"/>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9" w:name="_Toc441140085"/>
      <w:bookmarkStart w:id="260" w:name="_Toc448520327"/>
      <w:bookmarkStart w:id="261" w:name="_Toc462143061"/>
      <w:bookmarkStart w:id="262"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59"/>
      <w:bookmarkEnd w:id="260"/>
      <w:bookmarkEnd w:id="261"/>
      <w:bookmarkEnd w:id="262"/>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3" w:name="_Toc441140088"/>
      <w:bookmarkStart w:id="264" w:name="_Toc448520330"/>
      <w:bookmarkStart w:id="265" w:name="_Toc462143064"/>
      <w:bookmarkStart w:id="266" w:name="_Toc462143300"/>
      <w:r>
        <w:rPr>
          <w:rFonts w:ascii="Verdana" w:hAnsi="Verdana" w:cs="Tahoma"/>
          <w:i/>
          <w:sz w:val="20"/>
          <w:szCs w:val="20"/>
          <w:u w:val="single"/>
        </w:rPr>
        <w:t>Inexistência de propriedade direta</w:t>
      </w:r>
      <w:bookmarkEnd w:id="263"/>
      <w:bookmarkEnd w:id="264"/>
      <w:bookmarkEnd w:id="265"/>
      <w:bookmarkEnd w:id="266"/>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7" w:name="_Ref441139651"/>
      <w:bookmarkStart w:id="268" w:name="_Toc441140089"/>
      <w:bookmarkStart w:id="269" w:name="_Toc448520331"/>
      <w:bookmarkStart w:id="270" w:name="_Toc462143065"/>
      <w:bookmarkStart w:id="271" w:name="_Toc462143301"/>
      <w:r>
        <w:rPr>
          <w:rFonts w:ascii="Verdana" w:hAnsi="Verdana" w:cs="Tahoma"/>
          <w:i/>
          <w:sz w:val="20"/>
          <w:szCs w:val="20"/>
          <w:u w:val="single"/>
        </w:rPr>
        <w:t>Ausência de Classificação de risco</w:t>
      </w:r>
      <w:bookmarkEnd w:id="267"/>
      <w:bookmarkEnd w:id="268"/>
      <w:bookmarkEnd w:id="269"/>
      <w:bookmarkEnd w:id="270"/>
      <w:bookmarkEnd w:id="271"/>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rFonts w:ascii="Verdana" w:hAnsi="Verdana" w:cs="Tahoma"/>
          <w:i/>
          <w:iCs/>
          <w:sz w:val="20"/>
          <w:szCs w:val="20"/>
          <w:u w:val="single"/>
        </w:rPr>
      </w:pPr>
      <w:r w:rsidRPr="00CC43A5">
        <w:rPr>
          <w:rFonts w:ascii="Verdana" w:hAnsi="Verdana" w:cs="Tahoma"/>
          <w:sz w:val="20"/>
          <w:szCs w:val="20"/>
        </w:rPr>
        <w:t> </w:t>
      </w:r>
      <w:r w:rsidRPr="00CC43A5">
        <w:rPr>
          <w:rFonts w:ascii="Verdana" w:hAnsi="Verdana" w:cs="Tahoma"/>
          <w:i/>
          <w:iCs/>
          <w:sz w:val="20"/>
          <w:szCs w:val="20"/>
          <w:u w:val="single"/>
        </w:rPr>
        <w:t>Solicitação de Integralização</w:t>
      </w:r>
    </w:p>
    <w:p w14:paraId="5622981E" w14:textId="77777777" w:rsidR="002E1841" w:rsidRPr="00CC43A5" w:rsidRDefault="002E1841" w:rsidP="002E1841">
      <w:pPr>
        <w:autoSpaceDE/>
        <w:autoSpaceDN/>
        <w:adjustRightInd/>
        <w:rPr>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rFonts w:ascii="Verdana" w:hAnsi="Verdana" w:cs="Tahoma"/>
          <w:sz w:val="20"/>
          <w:szCs w:val="20"/>
        </w:rPr>
      </w:pPr>
      <w:r w:rsidRPr="00CC43A5">
        <w:rPr>
          <w:rFonts w:ascii="Verdana" w:hAnsi="Verdana" w:cs="Tahoma"/>
          <w:sz w:val="20"/>
          <w:szCs w:val="20"/>
        </w:rPr>
        <w:t xml:space="preserve">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w:t>
      </w:r>
      <w:proofErr w:type="spellStart"/>
      <w:r w:rsidRPr="00CC43A5">
        <w:rPr>
          <w:rFonts w:ascii="Verdana" w:hAnsi="Verdana" w:cs="Tahoma"/>
          <w:sz w:val="20"/>
          <w:szCs w:val="20"/>
        </w:rPr>
        <w:t>CCBs</w:t>
      </w:r>
      <w:proofErr w:type="spellEnd"/>
      <w:r w:rsidRPr="00CC43A5">
        <w:rPr>
          <w:rFonts w:ascii="Verdana" w:hAnsi="Verdana" w:cs="Tahoma"/>
          <w:sz w:val="20"/>
          <w:szCs w:val="20"/>
        </w:rPr>
        <w:t>. Nessas circunstâncias, a Emissora poderá ter sua capacidade financeira prejudicada.</w:t>
      </w:r>
    </w:p>
    <w:p w14:paraId="1AD866F1" w14:textId="77777777" w:rsidR="002E1841" w:rsidRPr="00D8596F" w:rsidRDefault="002E1841" w:rsidP="002E1841">
      <w:pPr>
        <w:autoSpaceDE/>
        <w:autoSpaceDN/>
        <w:adjustRightInd/>
        <w:rPr>
          <w:rFonts w:ascii="Verdana" w:hAnsi="Verdana" w:cs="Tahoma"/>
          <w:i/>
          <w:iCs/>
          <w:sz w:val="20"/>
          <w:szCs w:val="20"/>
          <w:u w:val="single"/>
        </w:rPr>
      </w:pPr>
    </w:p>
    <w:p w14:paraId="7AF1E9E3" w14:textId="77777777" w:rsidR="002E1841" w:rsidRDefault="002E1841" w:rsidP="002E1841">
      <w:pPr>
        <w:autoSpaceDE/>
        <w:autoSpaceDN/>
        <w:adjustRightInd/>
        <w:jc w:val="both"/>
        <w:rPr>
          <w:rFonts w:ascii="Verdana" w:hAnsi="Verdana" w:cs="Tahoma"/>
          <w:i/>
          <w:iCs/>
          <w:sz w:val="20"/>
          <w:szCs w:val="20"/>
          <w:u w:val="single"/>
        </w:rPr>
      </w:pPr>
      <w:r w:rsidRPr="00D8596F">
        <w:rPr>
          <w:rFonts w:ascii="Verdana" w:hAnsi="Verdana" w:cs="Tahoma"/>
          <w:i/>
          <w:iCs/>
          <w:sz w:val="20"/>
          <w:szCs w:val="20"/>
          <w:u w:val="single"/>
        </w:rPr>
        <w:t xml:space="preserve">A pandemia do </w:t>
      </w:r>
      <w:proofErr w:type="spellStart"/>
      <w:r w:rsidRPr="00D8596F">
        <w:rPr>
          <w:rFonts w:ascii="Verdana" w:hAnsi="Verdana" w:cs="Tahoma"/>
          <w:i/>
          <w:iCs/>
          <w:sz w:val="20"/>
          <w:szCs w:val="20"/>
          <w:u w:val="single"/>
        </w:rPr>
        <w:t>Coronavírus</w:t>
      </w:r>
      <w:proofErr w:type="spellEnd"/>
      <w:r w:rsidRPr="00D8596F">
        <w:rPr>
          <w:rFonts w:ascii="Verdana" w:hAnsi="Verdana" w:cs="Tahoma"/>
          <w:i/>
          <w:iCs/>
          <w:sz w:val="20"/>
          <w:szCs w:val="20"/>
          <w:u w:val="single"/>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p>
    <w:p w14:paraId="2DA6AE77" w14:textId="77777777" w:rsidR="002E1841" w:rsidRDefault="002E1841" w:rsidP="002E1841">
      <w:pPr>
        <w:autoSpaceDE/>
        <w:autoSpaceDN/>
        <w:adjustRightInd/>
        <w:jc w:val="both"/>
        <w:rPr>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8255C02"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D8596F">
        <w:rPr>
          <w:rFonts w:ascii="Verdana" w:hAnsi="Verdana" w:cs="Tahoma"/>
          <w:sz w:val="20"/>
          <w:szCs w:val="20"/>
        </w:rPr>
        <w:t>circuit</w:t>
      </w:r>
      <w:proofErr w:type="spellEnd"/>
      <w:r w:rsidRPr="00D8596F">
        <w:rPr>
          <w:rFonts w:ascii="Verdana" w:hAnsi="Verdana" w:cs="Tahoma"/>
          <w:sz w:val="20"/>
          <w:szCs w:val="20"/>
        </w:rPr>
        <w:t xml:space="preserve"> </w:t>
      </w:r>
      <w:proofErr w:type="spellStart"/>
      <w:r w:rsidRPr="00D8596F">
        <w:rPr>
          <w:rFonts w:ascii="Verdana" w:hAnsi="Verdana" w:cs="Tahoma"/>
          <w:sz w:val="20"/>
          <w:szCs w:val="20"/>
        </w:rPr>
        <w:t>breaker</w:t>
      </w:r>
      <w:proofErr w:type="spellEnd"/>
      <w:r w:rsidRPr="00D8596F">
        <w:rPr>
          <w:rFonts w:ascii="Verdana" w:hAnsi="Verdana" w:cs="Tahoma"/>
          <w:sz w:val="20"/>
          <w:szCs w:val="20"/>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0C479AF6"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321087DD"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3F39017A"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D8596F">
        <w:rPr>
          <w:rFonts w:ascii="Verdana" w:hAnsi="Verdana" w:cs="Tahoma"/>
          <w:sz w:val="20"/>
          <w:szCs w:val="20"/>
        </w:rPr>
        <w:t>fornecer</w:t>
      </w:r>
      <w:proofErr w:type="spellEnd"/>
      <w:r w:rsidRPr="00D8596F">
        <w:rPr>
          <w:rFonts w:ascii="Verdana" w:hAnsi="Verdana" w:cs="Tahoma"/>
          <w:sz w:val="20"/>
          <w:szCs w:val="20"/>
        </w:rPr>
        <w:t xml:space="preserve"> orientação quanto ao efeito da disseminação da COVID-19 e de uma pandemia global e, como resultado, o impacto final do surto da COVID-19 ou de uma epidemia de saúde semelhante é altamente incerto e sujeito a alterações. </w:t>
      </w:r>
    </w:p>
    <w:p w14:paraId="61535DBC" w14:textId="36C43ADC" w:rsidR="00EB5CDB" w:rsidRDefault="002E1841" w:rsidP="002E1841">
      <w:pPr>
        <w:autoSpaceDE/>
        <w:autoSpaceDN/>
        <w:adjustRightInd/>
        <w:spacing w:before="120" w:after="120" w:line="280" w:lineRule="exact"/>
        <w:jc w:val="both"/>
        <w:rPr>
          <w:rFonts w:ascii="Verdana" w:hAnsi="Verdana" w:cs="Tahoma"/>
          <w:sz w:val="20"/>
          <w:szCs w:val="20"/>
        </w:rPr>
      </w:pPr>
      <w:r w:rsidRPr="00D8596F">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r w:rsidR="00AC28EA">
        <w:rPr>
          <w:rFonts w:ascii="Verdana" w:hAnsi="Verdana" w:cs="Tahoma"/>
          <w:sz w:val="20"/>
          <w:szCs w:val="20"/>
        </w:rPr>
        <w:t>.</w:t>
      </w:r>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3F00495A"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657AC0">
        <w:rPr>
          <w:rFonts w:ascii="Verdana" w:hAnsi="Verdana"/>
          <w:b/>
          <w:smallCaps/>
          <w:sz w:val="20"/>
          <w:szCs w:val="20"/>
          <w:u w:val="single"/>
        </w:rPr>
        <w:t>3</w:t>
      </w:r>
      <w:r>
        <w:rPr>
          <w:rFonts w:ascii="Verdana" w:hAnsi="Verdana"/>
          <w:b/>
          <w:smallCaps/>
          <w:sz w:val="20"/>
          <w:szCs w:val="20"/>
          <w:u w:val="single"/>
        </w:rPr>
        <w:t xml:space="preserve"> (</w:t>
      </w:r>
      <w:r w:rsidR="00657AC0">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F470F4">
        <w:rPr>
          <w:rFonts w:ascii="Verdana" w:hAnsi="Verdana"/>
          <w:b/>
          <w:smallCaps/>
          <w:sz w:val="20"/>
          <w:szCs w:val="20"/>
          <w:u w:val="single"/>
        </w:rPr>
        <w:t>GYRA</w:t>
      </w:r>
      <w:r w:rsidR="005E4024">
        <w:rPr>
          <w:rFonts w:ascii="Verdana" w:hAnsi="Verdana"/>
          <w:b/>
          <w:smallCaps/>
          <w:sz w:val="20"/>
          <w:szCs w:val="20"/>
          <w:u w:val="single"/>
        </w:rPr>
        <w:t xml:space="preserve"> </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14:paraId="15B73C26" w14:textId="77777777" w:rsidTr="00227DC5">
        <w:tc>
          <w:tcPr>
            <w:tcW w:w="3969" w:type="dxa"/>
            <w:vAlign w:val="center"/>
          </w:tcPr>
          <w:p w14:paraId="2B006847" w14:textId="090AD4B9"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 xml:space="preserve">% Provisão </w:t>
            </w:r>
          </w:p>
        </w:tc>
      </w:tr>
      <w:tr w:rsidR="00BE3B17" w14:paraId="789530D1" w14:textId="77777777" w:rsidTr="00227DC5">
        <w:tc>
          <w:tcPr>
            <w:tcW w:w="3969" w:type="dxa"/>
            <w:vAlign w:val="center"/>
          </w:tcPr>
          <w:p w14:paraId="318B42D1" w14:textId="07802817"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0,50%</w:t>
            </w:r>
          </w:p>
        </w:tc>
      </w:tr>
      <w:tr w:rsidR="00BE3B17" w14:paraId="67D85C82" w14:textId="77777777" w:rsidTr="00227DC5">
        <w:tc>
          <w:tcPr>
            <w:tcW w:w="3969" w:type="dxa"/>
            <w:vAlign w:val="center"/>
          </w:tcPr>
          <w:p w14:paraId="0E7EC175" w14:textId="0537A059"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w:t>
            </w:r>
          </w:p>
        </w:tc>
      </w:tr>
      <w:tr w:rsidR="00BE3B17" w14:paraId="345D3E23" w14:textId="77777777" w:rsidTr="00227DC5">
        <w:tc>
          <w:tcPr>
            <w:tcW w:w="3969" w:type="dxa"/>
            <w:vAlign w:val="center"/>
          </w:tcPr>
          <w:p w14:paraId="7261D033" w14:textId="12A34AF1"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w:t>
            </w:r>
          </w:p>
        </w:tc>
      </w:tr>
      <w:tr w:rsidR="00BE3B17" w14:paraId="36E2F8EB" w14:textId="77777777" w:rsidTr="00227DC5">
        <w:tc>
          <w:tcPr>
            <w:tcW w:w="3969" w:type="dxa"/>
            <w:vAlign w:val="center"/>
          </w:tcPr>
          <w:p w14:paraId="782591E3" w14:textId="79950485"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10,00%</w:t>
            </w:r>
          </w:p>
        </w:tc>
      </w:tr>
      <w:tr w:rsidR="00BE3B17" w14:paraId="42EE2B7B" w14:textId="77777777" w:rsidTr="00227DC5">
        <w:tc>
          <w:tcPr>
            <w:tcW w:w="3969" w:type="dxa"/>
            <w:vAlign w:val="center"/>
          </w:tcPr>
          <w:p w14:paraId="3C7431FA" w14:textId="308F9CA6"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30,00%</w:t>
            </w:r>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3"/>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2B29" w14:textId="77777777" w:rsidR="001A49B1" w:rsidRDefault="001A49B1">
      <w:r>
        <w:separator/>
      </w:r>
    </w:p>
  </w:endnote>
  <w:endnote w:type="continuationSeparator" w:id="0">
    <w:p w14:paraId="6F186557" w14:textId="77777777" w:rsidR="001A49B1" w:rsidRDefault="001A49B1">
      <w:r>
        <w:continuationSeparator/>
      </w:r>
    </w:p>
  </w:endnote>
  <w:endnote w:type="continuationNotice" w:id="1">
    <w:p w14:paraId="690B64CE" w14:textId="77777777" w:rsidR="001A49B1" w:rsidRDefault="001A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373A67" w:rsidRDefault="00373A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373A67" w:rsidRDefault="00373A67">
    <w:pPr>
      <w:pStyle w:val="Rodap"/>
      <w:jc w:val="right"/>
      <w:rPr>
        <w:rFonts w:ascii="Verdana" w:hAnsi="Verdana"/>
        <w:sz w:val="20"/>
      </w:rPr>
    </w:pPr>
  </w:p>
  <w:p w14:paraId="584D5B6B" w14:textId="77777777" w:rsidR="00373A67" w:rsidRDefault="00373A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2FFE" w14:textId="77777777" w:rsidR="001A49B1" w:rsidRDefault="001A49B1">
      <w:r>
        <w:separator/>
      </w:r>
    </w:p>
  </w:footnote>
  <w:footnote w:type="continuationSeparator" w:id="0">
    <w:p w14:paraId="52252D2F" w14:textId="77777777" w:rsidR="001A49B1" w:rsidRDefault="001A49B1">
      <w:r>
        <w:continuationSeparator/>
      </w:r>
    </w:p>
  </w:footnote>
  <w:footnote w:type="continuationNotice" w:id="1">
    <w:p w14:paraId="6C00F0C7" w14:textId="77777777" w:rsidR="001A49B1" w:rsidRDefault="001A4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373A67" w:rsidRDefault="00373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373A67" w:rsidRDefault="00373A6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A49B1"/>
    <w:rsid w:val="001B4405"/>
    <w:rsid w:val="001C3E55"/>
    <w:rsid w:val="001F5F8A"/>
    <w:rsid w:val="00227DC5"/>
    <w:rsid w:val="002500C3"/>
    <w:rsid w:val="00251802"/>
    <w:rsid w:val="00251E22"/>
    <w:rsid w:val="002B1CAB"/>
    <w:rsid w:val="002E1841"/>
    <w:rsid w:val="00306A61"/>
    <w:rsid w:val="00312DF9"/>
    <w:rsid w:val="00312E0C"/>
    <w:rsid w:val="0035022B"/>
    <w:rsid w:val="00373A67"/>
    <w:rsid w:val="003740F1"/>
    <w:rsid w:val="003A66FD"/>
    <w:rsid w:val="003C450E"/>
    <w:rsid w:val="00435E3F"/>
    <w:rsid w:val="004509C0"/>
    <w:rsid w:val="00480315"/>
    <w:rsid w:val="004B7DFE"/>
    <w:rsid w:val="004D2F65"/>
    <w:rsid w:val="00502CDD"/>
    <w:rsid w:val="00514413"/>
    <w:rsid w:val="005233B6"/>
    <w:rsid w:val="00551D05"/>
    <w:rsid w:val="00572833"/>
    <w:rsid w:val="00574DDE"/>
    <w:rsid w:val="00584983"/>
    <w:rsid w:val="0059795D"/>
    <w:rsid w:val="005A7227"/>
    <w:rsid w:val="005E02F5"/>
    <w:rsid w:val="005E4024"/>
    <w:rsid w:val="00617C86"/>
    <w:rsid w:val="00623024"/>
    <w:rsid w:val="00646D01"/>
    <w:rsid w:val="00653EC5"/>
    <w:rsid w:val="00654C24"/>
    <w:rsid w:val="00657AC0"/>
    <w:rsid w:val="00696595"/>
    <w:rsid w:val="006B26B3"/>
    <w:rsid w:val="006C355A"/>
    <w:rsid w:val="006D17D9"/>
    <w:rsid w:val="006E2FA9"/>
    <w:rsid w:val="006F22B6"/>
    <w:rsid w:val="006F2A2A"/>
    <w:rsid w:val="00706073"/>
    <w:rsid w:val="00711B4D"/>
    <w:rsid w:val="007120CB"/>
    <w:rsid w:val="00773C5E"/>
    <w:rsid w:val="00776316"/>
    <w:rsid w:val="007813F3"/>
    <w:rsid w:val="00781B4E"/>
    <w:rsid w:val="007A2038"/>
    <w:rsid w:val="007A271B"/>
    <w:rsid w:val="007B224C"/>
    <w:rsid w:val="0081697D"/>
    <w:rsid w:val="00877D42"/>
    <w:rsid w:val="008A21AF"/>
    <w:rsid w:val="008C3160"/>
    <w:rsid w:val="008D5596"/>
    <w:rsid w:val="008D6F6D"/>
    <w:rsid w:val="008E55E6"/>
    <w:rsid w:val="00916CF6"/>
    <w:rsid w:val="00925E96"/>
    <w:rsid w:val="00933FCF"/>
    <w:rsid w:val="00947946"/>
    <w:rsid w:val="00950EAF"/>
    <w:rsid w:val="0095295B"/>
    <w:rsid w:val="009C2A92"/>
    <w:rsid w:val="009C2DD3"/>
    <w:rsid w:val="009D0976"/>
    <w:rsid w:val="009E4D05"/>
    <w:rsid w:val="009E7B17"/>
    <w:rsid w:val="00A104FE"/>
    <w:rsid w:val="00A1258F"/>
    <w:rsid w:val="00A870AB"/>
    <w:rsid w:val="00A9636F"/>
    <w:rsid w:val="00AA4EA8"/>
    <w:rsid w:val="00AA6B30"/>
    <w:rsid w:val="00AC28EA"/>
    <w:rsid w:val="00B0751C"/>
    <w:rsid w:val="00B3656A"/>
    <w:rsid w:val="00B52409"/>
    <w:rsid w:val="00B75E9B"/>
    <w:rsid w:val="00BA08A7"/>
    <w:rsid w:val="00BA774E"/>
    <w:rsid w:val="00BB43A4"/>
    <w:rsid w:val="00BE3B17"/>
    <w:rsid w:val="00BE4F04"/>
    <w:rsid w:val="00C32572"/>
    <w:rsid w:val="00C61E23"/>
    <w:rsid w:val="00CC270D"/>
    <w:rsid w:val="00CE1770"/>
    <w:rsid w:val="00CE5BCE"/>
    <w:rsid w:val="00D06DE5"/>
    <w:rsid w:val="00D20BBE"/>
    <w:rsid w:val="00D527EA"/>
    <w:rsid w:val="00DB48DA"/>
    <w:rsid w:val="00EB5B24"/>
    <w:rsid w:val="00EB5CDB"/>
    <w:rsid w:val="00F223CF"/>
    <w:rsid w:val="00F470F4"/>
    <w:rsid w:val="00F563FC"/>
    <w:rsid w:val="00F85A0A"/>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image" Target="media/image3.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565F9FC0-FBE8-4D1E-94CE-9C0A0133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35655</Words>
  <Characters>210916</Characters>
  <Application>Microsoft Office Word</Application>
  <DocSecurity>0</DocSecurity>
  <Lines>1757</Lines>
  <Paragraphs>492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2</cp:revision>
  <cp:lastPrinted>2020-09-29T02:47:00Z</cp:lastPrinted>
  <dcterms:created xsi:type="dcterms:W3CDTF">2020-09-29T02:54:00Z</dcterms:created>
  <dcterms:modified xsi:type="dcterms:W3CDTF">2020-09-29T02:54:00Z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