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D79" w14:textId="1A4E9D39" w:rsidR="00E87A5F" w:rsidRPr="001F3152" w:rsidRDefault="00E87A5F" w:rsidP="00731C54">
      <w:pPr>
        <w:spacing w:line="276" w:lineRule="auto"/>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w:t>
      </w:r>
      <w:r w:rsidR="00E559B0">
        <w:rPr>
          <w:rFonts w:ascii="Verdana" w:hAnsi="Verdana" w:cs="Tahoma"/>
          <w:b/>
          <w:smallCaps/>
          <w:sz w:val="20"/>
          <w:szCs w:val="20"/>
        </w:rPr>
        <w:t>5</w:t>
      </w:r>
      <w:r w:rsidR="001E2F19" w:rsidRPr="00A76E99">
        <w:rPr>
          <w:rFonts w:ascii="Verdana" w:hAnsi="Verdana" w:cs="Tahoma"/>
          <w:b/>
          <w:smallCaps/>
          <w:sz w:val="20"/>
          <w:szCs w:val="20"/>
        </w:rPr>
        <w:t xml:space="preserve">º </w:t>
      </w:r>
      <w:r w:rsidR="001E7658" w:rsidRPr="00A76E99">
        <w:rPr>
          <w:rFonts w:ascii="Verdana" w:hAnsi="Verdana" w:cs="Tahoma"/>
          <w:b/>
          <w:smallCaps/>
          <w:sz w:val="20"/>
          <w:szCs w:val="20"/>
        </w:rPr>
        <w:t>(</w:t>
      </w:r>
      <w:r w:rsidR="00E559B0">
        <w:rPr>
          <w:rFonts w:ascii="Verdana" w:hAnsi="Verdana" w:cs="Tahoma"/>
          <w:b/>
          <w:smallCaps/>
          <w:sz w:val="20"/>
          <w:szCs w:val="20"/>
        </w:rPr>
        <w:t>QUINTO</w:t>
      </w:r>
      <w:r w:rsidR="001E7658" w:rsidRPr="00A76E99">
        <w:rPr>
          <w:rFonts w:ascii="Verdana" w:hAnsi="Verdana" w:cs="Tahoma"/>
          <w:b/>
          <w:smallCaps/>
          <w:sz w:val="20"/>
          <w:szCs w:val="20"/>
        </w:rPr>
        <w:t>)</w:t>
      </w:r>
      <w:r w:rsidRPr="00A76E99">
        <w:rPr>
          <w:rFonts w:ascii="Verdana" w:hAnsi="Verdana" w:cs="Tahoma"/>
          <w:b/>
          <w:smallCap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731C54">
      <w:pPr>
        <w:spacing w:line="276" w:lineRule="auto"/>
        <w:jc w:val="both"/>
        <w:rPr>
          <w:rFonts w:ascii="Verdana" w:hAnsi="Verdana" w:cs="Tahoma"/>
          <w:sz w:val="20"/>
          <w:szCs w:val="20"/>
        </w:rPr>
      </w:pPr>
    </w:p>
    <w:p w14:paraId="3AB814BB" w14:textId="2EB3A6E0" w:rsidR="00E87A5F" w:rsidRPr="00296138" w:rsidRDefault="00E87A5F" w:rsidP="00731C54">
      <w:pPr>
        <w:spacing w:line="276" w:lineRule="auto"/>
        <w:jc w:val="both"/>
        <w:rPr>
          <w:rFonts w:ascii="Verdana" w:hAnsi="Verdana" w:cs="Tahoma"/>
          <w:sz w:val="20"/>
          <w:szCs w:val="20"/>
        </w:rPr>
      </w:pPr>
      <w:r w:rsidRPr="00296138">
        <w:rPr>
          <w:rFonts w:ascii="Verdana" w:hAnsi="Verdana" w:cs="Tahoma"/>
          <w:sz w:val="20"/>
          <w:szCs w:val="20"/>
        </w:rPr>
        <w:t xml:space="preserve">Pelo presente instrumento particular de </w:t>
      </w:r>
      <w:r w:rsidR="00E559B0">
        <w:rPr>
          <w:rFonts w:ascii="Verdana" w:hAnsi="Verdana" w:cs="Tahoma"/>
          <w:sz w:val="20"/>
          <w:szCs w:val="20"/>
        </w:rPr>
        <w:t>5</w:t>
      </w:r>
      <w:r w:rsidR="001E7658" w:rsidRPr="00296138">
        <w:rPr>
          <w:rFonts w:ascii="Verdana" w:hAnsi="Verdana" w:cs="Tahoma"/>
          <w:sz w:val="20"/>
          <w:szCs w:val="20"/>
        </w:rPr>
        <w:t>º (</w:t>
      </w:r>
      <w:r w:rsidR="00E559B0">
        <w:rPr>
          <w:rFonts w:ascii="Verdana" w:hAnsi="Verdana" w:cs="Tahoma"/>
          <w:sz w:val="20"/>
          <w:szCs w:val="20"/>
        </w:rPr>
        <w:t>quinto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731C54">
      <w:pPr>
        <w:tabs>
          <w:tab w:val="left" w:pos="4678"/>
        </w:tabs>
        <w:spacing w:line="276" w:lineRule="auto"/>
        <w:jc w:val="both"/>
        <w:rPr>
          <w:rFonts w:ascii="Verdana" w:hAnsi="Verdana" w:cs="Tahoma"/>
          <w:b/>
          <w:bCs/>
          <w:sz w:val="20"/>
          <w:szCs w:val="20"/>
        </w:rPr>
      </w:pPr>
    </w:p>
    <w:p w14:paraId="76DC5AEF" w14:textId="38744A8C" w:rsidR="00E87A5F" w:rsidRPr="00296138" w:rsidRDefault="00117450" w:rsidP="00731C54">
      <w:pPr>
        <w:spacing w:line="276" w:lineRule="auto"/>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sociedade por ações</w:t>
      </w:r>
      <w:r w:rsidR="007F2387">
        <w:rPr>
          <w:rFonts w:ascii="Verdana" w:hAnsi="Verdana"/>
          <w:sz w:val="20"/>
          <w:szCs w:val="20"/>
        </w:rPr>
        <w:t>,</w:t>
      </w:r>
      <w:r>
        <w:rPr>
          <w:rFonts w:ascii="Verdana" w:hAnsi="Verdana"/>
          <w:sz w:val="20"/>
          <w:szCs w:val="20"/>
        </w:rPr>
        <w:t xml:space="preserve">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731C54">
      <w:pPr>
        <w:spacing w:line="276" w:lineRule="auto"/>
        <w:jc w:val="both"/>
        <w:rPr>
          <w:rFonts w:ascii="Verdana" w:hAnsi="Verdana" w:cs="Tahoma"/>
          <w:sz w:val="20"/>
          <w:szCs w:val="20"/>
        </w:rPr>
      </w:pPr>
    </w:p>
    <w:p w14:paraId="402EF554" w14:textId="77777777" w:rsidR="00596037" w:rsidRPr="00296138" w:rsidRDefault="00596037" w:rsidP="00731C54">
      <w:pPr>
        <w:spacing w:line="276" w:lineRule="auto"/>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731C54">
      <w:pPr>
        <w:spacing w:line="276" w:lineRule="auto"/>
        <w:jc w:val="both"/>
        <w:rPr>
          <w:rFonts w:ascii="Verdana" w:hAnsi="Verdana" w:cs="Tahoma"/>
          <w:sz w:val="20"/>
          <w:szCs w:val="20"/>
        </w:rPr>
      </w:pPr>
    </w:p>
    <w:p w14:paraId="39C68CC4" w14:textId="64867AB8" w:rsidR="00E87A5F" w:rsidRPr="00296138" w:rsidRDefault="00E87A5F" w:rsidP="00731C54">
      <w:pPr>
        <w:spacing w:line="276" w:lineRule="auto"/>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731C54">
      <w:pPr>
        <w:spacing w:line="276" w:lineRule="auto"/>
        <w:jc w:val="both"/>
        <w:rPr>
          <w:rFonts w:ascii="Verdana" w:hAnsi="Verdana" w:cs="Tahoma"/>
          <w:b/>
          <w:sz w:val="20"/>
          <w:szCs w:val="20"/>
          <w:u w:val="single"/>
        </w:rPr>
      </w:pPr>
      <w:bookmarkStart w:id="0" w:name="_DV_M416"/>
      <w:bookmarkEnd w:id="0"/>
    </w:p>
    <w:p w14:paraId="22496D9F" w14:textId="77777777" w:rsidR="00E87A5F" w:rsidRPr="00296138" w:rsidRDefault="00E87A5F" w:rsidP="00731C54">
      <w:pPr>
        <w:spacing w:line="276" w:lineRule="auto"/>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731C54">
      <w:pPr>
        <w:pStyle w:val="PargrafodaLista"/>
        <w:autoSpaceDE/>
        <w:adjustRightInd/>
        <w:spacing w:line="276" w:lineRule="auto"/>
        <w:ind w:left="0"/>
        <w:jc w:val="both"/>
        <w:rPr>
          <w:rFonts w:ascii="Verdana" w:hAnsi="Verdana" w:cs="Tahoma"/>
          <w:sz w:val="20"/>
          <w:szCs w:val="20"/>
        </w:rPr>
      </w:pPr>
    </w:p>
    <w:p w14:paraId="3294B18D" w14:textId="605CB712" w:rsidR="001F3152" w:rsidRPr="00296138" w:rsidRDefault="00596037" w:rsidP="00731C54">
      <w:pPr>
        <w:numPr>
          <w:ilvl w:val="1"/>
          <w:numId w:val="3"/>
        </w:numPr>
        <w:spacing w:line="276" w:lineRule="auto"/>
        <w:ind w:right="-22"/>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7F2387">
        <w:rPr>
          <w:rFonts w:ascii="Verdana" w:eastAsia="MS Mincho" w:hAnsi="Verdana" w:cs="Tahoma"/>
          <w:bCs/>
          <w:sz w:val="20"/>
          <w:szCs w:val="20"/>
        </w:rPr>
        <w:t>,</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Pr="00A76E99">
        <w:rPr>
          <w:rFonts w:ascii="Verdana" w:eastAsia="MS Mincho" w:hAnsi="Verdana" w:cs="Tahoma"/>
          <w:bCs/>
          <w:sz w:val="20"/>
          <w:szCs w:val="20"/>
        </w:rPr>
        <w:t xml:space="preserve">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731C54">
      <w:pPr>
        <w:spacing w:line="276" w:lineRule="auto"/>
        <w:ind w:right="261"/>
        <w:jc w:val="both"/>
        <w:rPr>
          <w:rFonts w:ascii="Verdana" w:eastAsia="MS Mincho" w:hAnsi="Verdana" w:cs="Tahoma"/>
          <w:b/>
          <w:sz w:val="20"/>
          <w:szCs w:val="20"/>
        </w:rPr>
      </w:pPr>
    </w:p>
    <w:p w14:paraId="0158F3BB" w14:textId="651585E2" w:rsidR="00E559B0" w:rsidRDefault="00E559B0" w:rsidP="00731C54">
      <w:pPr>
        <w:numPr>
          <w:ilvl w:val="1"/>
          <w:numId w:val="3"/>
        </w:numPr>
        <w:spacing w:line="276" w:lineRule="auto"/>
        <w:ind w:right="-22"/>
        <w:jc w:val="both"/>
        <w:rPr>
          <w:rFonts w:ascii="Verdana" w:eastAsia="MS Mincho" w:hAnsi="Verdana" w:cs="Tahoma"/>
          <w:b/>
          <w:sz w:val="20"/>
          <w:szCs w:val="20"/>
        </w:rPr>
      </w:pPr>
      <w:r>
        <w:rPr>
          <w:rFonts w:ascii="Verdana" w:hAnsi="Verdana"/>
          <w:bCs/>
          <w:sz w:val="20"/>
          <w:szCs w:val="20"/>
        </w:rPr>
        <w:t>A Emissora e o Agente Fiduciário</w:t>
      </w:r>
      <w:r w:rsidR="00830DA8" w:rsidRPr="00296138">
        <w:rPr>
          <w:rFonts w:ascii="Verdana" w:hAnsi="Verdana"/>
          <w:bCs/>
          <w:sz w:val="20"/>
          <w:szCs w:val="20"/>
        </w:rPr>
        <w:t xml:space="preserve"> celebraram em 0</w:t>
      </w:r>
      <w:r w:rsidR="00117450">
        <w:rPr>
          <w:rFonts w:ascii="Verdana" w:hAnsi="Verdana"/>
          <w:bCs/>
          <w:sz w:val="20"/>
          <w:szCs w:val="20"/>
        </w:rPr>
        <w:t>1</w:t>
      </w:r>
      <w:r w:rsidR="00830DA8" w:rsidRPr="00296138">
        <w:rPr>
          <w:rFonts w:ascii="Verdana" w:hAnsi="Verdana"/>
          <w:bCs/>
          <w:sz w:val="20"/>
          <w:szCs w:val="20"/>
        </w:rPr>
        <w:t xml:space="preserve"> de </w:t>
      </w:r>
      <w:r w:rsidR="00117450">
        <w:rPr>
          <w:rFonts w:ascii="Verdana" w:hAnsi="Verdana"/>
          <w:bCs/>
          <w:sz w:val="20"/>
          <w:szCs w:val="20"/>
        </w:rPr>
        <w:t>outubro</w:t>
      </w:r>
      <w:r w:rsidR="00830DA8" w:rsidRPr="00296138">
        <w:rPr>
          <w:rFonts w:ascii="Verdana" w:hAnsi="Verdana"/>
          <w:bCs/>
          <w:sz w:val="20"/>
          <w:szCs w:val="20"/>
        </w:rPr>
        <w:t xml:space="preserve"> de 2020 </w:t>
      </w:r>
      <w:r w:rsidR="007F2387" w:rsidRPr="00296138">
        <w:rPr>
          <w:rFonts w:ascii="Verdana" w:hAnsi="Verdana"/>
          <w:bCs/>
          <w:sz w:val="20"/>
          <w:szCs w:val="20"/>
        </w:rPr>
        <w:t>o “</w:t>
      </w:r>
      <w:r w:rsidR="00830DA8"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00830DA8"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 xml:space="preserve">Companhia </w:t>
      </w:r>
      <w:proofErr w:type="spellStart"/>
      <w:r w:rsidR="001F3152" w:rsidRPr="00FE5B1B">
        <w:rPr>
          <w:rFonts w:ascii="Verdana" w:hAnsi="Verdana"/>
          <w:bCs/>
          <w:i/>
          <w:iCs/>
          <w:sz w:val="20"/>
          <w:szCs w:val="20"/>
        </w:rPr>
        <w:t>Securitizadora</w:t>
      </w:r>
      <w:proofErr w:type="spellEnd"/>
      <w:r w:rsidR="001F3152" w:rsidRPr="00FE5B1B">
        <w:rPr>
          <w:rFonts w:ascii="Verdana" w:hAnsi="Verdana"/>
          <w:bCs/>
          <w:i/>
          <w:iCs/>
          <w:sz w:val="20"/>
          <w:szCs w:val="20"/>
        </w:rPr>
        <w:t xml:space="preserve"> de Créditos Financeiros VERT-</w:t>
      </w:r>
      <w:proofErr w:type="spellStart"/>
      <w:r w:rsidR="001F3152" w:rsidRPr="00FE5B1B">
        <w:rPr>
          <w:rFonts w:ascii="Verdana" w:hAnsi="Verdana"/>
          <w:bCs/>
          <w:i/>
          <w:iCs/>
          <w:sz w:val="20"/>
          <w:szCs w:val="20"/>
        </w:rPr>
        <w:t>Gyra</w:t>
      </w:r>
      <w:proofErr w:type="spellEnd"/>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r w:rsidR="00830DA8"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00830DA8"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00830DA8" w:rsidRPr="00296138">
        <w:rPr>
          <w:rFonts w:ascii="Verdana" w:hAnsi="Verdana"/>
          <w:bCs/>
          <w:sz w:val="20"/>
          <w:szCs w:val="20"/>
        </w:rPr>
        <w:t>.</w:t>
      </w:r>
    </w:p>
    <w:p w14:paraId="6A6C090D" w14:textId="77777777" w:rsidR="00E559B0" w:rsidRDefault="00E559B0" w:rsidP="00731C54">
      <w:pPr>
        <w:pStyle w:val="PargrafodaLista"/>
        <w:spacing w:line="276" w:lineRule="auto"/>
        <w:rPr>
          <w:rFonts w:ascii="Verdana" w:hAnsi="Verdana" w:cs="Tahoma"/>
          <w:b/>
          <w:sz w:val="20"/>
          <w:szCs w:val="20"/>
        </w:rPr>
      </w:pPr>
    </w:p>
    <w:p w14:paraId="05BE23B2" w14:textId="4D089191" w:rsidR="00E559B0" w:rsidRPr="00E559B0" w:rsidRDefault="00E559B0" w:rsidP="00731C54">
      <w:pPr>
        <w:numPr>
          <w:ilvl w:val="1"/>
          <w:numId w:val="3"/>
        </w:numPr>
        <w:spacing w:line="276" w:lineRule="auto"/>
        <w:ind w:right="-22"/>
        <w:jc w:val="both"/>
        <w:rPr>
          <w:rFonts w:ascii="Verdana" w:eastAsia="MS Mincho" w:hAnsi="Verdana" w:cs="Tahoma"/>
          <w:b/>
          <w:sz w:val="20"/>
          <w:szCs w:val="20"/>
        </w:rPr>
      </w:pPr>
      <w:r>
        <w:rPr>
          <w:rFonts w:ascii="Verdana" w:eastAsia="MS Mincho" w:hAnsi="Verdana" w:cs="Tahoma"/>
          <w:bCs/>
          <w:sz w:val="20"/>
          <w:szCs w:val="20"/>
        </w:rPr>
        <w:t>As Partes concordam, conforme unanimemente aprovado e nos termos da Ata de Assembleia Geral dos Debenturistas da Emissão, realizada em 28 de abril de 2021</w:t>
      </w:r>
      <w:r w:rsidR="00306226">
        <w:rPr>
          <w:rFonts w:ascii="Verdana" w:eastAsia="MS Mincho" w:hAnsi="Verdana" w:cs="Tahoma"/>
          <w:bCs/>
          <w:sz w:val="20"/>
          <w:szCs w:val="20"/>
        </w:rPr>
        <w:t xml:space="preserve"> (“</w:t>
      </w:r>
      <w:r w:rsidR="00306226">
        <w:rPr>
          <w:rFonts w:ascii="Verdana" w:eastAsia="MS Mincho" w:hAnsi="Verdana" w:cs="Tahoma"/>
          <w:bCs/>
          <w:sz w:val="20"/>
          <w:szCs w:val="20"/>
          <w:u w:val="single"/>
        </w:rPr>
        <w:t>AGD</w:t>
      </w:r>
      <w:r w:rsidR="00306226">
        <w:rPr>
          <w:rFonts w:ascii="Verdana" w:eastAsia="MS Mincho" w:hAnsi="Verdana" w:cs="Tahoma"/>
          <w:bCs/>
          <w:sz w:val="20"/>
          <w:szCs w:val="20"/>
        </w:rPr>
        <w:t>”)</w:t>
      </w:r>
      <w:r>
        <w:rPr>
          <w:rFonts w:ascii="Verdana" w:eastAsia="MS Mincho" w:hAnsi="Verdana" w:cs="Tahoma"/>
          <w:bCs/>
          <w:sz w:val="20"/>
          <w:szCs w:val="20"/>
        </w:rPr>
        <w:t xml:space="preserve">, em </w:t>
      </w:r>
      <w:r>
        <w:rPr>
          <w:rFonts w:ascii="Verdana" w:eastAsia="MS Mincho" w:hAnsi="Verdana" w:cs="Tahoma"/>
          <w:bCs/>
          <w:sz w:val="20"/>
          <w:szCs w:val="20"/>
        </w:rPr>
        <w:lastRenderedPageBreak/>
        <w:t>alterar (i) a tabela de Provisões de Devedores Duvidosos constante no Anexo V da Escritura de Emissão; (</w:t>
      </w:r>
      <w:proofErr w:type="spellStart"/>
      <w:r>
        <w:rPr>
          <w:rFonts w:ascii="Verdana" w:eastAsia="MS Mincho" w:hAnsi="Verdana" w:cs="Tahoma"/>
          <w:bCs/>
          <w:sz w:val="20"/>
          <w:szCs w:val="20"/>
        </w:rPr>
        <w:t>ii</w:t>
      </w:r>
      <w:proofErr w:type="spellEnd"/>
      <w:r>
        <w:rPr>
          <w:rFonts w:ascii="Verdana" w:eastAsia="MS Mincho" w:hAnsi="Verdana" w:cs="Tahoma"/>
          <w:bCs/>
          <w:sz w:val="20"/>
          <w:szCs w:val="20"/>
        </w:rPr>
        <w:t>) a tabela constante da cláusula 3.8.10 (</w:t>
      </w:r>
      <w:proofErr w:type="spellStart"/>
      <w:r>
        <w:rPr>
          <w:rFonts w:ascii="Verdana" w:eastAsia="MS Mincho" w:hAnsi="Verdana" w:cs="Tahoma"/>
          <w:bCs/>
          <w:sz w:val="20"/>
          <w:szCs w:val="20"/>
        </w:rPr>
        <w:t>viii</w:t>
      </w:r>
      <w:proofErr w:type="spellEnd"/>
      <w:r>
        <w:rPr>
          <w:rFonts w:ascii="Verdana" w:eastAsia="MS Mincho" w:hAnsi="Verdana" w:cs="Tahoma"/>
          <w:bCs/>
          <w:sz w:val="20"/>
          <w:szCs w:val="20"/>
        </w:rPr>
        <w:t>) da Escritura de Emissão; e (</w:t>
      </w:r>
      <w:proofErr w:type="spellStart"/>
      <w:r>
        <w:rPr>
          <w:rFonts w:ascii="Verdana" w:eastAsia="MS Mincho" w:hAnsi="Verdana" w:cs="Tahoma"/>
          <w:bCs/>
          <w:sz w:val="20"/>
          <w:szCs w:val="20"/>
        </w:rPr>
        <w:t>iii</w:t>
      </w:r>
      <w:proofErr w:type="spellEnd"/>
      <w:r>
        <w:rPr>
          <w:rFonts w:ascii="Verdana" w:eastAsia="MS Mincho" w:hAnsi="Verdana" w:cs="Tahoma"/>
          <w:bCs/>
          <w:sz w:val="20"/>
          <w:szCs w:val="20"/>
        </w:rPr>
        <w:t>) as definições de Índice de Cobertura da Segunda Série e Fator de Ponderação da Segunda Série, ambas constantes do glossário da Escritura de Emissão.</w:t>
      </w:r>
    </w:p>
    <w:p w14:paraId="0D1A6BB5" w14:textId="77777777" w:rsidR="00942396" w:rsidRPr="00296138" w:rsidRDefault="00942396" w:rsidP="00731C54">
      <w:pPr>
        <w:pStyle w:val="PargrafodaLista"/>
        <w:autoSpaceDE/>
        <w:adjustRightInd/>
        <w:spacing w:line="276" w:lineRule="auto"/>
        <w:ind w:left="0"/>
        <w:jc w:val="both"/>
        <w:outlineLvl w:val="1"/>
        <w:rPr>
          <w:rFonts w:ascii="Verdana" w:hAnsi="Verdana" w:cs="Tahoma"/>
          <w:sz w:val="20"/>
          <w:szCs w:val="20"/>
        </w:rPr>
      </w:pPr>
    </w:p>
    <w:p w14:paraId="49A2ADBC" w14:textId="78D89AEF" w:rsidR="00E87A5F" w:rsidRPr="00296138" w:rsidRDefault="00E87A5F" w:rsidP="00731C54">
      <w:pPr>
        <w:spacing w:line="276" w:lineRule="auto"/>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E559B0">
        <w:rPr>
          <w:rFonts w:ascii="Verdana" w:hAnsi="Verdana" w:cs="Tahoma"/>
          <w:i/>
          <w:sz w:val="20"/>
          <w:szCs w:val="20"/>
        </w:rPr>
        <w:t>5</w:t>
      </w:r>
      <w:r w:rsidR="001E2F19" w:rsidRPr="00296138">
        <w:rPr>
          <w:rFonts w:ascii="Verdana" w:hAnsi="Verdana" w:cs="Tahoma"/>
          <w:i/>
          <w:sz w:val="20"/>
          <w:szCs w:val="20"/>
        </w:rPr>
        <w:t xml:space="preserve">º </w:t>
      </w:r>
      <w:r w:rsidR="001E7658" w:rsidRPr="00296138">
        <w:rPr>
          <w:rFonts w:ascii="Verdana" w:hAnsi="Verdana" w:cs="Tahoma"/>
          <w:i/>
          <w:sz w:val="20"/>
          <w:szCs w:val="20"/>
        </w:rPr>
        <w:t>(</w:t>
      </w:r>
      <w:r w:rsidR="007F2387">
        <w:rPr>
          <w:rFonts w:ascii="Verdana" w:hAnsi="Verdana" w:cs="Tahoma"/>
          <w:i/>
          <w:sz w:val="20"/>
          <w:szCs w:val="20"/>
        </w:rPr>
        <w:t>q</w:t>
      </w:r>
      <w:r w:rsidR="00E559B0">
        <w:rPr>
          <w:rFonts w:ascii="Verdana" w:hAnsi="Verdana" w:cs="Tahoma"/>
          <w:i/>
          <w:sz w:val="20"/>
          <w:szCs w:val="20"/>
        </w:rPr>
        <w:t>uinto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1F3152" w:rsidRPr="00296138">
        <w:rPr>
          <w:rFonts w:ascii="Verdana" w:hAnsi="Verdana"/>
          <w:bCs/>
          <w:i/>
          <w:iCs/>
          <w:sz w:val="20"/>
          <w:szCs w:val="20"/>
        </w:rPr>
        <w:t xml:space="preserve">Instrumento Particular de Escritura da </w:t>
      </w:r>
      <w:r w:rsidR="001F3152">
        <w:rPr>
          <w:rFonts w:ascii="Verdana" w:hAnsi="Verdana"/>
          <w:bCs/>
          <w:i/>
          <w:iCs/>
          <w:sz w:val="20"/>
          <w:szCs w:val="20"/>
        </w:rPr>
        <w:t>2</w:t>
      </w:r>
      <w:r w:rsidR="001F3152" w:rsidRPr="00296138">
        <w:rPr>
          <w:rFonts w:ascii="Verdana" w:hAnsi="Verdana"/>
          <w:bCs/>
          <w:i/>
          <w:iCs/>
          <w:sz w:val="20"/>
          <w:szCs w:val="20"/>
        </w:rPr>
        <w:t>ª (</w:t>
      </w:r>
      <w:r w:rsidR="001F3152">
        <w:rPr>
          <w:rFonts w:ascii="Verdana" w:hAnsi="Verdana"/>
          <w:bCs/>
          <w:i/>
          <w:iCs/>
          <w:sz w:val="20"/>
          <w:szCs w:val="20"/>
        </w:rPr>
        <w:t>segunda) Emissão</w:t>
      </w:r>
      <w:r w:rsidR="001F3152" w:rsidRPr="001F3152">
        <w:rPr>
          <w:rFonts w:ascii="Verdana" w:hAnsi="Verdana"/>
          <w:bCs/>
          <w:i/>
          <w:iCs/>
          <w:sz w:val="20"/>
          <w:szCs w:val="20"/>
        </w:rPr>
        <w:t xml:space="preserve"> de </w:t>
      </w:r>
      <w:r w:rsidR="001F3152">
        <w:rPr>
          <w:rFonts w:ascii="Verdana" w:hAnsi="Verdana"/>
          <w:bCs/>
          <w:i/>
          <w:iCs/>
          <w:sz w:val="20"/>
          <w:szCs w:val="20"/>
        </w:rPr>
        <w:t>D</w:t>
      </w:r>
      <w:r w:rsidR="001F3152" w:rsidRPr="001F3152">
        <w:rPr>
          <w:rFonts w:ascii="Verdana" w:hAnsi="Verdana"/>
          <w:bCs/>
          <w:i/>
          <w:iCs/>
          <w:sz w:val="20"/>
          <w:szCs w:val="20"/>
        </w:rPr>
        <w:t xml:space="preserve">ebêntures </w:t>
      </w:r>
      <w:r w:rsidR="001F3152">
        <w:rPr>
          <w:rFonts w:ascii="Verdana" w:hAnsi="Verdana"/>
          <w:bCs/>
          <w:i/>
          <w:iCs/>
          <w:sz w:val="20"/>
          <w:szCs w:val="20"/>
        </w:rPr>
        <w:t>S</w:t>
      </w:r>
      <w:r w:rsidR="001F3152" w:rsidRPr="001F3152">
        <w:rPr>
          <w:rFonts w:ascii="Verdana" w:hAnsi="Verdana"/>
          <w:bCs/>
          <w:i/>
          <w:iCs/>
          <w:sz w:val="20"/>
          <w:szCs w:val="20"/>
        </w:rPr>
        <w:t xml:space="preserve">imples, </w:t>
      </w:r>
      <w:r w:rsidR="001F3152">
        <w:rPr>
          <w:rFonts w:ascii="Verdana" w:hAnsi="Verdana"/>
          <w:bCs/>
          <w:i/>
          <w:iCs/>
          <w:sz w:val="20"/>
          <w:szCs w:val="20"/>
        </w:rPr>
        <w:t>N</w:t>
      </w:r>
      <w:r w:rsidR="001F3152" w:rsidRPr="001F3152">
        <w:rPr>
          <w:rFonts w:ascii="Verdana" w:hAnsi="Verdana"/>
          <w:bCs/>
          <w:i/>
          <w:iCs/>
          <w:sz w:val="20"/>
          <w:szCs w:val="20"/>
        </w:rPr>
        <w:t xml:space="preserve">ão </w:t>
      </w:r>
      <w:r w:rsidR="001F3152">
        <w:rPr>
          <w:rFonts w:ascii="Verdana" w:hAnsi="Verdana"/>
          <w:bCs/>
          <w:i/>
          <w:iCs/>
          <w:sz w:val="20"/>
          <w:szCs w:val="20"/>
        </w:rPr>
        <w:t>C</w:t>
      </w:r>
      <w:r w:rsidR="001F3152" w:rsidRPr="001F3152">
        <w:rPr>
          <w:rFonts w:ascii="Verdana" w:hAnsi="Verdana"/>
          <w:bCs/>
          <w:i/>
          <w:iCs/>
          <w:sz w:val="20"/>
          <w:szCs w:val="20"/>
        </w:rPr>
        <w:t xml:space="preserve">onversíveis em </w:t>
      </w:r>
      <w:r w:rsidR="001F3152">
        <w:rPr>
          <w:rFonts w:ascii="Verdana" w:hAnsi="Verdana"/>
          <w:bCs/>
          <w:i/>
          <w:iCs/>
          <w:sz w:val="20"/>
          <w:szCs w:val="20"/>
        </w:rPr>
        <w:t>A</w:t>
      </w:r>
      <w:r w:rsidR="001F3152" w:rsidRPr="001F3152">
        <w:rPr>
          <w:rFonts w:ascii="Verdana" w:hAnsi="Verdana"/>
          <w:bCs/>
          <w:i/>
          <w:iCs/>
          <w:sz w:val="20"/>
          <w:szCs w:val="20"/>
        </w:rPr>
        <w:t xml:space="preserve">ções, da </w:t>
      </w:r>
      <w:r w:rsidR="001F3152">
        <w:rPr>
          <w:rFonts w:ascii="Verdana" w:hAnsi="Verdana"/>
          <w:bCs/>
          <w:i/>
          <w:iCs/>
          <w:sz w:val="20"/>
          <w:szCs w:val="20"/>
        </w:rPr>
        <w:t>E</w:t>
      </w:r>
      <w:r w:rsidR="001F3152" w:rsidRPr="001F3152">
        <w:rPr>
          <w:rFonts w:ascii="Verdana" w:hAnsi="Verdana"/>
          <w:bCs/>
          <w:i/>
          <w:iCs/>
          <w:sz w:val="20"/>
          <w:szCs w:val="20"/>
        </w:rPr>
        <w:t xml:space="preserve">spécie com </w:t>
      </w:r>
      <w:r w:rsidR="001F3152">
        <w:rPr>
          <w:rFonts w:ascii="Verdana" w:hAnsi="Verdana"/>
          <w:bCs/>
          <w:i/>
          <w:iCs/>
          <w:sz w:val="20"/>
          <w:szCs w:val="20"/>
        </w:rPr>
        <w:t>G</w:t>
      </w:r>
      <w:r w:rsidR="001F3152" w:rsidRPr="001F3152">
        <w:rPr>
          <w:rFonts w:ascii="Verdana" w:hAnsi="Verdana"/>
          <w:bCs/>
          <w:i/>
          <w:iCs/>
          <w:sz w:val="20"/>
          <w:szCs w:val="20"/>
        </w:rPr>
        <w:t xml:space="preserve">arantia </w:t>
      </w:r>
      <w:r w:rsidR="001F3152">
        <w:rPr>
          <w:rFonts w:ascii="Verdana" w:hAnsi="Verdana"/>
          <w:bCs/>
          <w:i/>
          <w:iCs/>
          <w:sz w:val="20"/>
          <w:szCs w:val="20"/>
        </w:rPr>
        <w:t>R</w:t>
      </w:r>
      <w:r w:rsidR="001F3152" w:rsidRPr="001F3152">
        <w:rPr>
          <w:rFonts w:ascii="Verdana" w:hAnsi="Verdana"/>
          <w:bCs/>
          <w:i/>
          <w:iCs/>
          <w:sz w:val="20"/>
          <w:szCs w:val="20"/>
        </w:rPr>
        <w:t xml:space="preserve">eal, em 3 (três) séries, para </w:t>
      </w:r>
      <w:r w:rsidR="001F3152">
        <w:rPr>
          <w:rFonts w:ascii="Verdana" w:hAnsi="Verdana"/>
          <w:bCs/>
          <w:i/>
          <w:iCs/>
          <w:sz w:val="20"/>
          <w:szCs w:val="20"/>
        </w:rPr>
        <w:t>D</w:t>
      </w:r>
      <w:r w:rsidR="001F3152" w:rsidRPr="001F3152">
        <w:rPr>
          <w:rFonts w:ascii="Verdana" w:hAnsi="Verdana"/>
          <w:bCs/>
          <w:i/>
          <w:iCs/>
          <w:sz w:val="20"/>
          <w:szCs w:val="20"/>
        </w:rPr>
        <w:t xml:space="preserve">istribuição </w:t>
      </w:r>
      <w:r w:rsidR="001F3152">
        <w:rPr>
          <w:rFonts w:ascii="Verdana" w:hAnsi="Verdana"/>
          <w:bCs/>
          <w:i/>
          <w:iCs/>
          <w:sz w:val="20"/>
          <w:szCs w:val="20"/>
        </w:rPr>
        <w:t>P</w:t>
      </w:r>
      <w:r w:rsidR="001F3152" w:rsidRPr="001F3152">
        <w:rPr>
          <w:rFonts w:ascii="Verdana" w:hAnsi="Verdana"/>
          <w:bCs/>
          <w:i/>
          <w:iCs/>
          <w:sz w:val="20"/>
          <w:szCs w:val="20"/>
        </w:rPr>
        <w:t xml:space="preserve">ública com </w:t>
      </w:r>
      <w:r w:rsidR="001F3152">
        <w:rPr>
          <w:rFonts w:ascii="Verdana" w:hAnsi="Verdana"/>
          <w:bCs/>
          <w:i/>
          <w:iCs/>
          <w:sz w:val="20"/>
          <w:szCs w:val="20"/>
        </w:rPr>
        <w:t>E</w:t>
      </w:r>
      <w:r w:rsidR="001F3152" w:rsidRPr="001F3152">
        <w:rPr>
          <w:rFonts w:ascii="Verdana" w:hAnsi="Verdana"/>
          <w:bCs/>
          <w:i/>
          <w:iCs/>
          <w:sz w:val="20"/>
          <w:szCs w:val="20"/>
        </w:rPr>
        <w:t xml:space="preserve">sforços </w:t>
      </w:r>
      <w:r w:rsidR="001F3152">
        <w:rPr>
          <w:rFonts w:ascii="Verdana" w:hAnsi="Verdana"/>
          <w:bCs/>
          <w:i/>
          <w:iCs/>
          <w:sz w:val="20"/>
          <w:szCs w:val="20"/>
        </w:rPr>
        <w:t>R</w:t>
      </w:r>
      <w:r w:rsidR="001F3152" w:rsidRPr="001F3152">
        <w:rPr>
          <w:rFonts w:ascii="Verdana" w:hAnsi="Verdana"/>
          <w:bCs/>
          <w:i/>
          <w:iCs/>
          <w:sz w:val="20"/>
          <w:szCs w:val="20"/>
        </w:rPr>
        <w:t>estritos</w:t>
      </w:r>
      <w:r w:rsidR="001F3152">
        <w:rPr>
          <w:rFonts w:ascii="Verdana" w:hAnsi="Verdana"/>
          <w:bCs/>
          <w:i/>
          <w:iCs/>
          <w:sz w:val="20"/>
          <w:szCs w:val="20"/>
        </w:rPr>
        <w:t xml:space="preserve"> da </w:t>
      </w:r>
      <w:r w:rsidR="001F3152" w:rsidRPr="008F4D7D">
        <w:rPr>
          <w:rFonts w:ascii="Verdana" w:hAnsi="Verdana"/>
          <w:bCs/>
          <w:i/>
          <w:iCs/>
          <w:sz w:val="20"/>
          <w:szCs w:val="20"/>
        </w:rPr>
        <w:t xml:space="preserve">Companhia </w:t>
      </w:r>
      <w:proofErr w:type="spellStart"/>
      <w:r w:rsidR="001F3152" w:rsidRPr="008F4D7D">
        <w:rPr>
          <w:rFonts w:ascii="Verdana" w:hAnsi="Verdana"/>
          <w:bCs/>
          <w:i/>
          <w:iCs/>
          <w:sz w:val="20"/>
          <w:szCs w:val="20"/>
        </w:rPr>
        <w:t>Securitizadora</w:t>
      </w:r>
      <w:proofErr w:type="spellEnd"/>
      <w:r w:rsidR="001F3152" w:rsidRPr="008F4D7D">
        <w:rPr>
          <w:rFonts w:ascii="Verdana" w:hAnsi="Verdana"/>
          <w:bCs/>
          <w:i/>
          <w:iCs/>
          <w:sz w:val="20"/>
          <w:szCs w:val="20"/>
        </w:rPr>
        <w:t xml:space="preserve"> de Créditos Financeiros VERT-</w:t>
      </w:r>
      <w:proofErr w:type="spellStart"/>
      <w:r w:rsidR="001F3152" w:rsidRPr="008F4D7D">
        <w:rPr>
          <w:rFonts w:ascii="Verdana" w:hAnsi="Verdana"/>
          <w:bCs/>
          <w:i/>
          <w:iCs/>
          <w:sz w:val="20"/>
          <w:szCs w:val="20"/>
        </w:rPr>
        <w:t>Gyra</w:t>
      </w:r>
      <w:proofErr w:type="spellEnd"/>
      <w:r w:rsidR="008317CE">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E559B0">
        <w:rPr>
          <w:rFonts w:ascii="Verdana" w:hAnsi="Verdana" w:cs="Tahoma"/>
          <w:sz w:val="20"/>
          <w:szCs w:val="20"/>
          <w:u w:val="single"/>
        </w:rPr>
        <w:t>5</w:t>
      </w:r>
      <w:r w:rsidRPr="00296138">
        <w:rPr>
          <w:rFonts w:ascii="Verdana" w:hAnsi="Verdana" w:cs="Tahoma"/>
          <w:sz w:val="20"/>
          <w:szCs w:val="20"/>
          <w:u w:val="single"/>
        </w:rPr>
        <w:t>º Aditamento</w:t>
      </w:r>
      <w:r w:rsidRPr="00296138">
        <w:rPr>
          <w:rFonts w:ascii="Verdana" w:hAnsi="Verdana" w:cs="Tahoma"/>
          <w:sz w:val="20"/>
          <w:szCs w:val="20"/>
        </w:rPr>
        <w:t>”),</w:t>
      </w:r>
      <w:r w:rsidR="002074D7">
        <w:rPr>
          <w:rFonts w:ascii="Verdana" w:hAnsi="Verdana" w:cs="Tahoma"/>
          <w:sz w:val="20"/>
          <w:szCs w:val="20"/>
        </w:rPr>
        <w:t xml:space="preserve"> </w:t>
      </w:r>
      <w:r w:rsidRPr="00296138">
        <w:rPr>
          <w:rFonts w:ascii="Verdana" w:hAnsi="Verdana" w:cs="Tahoma"/>
          <w:sz w:val="20"/>
          <w:szCs w:val="20"/>
        </w:rPr>
        <w:t xml:space="preserve">mediante </w:t>
      </w:r>
      <w:r w:rsidR="002074D7">
        <w:rPr>
          <w:rFonts w:ascii="Verdana" w:hAnsi="Verdana" w:cs="Tahoma"/>
          <w:sz w:val="20"/>
          <w:szCs w:val="20"/>
        </w:rPr>
        <w:t xml:space="preserve">os termos </w:t>
      </w:r>
      <w:r w:rsidRPr="00296138">
        <w:rPr>
          <w:rFonts w:ascii="Verdana" w:hAnsi="Verdana" w:cs="Tahoma"/>
          <w:sz w:val="20"/>
          <w:szCs w:val="20"/>
        </w:rPr>
        <w:t>e condições</w:t>
      </w:r>
      <w:r w:rsidR="002074D7">
        <w:rPr>
          <w:rFonts w:ascii="Verdana" w:hAnsi="Verdana" w:cs="Tahoma"/>
          <w:sz w:val="20"/>
          <w:szCs w:val="20"/>
        </w:rPr>
        <w:t xml:space="preserve"> abaixo</w:t>
      </w:r>
      <w:r w:rsidRPr="00296138">
        <w:rPr>
          <w:rFonts w:ascii="Verdana" w:hAnsi="Verdana" w:cs="Tahoma"/>
          <w:sz w:val="20"/>
          <w:szCs w:val="20"/>
        </w:rPr>
        <w:t>.</w:t>
      </w:r>
    </w:p>
    <w:p w14:paraId="2CB9D76D" w14:textId="77777777" w:rsidR="00E87A5F" w:rsidRPr="00296138" w:rsidRDefault="00E87A5F" w:rsidP="00731C54">
      <w:pPr>
        <w:pStyle w:val="Level2"/>
        <w:numPr>
          <w:ilvl w:val="0"/>
          <w:numId w:val="0"/>
        </w:numPr>
        <w:spacing w:after="0" w:line="276" w:lineRule="auto"/>
        <w:outlineLvl w:val="1"/>
        <w:rPr>
          <w:rFonts w:ascii="Verdana" w:hAnsi="Verdana" w:cs="Tahoma"/>
          <w:szCs w:val="20"/>
          <w:lang w:val="pt-BR"/>
        </w:rPr>
      </w:pPr>
    </w:p>
    <w:p w14:paraId="708A44E4" w14:textId="77777777" w:rsidR="002B16B0" w:rsidRPr="00296138" w:rsidRDefault="002B16B0" w:rsidP="00731C54">
      <w:pPr>
        <w:pStyle w:val="Level1"/>
        <w:keepNext/>
        <w:numPr>
          <w:ilvl w:val="0"/>
          <w:numId w:val="2"/>
        </w:numPr>
        <w:tabs>
          <w:tab w:val="num" w:pos="0"/>
          <w:tab w:val="left" w:pos="1134"/>
        </w:tabs>
        <w:spacing w:after="0" w:line="276" w:lineRule="auto"/>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731C54">
      <w:pPr>
        <w:pStyle w:val="Level1"/>
        <w:keepNext/>
        <w:numPr>
          <w:ilvl w:val="0"/>
          <w:numId w:val="0"/>
        </w:numPr>
        <w:tabs>
          <w:tab w:val="left" w:pos="1134"/>
        </w:tabs>
        <w:spacing w:after="0" w:line="276" w:lineRule="auto"/>
        <w:outlineLvl w:val="0"/>
        <w:rPr>
          <w:rFonts w:ascii="Verdana" w:hAnsi="Verdana" w:cs="Tahoma"/>
          <w:b/>
          <w:szCs w:val="20"/>
        </w:rPr>
      </w:pPr>
    </w:p>
    <w:p w14:paraId="249312E7" w14:textId="68B301FB" w:rsidR="002B16B0" w:rsidRPr="00296138" w:rsidRDefault="002B16B0" w:rsidP="00731C54">
      <w:pPr>
        <w:pStyle w:val="Level1"/>
        <w:keepNext/>
        <w:numPr>
          <w:ilvl w:val="1"/>
          <w:numId w:val="2"/>
        </w:numPr>
        <w:tabs>
          <w:tab w:val="left" w:pos="1134"/>
        </w:tabs>
        <w:spacing w:after="0" w:line="276" w:lineRule="auto"/>
        <w:ind w:left="0" w:firstLine="0"/>
        <w:outlineLvl w:val="0"/>
        <w:rPr>
          <w:rFonts w:ascii="Verdana" w:hAnsi="Verdana" w:cs="Tahoma"/>
          <w:szCs w:val="20"/>
        </w:rPr>
      </w:pPr>
      <w:r w:rsidRPr="00296138">
        <w:rPr>
          <w:rFonts w:ascii="Verdana" w:hAnsi="Verdana" w:cs="Tahoma"/>
          <w:szCs w:val="20"/>
        </w:rPr>
        <w:t xml:space="preserve">Os termos utilizados neste </w:t>
      </w:r>
      <w:r w:rsidR="00E559B0">
        <w:rPr>
          <w:rFonts w:ascii="Verdana" w:hAnsi="Verdana" w:cs="Tahoma"/>
          <w:szCs w:val="20"/>
        </w:rPr>
        <w:t>5</w:t>
      </w:r>
      <w:r w:rsidR="001E2F19" w:rsidRPr="00296138">
        <w:rPr>
          <w:rFonts w:ascii="Verdana" w:hAnsi="Verdana" w:cs="Tahoma"/>
          <w:szCs w:val="20"/>
        </w:rPr>
        <w:t xml:space="preserve">º </w:t>
      </w:r>
      <w:r w:rsidRPr="00296138">
        <w:rPr>
          <w:rFonts w:ascii="Verdana" w:hAnsi="Verdana" w:cs="Tahoma"/>
          <w:szCs w:val="20"/>
        </w:rPr>
        <w:t>Aditamento, iniciados em letras maiúsculas (estejam no singular ou no plural), terão o significado que lhes é atribuído na Escritura.</w:t>
      </w:r>
    </w:p>
    <w:p w14:paraId="394900C9" w14:textId="77777777" w:rsidR="002B16B0" w:rsidRPr="00296138" w:rsidRDefault="002B16B0" w:rsidP="00731C54">
      <w:pPr>
        <w:pStyle w:val="Level1"/>
        <w:keepNext/>
        <w:numPr>
          <w:ilvl w:val="0"/>
          <w:numId w:val="0"/>
        </w:numPr>
        <w:tabs>
          <w:tab w:val="left" w:pos="1134"/>
        </w:tabs>
        <w:spacing w:after="0" w:line="276" w:lineRule="auto"/>
        <w:outlineLvl w:val="0"/>
        <w:rPr>
          <w:rFonts w:ascii="Verdana" w:hAnsi="Verdana" w:cs="Tahoma"/>
          <w:b/>
          <w:szCs w:val="20"/>
        </w:rPr>
      </w:pPr>
    </w:p>
    <w:p w14:paraId="40AFE2D4" w14:textId="77777777" w:rsidR="00E87A5F" w:rsidRPr="00296138" w:rsidRDefault="00E87A5F" w:rsidP="00731C54">
      <w:pPr>
        <w:pStyle w:val="Level1"/>
        <w:keepNext/>
        <w:numPr>
          <w:ilvl w:val="0"/>
          <w:numId w:val="2"/>
        </w:numPr>
        <w:tabs>
          <w:tab w:val="num" w:pos="0"/>
          <w:tab w:val="left" w:pos="1134"/>
        </w:tabs>
        <w:spacing w:after="0" w:line="276" w:lineRule="auto"/>
        <w:ind w:left="0" w:firstLine="0"/>
        <w:outlineLvl w:val="0"/>
        <w:rPr>
          <w:rFonts w:ascii="Verdana" w:hAnsi="Verdana" w:cs="Tahoma"/>
          <w:b/>
          <w:szCs w:val="20"/>
        </w:rPr>
      </w:pPr>
      <w:r w:rsidRPr="00296138">
        <w:rPr>
          <w:rFonts w:ascii="Verdana" w:hAnsi="Verdana" w:cs="Tahoma"/>
          <w:b/>
          <w:szCs w:val="20"/>
        </w:rPr>
        <w:t>DAS ALTERAÇÕES DA ESCRITURA</w:t>
      </w:r>
    </w:p>
    <w:p w14:paraId="369DC79E" w14:textId="77777777" w:rsidR="00E87A5F" w:rsidRPr="00296138" w:rsidRDefault="00E87A5F" w:rsidP="00731C54">
      <w:pPr>
        <w:pStyle w:val="Level1"/>
        <w:keepNext/>
        <w:numPr>
          <w:ilvl w:val="0"/>
          <w:numId w:val="0"/>
        </w:numPr>
        <w:tabs>
          <w:tab w:val="left" w:pos="1134"/>
        </w:tabs>
        <w:spacing w:after="0" w:line="276" w:lineRule="auto"/>
        <w:outlineLvl w:val="0"/>
        <w:rPr>
          <w:rFonts w:ascii="Verdana" w:hAnsi="Verdana" w:cs="Tahoma"/>
          <w:b/>
          <w:szCs w:val="20"/>
        </w:rPr>
      </w:pPr>
    </w:p>
    <w:p w14:paraId="63D4A466" w14:textId="1744756A" w:rsidR="00E87A5F" w:rsidRDefault="00865F53" w:rsidP="00731C54">
      <w:pPr>
        <w:pStyle w:val="Level1"/>
        <w:keepNext/>
        <w:numPr>
          <w:ilvl w:val="0"/>
          <w:numId w:val="0"/>
        </w:numPr>
        <w:tabs>
          <w:tab w:val="left" w:pos="1134"/>
        </w:tabs>
        <w:spacing w:after="0" w:line="276" w:lineRule="auto"/>
        <w:outlineLvl w:val="0"/>
        <w:rPr>
          <w:rFonts w:ascii="Verdana" w:hAnsi="Verdana" w:cs="Tahoma"/>
          <w:szCs w:val="20"/>
        </w:rPr>
      </w:pPr>
      <w:bookmarkStart w:id="1" w:name="_Ref426535439"/>
      <w:r w:rsidRPr="00296138">
        <w:rPr>
          <w:rFonts w:ascii="Verdana" w:hAnsi="Verdana" w:cs="Tahoma"/>
          <w:szCs w:val="20"/>
        </w:rPr>
        <w:t xml:space="preserve">2.1          </w:t>
      </w:r>
      <w:bookmarkEnd w:id="1"/>
      <w:r w:rsidR="002074D7" w:rsidRPr="002074D7">
        <w:rPr>
          <w:rFonts w:ascii="Verdana" w:hAnsi="Verdana" w:cs="Tahoma"/>
          <w:szCs w:val="20"/>
        </w:rPr>
        <w:t xml:space="preserve">Pelo presente </w:t>
      </w:r>
      <w:r w:rsidR="00306226">
        <w:rPr>
          <w:rFonts w:ascii="Verdana" w:hAnsi="Verdana" w:cs="Tahoma"/>
          <w:szCs w:val="20"/>
        </w:rPr>
        <w:t xml:space="preserve">5º </w:t>
      </w:r>
      <w:r w:rsidR="002074D7" w:rsidRPr="002074D7">
        <w:rPr>
          <w:rFonts w:ascii="Verdana" w:hAnsi="Verdana" w:cs="Tahoma"/>
          <w:szCs w:val="20"/>
        </w:rPr>
        <w:t>Aditamento, resolvem as Partes, de comum acordo, alterar a Escritura</w:t>
      </w:r>
      <w:r w:rsidR="00306226">
        <w:rPr>
          <w:rFonts w:ascii="Verdana" w:hAnsi="Verdana" w:cs="Tahoma"/>
          <w:szCs w:val="20"/>
        </w:rPr>
        <w:t xml:space="preserve"> de Emissão</w:t>
      </w:r>
      <w:r w:rsidR="002074D7" w:rsidRPr="002074D7">
        <w:rPr>
          <w:rFonts w:ascii="Verdana" w:hAnsi="Verdana" w:cs="Tahoma"/>
          <w:szCs w:val="20"/>
        </w:rPr>
        <w:t xml:space="preserve"> para refletir </w:t>
      </w:r>
      <w:r w:rsidR="00306226">
        <w:rPr>
          <w:rFonts w:ascii="Verdana" w:hAnsi="Verdana" w:cs="Tahoma"/>
          <w:szCs w:val="20"/>
        </w:rPr>
        <w:t>as alterações aprovadas na AGD, conforme segue:</w:t>
      </w:r>
    </w:p>
    <w:p w14:paraId="38592200" w14:textId="4E7A2035" w:rsidR="00306226" w:rsidRDefault="00306226" w:rsidP="00731C54">
      <w:pPr>
        <w:pStyle w:val="Level1"/>
        <w:keepNext/>
        <w:numPr>
          <w:ilvl w:val="0"/>
          <w:numId w:val="0"/>
        </w:numPr>
        <w:tabs>
          <w:tab w:val="left" w:pos="1134"/>
        </w:tabs>
        <w:spacing w:after="0" w:line="276" w:lineRule="auto"/>
        <w:outlineLvl w:val="0"/>
        <w:rPr>
          <w:rFonts w:ascii="Verdana" w:hAnsi="Verdana" w:cs="Tahoma"/>
          <w:szCs w:val="20"/>
        </w:rPr>
      </w:pPr>
    </w:p>
    <w:p w14:paraId="3E3272A9" w14:textId="12DBC4BD" w:rsidR="00306226" w:rsidRDefault="00306226" w:rsidP="00731C54">
      <w:pPr>
        <w:pStyle w:val="Level1"/>
        <w:keepNext/>
        <w:numPr>
          <w:ilvl w:val="0"/>
          <w:numId w:val="0"/>
        </w:numPr>
        <w:tabs>
          <w:tab w:val="left" w:pos="1134"/>
        </w:tabs>
        <w:spacing w:after="0" w:line="276" w:lineRule="auto"/>
        <w:outlineLvl w:val="0"/>
        <w:rPr>
          <w:rFonts w:ascii="Verdana" w:hAnsi="Verdana" w:cs="Tahoma"/>
          <w:szCs w:val="20"/>
        </w:rPr>
      </w:pPr>
      <w:r>
        <w:rPr>
          <w:rFonts w:ascii="Verdana" w:hAnsi="Verdana" w:cs="Tahoma"/>
          <w:szCs w:val="20"/>
        </w:rPr>
        <w:t>(a)</w:t>
      </w:r>
      <w:r>
        <w:rPr>
          <w:rFonts w:ascii="Verdana" w:hAnsi="Verdana" w:cs="Tahoma"/>
          <w:szCs w:val="20"/>
        </w:rPr>
        <w:tab/>
        <w:t>a alteração da tabela de Provisões de Devedores Duvidosos constante no Anexo V da Escritura de Emissão, de forma que o “Risco Nível E: Atraso entre 91 e 120 dias” passe de 30% (trinta por cento) para 100% (cem por cento), conforme abaixo:</w:t>
      </w:r>
    </w:p>
    <w:p w14:paraId="5C809382" w14:textId="235C18CE" w:rsidR="00306226" w:rsidRDefault="00306226" w:rsidP="00731C54">
      <w:pPr>
        <w:pStyle w:val="Level1"/>
        <w:keepNext/>
        <w:numPr>
          <w:ilvl w:val="0"/>
          <w:numId w:val="0"/>
        </w:numPr>
        <w:tabs>
          <w:tab w:val="left" w:pos="1134"/>
        </w:tabs>
        <w:spacing w:after="0" w:line="276" w:lineRule="auto"/>
        <w:outlineLvl w:val="0"/>
        <w:rPr>
          <w:rFonts w:ascii="Verdana" w:hAnsi="Verdana" w:cs="Tahoma"/>
          <w:szCs w:val="20"/>
        </w:rPr>
      </w:pPr>
      <w:r>
        <w:rPr>
          <w:rFonts w:ascii="Verdana" w:hAnsi="Verdana" w:cs="Tahoma"/>
          <w:szCs w:val="20"/>
        </w:rPr>
        <w:tab/>
      </w:r>
    </w:p>
    <w:p w14:paraId="29A04745" w14:textId="1751A888" w:rsidR="00306226" w:rsidRPr="00731C54" w:rsidRDefault="00306226" w:rsidP="00731C54">
      <w:pPr>
        <w:autoSpaceDE/>
        <w:autoSpaceDN/>
        <w:adjustRightInd/>
        <w:spacing w:before="120" w:after="120" w:line="276" w:lineRule="auto"/>
        <w:ind w:left="1416"/>
        <w:jc w:val="both"/>
        <w:rPr>
          <w:rFonts w:ascii="Verdana" w:hAnsi="Verdana" w:cs="Tahoma"/>
          <w:b/>
          <w:bCs/>
          <w:i/>
          <w:iCs/>
          <w:kern w:val="20"/>
          <w:sz w:val="20"/>
          <w:szCs w:val="20"/>
          <w:u w:val="single"/>
          <w:lang w:eastAsia="en-US"/>
        </w:rPr>
      </w:pPr>
      <w:r w:rsidRPr="00731C54">
        <w:rPr>
          <w:rFonts w:ascii="Verdana" w:hAnsi="Verdana" w:cs="Tahoma"/>
          <w:b/>
          <w:bCs/>
          <w:i/>
          <w:iCs/>
          <w:kern w:val="20"/>
          <w:sz w:val="20"/>
          <w:szCs w:val="20"/>
          <w:u w:val="single"/>
          <w:lang w:eastAsia="en-US"/>
        </w:rPr>
        <w:t xml:space="preserve">ANEXO V AO INSTRUMENTO PARTICULAR DE ESCRITURA DA 2ª (SEGUNDA) EMISSÃO DE DEBÊNTURES SIMPLES, NÃO CONVERSÍVEIS EM AÇÕES, DA ESPÉCIE COM GARANTIA REAL, EM 3 (TRÊS) SÉRIES, PARA DISTRIBUIÇÃO PÚBLICA COM ESFORÇOS RESTRITOS, DA COMPANHIA SECURITIZADORA DE CRÉDITOS FINANCEIROS VERT-GYRA </w:t>
      </w:r>
    </w:p>
    <w:p w14:paraId="04DAF71D" w14:textId="77777777" w:rsidR="00306226" w:rsidRPr="00731C54" w:rsidRDefault="00306226" w:rsidP="00731C54">
      <w:pPr>
        <w:autoSpaceDE/>
        <w:autoSpaceDN/>
        <w:adjustRightInd/>
        <w:spacing w:line="276" w:lineRule="auto"/>
        <w:rPr>
          <w:rFonts w:ascii="Verdana" w:hAnsi="Verdana" w:cs="Tahoma"/>
          <w:i/>
          <w:iCs/>
          <w:kern w:val="20"/>
          <w:sz w:val="20"/>
          <w:szCs w:val="20"/>
          <w:lang w:eastAsia="en-US"/>
        </w:rPr>
      </w:pPr>
    </w:p>
    <w:p w14:paraId="5F46CD3A" w14:textId="7A423D0C" w:rsidR="00306226" w:rsidRPr="00731C54" w:rsidRDefault="00306226" w:rsidP="00731C54">
      <w:pPr>
        <w:autoSpaceDE/>
        <w:autoSpaceDN/>
        <w:adjustRightInd/>
        <w:spacing w:line="276" w:lineRule="auto"/>
        <w:ind w:left="708" w:firstLine="708"/>
        <w:jc w:val="center"/>
        <w:rPr>
          <w:rFonts w:ascii="Verdana" w:hAnsi="Verdana" w:cs="Tahoma"/>
          <w:b/>
          <w:bCs/>
          <w:i/>
          <w:iCs/>
          <w:kern w:val="20"/>
          <w:sz w:val="20"/>
          <w:szCs w:val="20"/>
          <w:lang w:eastAsia="en-US"/>
        </w:rPr>
      </w:pPr>
      <w:r w:rsidRPr="00731C54">
        <w:rPr>
          <w:rFonts w:ascii="Verdana" w:hAnsi="Verdana" w:cs="Tahoma"/>
          <w:b/>
          <w:bCs/>
          <w:i/>
          <w:iCs/>
          <w:kern w:val="20"/>
          <w:sz w:val="20"/>
          <w:szCs w:val="20"/>
          <w:lang w:eastAsia="en-US"/>
        </w:rPr>
        <w:t>P</w:t>
      </w:r>
      <w:r w:rsidRPr="00731C54">
        <w:rPr>
          <w:rFonts w:ascii="Verdana" w:hAnsi="Verdana" w:cs="Tahoma"/>
          <w:b/>
          <w:bCs/>
          <w:i/>
          <w:iCs/>
          <w:kern w:val="20"/>
          <w:sz w:val="20"/>
          <w:szCs w:val="20"/>
          <w:lang w:eastAsia="en-US"/>
        </w:rPr>
        <w:t>ROVISÃO DE DEVEDORES DUVIDOSOS</w:t>
      </w:r>
    </w:p>
    <w:p w14:paraId="3A3C2507" w14:textId="77777777" w:rsidR="00306226" w:rsidRPr="00731C54" w:rsidRDefault="00306226" w:rsidP="00731C54">
      <w:pPr>
        <w:autoSpaceDE/>
        <w:autoSpaceDN/>
        <w:adjustRightInd/>
        <w:spacing w:line="276" w:lineRule="auto"/>
        <w:jc w:val="center"/>
        <w:rPr>
          <w:rFonts w:ascii="Verdana" w:hAnsi="Verdana" w:cs="Tahoma"/>
          <w:i/>
          <w:iCs/>
          <w:kern w:val="20"/>
          <w:sz w:val="20"/>
          <w:szCs w:val="20"/>
          <w:lang w:eastAsia="en-US"/>
        </w:rPr>
      </w:pPr>
    </w:p>
    <w:tbl>
      <w:tblPr>
        <w:tblStyle w:val="Tabelacomgrade"/>
        <w:tblW w:w="8221" w:type="dxa"/>
        <w:tblInd w:w="1413" w:type="dxa"/>
        <w:tblLook w:val="04A0" w:firstRow="1" w:lastRow="0" w:firstColumn="1" w:lastColumn="0" w:noHBand="0" w:noVBand="1"/>
      </w:tblPr>
      <w:tblGrid>
        <w:gridCol w:w="4536"/>
        <w:gridCol w:w="3685"/>
      </w:tblGrid>
      <w:tr w:rsidR="00306226" w:rsidRPr="00731C54" w14:paraId="3334D0C6" w14:textId="77777777" w:rsidTr="00306226">
        <w:tc>
          <w:tcPr>
            <w:tcW w:w="4536" w:type="dxa"/>
            <w:vAlign w:val="center"/>
          </w:tcPr>
          <w:p w14:paraId="30655A28" w14:textId="77777777" w:rsidR="00306226" w:rsidRPr="00731C54" w:rsidRDefault="00306226" w:rsidP="00731C54">
            <w:pPr>
              <w:pStyle w:val="ListaColorida-nfase12"/>
              <w:spacing w:before="120" w:after="120"/>
              <w:ind w:left="0"/>
              <w:jc w:val="center"/>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Faixas de Atraso</w:t>
            </w:r>
          </w:p>
        </w:tc>
        <w:tc>
          <w:tcPr>
            <w:tcW w:w="3685" w:type="dxa"/>
            <w:vAlign w:val="center"/>
          </w:tcPr>
          <w:p w14:paraId="3B40777D" w14:textId="77777777" w:rsidR="00306226" w:rsidRPr="00731C54" w:rsidRDefault="00306226" w:rsidP="00731C54">
            <w:pPr>
              <w:pStyle w:val="ListaColorida-nfase12"/>
              <w:spacing w:before="120" w:after="120"/>
              <w:ind w:left="0"/>
              <w:jc w:val="center"/>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 xml:space="preserve">% Provisão </w:t>
            </w:r>
          </w:p>
        </w:tc>
      </w:tr>
      <w:tr w:rsidR="00306226" w:rsidRPr="00731C54" w14:paraId="54BD7E45" w14:textId="77777777" w:rsidTr="00306226">
        <w:tc>
          <w:tcPr>
            <w:tcW w:w="4536" w:type="dxa"/>
            <w:vAlign w:val="center"/>
          </w:tcPr>
          <w:p w14:paraId="0C3A1805" w14:textId="77777777"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Risco nível A: atraso entre 3 e 15 dias:</w:t>
            </w:r>
          </w:p>
        </w:tc>
        <w:tc>
          <w:tcPr>
            <w:tcW w:w="3685" w:type="dxa"/>
            <w:vAlign w:val="center"/>
          </w:tcPr>
          <w:p w14:paraId="2BB8345C" w14:textId="77777777"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0,50%</w:t>
            </w:r>
          </w:p>
        </w:tc>
      </w:tr>
      <w:tr w:rsidR="00306226" w:rsidRPr="00731C54" w14:paraId="24009F94" w14:textId="77777777" w:rsidTr="00306226">
        <w:tc>
          <w:tcPr>
            <w:tcW w:w="4536" w:type="dxa"/>
            <w:vAlign w:val="center"/>
          </w:tcPr>
          <w:p w14:paraId="04A1F689" w14:textId="77777777"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 xml:space="preserve">Risco nível B: atraso entre 15 e 30 dias: </w:t>
            </w:r>
          </w:p>
        </w:tc>
        <w:tc>
          <w:tcPr>
            <w:tcW w:w="3685" w:type="dxa"/>
            <w:vAlign w:val="center"/>
          </w:tcPr>
          <w:p w14:paraId="547B9499" w14:textId="77777777"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1,00%</w:t>
            </w:r>
          </w:p>
        </w:tc>
      </w:tr>
      <w:tr w:rsidR="00306226" w:rsidRPr="00731C54" w14:paraId="68509B40" w14:textId="77777777" w:rsidTr="00306226">
        <w:tc>
          <w:tcPr>
            <w:tcW w:w="4536" w:type="dxa"/>
            <w:vAlign w:val="center"/>
          </w:tcPr>
          <w:p w14:paraId="46F6BD1E" w14:textId="77777777"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 xml:space="preserve">Risco nível C: atraso entre 31 e 60 dias: </w:t>
            </w:r>
          </w:p>
        </w:tc>
        <w:tc>
          <w:tcPr>
            <w:tcW w:w="3685" w:type="dxa"/>
            <w:vAlign w:val="center"/>
          </w:tcPr>
          <w:p w14:paraId="02C20543" w14:textId="77777777"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3,00%</w:t>
            </w:r>
          </w:p>
        </w:tc>
      </w:tr>
      <w:tr w:rsidR="00306226" w:rsidRPr="00731C54" w14:paraId="7884C7C9" w14:textId="77777777" w:rsidTr="00306226">
        <w:tc>
          <w:tcPr>
            <w:tcW w:w="4536" w:type="dxa"/>
            <w:vAlign w:val="center"/>
          </w:tcPr>
          <w:p w14:paraId="7760E421" w14:textId="77777777"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lastRenderedPageBreak/>
              <w:t xml:space="preserve">Risco nível D: atraso entre 61 e 90 dias: </w:t>
            </w:r>
          </w:p>
        </w:tc>
        <w:tc>
          <w:tcPr>
            <w:tcW w:w="3685" w:type="dxa"/>
            <w:vAlign w:val="center"/>
          </w:tcPr>
          <w:p w14:paraId="5B1CBCD3" w14:textId="77777777"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10,00%</w:t>
            </w:r>
          </w:p>
        </w:tc>
      </w:tr>
      <w:tr w:rsidR="00306226" w:rsidRPr="00731C54" w14:paraId="57450AB9" w14:textId="77777777" w:rsidTr="00306226">
        <w:tc>
          <w:tcPr>
            <w:tcW w:w="4536" w:type="dxa"/>
            <w:vAlign w:val="center"/>
          </w:tcPr>
          <w:p w14:paraId="18F161C2" w14:textId="77777777"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 xml:space="preserve">Risco nível E: atraso entre 91 e 120 dias: </w:t>
            </w:r>
          </w:p>
        </w:tc>
        <w:tc>
          <w:tcPr>
            <w:tcW w:w="3685" w:type="dxa"/>
            <w:vAlign w:val="center"/>
          </w:tcPr>
          <w:p w14:paraId="7F400D24" w14:textId="0374BF3E"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100</w:t>
            </w:r>
            <w:r w:rsidRPr="00731C54">
              <w:rPr>
                <w:rFonts w:ascii="Verdana" w:eastAsia="Times New Roman" w:hAnsi="Verdana" w:cs="Tahoma"/>
                <w:i/>
                <w:iCs/>
                <w:kern w:val="20"/>
                <w:sz w:val="20"/>
                <w:szCs w:val="20"/>
              </w:rPr>
              <w:t>,00%</w:t>
            </w:r>
          </w:p>
        </w:tc>
      </w:tr>
    </w:tbl>
    <w:p w14:paraId="1F3055EE" w14:textId="0EB943BC" w:rsidR="00306226" w:rsidRDefault="00306226" w:rsidP="00731C54">
      <w:pPr>
        <w:pStyle w:val="Level1"/>
        <w:keepNext/>
        <w:numPr>
          <w:ilvl w:val="0"/>
          <w:numId w:val="0"/>
        </w:numPr>
        <w:tabs>
          <w:tab w:val="left" w:pos="1134"/>
        </w:tabs>
        <w:spacing w:after="0" w:line="276" w:lineRule="auto"/>
        <w:outlineLvl w:val="0"/>
        <w:rPr>
          <w:rFonts w:ascii="Verdana" w:hAnsi="Verdana" w:cs="Tahoma"/>
          <w:szCs w:val="20"/>
        </w:rPr>
      </w:pPr>
    </w:p>
    <w:p w14:paraId="4978DBEC" w14:textId="6CA9FA4A" w:rsidR="00150765" w:rsidRDefault="00306226" w:rsidP="00731C54">
      <w:pPr>
        <w:pStyle w:val="Level1"/>
        <w:keepNext/>
        <w:numPr>
          <w:ilvl w:val="0"/>
          <w:numId w:val="0"/>
        </w:numPr>
        <w:tabs>
          <w:tab w:val="left" w:pos="1134"/>
        </w:tabs>
        <w:spacing w:after="0" w:line="276" w:lineRule="auto"/>
        <w:outlineLvl w:val="0"/>
        <w:rPr>
          <w:rFonts w:ascii="Verdana" w:hAnsi="Verdana" w:cs="Tahoma"/>
          <w:bCs/>
          <w:szCs w:val="20"/>
        </w:rPr>
      </w:pPr>
      <w:r>
        <w:rPr>
          <w:rFonts w:ascii="Verdana" w:hAnsi="Verdana" w:cs="Tahoma"/>
          <w:bCs/>
          <w:szCs w:val="20"/>
        </w:rPr>
        <w:t>(b)</w:t>
      </w:r>
      <w:r>
        <w:rPr>
          <w:rFonts w:ascii="Verdana" w:hAnsi="Verdana" w:cs="Tahoma"/>
          <w:bCs/>
          <w:szCs w:val="20"/>
        </w:rPr>
        <w:tab/>
        <w:t>a alteração da tabela constate da cláusula 3.8.10 (</w:t>
      </w:r>
      <w:proofErr w:type="spellStart"/>
      <w:r>
        <w:rPr>
          <w:rFonts w:ascii="Verdana" w:hAnsi="Verdana" w:cs="Tahoma"/>
          <w:bCs/>
          <w:szCs w:val="20"/>
        </w:rPr>
        <w:t>viii</w:t>
      </w:r>
      <w:proofErr w:type="spellEnd"/>
      <w:r>
        <w:rPr>
          <w:rFonts w:ascii="Verdana" w:hAnsi="Verdana" w:cs="Tahoma"/>
          <w:bCs/>
          <w:szCs w:val="20"/>
        </w:rPr>
        <w:t>) da Escritura de Emissão, que passa a viger conforte tabela abaixo:</w:t>
      </w:r>
    </w:p>
    <w:p w14:paraId="4FF3E796" w14:textId="77777777" w:rsidR="00306226" w:rsidRDefault="00306226" w:rsidP="00731C54">
      <w:pPr>
        <w:pStyle w:val="Level1"/>
        <w:keepNext/>
        <w:numPr>
          <w:ilvl w:val="0"/>
          <w:numId w:val="0"/>
        </w:numPr>
        <w:tabs>
          <w:tab w:val="left" w:pos="1134"/>
        </w:tabs>
        <w:spacing w:after="0" w:line="276" w:lineRule="auto"/>
        <w:outlineLvl w:val="0"/>
        <w:rPr>
          <w:rFonts w:ascii="Verdana" w:hAnsi="Verdana" w:cs="Tahoma"/>
          <w:bCs/>
          <w:szCs w:val="20"/>
        </w:rPr>
      </w:pPr>
    </w:p>
    <w:tbl>
      <w:tblPr>
        <w:tblStyle w:val="Tabelacomgrade"/>
        <w:tblW w:w="8221" w:type="dxa"/>
        <w:tblInd w:w="1413" w:type="dxa"/>
        <w:tblLook w:val="04A0" w:firstRow="1" w:lastRow="0" w:firstColumn="1" w:lastColumn="0" w:noHBand="0" w:noVBand="1"/>
      </w:tblPr>
      <w:tblGrid>
        <w:gridCol w:w="4536"/>
        <w:gridCol w:w="3685"/>
      </w:tblGrid>
      <w:tr w:rsidR="00306226" w14:paraId="79B755F2" w14:textId="77777777" w:rsidTr="00306226">
        <w:tc>
          <w:tcPr>
            <w:tcW w:w="4536" w:type="dxa"/>
          </w:tcPr>
          <w:p w14:paraId="0C6EDA28" w14:textId="337DB66A" w:rsidR="00306226" w:rsidRPr="00731C54" w:rsidRDefault="00306226" w:rsidP="00731C54">
            <w:pPr>
              <w:pStyle w:val="Level1"/>
              <w:keepNext/>
              <w:numPr>
                <w:ilvl w:val="0"/>
                <w:numId w:val="0"/>
              </w:numPr>
              <w:tabs>
                <w:tab w:val="left" w:pos="1134"/>
              </w:tabs>
              <w:spacing w:after="0" w:line="276" w:lineRule="auto"/>
              <w:jc w:val="left"/>
              <w:outlineLvl w:val="0"/>
              <w:rPr>
                <w:rFonts w:ascii="Verdana" w:hAnsi="Verdana" w:cs="Tahoma"/>
                <w:bCs/>
                <w:i/>
                <w:iCs/>
                <w:szCs w:val="20"/>
              </w:rPr>
            </w:pPr>
            <w:r w:rsidRPr="00731C54">
              <w:rPr>
                <w:rFonts w:ascii="Verdana" w:hAnsi="Verdana" w:cs="Tahoma"/>
                <w:bCs/>
                <w:i/>
                <w:iCs/>
                <w:szCs w:val="20"/>
              </w:rPr>
              <w:t>Rating</w:t>
            </w:r>
          </w:p>
        </w:tc>
        <w:tc>
          <w:tcPr>
            <w:tcW w:w="3685" w:type="dxa"/>
          </w:tcPr>
          <w:p w14:paraId="13B3F47F" w14:textId="071696F5" w:rsidR="00306226" w:rsidRPr="00731C54" w:rsidRDefault="00306226" w:rsidP="00731C54">
            <w:pPr>
              <w:pStyle w:val="Level1"/>
              <w:keepNext/>
              <w:numPr>
                <w:ilvl w:val="0"/>
                <w:numId w:val="0"/>
              </w:numPr>
              <w:tabs>
                <w:tab w:val="left" w:pos="1134"/>
              </w:tabs>
              <w:spacing w:after="0" w:line="276" w:lineRule="auto"/>
              <w:jc w:val="left"/>
              <w:outlineLvl w:val="0"/>
              <w:rPr>
                <w:rFonts w:ascii="Verdana" w:hAnsi="Verdana" w:cs="Tahoma"/>
                <w:bCs/>
                <w:i/>
                <w:iCs/>
                <w:szCs w:val="20"/>
              </w:rPr>
            </w:pPr>
            <w:r w:rsidRPr="00731C54">
              <w:rPr>
                <w:rFonts w:ascii="Verdana" w:hAnsi="Verdana" w:cs="Tahoma"/>
                <w:bCs/>
                <w:i/>
                <w:iCs/>
                <w:szCs w:val="20"/>
              </w:rPr>
              <w:t>Taxa</w:t>
            </w:r>
          </w:p>
        </w:tc>
      </w:tr>
      <w:tr w:rsidR="00306226" w:rsidRPr="00306226" w14:paraId="42165B5A" w14:textId="77777777" w:rsidTr="00306226">
        <w:tc>
          <w:tcPr>
            <w:tcW w:w="4536" w:type="dxa"/>
          </w:tcPr>
          <w:p w14:paraId="7BC91CEE" w14:textId="744D4026"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A</w:t>
            </w:r>
          </w:p>
        </w:tc>
        <w:tc>
          <w:tcPr>
            <w:tcW w:w="3685" w:type="dxa"/>
          </w:tcPr>
          <w:p w14:paraId="6D67CC52" w14:textId="00846560" w:rsidR="00306226" w:rsidRPr="00731C54" w:rsidRDefault="00731C54"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 xml:space="preserve">Entre </w:t>
            </w:r>
            <w:r w:rsidR="00306226" w:rsidRPr="00731C54">
              <w:rPr>
                <w:rFonts w:ascii="Verdana" w:eastAsia="Times New Roman" w:hAnsi="Verdana" w:cs="Tahoma"/>
                <w:i/>
                <w:iCs/>
                <w:kern w:val="20"/>
                <w:sz w:val="20"/>
                <w:szCs w:val="20"/>
              </w:rPr>
              <w:t xml:space="preserve">1,99% </w:t>
            </w:r>
            <w:proofErr w:type="spellStart"/>
            <w:proofErr w:type="gramStart"/>
            <w:r w:rsidR="00306226" w:rsidRPr="00731C54">
              <w:rPr>
                <w:rFonts w:ascii="Verdana" w:eastAsia="Times New Roman" w:hAnsi="Verdana" w:cs="Tahoma"/>
                <w:i/>
                <w:iCs/>
                <w:kern w:val="20"/>
                <w:sz w:val="20"/>
                <w:szCs w:val="20"/>
              </w:rPr>
              <w:t>a</w:t>
            </w:r>
            <w:proofErr w:type="gramEnd"/>
            <w:r w:rsidR="00306226" w:rsidRPr="00731C54">
              <w:rPr>
                <w:rFonts w:ascii="Verdana" w:eastAsia="Times New Roman" w:hAnsi="Verdana" w:cs="Tahoma"/>
                <w:i/>
                <w:iCs/>
                <w:kern w:val="20"/>
                <w:sz w:val="20"/>
                <w:szCs w:val="20"/>
              </w:rPr>
              <w:t>.m</w:t>
            </w:r>
            <w:proofErr w:type="spellEnd"/>
            <w:r w:rsidR="00306226" w:rsidRPr="00731C54">
              <w:rPr>
                <w:rFonts w:ascii="Verdana" w:eastAsia="Times New Roman" w:hAnsi="Verdana" w:cs="Tahoma"/>
                <w:i/>
                <w:iCs/>
                <w:kern w:val="20"/>
                <w:sz w:val="20"/>
                <w:szCs w:val="20"/>
              </w:rPr>
              <w:t xml:space="preserve"> </w:t>
            </w:r>
            <w:r w:rsidRPr="00731C54">
              <w:rPr>
                <w:rFonts w:ascii="Verdana" w:eastAsia="Times New Roman" w:hAnsi="Verdana" w:cs="Tahoma"/>
                <w:i/>
                <w:iCs/>
                <w:kern w:val="20"/>
                <w:sz w:val="20"/>
                <w:szCs w:val="20"/>
              </w:rPr>
              <w:t>e</w:t>
            </w:r>
            <w:r w:rsidR="00306226" w:rsidRPr="00731C54">
              <w:rPr>
                <w:rFonts w:ascii="Verdana" w:eastAsia="Times New Roman" w:hAnsi="Verdana" w:cs="Tahoma"/>
                <w:i/>
                <w:iCs/>
                <w:kern w:val="20"/>
                <w:sz w:val="20"/>
                <w:szCs w:val="20"/>
              </w:rPr>
              <w:t xml:space="preserve"> </w:t>
            </w:r>
            <w:r w:rsidRPr="00731C54">
              <w:rPr>
                <w:rFonts w:ascii="Verdana" w:eastAsia="Times New Roman" w:hAnsi="Verdana" w:cs="Tahoma"/>
                <w:i/>
                <w:iCs/>
                <w:kern w:val="20"/>
                <w:sz w:val="20"/>
                <w:szCs w:val="20"/>
              </w:rPr>
              <w:t>2</w:t>
            </w:r>
            <w:r w:rsidR="00306226" w:rsidRPr="00731C54">
              <w:rPr>
                <w:rFonts w:ascii="Verdana" w:eastAsia="Times New Roman" w:hAnsi="Verdana" w:cs="Tahoma"/>
                <w:i/>
                <w:iCs/>
                <w:kern w:val="20"/>
                <w:sz w:val="20"/>
                <w:szCs w:val="20"/>
              </w:rPr>
              <w:t xml:space="preserve">,99 % </w:t>
            </w:r>
            <w:proofErr w:type="spellStart"/>
            <w:r w:rsidR="00306226" w:rsidRPr="00731C54">
              <w:rPr>
                <w:rFonts w:ascii="Verdana" w:eastAsia="Times New Roman" w:hAnsi="Verdana" w:cs="Tahoma"/>
                <w:i/>
                <w:iCs/>
                <w:kern w:val="20"/>
                <w:sz w:val="20"/>
                <w:szCs w:val="20"/>
              </w:rPr>
              <w:t>a.m</w:t>
            </w:r>
            <w:proofErr w:type="spellEnd"/>
          </w:p>
        </w:tc>
      </w:tr>
      <w:tr w:rsidR="00306226" w:rsidRPr="00306226" w14:paraId="329796A9" w14:textId="77777777" w:rsidTr="00306226">
        <w:tc>
          <w:tcPr>
            <w:tcW w:w="4536" w:type="dxa"/>
          </w:tcPr>
          <w:p w14:paraId="6EBB6562" w14:textId="52A2F0CF"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B</w:t>
            </w:r>
          </w:p>
        </w:tc>
        <w:tc>
          <w:tcPr>
            <w:tcW w:w="3685" w:type="dxa"/>
          </w:tcPr>
          <w:p w14:paraId="262D4AB4" w14:textId="6572CFBA"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 xml:space="preserve">Entre </w:t>
            </w:r>
            <w:r w:rsidR="00731C54" w:rsidRPr="00731C54">
              <w:rPr>
                <w:rFonts w:ascii="Verdana" w:eastAsia="Times New Roman" w:hAnsi="Verdana" w:cs="Tahoma"/>
                <w:i/>
                <w:iCs/>
                <w:kern w:val="20"/>
                <w:sz w:val="20"/>
                <w:szCs w:val="20"/>
              </w:rPr>
              <w:t>3,00</w:t>
            </w:r>
            <w:r w:rsidRPr="00731C54">
              <w:rPr>
                <w:rFonts w:ascii="Verdana" w:eastAsia="Times New Roman" w:hAnsi="Verdana" w:cs="Tahoma"/>
                <w:i/>
                <w:iCs/>
                <w:kern w:val="20"/>
                <w:sz w:val="20"/>
                <w:szCs w:val="20"/>
              </w:rPr>
              <w:t xml:space="preserve">% </w:t>
            </w:r>
            <w:proofErr w:type="spellStart"/>
            <w:proofErr w:type="gramStart"/>
            <w:r w:rsidRPr="00731C54">
              <w:rPr>
                <w:rFonts w:ascii="Verdana" w:eastAsia="Times New Roman" w:hAnsi="Verdana" w:cs="Tahoma"/>
                <w:i/>
                <w:iCs/>
                <w:kern w:val="20"/>
                <w:sz w:val="20"/>
                <w:szCs w:val="20"/>
              </w:rPr>
              <w:t>a</w:t>
            </w:r>
            <w:proofErr w:type="gramEnd"/>
            <w:r w:rsidRPr="00731C54">
              <w:rPr>
                <w:rFonts w:ascii="Verdana" w:eastAsia="Times New Roman" w:hAnsi="Verdana" w:cs="Tahoma"/>
                <w:i/>
                <w:iCs/>
                <w:kern w:val="20"/>
                <w:sz w:val="20"/>
                <w:szCs w:val="20"/>
              </w:rPr>
              <w:t>.</w:t>
            </w:r>
            <w:r w:rsidR="00731C54" w:rsidRPr="00731C54">
              <w:rPr>
                <w:rFonts w:ascii="Verdana" w:eastAsia="Times New Roman" w:hAnsi="Verdana" w:cs="Tahoma"/>
                <w:i/>
                <w:iCs/>
                <w:kern w:val="20"/>
                <w:sz w:val="20"/>
                <w:szCs w:val="20"/>
              </w:rPr>
              <w:t>m</w:t>
            </w:r>
            <w:proofErr w:type="spellEnd"/>
            <w:r w:rsidRPr="00731C54">
              <w:rPr>
                <w:rFonts w:ascii="Verdana" w:eastAsia="Times New Roman" w:hAnsi="Verdana" w:cs="Tahoma"/>
                <w:i/>
                <w:iCs/>
                <w:kern w:val="20"/>
                <w:sz w:val="20"/>
                <w:szCs w:val="20"/>
              </w:rPr>
              <w:t xml:space="preserve"> </w:t>
            </w:r>
            <w:r w:rsidR="00731C54" w:rsidRPr="00731C54">
              <w:rPr>
                <w:rFonts w:ascii="Verdana" w:eastAsia="Times New Roman" w:hAnsi="Verdana" w:cs="Tahoma"/>
                <w:i/>
                <w:iCs/>
                <w:kern w:val="20"/>
                <w:sz w:val="20"/>
                <w:szCs w:val="20"/>
              </w:rPr>
              <w:t>e</w:t>
            </w:r>
            <w:r w:rsidRPr="00731C54">
              <w:rPr>
                <w:rFonts w:ascii="Verdana" w:eastAsia="Times New Roman" w:hAnsi="Verdana" w:cs="Tahoma"/>
                <w:i/>
                <w:iCs/>
                <w:kern w:val="20"/>
                <w:sz w:val="20"/>
                <w:szCs w:val="20"/>
              </w:rPr>
              <w:t xml:space="preserve"> </w:t>
            </w:r>
            <w:r w:rsidR="00731C54" w:rsidRPr="00731C54">
              <w:rPr>
                <w:rFonts w:ascii="Verdana" w:eastAsia="Times New Roman" w:hAnsi="Verdana" w:cs="Tahoma"/>
                <w:i/>
                <w:iCs/>
                <w:kern w:val="20"/>
                <w:sz w:val="20"/>
                <w:szCs w:val="20"/>
              </w:rPr>
              <w:t>3</w:t>
            </w:r>
            <w:r w:rsidRPr="00731C54">
              <w:rPr>
                <w:rFonts w:ascii="Verdana" w:eastAsia="Times New Roman" w:hAnsi="Verdana" w:cs="Tahoma"/>
                <w:i/>
                <w:iCs/>
                <w:kern w:val="20"/>
                <w:sz w:val="20"/>
                <w:szCs w:val="20"/>
              </w:rPr>
              <w:t xml:space="preserve">,49% </w:t>
            </w:r>
            <w:proofErr w:type="spellStart"/>
            <w:r w:rsidRPr="00731C54">
              <w:rPr>
                <w:rFonts w:ascii="Verdana" w:eastAsia="Times New Roman" w:hAnsi="Verdana" w:cs="Tahoma"/>
                <w:i/>
                <w:iCs/>
                <w:kern w:val="20"/>
                <w:sz w:val="20"/>
                <w:szCs w:val="20"/>
              </w:rPr>
              <w:t>a.m</w:t>
            </w:r>
            <w:proofErr w:type="spellEnd"/>
          </w:p>
        </w:tc>
      </w:tr>
      <w:tr w:rsidR="00306226" w:rsidRPr="00306226" w14:paraId="3ABB0B19" w14:textId="77777777" w:rsidTr="00306226">
        <w:tc>
          <w:tcPr>
            <w:tcW w:w="4536" w:type="dxa"/>
          </w:tcPr>
          <w:p w14:paraId="7C7B9EDE" w14:textId="4FFD0A8B"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C</w:t>
            </w:r>
          </w:p>
        </w:tc>
        <w:tc>
          <w:tcPr>
            <w:tcW w:w="3685" w:type="dxa"/>
          </w:tcPr>
          <w:p w14:paraId="2D8AA3CF" w14:textId="036C1FA1"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Entre 3,</w:t>
            </w:r>
            <w:r w:rsidR="00731C54" w:rsidRPr="00731C54">
              <w:rPr>
                <w:rFonts w:ascii="Verdana" w:eastAsia="Times New Roman" w:hAnsi="Verdana" w:cs="Tahoma"/>
                <w:i/>
                <w:iCs/>
                <w:kern w:val="20"/>
                <w:sz w:val="20"/>
                <w:szCs w:val="20"/>
              </w:rPr>
              <w:t>50</w:t>
            </w:r>
            <w:r w:rsidRPr="00731C54">
              <w:rPr>
                <w:rFonts w:ascii="Verdana" w:eastAsia="Times New Roman" w:hAnsi="Verdana" w:cs="Tahoma"/>
                <w:i/>
                <w:iCs/>
                <w:kern w:val="20"/>
                <w:sz w:val="20"/>
                <w:szCs w:val="20"/>
              </w:rPr>
              <w:t xml:space="preserve">% </w:t>
            </w:r>
            <w:proofErr w:type="spellStart"/>
            <w:proofErr w:type="gramStart"/>
            <w:r w:rsidRPr="00731C54">
              <w:rPr>
                <w:rFonts w:ascii="Verdana" w:eastAsia="Times New Roman" w:hAnsi="Verdana" w:cs="Tahoma"/>
                <w:i/>
                <w:iCs/>
                <w:kern w:val="20"/>
                <w:sz w:val="20"/>
                <w:szCs w:val="20"/>
              </w:rPr>
              <w:t>a</w:t>
            </w:r>
            <w:proofErr w:type="gramEnd"/>
            <w:r w:rsidRPr="00731C54">
              <w:rPr>
                <w:rFonts w:ascii="Verdana" w:eastAsia="Times New Roman" w:hAnsi="Verdana" w:cs="Tahoma"/>
                <w:i/>
                <w:iCs/>
                <w:kern w:val="20"/>
                <w:sz w:val="20"/>
                <w:szCs w:val="20"/>
              </w:rPr>
              <w:t>.m</w:t>
            </w:r>
            <w:proofErr w:type="spellEnd"/>
            <w:r w:rsidRPr="00731C54">
              <w:rPr>
                <w:rFonts w:ascii="Verdana" w:eastAsia="Times New Roman" w:hAnsi="Verdana" w:cs="Tahoma"/>
                <w:i/>
                <w:iCs/>
                <w:kern w:val="20"/>
                <w:sz w:val="20"/>
                <w:szCs w:val="20"/>
              </w:rPr>
              <w:t xml:space="preserve"> </w:t>
            </w:r>
            <w:r w:rsidR="00731C54" w:rsidRPr="00731C54">
              <w:rPr>
                <w:rFonts w:ascii="Verdana" w:eastAsia="Times New Roman" w:hAnsi="Verdana" w:cs="Tahoma"/>
                <w:i/>
                <w:iCs/>
                <w:kern w:val="20"/>
                <w:sz w:val="20"/>
                <w:szCs w:val="20"/>
              </w:rPr>
              <w:t>e</w:t>
            </w:r>
            <w:r w:rsidRPr="00731C54">
              <w:rPr>
                <w:rFonts w:ascii="Verdana" w:eastAsia="Times New Roman" w:hAnsi="Verdana" w:cs="Tahoma"/>
                <w:i/>
                <w:iCs/>
                <w:kern w:val="20"/>
                <w:sz w:val="20"/>
                <w:szCs w:val="20"/>
              </w:rPr>
              <w:t xml:space="preserve"> </w:t>
            </w:r>
            <w:r w:rsidR="00731C54" w:rsidRPr="00731C54">
              <w:rPr>
                <w:rFonts w:ascii="Verdana" w:eastAsia="Times New Roman" w:hAnsi="Verdana" w:cs="Tahoma"/>
                <w:i/>
                <w:iCs/>
                <w:kern w:val="20"/>
                <w:sz w:val="20"/>
                <w:szCs w:val="20"/>
              </w:rPr>
              <w:t>3</w:t>
            </w:r>
            <w:r w:rsidRPr="00731C54">
              <w:rPr>
                <w:rFonts w:ascii="Verdana" w:eastAsia="Times New Roman" w:hAnsi="Verdana" w:cs="Tahoma"/>
                <w:i/>
                <w:iCs/>
                <w:kern w:val="20"/>
                <w:sz w:val="20"/>
                <w:szCs w:val="20"/>
              </w:rPr>
              <w:t xml:space="preserve">,99% </w:t>
            </w:r>
            <w:proofErr w:type="spellStart"/>
            <w:r w:rsidRPr="00731C54">
              <w:rPr>
                <w:rFonts w:ascii="Verdana" w:eastAsia="Times New Roman" w:hAnsi="Verdana" w:cs="Tahoma"/>
                <w:i/>
                <w:iCs/>
                <w:kern w:val="20"/>
                <w:sz w:val="20"/>
                <w:szCs w:val="20"/>
              </w:rPr>
              <w:t>a.m</w:t>
            </w:r>
            <w:proofErr w:type="spellEnd"/>
          </w:p>
        </w:tc>
      </w:tr>
      <w:tr w:rsidR="00306226" w:rsidRPr="00306226" w14:paraId="65C4BC31" w14:textId="77777777" w:rsidTr="00306226">
        <w:tc>
          <w:tcPr>
            <w:tcW w:w="4536" w:type="dxa"/>
          </w:tcPr>
          <w:p w14:paraId="34A5A230" w14:textId="398A4C11"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D</w:t>
            </w:r>
          </w:p>
        </w:tc>
        <w:tc>
          <w:tcPr>
            <w:tcW w:w="3685" w:type="dxa"/>
          </w:tcPr>
          <w:p w14:paraId="514BD8B0" w14:textId="02F7FA7E"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Entre 4,</w:t>
            </w:r>
            <w:r w:rsidR="00731C54" w:rsidRPr="00731C54">
              <w:rPr>
                <w:rFonts w:ascii="Verdana" w:eastAsia="Times New Roman" w:hAnsi="Verdana" w:cs="Tahoma"/>
                <w:i/>
                <w:iCs/>
                <w:kern w:val="20"/>
                <w:sz w:val="20"/>
                <w:szCs w:val="20"/>
              </w:rPr>
              <w:t>00</w:t>
            </w:r>
            <w:r w:rsidRPr="00731C54">
              <w:rPr>
                <w:rFonts w:ascii="Verdana" w:eastAsia="Times New Roman" w:hAnsi="Verdana" w:cs="Tahoma"/>
                <w:i/>
                <w:iCs/>
                <w:kern w:val="20"/>
                <w:sz w:val="20"/>
                <w:szCs w:val="20"/>
              </w:rPr>
              <w:t xml:space="preserve">% </w:t>
            </w:r>
            <w:proofErr w:type="spellStart"/>
            <w:proofErr w:type="gramStart"/>
            <w:r w:rsidRPr="00731C54">
              <w:rPr>
                <w:rFonts w:ascii="Verdana" w:eastAsia="Times New Roman" w:hAnsi="Verdana" w:cs="Tahoma"/>
                <w:i/>
                <w:iCs/>
                <w:kern w:val="20"/>
                <w:sz w:val="20"/>
                <w:szCs w:val="20"/>
              </w:rPr>
              <w:t>a</w:t>
            </w:r>
            <w:proofErr w:type="gramEnd"/>
            <w:r w:rsidRPr="00731C54">
              <w:rPr>
                <w:rFonts w:ascii="Verdana" w:eastAsia="Times New Roman" w:hAnsi="Verdana" w:cs="Tahoma"/>
                <w:i/>
                <w:iCs/>
                <w:kern w:val="20"/>
                <w:sz w:val="20"/>
                <w:szCs w:val="20"/>
              </w:rPr>
              <w:t>.m</w:t>
            </w:r>
            <w:proofErr w:type="spellEnd"/>
            <w:r w:rsidRPr="00731C54">
              <w:rPr>
                <w:rFonts w:ascii="Verdana" w:eastAsia="Times New Roman" w:hAnsi="Verdana" w:cs="Tahoma"/>
                <w:i/>
                <w:iCs/>
                <w:kern w:val="20"/>
                <w:sz w:val="20"/>
                <w:szCs w:val="20"/>
              </w:rPr>
              <w:t xml:space="preserve"> </w:t>
            </w:r>
            <w:r w:rsidR="00731C54" w:rsidRPr="00731C54">
              <w:rPr>
                <w:rFonts w:ascii="Verdana" w:eastAsia="Times New Roman" w:hAnsi="Verdana" w:cs="Tahoma"/>
                <w:i/>
                <w:iCs/>
                <w:kern w:val="20"/>
                <w:sz w:val="20"/>
                <w:szCs w:val="20"/>
              </w:rPr>
              <w:t>e</w:t>
            </w:r>
            <w:r w:rsidRPr="00731C54">
              <w:rPr>
                <w:rFonts w:ascii="Verdana" w:eastAsia="Times New Roman" w:hAnsi="Verdana" w:cs="Tahoma"/>
                <w:i/>
                <w:iCs/>
                <w:kern w:val="20"/>
                <w:sz w:val="20"/>
                <w:szCs w:val="20"/>
              </w:rPr>
              <w:t xml:space="preserve"> </w:t>
            </w:r>
            <w:r w:rsidR="00731C54" w:rsidRPr="00731C54">
              <w:rPr>
                <w:rFonts w:ascii="Verdana" w:eastAsia="Times New Roman" w:hAnsi="Verdana" w:cs="Tahoma"/>
                <w:i/>
                <w:iCs/>
                <w:kern w:val="20"/>
                <w:sz w:val="20"/>
                <w:szCs w:val="20"/>
              </w:rPr>
              <w:t>4</w:t>
            </w:r>
            <w:r w:rsidRPr="00731C54">
              <w:rPr>
                <w:rFonts w:ascii="Verdana" w:eastAsia="Times New Roman" w:hAnsi="Verdana" w:cs="Tahoma"/>
                <w:i/>
                <w:iCs/>
                <w:kern w:val="20"/>
                <w:sz w:val="20"/>
                <w:szCs w:val="20"/>
              </w:rPr>
              <w:t>,</w:t>
            </w:r>
            <w:r w:rsidR="00731C54" w:rsidRPr="00731C54">
              <w:rPr>
                <w:rFonts w:ascii="Verdana" w:eastAsia="Times New Roman" w:hAnsi="Verdana" w:cs="Tahoma"/>
                <w:i/>
                <w:iCs/>
                <w:kern w:val="20"/>
                <w:sz w:val="20"/>
                <w:szCs w:val="20"/>
              </w:rPr>
              <w:t>9</w:t>
            </w:r>
            <w:r w:rsidRPr="00731C54">
              <w:rPr>
                <w:rFonts w:ascii="Verdana" w:eastAsia="Times New Roman" w:hAnsi="Verdana" w:cs="Tahoma"/>
                <w:i/>
                <w:iCs/>
                <w:kern w:val="20"/>
                <w:sz w:val="20"/>
                <w:szCs w:val="20"/>
              </w:rPr>
              <w:t xml:space="preserve">9% </w:t>
            </w:r>
            <w:proofErr w:type="spellStart"/>
            <w:r w:rsidRPr="00731C54">
              <w:rPr>
                <w:rFonts w:ascii="Verdana" w:eastAsia="Times New Roman" w:hAnsi="Verdana" w:cs="Tahoma"/>
                <w:i/>
                <w:iCs/>
                <w:kern w:val="20"/>
                <w:sz w:val="20"/>
                <w:szCs w:val="20"/>
              </w:rPr>
              <w:t>a.m</w:t>
            </w:r>
            <w:proofErr w:type="spellEnd"/>
          </w:p>
        </w:tc>
      </w:tr>
      <w:tr w:rsidR="00306226" w:rsidRPr="00306226" w14:paraId="235CB8AC" w14:textId="77777777" w:rsidTr="00306226">
        <w:tc>
          <w:tcPr>
            <w:tcW w:w="4536" w:type="dxa"/>
          </w:tcPr>
          <w:p w14:paraId="47747EFD" w14:textId="0994EC4A" w:rsidR="00306226" w:rsidRPr="00731C54" w:rsidRDefault="00306226"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E</w:t>
            </w:r>
          </w:p>
        </w:tc>
        <w:tc>
          <w:tcPr>
            <w:tcW w:w="3685" w:type="dxa"/>
          </w:tcPr>
          <w:p w14:paraId="5B388BEC" w14:textId="663C057A" w:rsidR="00306226" w:rsidRPr="00731C54" w:rsidRDefault="00731C54" w:rsidP="00731C54">
            <w:pPr>
              <w:pStyle w:val="ListaColorida-nfase12"/>
              <w:spacing w:before="120" w:after="120"/>
              <w:ind w:left="0"/>
              <w:rPr>
                <w:rFonts w:ascii="Verdana" w:eastAsia="Times New Roman" w:hAnsi="Verdana" w:cs="Tahoma"/>
                <w:i/>
                <w:iCs/>
                <w:kern w:val="20"/>
                <w:sz w:val="20"/>
                <w:szCs w:val="20"/>
              </w:rPr>
            </w:pPr>
            <w:r w:rsidRPr="00731C54">
              <w:rPr>
                <w:rFonts w:ascii="Verdana" w:eastAsia="Times New Roman" w:hAnsi="Verdana" w:cs="Tahoma"/>
                <w:i/>
                <w:iCs/>
                <w:kern w:val="20"/>
                <w:sz w:val="20"/>
                <w:szCs w:val="20"/>
              </w:rPr>
              <w:t xml:space="preserve">Acima de </w:t>
            </w:r>
            <w:r w:rsidR="00306226" w:rsidRPr="00731C54">
              <w:rPr>
                <w:rFonts w:ascii="Verdana" w:eastAsia="Times New Roman" w:hAnsi="Verdana" w:cs="Tahoma"/>
                <w:i/>
                <w:iCs/>
                <w:kern w:val="20"/>
                <w:sz w:val="20"/>
                <w:szCs w:val="20"/>
              </w:rPr>
              <w:t xml:space="preserve">5,00% </w:t>
            </w:r>
            <w:r w:rsidRPr="00731C54">
              <w:rPr>
                <w:rFonts w:ascii="Verdana" w:eastAsia="Times New Roman" w:hAnsi="Verdana" w:cs="Tahoma"/>
                <w:i/>
                <w:iCs/>
                <w:kern w:val="20"/>
                <w:sz w:val="20"/>
                <w:szCs w:val="20"/>
              </w:rPr>
              <w:t>a.m.</w:t>
            </w:r>
          </w:p>
        </w:tc>
      </w:tr>
    </w:tbl>
    <w:p w14:paraId="125D2199" w14:textId="0097FF5F" w:rsidR="00306226" w:rsidRDefault="00306226" w:rsidP="00731C54">
      <w:pPr>
        <w:pStyle w:val="Level1"/>
        <w:keepNext/>
        <w:numPr>
          <w:ilvl w:val="0"/>
          <w:numId w:val="0"/>
        </w:numPr>
        <w:tabs>
          <w:tab w:val="left" w:pos="1134"/>
        </w:tabs>
        <w:spacing w:after="0" w:line="276" w:lineRule="auto"/>
        <w:outlineLvl w:val="0"/>
        <w:rPr>
          <w:rFonts w:ascii="Verdana" w:hAnsi="Verdana" w:cs="Tahoma"/>
          <w:bCs/>
          <w:szCs w:val="20"/>
        </w:rPr>
      </w:pPr>
    </w:p>
    <w:p w14:paraId="622C8918" w14:textId="57F97342" w:rsidR="00731C54" w:rsidRDefault="00731C54" w:rsidP="00731C54">
      <w:pPr>
        <w:pStyle w:val="Level1"/>
        <w:keepNext/>
        <w:numPr>
          <w:ilvl w:val="0"/>
          <w:numId w:val="0"/>
        </w:numPr>
        <w:tabs>
          <w:tab w:val="left" w:pos="1134"/>
        </w:tabs>
        <w:spacing w:after="0" w:line="276" w:lineRule="auto"/>
        <w:outlineLvl w:val="0"/>
        <w:rPr>
          <w:rFonts w:ascii="Verdana" w:hAnsi="Verdana" w:cs="Tahoma"/>
          <w:bCs/>
          <w:szCs w:val="20"/>
        </w:rPr>
      </w:pPr>
      <w:r>
        <w:rPr>
          <w:rFonts w:ascii="Verdana" w:hAnsi="Verdana" w:cs="Tahoma"/>
          <w:bCs/>
          <w:szCs w:val="20"/>
        </w:rPr>
        <w:t>(c)</w:t>
      </w:r>
      <w:r>
        <w:rPr>
          <w:rFonts w:ascii="Verdana" w:hAnsi="Verdana" w:cs="Tahoma"/>
          <w:bCs/>
          <w:szCs w:val="20"/>
        </w:rPr>
        <w:tab/>
        <w:t>a alteração das definições de Índice de Cobertura da Segunda Série e Fator de Ponderação da Segunda Série, ambas constantes do glossário da Escritura de Emissão, que passarão a ser exigíveis da seguinte forma:</w:t>
      </w:r>
    </w:p>
    <w:p w14:paraId="17C78E56" w14:textId="321F764D" w:rsidR="00731C54" w:rsidRDefault="00731C54" w:rsidP="00731C54">
      <w:pPr>
        <w:pStyle w:val="Level1"/>
        <w:keepNext/>
        <w:numPr>
          <w:ilvl w:val="0"/>
          <w:numId w:val="0"/>
        </w:numPr>
        <w:tabs>
          <w:tab w:val="left" w:pos="1134"/>
        </w:tabs>
        <w:spacing w:after="0" w:line="276" w:lineRule="auto"/>
        <w:outlineLvl w:val="0"/>
        <w:rPr>
          <w:rFonts w:ascii="Verdana" w:hAnsi="Verdana" w:cs="Tahoma"/>
          <w:bCs/>
          <w:szCs w:val="20"/>
        </w:rPr>
      </w:pPr>
      <w:r>
        <w:rPr>
          <w:rFonts w:ascii="Verdana" w:hAnsi="Verdana" w:cs="Tahoma"/>
          <w:bCs/>
          <w:szCs w:val="20"/>
        </w:rPr>
        <w:tab/>
      </w:r>
    </w:p>
    <w:p w14:paraId="652C22CA" w14:textId="00E1B2CE" w:rsidR="00731C54" w:rsidRDefault="00731C54" w:rsidP="00731C54">
      <w:pPr>
        <w:spacing w:after="240" w:line="360" w:lineRule="auto"/>
        <w:ind w:left="4956" w:hanging="4251"/>
        <w:jc w:val="both"/>
        <w:rPr>
          <w:rFonts w:ascii="Verdana" w:hAnsi="Verdana"/>
          <w:i/>
          <w:iCs/>
          <w:sz w:val="20"/>
          <w:szCs w:val="20"/>
        </w:rPr>
      </w:pPr>
      <w:r>
        <w:rPr>
          <w:rFonts w:ascii="Verdana" w:hAnsi="Verdana"/>
          <w:sz w:val="20"/>
          <w:szCs w:val="20"/>
        </w:rPr>
        <w:t>“</w:t>
      </w:r>
      <w:r>
        <w:rPr>
          <w:rFonts w:ascii="Verdana" w:hAnsi="Verdana"/>
          <w:i/>
          <w:iCs/>
          <w:sz w:val="20"/>
          <w:szCs w:val="20"/>
          <w:u w:val="single"/>
        </w:rPr>
        <w:t>Índice de Cobertura da Segunda Série</w:t>
      </w:r>
      <w:r>
        <w:rPr>
          <w:rFonts w:ascii="Verdana" w:hAnsi="Verdana"/>
          <w:i/>
          <w:iCs/>
          <w:sz w:val="20"/>
          <w:szCs w:val="20"/>
        </w:rPr>
        <w:tab/>
        <w:t xml:space="preserve">O valor apurado pela Emissora, em cada Data de Verificação, através da fórmula abaixo, sendo certo que </w:t>
      </w:r>
      <w:r>
        <w:rPr>
          <w:rFonts w:ascii="Verdana" w:hAnsi="Verdana"/>
          <w:b/>
          <w:bCs/>
          <w:i/>
          <w:iCs/>
          <w:sz w:val="20"/>
          <w:szCs w:val="20"/>
        </w:rPr>
        <w:t>(i)</w:t>
      </w:r>
      <w:r>
        <w:rPr>
          <w:rFonts w:ascii="Verdana" w:hAnsi="Verdana"/>
          <w:i/>
          <w:iCs/>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Pr>
          <w:rFonts w:ascii="Verdana" w:hAnsi="Verdana"/>
          <w:b/>
          <w:bCs/>
          <w:i/>
          <w:iCs/>
          <w:sz w:val="20"/>
          <w:szCs w:val="20"/>
        </w:rPr>
        <w:t>(</w:t>
      </w:r>
      <w:proofErr w:type="spellStart"/>
      <w:r>
        <w:rPr>
          <w:rFonts w:ascii="Verdana" w:hAnsi="Verdana"/>
          <w:b/>
          <w:bCs/>
          <w:i/>
          <w:iCs/>
          <w:sz w:val="20"/>
          <w:szCs w:val="20"/>
        </w:rPr>
        <w:t>ii</w:t>
      </w:r>
      <w:proofErr w:type="spellEnd"/>
      <w:r>
        <w:rPr>
          <w:rFonts w:ascii="Verdana" w:hAnsi="Verdana"/>
          <w:b/>
          <w:bCs/>
          <w:i/>
          <w:iCs/>
          <w:sz w:val="20"/>
          <w:szCs w:val="20"/>
        </w:rPr>
        <w:t>)</w:t>
      </w:r>
      <w:r>
        <w:rPr>
          <w:rFonts w:ascii="Verdana" w:hAnsi="Verdana"/>
          <w:i/>
          <w:iCs/>
          <w:sz w:val="20"/>
          <w:szCs w:val="20"/>
        </w:rPr>
        <w:t xml:space="preserve"> o Valor das Disponibilidades será determinado com data base correspondente ao final do mês calendário anterior e será líquido da Reserva de Despesas e Encargos e sujeito o item (</w:t>
      </w:r>
      <w:proofErr w:type="spellStart"/>
      <w:r>
        <w:rPr>
          <w:rFonts w:ascii="Verdana" w:hAnsi="Verdana"/>
          <w:i/>
          <w:iCs/>
          <w:sz w:val="20"/>
          <w:szCs w:val="20"/>
        </w:rPr>
        <w:t>iii</w:t>
      </w:r>
      <w:proofErr w:type="spellEnd"/>
      <w:r>
        <w:rPr>
          <w:rFonts w:ascii="Verdana" w:hAnsi="Verdana"/>
          <w:i/>
          <w:iCs/>
          <w:sz w:val="20"/>
          <w:szCs w:val="20"/>
        </w:rPr>
        <w:t xml:space="preserve">) a seguir, e </w:t>
      </w:r>
      <w:r>
        <w:rPr>
          <w:rFonts w:ascii="Verdana" w:hAnsi="Verdana"/>
          <w:b/>
          <w:bCs/>
          <w:i/>
          <w:iCs/>
          <w:sz w:val="20"/>
          <w:szCs w:val="20"/>
        </w:rPr>
        <w:t>(</w:t>
      </w:r>
      <w:proofErr w:type="spellStart"/>
      <w:r>
        <w:rPr>
          <w:rFonts w:ascii="Verdana" w:hAnsi="Verdana"/>
          <w:b/>
          <w:bCs/>
          <w:i/>
          <w:iCs/>
          <w:sz w:val="20"/>
          <w:szCs w:val="20"/>
        </w:rPr>
        <w:t>iii</w:t>
      </w:r>
      <w:proofErr w:type="spellEnd"/>
      <w:r>
        <w:rPr>
          <w:rFonts w:ascii="Verdana" w:hAnsi="Verdana"/>
          <w:b/>
          <w:bCs/>
          <w:i/>
          <w:iCs/>
          <w:sz w:val="20"/>
          <w:szCs w:val="20"/>
        </w:rPr>
        <w:t>)</w:t>
      </w:r>
      <w:r>
        <w:rPr>
          <w:rFonts w:ascii="Verdana" w:hAnsi="Verdana"/>
          <w:i/>
          <w:iCs/>
          <w:sz w:val="20"/>
          <w:szCs w:val="20"/>
        </w:rPr>
        <w:t xml:space="preserve"> o Índice de Cobertura deverá ser calculado pro forma o pagamento das Debêntures no mês em questão, para efeitos </w:t>
      </w:r>
      <w:r>
        <w:rPr>
          <w:rFonts w:ascii="Verdana" w:hAnsi="Verdana"/>
          <w:i/>
          <w:iCs/>
          <w:sz w:val="20"/>
          <w:szCs w:val="20"/>
        </w:rPr>
        <w:lastRenderedPageBreak/>
        <w:t>do cálculo do saldo das Debêntures da Primeira Série, das Debêntures da Segunda Série e para efeitos da determinação do Valor das Disponibilidades</w:t>
      </w:r>
    </w:p>
    <w:p w14:paraId="693F861B" w14:textId="685C22CA" w:rsidR="00731C54" w:rsidRDefault="00731C54" w:rsidP="00731C54">
      <w:pPr>
        <w:spacing w:before="120" w:after="120" w:line="360" w:lineRule="auto"/>
        <w:jc w:val="both"/>
        <w:rPr>
          <w:rStyle w:val="DeltaViewDeletion"/>
          <w:rFonts w:cs="Tahoma"/>
          <w:strike w:val="0"/>
        </w:rPr>
      </w:pP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w:r>
        <w:rPr>
          <w:rFonts w:ascii="Verdana" w:hAnsi="Verdana"/>
          <w:i/>
          <w:iCs/>
          <w:sz w:val="20"/>
          <w:szCs w:val="20"/>
        </w:rPr>
        <w:tab/>
      </w:r>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Segunda Série</m:t>
                </m:r>
                <m:ctrlPr>
                  <w:rPr>
                    <w:rFonts w:ascii="Cambria Math" w:eastAsia="Cambria Math" w:hAnsi="Cambria Math" w:cs="Tahoma"/>
                    <w:sz w:val="22"/>
                    <w:szCs w:val="22"/>
                  </w:rPr>
                </m:ctrlPr>
              </m:e>
              <m:e>
                <m:r>
                  <m:rPr>
                    <m:sty m:val="p"/>
                  </m:rPr>
                  <w:rPr>
                    <w:rFonts w:ascii="Cambria Math" w:hAnsi="Cambria Math" w:cs="Tahoma"/>
                    <w:sz w:val="20"/>
                    <w:szCs w:val="20"/>
                  </w:rPr>
                  <m:t>+</m:t>
                </m:r>
                <m:ctrlPr>
                  <w:rPr>
                    <w:rFonts w:ascii="Cambria Math" w:eastAsia="Cambria Math" w:hAnsi="Cambria Math" w:cs="Tahoma"/>
                    <w:sz w:val="22"/>
                    <w:szCs w:val="22"/>
                  </w:rPr>
                </m:ctrlPr>
              </m:e>
              <m:e>
                <m:r>
                  <m:rPr>
                    <m:sty m:val="p"/>
                  </m:rPr>
                  <w:rPr>
                    <w:rFonts w:ascii="Cambria Math" w:hAnsi="Cambria Math" w:cs="Tahoma"/>
                    <w:sz w:val="20"/>
                    <w:szCs w:val="20"/>
                  </w:rPr>
                  <m:t>Valor das Disponibilidades)</m:t>
                </m:r>
              </m:e>
            </m:eqArr>
          </m:num>
          <m:den>
            <m:eqArr>
              <m:eqArrPr>
                <m:ctrlPr>
                  <w:rPr>
                    <w:rFonts w:ascii="Cambria Math" w:hAnsi="Cambria Math" w:cs="Tahoma"/>
                  </w:rPr>
                </m:ctrlPr>
              </m:eqArrPr>
              <m:e>
                <m:r>
                  <m:rPr>
                    <m:sty m:val="p"/>
                  </m:rPr>
                  <w:rPr>
                    <w:rFonts w:ascii="Cambria Math" w:hAnsi="Cambria Math" w:cs="Tahoma"/>
                    <w:sz w:val="20"/>
                    <w:szCs w:val="20"/>
                  </w:rPr>
                  <m:t xml:space="preserve">saldo das Debêntures da Primeira Série + </m:t>
                </m:r>
              </m:e>
              <m:e>
                <m:r>
                  <m:rPr>
                    <m:sty m:val="p"/>
                  </m:rPr>
                  <w:rPr>
                    <w:rFonts w:ascii="Cambria Math" w:hAnsi="Cambria Math" w:cs="Tahoma"/>
                    <w:sz w:val="20"/>
                    <w:szCs w:val="20"/>
                  </w:rPr>
                  <m:t>saldo das Debêntures da Segunda Série</m:t>
                </m:r>
              </m:e>
            </m:eqArr>
          </m:den>
        </m:f>
      </m:oMath>
    </w:p>
    <w:p w14:paraId="4508BB23" w14:textId="77777777" w:rsidR="00731C54" w:rsidRDefault="00731C54" w:rsidP="00731C54">
      <w:pPr>
        <w:spacing w:after="240" w:line="276" w:lineRule="auto"/>
        <w:ind w:left="4956" w:hanging="4251"/>
        <w:jc w:val="both"/>
        <w:rPr>
          <w:rFonts w:cstheme="minorBidi"/>
          <w:i/>
          <w:iCs/>
        </w:rPr>
      </w:pPr>
    </w:p>
    <w:p w14:paraId="7AFFF4D2" w14:textId="77777777" w:rsidR="00731C54" w:rsidRDefault="00731C54" w:rsidP="00731C54">
      <w:pPr>
        <w:spacing w:after="240" w:line="276" w:lineRule="auto"/>
        <w:jc w:val="both"/>
        <w:rPr>
          <w:rFonts w:ascii="Verdana" w:hAnsi="Verdana"/>
          <w:i/>
          <w:iCs/>
          <w:sz w:val="20"/>
          <w:szCs w:val="20"/>
        </w:rPr>
      </w:pPr>
      <w:r>
        <w:rPr>
          <w:rFonts w:ascii="Verdana" w:hAnsi="Verdana"/>
          <w:sz w:val="20"/>
          <w:szCs w:val="20"/>
        </w:rPr>
        <w:tab/>
        <w:t>“</w:t>
      </w:r>
      <w:r>
        <w:rPr>
          <w:rFonts w:ascii="Verdana" w:hAnsi="Verdana"/>
          <w:i/>
          <w:iCs/>
          <w:sz w:val="20"/>
          <w:szCs w:val="20"/>
          <w:u w:val="single"/>
        </w:rPr>
        <w:t>Fator de Ponderação da Segunda Série</w:t>
      </w:r>
      <w:r>
        <w:rPr>
          <w:rFonts w:ascii="Verdana" w:hAnsi="Verdana"/>
          <w:i/>
          <w:iCs/>
          <w:sz w:val="20"/>
          <w:szCs w:val="20"/>
        </w:rPr>
        <w:tab/>
        <w:t>Equivale a 80% (oitenta por cento)</w:t>
      </w:r>
    </w:p>
    <w:p w14:paraId="7C0A2EB4" w14:textId="48600497" w:rsidR="00731C54" w:rsidRPr="00306226" w:rsidRDefault="00731C54" w:rsidP="00731C54">
      <w:pPr>
        <w:pStyle w:val="Level1"/>
        <w:keepNext/>
        <w:numPr>
          <w:ilvl w:val="0"/>
          <w:numId w:val="0"/>
        </w:numPr>
        <w:tabs>
          <w:tab w:val="left" w:pos="1134"/>
        </w:tabs>
        <w:spacing w:after="0" w:line="276" w:lineRule="auto"/>
        <w:outlineLvl w:val="0"/>
        <w:rPr>
          <w:rFonts w:ascii="Verdana" w:hAnsi="Verdana" w:cs="Tahoma"/>
          <w:bCs/>
          <w:szCs w:val="20"/>
        </w:rPr>
      </w:pPr>
    </w:p>
    <w:p w14:paraId="6FB3D922" w14:textId="77777777" w:rsidR="00E87A5F" w:rsidRPr="00296138" w:rsidRDefault="00E87A5F" w:rsidP="00731C54">
      <w:pPr>
        <w:pStyle w:val="Level1"/>
        <w:keepNext/>
        <w:numPr>
          <w:ilvl w:val="0"/>
          <w:numId w:val="46"/>
        </w:numPr>
        <w:tabs>
          <w:tab w:val="left" w:pos="1134"/>
        </w:tabs>
        <w:spacing w:after="0" w:line="276" w:lineRule="auto"/>
        <w:outlineLvl w:val="0"/>
        <w:rPr>
          <w:rFonts w:ascii="Verdana" w:hAnsi="Verdana" w:cs="Tahoma"/>
          <w:b/>
          <w:szCs w:val="20"/>
        </w:rPr>
      </w:pPr>
      <w:r w:rsidRPr="00296138">
        <w:rPr>
          <w:rFonts w:ascii="Verdana" w:hAnsi="Verdana" w:cs="Tahoma"/>
          <w:b/>
          <w:szCs w:val="20"/>
        </w:rPr>
        <w:t>DO ARQUIVAMENTO DO ADITAMENTO</w:t>
      </w:r>
    </w:p>
    <w:p w14:paraId="1310F2FC" w14:textId="77777777" w:rsidR="00A76E99" w:rsidRDefault="00A76E99" w:rsidP="00731C54">
      <w:pPr>
        <w:pStyle w:val="Level2"/>
        <w:numPr>
          <w:ilvl w:val="0"/>
          <w:numId w:val="0"/>
        </w:numPr>
        <w:tabs>
          <w:tab w:val="left" w:pos="708"/>
        </w:tabs>
        <w:spacing w:after="0" w:line="276" w:lineRule="auto"/>
        <w:outlineLvl w:val="1"/>
        <w:rPr>
          <w:rFonts w:ascii="Verdana" w:hAnsi="Verdana" w:cs="Tahoma"/>
          <w:szCs w:val="20"/>
          <w:lang w:val="pt-BR"/>
        </w:rPr>
      </w:pPr>
      <w:bookmarkStart w:id="2" w:name="_Ref36654802"/>
    </w:p>
    <w:p w14:paraId="700402F0" w14:textId="7F068F80" w:rsidR="00952F09" w:rsidRDefault="00952F09" w:rsidP="00731C54">
      <w:pPr>
        <w:pStyle w:val="Level2"/>
        <w:numPr>
          <w:ilvl w:val="1"/>
          <w:numId w:val="47"/>
        </w:numPr>
        <w:spacing w:after="0" w:line="276" w:lineRule="auto"/>
        <w:ind w:left="0" w:hanging="11"/>
        <w:outlineLvl w:val="1"/>
        <w:rPr>
          <w:rFonts w:ascii="Verdana" w:hAnsi="Verdana" w:cs="Tahoma"/>
          <w:szCs w:val="20"/>
          <w:lang w:val="pt-BR"/>
        </w:rPr>
      </w:pPr>
      <w:r>
        <w:rPr>
          <w:rFonts w:ascii="Verdana" w:hAnsi="Verdana" w:cs="Tahoma"/>
          <w:szCs w:val="20"/>
          <w:lang w:val="pt-BR"/>
        </w:rPr>
        <w:t xml:space="preserve">O presente </w:t>
      </w:r>
      <w:r w:rsidR="00731C54">
        <w:rPr>
          <w:rFonts w:ascii="Verdana" w:hAnsi="Verdana" w:cs="Tahoma"/>
          <w:szCs w:val="20"/>
          <w:lang w:val="pt-BR"/>
        </w:rPr>
        <w:t>5</w:t>
      </w:r>
      <w:r>
        <w:rPr>
          <w:rFonts w:ascii="Verdana" w:hAnsi="Verdana" w:cs="Tahoma"/>
          <w:szCs w:val="20"/>
        </w:rPr>
        <w:t>º</w:t>
      </w:r>
      <w:r>
        <w:rPr>
          <w:rFonts w:ascii="Verdana" w:hAnsi="Verdana" w:cs="Tahoma"/>
          <w:szCs w:val="20"/>
          <w:lang w:val="pt-BR"/>
        </w:rPr>
        <w:t xml:space="preserve"> Aditamento, bem como as posteriores alterações da Escritura,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p>
    <w:bookmarkEnd w:id="2"/>
    <w:p w14:paraId="498FC29C" w14:textId="77777777" w:rsidR="00E87A5F" w:rsidRPr="00296138" w:rsidRDefault="00E87A5F" w:rsidP="00731C54">
      <w:pPr>
        <w:pStyle w:val="Level2"/>
        <w:numPr>
          <w:ilvl w:val="0"/>
          <w:numId w:val="0"/>
        </w:numPr>
        <w:spacing w:after="0" w:line="276" w:lineRule="auto"/>
        <w:outlineLvl w:val="1"/>
        <w:rPr>
          <w:rFonts w:ascii="Verdana" w:hAnsi="Verdana" w:cs="Tahoma"/>
          <w:szCs w:val="20"/>
          <w:lang w:val="pt-BR"/>
        </w:rPr>
      </w:pPr>
    </w:p>
    <w:p w14:paraId="2B29A42E" w14:textId="77777777" w:rsidR="00E87A5F" w:rsidRPr="00296138" w:rsidRDefault="00E87A5F" w:rsidP="00731C54">
      <w:pPr>
        <w:pStyle w:val="Level1"/>
        <w:keepNext/>
        <w:numPr>
          <w:ilvl w:val="0"/>
          <w:numId w:val="47"/>
        </w:numPr>
        <w:tabs>
          <w:tab w:val="left" w:pos="1134"/>
        </w:tabs>
        <w:spacing w:after="0" w:line="276" w:lineRule="auto"/>
        <w:ind w:left="0" w:firstLine="0"/>
        <w:outlineLvl w:val="0"/>
        <w:rPr>
          <w:rFonts w:ascii="Verdana" w:hAnsi="Verdana" w:cs="Tahoma"/>
          <w:b/>
          <w:szCs w:val="20"/>
        </w:rPr>
      </w:pPr>
      <w:r w:rsidRPr="00296138">
        <w:rPr>
          <w:rFonts w:ascii="Verdana" w:hAnsi="Verdana" w:cs="Tahoma"/>
          <w:b/>
          <w:szCs w:val="20"/>
        </w:rPr>
        <w:t>DAS RATIFICAÇÕES</w:t>
      </w:r>
    </w:p>
    <w:p w14:paraId="778C3EEA" w14:textId="77777777" w:rsidR="00E87A5F" w:rsidRPr="00296138" w:rsidRDefault="00E87A5F" w:rsidP="00731C54">
      <w:pPr>
        <w:pStyle w:val="Level1"/>
        <w:keepNext/>
        <w:numPr>
          <w:ilvl w:val="0"/>
          <w:numId w:val="0"/>
        </w:numPr>
        <w:tabs>
          <w:tab w:val="left" w:pos="1134"/>
        </w:tabs>
        <w:spacing w:after="0" w:line="276" w:lineRule="auto"/>
        <w:outlineLvl w:val="0"/>
        <w:rPr>
          <w:rFonts w:ascii="Verdana" w:hAnsi="Verdana" w:cs="Tahoma"/>
          <w:b/>
          <w:szCs w:val="20"/>
        </w:rPr>
      </w:pPr>
    </w:p>
    <w:p w14:paraId="5A569EC7" w14:textId="00437547" w:rsidR="00E87A5F" w:rsidRPr="00296138" w:rsidRDefault="00E87A5F" w:rsidP="00731C54">
      <w:pPr>
        <w:pStyle w:val="Level2"/>
        <w:numPr>
          <w:ilvl w:val="1"/>
          <w:numId w:val="47"/>
        </w:numPr>
        <w:spacing w:after="0" w:line="276" w:lineRule="auto"/>
        <w:ind w:left="0" w:firstLine="0"/>
        <w:outlineLvl w:val="1"/>
        <w:rPr>
          <w:rFonts w:ascii="Verdana" w:hAnsi="Verdana" w:cs="Tahoma"/>
          <w:szCs w:val="20"/>
          <w:lang w:val="pt-BR"/>
        </w:rPr>
      </w:pPr>
      <w:r w:rsidRPr="00296138">
        <w:rPr>
          <w:rFonts w:ascii="Verdana" w:hAnsi="Verdana" w:cs="Tahoma"/>
          <w:szCs w:val="20"/>
          <w:lang w:val="pt-BR"/>
        </w:rPr>
        <w:t xml:space="preserve">Ratificam-se, neste ato, todos os termos, cláusulas e condições estabelecidos na Escritura, da qual </w:t>
      </w:r>
      <w:r w:rsidR="001F3152">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w:t>
      </w:r>
      <w:r w:rsidR="00731C54">
        <w:rPr>
          <w:rFonts w:ascii="Verdana" w:hAnsi="Verdana" w:cs="Tahoma"/>
          <w:szCs w:val="20"/>
          <w:lang w:val="pt-BR"/>
        </w:rPr>
        <w:t>5</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731C54">
      <w:pPr>
        <w:pStyle w:val="Level2"/>
        <w:numPr>
          <w:ilvl w:val="0"/>
          <w:numId w:val="0"/>
        </w:numPr>
        <w:spacing w:after="0" w:line="276" w:lineRule="auto"/>
        <w:outlineLvl w:val="1"/>
        <w:rPr>
          <w:rFonts w:ascii="Verdana" w:hAnsi="Verdana" w:cs="Tahoma"/>
          <w:szCs w:val="20"/>
          <w:lang w:val="pt-BR"/>
        </w:rPr>
      </w:pPr>
    </w:p>
    <w:p w14:paraId="1285EB3B" w14:textId="37FBB36C" w:rsidR="00E87A5F" w:rsidRPr="00296138" w:rsidRDefault="00E87A5F" w:rsidP="00731C54">
      <w:pPr>
        <w:pStyle w:val="Level2"/>
        <w:numPr>
          <w:ilvl w:val="1"/>
          <w:numId w:val="47"/>
        </w:numPr>
        <w:spacing w:after="0" w:line="276" w:lineRule="auto"/>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731C54">
        <w:rPr>
          <w:rFonts w:ascii="Verdana" w:hAnsi="Verdana" w:cs="Tahoma"/>
          <w:szCs w:val="20"/>
          <w:lang w:val="pt-BR"/>
        </w:rPr>
        <w:t>5</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731C54">
      <w:pPr>
        <w:pStyle w:val="Level2"/>
        <w:numPr>
          <w:ilvl w:val="0"/>
          <w:numId w:val="0"/>
        </w:numPr>
        <w:spacing w:after="0" w:line="276" w:lineRule="auto"/>
        <w:outlineLvl w:val="1"/>
        <w:rPr>
          <w:rFonts w:ascii="Verdana" w:hAnsi="Verdana" w:cs="Tahoma"/>
          <w:szCs w:val="20"/>
          <w:lang w:val="pt-BR"/>
        </w:rPr>
      </w:pPr>
    </w:p>
    <w:p w14:paraId="6711740D" w14:textId="4CE4003D" w:rsidR="00E87A5F" w:rsidRPr="00296138" w:rsidRDefault="00E87A5F" w:rsidP="00731C54">
      <w:pPr>
        <w:pStyle w:val="Level2"/>
        <w:numPr>
          <w:ilvl w:val="1"/>
          <w:numId w:val="47"/>
        </w:numPr>
        <w:spacing w:after="0" w:line="276" w:lineRule="auto"/>
        <w:ind w:left="0" w:firstLine="0"/>
        <w:outlineLvl w:val="1"/>
        <w:rPr>
          <w:rFonts w:ascii="Verdana" w:hAnsi="Verdana" w:cs="Tahoma"/>
          <w:szCs w:val="20"/>
          <w:lang w:val="pt-BR"/>
        </w:rPr>
      </w:pPr>
      <w:r w:rsidRPr="00296138">
        <w:rPr>
          <w:rFonts w:ascii="Verdana" w:hAnsi="Verdana" w:cs="Tahoma"/>
          <w:szCs w:val="20"/>
          <w:lang w:val="pt-BR"/>
        </w:rPr>
        <w:t xml:space="preserve">Este </w:t>
      </w:r>
      <w:r w:rsidR="007F2387">
        <w:rPr>
          <w:rFonts w:ascii="Verdana" w:hAnsi="Verdana" w:cs="Tahoma"/>
          <w:szCs w:val="20"/>
          <w:lang w:val="pt-BR"/>
        </w:rPr>
        <w:t>4</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731C54">
      <w:pPr>
        <w:pStyle w:val="Level2"/>
        <w:numPr>
          <w:ilvl w:val="0"/>
          <w:numId w:val="0"/>
        </w:numPr>
        <w:spacing w:after="0" w:line="276" w:lineRule="auto"/>
        <w:outlineLvl w:val="1"/>
        <w:rPr>
          <w:rFonts w:ascii="Verdana" w:hAnsi="Verdana" w:cs="Tahoma"/>
          <w:szCs w:val="20"/>
          <w:lang w:val="pt-BR"/>
        </w:rPr>
      </w:pPr>
    </w:p>
    <w:p w14:paraId="7F617C1E" w14:textId="77777777" w:rsidR="00E87A5F" w:rsidRPr="00296138" w:rsidRDefault="00E87A5F" w:rsidP="00731C54">
      <w:pPr>
        <w:pStyle w:val="Level1"/>
        <w:keepNext/>
        <w:numPr>
          <w:ilvl w:val="0"/>
          <w:numId w:val="47"/>
        </w:numPr>
        <w:tabs>
          <w:tab w:val="left" w:pos="1134"/>
        </w:tabs>
        <w:spacing w:after="0" w:line="276" w:lineRule="auto"/>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731C54">
      <w:pPr>
        <w:pStyle w:val="Level1"/>
        <w:keepNext/>
        <w:numPr>
          <w:ilvl w:val="0"/>
          <w:numId w:val="0"/>
        </w:numPr>
        <w:tabs>
          <w:tab w:val="left" w:pos="1134"/>
        </w:tabs>
        <w:spacing w:after="0" w:line="276" w:lineRule="auto"/>
        <w:outlineLvl w:val="0"/>
        <w:rPr>
          <w:rFonts w:ascii="Verdana" w:hAnsi="Verdana" w:cs="Tahoma"/>
          <w:b/>
          <w:szCs w:val="20"/>
        </w:rPr>
      </w:pPr>
    </w:p>
    <w:p w14:paraId="47BAC5EE" w14:textId="14B08901" w:rsidR="00E87A5F" w:rsidRDefault="00E87A5F" w:rsidP="00731C54">
      <w:pPr>
        <w:pStyle w:val="Level2"/>
        <w:numPr>
          <w:ilvl w:val="1"/>
          <w:numId w:val="47"/>
        </w:numPr>
        <w:spacing w:after="0" w:line="276" w:lineRule="auto"/>
        <w:ind w:left="0" w:firstLine="0"/>
        <w:outlineLvl w:val="1"/>
        <w:rPr>
          <w:rFonts w:ascii="Verdana" w:hAnsi="Verdana" w:cs="Tahoma"/>
          <w:szCs w:val="20"/>
          <w:lang w:val="pt-BR"/>
        </w:rPr>
      </w:pPr>
      <w:r w:rsidRPr="00296138">
        <w:rPr>
          <w:rFonts w:ascii="Verdana" w:hAnsi="Verdana" w:cs="Tahoma"/>
          <w:szCs w:val="20"/>
          <w:lang w:val="pt-BR"/>
        </w:rPr>
        <w:t xml:space="preserve">Este </w:t>
      </w:r>
      <w:r w:rsidR="00731C54">
        <w:rPr>
          <w:rFonts w:ascii="Verdana" w:hAnsi="Verdana" w:cs="Tahoma"/>
          <w:szCs w:val="20"/>
          <w:lang w:val="pt-BR"/>
        </w:rPr>
        <w:t>5</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731C54">
      <w:pPr>
        <w:pStyle w:val="Level2"/>
        <w:numPr>
          <w:ilvl w:val="0"/>
          <w:numId w:val="0"/>
        </w:numPr>
        <w:spacing w:after="0" w:line="276" w:lineRule="auto"/>
        <w:outlineLvl w:val="1"/>
        <w:rPr>
          <w:rFonts w:ascii="Verdana" w:hAnsi="Verdana" w:cs="Tahoma"/>
          <w:szCs w:val="20"/>
          <w:lang w:val="pt-BR"/>
        </w:rPr>
      </w:pPr>
    </w:p>
    <w:p w14:paraId="6006F567" w14:textId="7C994AB9" w:rsidR="00E87A5F" w:rsidRDefault="00E87A5F" w:rsidP="00731C54">
      <w:pPr>
        <w:pStyle w:val="Level2"/>
        <w:numPr>
          <w:ilvl w:val="1"/>
          <w:numId w:val="47"/>
        </w:numPr>
        <w:spacing w:after="0" w:line="276" w:lineRule="auto"/>
        <w:ind w:left="0" w:firstLine="0"/>
        <w:outlineLvl w:val="1"/>
        <w:rPr>
          <w:rFonts w:ascii="Verdana" w:hAnsi="Verdana" w:cs="Tahoma"/>
          <w:szCs w:val="20"/>
          <w:lang w:val="pt-BR"/>
        </w:rPr>
      </w:pPr>
      <w:r w:rsidRPr="00296138">
        <w:rPr>
          <w:rFonts w:ascii="Verdana" w:hAnsi="Verdana" w:cs="Tahoma"/>
          <w:szCs w:val="20"/>
          <w:lang w:val="pt-BR"/>
        </w:rPr>
        <w:lastRenderedPageBreak/>
        <w:t xml:space="preserve">Fica eleito o foro da Cidade de São Paulo, Estado de São Paulo, para dirimir quaisquer dúvidas ou controvérsias oriundas deste </w:t>
      </w:r>
      <w:r w:rsidR="007F2387">
        <w:rPr>
          <w:rFonts w:ascii="Verdana" w:hAnsi="Verdana" w:cs="Tahoma"/>
          <w:szCs w:val="20"/>
          <w:lang w:val="pt-BR"/>
        </w:rPr>
        <w:t>4</w:t>
      </w:r>
      <w:r w:rsidR="00322EE4">
        <w:rPr>
          <w:rFonts w:ascii="Verdana" w:hAnsi="Verdana" w:cs="Tahoma"/>
          <w:szCs w:val="20"/>
          <w:lang w:val="pt-BR"/>
        </w:rPr>
        <w:t xml:space="preserve">º </w:t>
      </w:r>
      <w:r w:rsidRPr="00296138">
        <w:rPr>
          <w:rFonts w:ascii="Verdana" w:hAnsi="Verdana" w:cs="Tahoma"/>
          <w:szCs w:val="20"/>
          <w:lang w:val="pt-BR"/>
        </w:rPr>
        <w:t>Aditamento, com renúncia a qualquer outro por mais privilegiado que seja.</w:t>
      </w:r>
    </w:p>
    <w:p w14:paraId="4B391A08" w14:textId="77777777" w:rsidR="00BA22E4" w:rsidRPr="00BA22E4" w:rsidRDefault="00BA22E4" w:rsidP="00731C54">
      <w:pPr>
        <w:pStyle w:val="Level2"/>
        <w:numPr>
          <w:ilvl w:val="0"/>
          <w:numId w:val="0"/>
        </w:numPr>
        <w:spacing w:after="0" w:line="276" w:lineRule="auto"/>
        <w:outlineLvl w:val="1"/>
        <w:rPr>
          <w:rFonts w:ascii="Verdana" w:hAnsi="Verdana" w:cs="Tahoma"/>
          <w:szCs w:val="20"/>
          <w:lang w:val="pt-BR"/>
        </w:rPr>
      </w:pPr>
    </w:p>
    <w:p w14:paraId="06014936" w14:textId="24FBEB2E" w:rsidR="00E87A5F" w:rsidRPr="00BA22E4" w:rsidRDefault="00E87A5F" w:rsidP="00731C54">
      <w:pPr>
        <w:pStyle w:val="Level2"/>
        <w:numPr>
          <w:ilvl w:val="1"/>
          <w:numId w:val="47"/>
        </w:numPr>
        <w:spacing w:after="0" w:line="276" w:lineRule="auto"/>
        <w:ind w:left="0" w:firstLine="0"/>
        <w:outlineLvl w:val="1"/>
        <w:rPr>
          <w:rFonts w:ascii="Verdana" w:hAnsi="Verdana" w:cs="Tahoma"/>
          <w:szCs w:val="20"/>
          <w:lang w:val="pt-BR"/>
        </w:rPr>
      </w:pPr>
      <w:r w:rsidRPr="00BA22E4">
        <w:rPr>
          <w:rFonts w:ascii="Verdana" w:hAnsi="Verdana" w:cs="Tahoma"/>
          <w:szCs w:val="20"/>
          <w:lang w:val="pt-BR"/>
        </w:rPr>
        <w:t xml:space="preserve">E, por estarem assim justas e contratadas, as Partes firmam o presente </w:t>
      </w:r>
      <w:r w:rsidR="00731C54">
        <w:rPr>
          <w:rFonts w:ascii="Verdana" w:hAnsi="Verdana" w:cs="Tahoma"/>
          <w:szCs w:val="20"/>
          <w:lang w:val="pt-BR"/>
        </w:rPr>
        <w:t>5</w:t>
      </w:r>
      <w:r w:rsidR="00322EE4">
        <w:rPr>
          <w:rFonts w:ascii="Verdana" w:hAnsi="Verdana" w:cs="Tahoma"/>
          <w:szCs w:val="20"/>
          <w:lang w:val="pt-BR"/>
        </w:rPr>
        <w:t xml:space="preserve">º </w:t>
      </w:r>
      <w:r w:rsidRPr="00BA22E4">
        <w:rPr>
          <w:rFonts w:ascii="Verdana" w:hAnsi="Verdana" w:cs="Tahoma"/>
          <w:szCs w:val="20"/>
          <w:lang w:val="pt-BR"/>
        </w:rPr>
        <w:t>Aditamento</w:t>
      </w:r>
      <w:r w:rsidR="00322EE4">
        <w:rPr>
          <w:rFonts w:ascii="Verdana" w:hAnsi="Verdana" w:cs="Tahoma"/>
          <w:szCs w:val="20"/>
          <w:lang w:val="pt-BR"/>
        </w:rPr>
        <w:t>, de forma eletrônica,</w:t>
      </w:r>
      <w:r w:rsidRPr="00BA22E4">
        <w:rPr>
          <w:rFonts w:ascii="Verdana" w:hAnsi="Verdana" w:cs="Tahoma"/>
          <w:szCs w:val="20"/>
          <w:lang w:val="pt-BR"/>
        </w:rPr>
        <w:t xml:space="preserve"> em conjunto com as duas testemunhas abaixo identificadas e assinadas.</w:t>
      </w:r>
    </w:p>
    <w:p w14:paraId="7A625975" w14:textId="77777777" w:rsidR="0028797A" w:rsidRPr="00296138" w:rsidRDefault="0028797A" w:rsidP="00731C54">
      <w:pPr>
        <w:spacing w:line="276" w:lineRule="auto"/>
        <w:contextualSpacing/>
        <w:jc w:val="both"/>
        <w:rPr>
          <w:rFonts w:ascii="Verdana" w:hAnsi="Verdana" w:cs="Tahoma"/>
          <w:sz w:val="20"/>
          <w:szCs w:val="20"/>
        </w:rPr>
      </w:pPr>
    </w:p>
    <w:p w14:paraId="7130B30B" w14:textId="2A9151C0" w:rsidR="00322EE4" w:rsidRDefault="00E87A5F" w:rsidP="00731C54">
      <w:pPr>
        <w:spacing w:line="276" w:lineRule="auto"/>
        <w:jc w:val="center"/>
        <w:rPr>
          <w:rFonts w:ascii="Verdana" w:eastAsia="Arial Unicode MS" w:hAnsi="Verdana" w:cs="Tahoma"/>
          <w:bCs/>
          <w:i/>
          <w:sz w:val="20"/>
          <w:szCs w:val="20"/>
        </w:rPr>
      </w:pPr>
      <w:r w:rsidRPr="00296138">
        <w:rPr>
          <w:rFonts w:ascii="Verdana" w:eastAsia="Arial Unicode MS" w:hAnsi="Verdana" w:cs="Tahoma"/>
          <w:sz w:val="20"/>
          <w:szCs w:val="20"/>
        </w:rPr>
        <w:t xml:space="preserve">São Paulo, </w:t>
      </w:r>
      <w:r w:rsidR="00731C54">
        <w:rPr>
          <w:rFonts w:ascii="Verdana" w:hAnsi="Verdana" w:cs="Calibri"/>
          <w:sz w:val="20"/>
          <w:szCs w:val="20"/>
        </w:rPr>
        <w:t>2</w:t>
      </w:r>
      <w:r w:rsidR="002074D7">
        <w:rPr>
          <w:rFonts w:ascii="Verdana" w:hAnsi="Verdana" w:cs="Calibri"/>
          <w:sz w:val="20"/>
          <w:szCs w:val="20"/>
        </w:rPr>
        <w:t>8</w:t>
      </w:r>
      <w:r w:rsidR="00A76E99">
        <w:rPr>
          <w:rFonts w:ascii="Verdana" w:hAnsi="Verdana" w:cs="Calibri"/>
          <w:sz w:val="20"/>
          <w:szCs w:val="20"/>
        </w:rPr>
        <w:t xml:space="preserve"> de </w:t>
      </w:r>
      <w:r w:rsidR="007F2387">
        <w:rPr>
          <w:rFonts w:ascii="Verdana" w:hAnsi="Verdana" w:cs="Calibri"/>
          <w:sz w:val="20"/>
          <w:szCs w:val="20"/>
        </w:rPr>
        <w:t>abril</w:t>
      </w:r>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w:t>
      </w:r>
      <w:r w:rsidR="002074D7">
        <w:rPr>
          <w:rFonts w:ascii="Verdana" w:eastAsia="Arial Unicode MS" w:hAnsi="Verdana" w:cs="Tahoma"/>
          <w:sz w:val="20"/>
          <w:szCs w:val="20"/>
        </w:rPr>
        <w:t>1</w:t>
      </w:r>
      <w:r w:rsidRPr="00296138">
        <w:rPr>
          <w:rFonts w:ascii="Verdana" w:eastAsia="Arial Unicode MS" w:hAnsi="Verdana" w:cs="Tahoma"/>
          <w:sz w:val="20"/>
          <w:szCs w:val="20"/>
        </w:rPr>
        <w:t>.</w:t>
      </w:r>
    </w:p>
    <w:p w14:paraId="42BCB6BB" w14:textId="14C36126" w:rsidR="00C03F43" w:rsidRPr="00296138" w:rsidRDefault="00C03F43" w:rsidP="00731C54">
      <w:pPr>
        <w:tabs>
          <w:tab w:val="left" w:pos="0"/>
          <w:tab w:val="left" w:pos="709"/>
        </w:tabs>
        <w:spacing w:before="120" w:after="120" w:line="276" w:lineRule="auto"/>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w:t>
      </w:r>
      <w:r w:rsidR="00731C54">
        <w:rPr>
          <w:rFonts w:ascii="Verdana" w:hAnsi="Verdana" w:cs="Tahoma"/>
          <w:i/>
          <w:sz w:val="20"/>
          <w:szCs w:val="20"/>
        </w:rPr>
        <w:t xml:space="preserve">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w:t>
      </w:r>
      <w:r w:rsidR="00731C54">
        <w:rPr>
          <w:rFonts w:ascii="Verdana" w:hAnsi="Verdana" w:cs="Tahoma"/>
          <w:i/>
          <w:sz w:val="20"/>
          <w:szCs w:val="20"/>
        </w:rPr>
        <w:t>5</w:t>
      </w:r>
      <w:r w:rsidR="008F4D7D" w:rsidRPr="00296138">
        <w:rPr>
          <w:rFonts w:ascii="Verdana" w:hAnsi="Verdana" w:cs="Tahoma"/>
          <w:i/>
          <w:sz w:val="20"/>
          <w:szCs w:val="20"/>
        </w:rPr>
        <w:t>º (</w:t>
      </w:r>
      <w:r w:rsidR="007F2387">
        <w:rPr>
          <w:rFonts w:ascii="Verdana" w:hAnsi="Verdana" w:cs="Tahoma"/>
          <w:i/>
          <w:sz w:val="20"/>
          <w:szCs w:val="20"/>
        </w:rPr>
        <w:t>quarto</w:t>
      </w:r>
      <w:r w:rsidR="008F4D7D" w:rsidRPr="00296138">
        <w:rPr>
          <w:rFonts w:ascii="Verdana" w:hAnsi="Verdana" w:cs="Tahoma"/>
          <w:i/>
          <w:sz w:val="20"/>
          <w:szCs w:val="20"/>
        </w:rPr>
        <w:t xml:space="preserve">)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731C54">
      <w:pPr>
        <w:tabs>
          <w:tab w:val="left" w:pos="0"/>
          <w:tab w:val="left" w:pos="709"/>
        </w:tabs>
        <w:spacing w:before="120" w:after="120" w:line="276" w:lineRule="auto"/>
        <w:jc w:val="both"/>
        <w:rPr>
          <w:rFonts w:ascii="Verdana" w:hAnsi="Verdana" w:cs="Tahoma"/>
          <w:sz w:val="20"/>
          <w:szCs w:val="20"/>
        </w:rPr>
      </w:pPr>
    </w:p>
    <w:p w14:paraId="0DC5D9AC" w14:textId="77777777" w:rsidR="00C03F43" w:rsidRPr="00296138" w:rsidRDefault="00C03F43" w:rsidP="00731C54">
      <w:pPr>
        <w:tabs>
          <w:tab w:val="left" w:pos="0"/>
          <w:tab w:val="left" w:pos="709"/>
        </w:tabs>
        <w:spacing w:before="120" w:after="120" w:line="276" w:lineRule="auto"/>
        <w:jc w:val="both"/>
        <w:rPr>
          <w:rFonts w:ascii="Verdana" w:hAnsi="Verdana" w:cs="Tahoma"/>
          <w:sz w:val="20"/>
          <w:szCs w:val="20"/>
        </w:rPr>
      </w:pPr>
    </w:p>
    <w:p w14:paraId="7A3C5866" w14:textId="77777777" w:rsidR="00C03F43" w:rsidRPr="00296138" w:rsidRDefault="00C03F43" w:rsidP="00731C54">
      <w:pPr>
        <w:tabs>
          <w:tab w:val="left" w:pos="0"/>
          <w:tab w:val="left" w:pos="709"/>
        </w:tabs>
        <w:spacing w:before="120" w:after="120" w:line="276" w:lineRule="auto"/>
        <w:jc w:val="both"/>
        <w:rPr>
          <w:rFonts w:ascii="Verdana" w:hAnsi="Verdana" w:cs="Tahoma"/>
          <w:sz w:val="20"/>
          <w:szCs w:val="20"/>
        </w:rPr>
      </w:pPr>
    </w:p>
    <w:p w14:paraId="781834BE" w14:textId="77777777" w:rsidR="00C03F43" w:rsidRPr="00296138" w:rsidRDefault="00C03F43" w:rsidP="00731C54">
      <w:pPr>
        <w:tabs>
          <w:tab w:val="left" w:pos="0"/>
          <w:tab w:val="left" w:pos="709"/>
        </w:tabs>
        <w:spacing w:before="120" w:after="120" w:line="276" w:lineRule="auto"/>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731C54">
            <w:pPr>
              <w:spacing w:before="120" w:after="120" w:line="276" w:lineRule="auto"/>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02D7A0EE" w14:textId="6249E81A" w:rsidR="00865F53" w:rsidRDefault="00865F53" w:rsidP="00731C54">
      <w:pPr>
        <w:tabs>
          <w:tab w:val="left" w:pos="0"/>
          <w:tab w:val="left" w:pos="709"/>
        </w:tabs>
        <w:spacing w:before="120" w:after="120" w:line="276" w:lineRule="auto"/>
        <w:jc w:val="both"/>
        <w:rPr>
          <w:rFonts w:ascii="Verdana" w:hAnsi="Verdana" w:cs="Tahoma"/>
          <w:sz w:val="20"/>
          <w:szCs w:val="20"/>
        </w:rPr>
      </w:pPr>
    </w:p>
    <w:p w14:paraId="485A21F5" w14:textId="77777777" w:rsidR="00731C54" w:rsidRPr="00296138" w:rsidRDefault="00731C54" w:rsidP="00731C54">
      <w:pPr>
        <w:tabs>
          <w:tab w:val="left" w:pos="0"/>
          <w:tab w:val="left" w:pos="709"/>
        </w:tabs>
        <w:spacing w:before="120" w:after="120" w:line="276" w:lineRule="auto"/>
        <w:jc w:val="both"/>
        <w:rPr>
          <w:rFonts w:ascii="Verdana" w:hAnsi="Verdana" w:cs="Tahoma"/>
          <w:sz w:val="20"/>
          <w:szCs w:val="20"/>
        </w:rPr>
      </w:pPr>
    </w:p>
    <w:p w14:paraId="7533FAE9" w14:textId="77777777" w:rsidR="00865F53" w:rsidRPr="00296138" w:rsidRDefault="00865F53" w:rsidP="00731C54">
      <w:pPr>
        <w:tabs>
          <w:tab w:val="left" w:pos="0"/>
          <w:tab w:val="left" w:pos="709"/>
        </w:tabs>
        <w:spacing w:before="120" w:after="120" w:line="276" w:lineRule="auto"/>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731C54">
            <w:pPr>
              <w:spacing w:line="276" w:lineRule="auto"/>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731C54">
      <w:pPr>
        <w:tabs>
          <w:tab w:val="left" w:pos="0"/>
          <w:tab w:val="left" w:pos="709"/>
        </w:tabs>
        <w:spacing w:before="120" w:after="120" w:line="276" w:lineRule="auto"/>
        <w:rPr>
          <w:rFonts w:ascii="Verdana" w:hAnsi="Verdana" w:cs="Tahoma"/>
          <w:b/>
          <w:sz w:val="20"/>
          <w:szCs w:val="20"/>
        </w:rPr>
      </w:pPr>
    </w:p>
    <w:p w14:paraId="756882C5" w14:textId="77777777" w:rsidR="00865F53" w:rsidRPr="00296138" w:rsidRDefault="00865F53" w:rsidP="00731C54">
      <w:pPr>
        <w:tabs>
          <w:tab w:val="left" w:pos="0"/>
          <w:tab w:val="left" w:pos="709"/>
        </w:tabs>
        <w:spacing w:before="120" w:after="120" w:line="276" w:lineRule="auto"/>
        <w:rPr>
          <w:rFonts w:ascii="Verdana" w:hAnsi="Verdana" w:cs="Tahoma"/>
          <w:sz w:val="20"/>
          <w:szCs w:val="20"/>
        </w:rPr>
      </w:pPr>
    </w:p>
    <w:p w14:paraId="456DB08F" w14:textId="77777777" w:rsidR="00865F53" w:rsidRPr="00296138" w:rsidRDefault="00865F53" w:rsidP="00731C54">
      <w:pPr>
        <w:tabs>
          <w:tab w:val="left" w:pos="0"/>
          <w:tab w:val="left" w:pos="709"/>
        </w:tabs>
        <w:spacing w:before="120" w:after="120" w:line="276" w:lineRule="auto"/>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731C54">
      <w:pPr>
        <w:tabs>
          <w:tab w:val="left" w:pos="0"/>
          <w:tab w:val="left" w:pos="709"/>
        </w:tabs>
        <w:spacing w:before="120" w:after="120" w:line="276" w:lineRule="auto"/>
        <w:rPr>
          <w:rFonts w:ascii="Verdana" w:hAnsi="Verdana" w:cs="Tahoma"/>
          <w:sz w:val="20"/>
          <w:szCs w:val="20"/>
        </w:rPr>
      </w:pPr>
    </w:p>
    <w:p w14:paraId="5AB997BE" w14:textId="77777777" w:rsidR="00865F53" w:rsidRPr="00296138" w:rsidRDefault="00865F53" w:rsidP="00731C54">
      <w:pPr>
        <w:tabs>
          <w:tab w:val="left" w:pos="0"/>
          <w:tab w:val="left" w:pos="709"/>
        </w:tabs>
        <w:spacing w:before="120" w:after="120" w:line="276" w:lineRule="auto"/>
        <w:rPr>
          <w:rFonts w:ascii="Verdana" w:hAnsi="Verdana" w:cs="Tahoma"/>
          <w:sz w:val="20"/>
          <w:szCs w:val="20"/>
        </w:rPr>
      </w:pPr>
    </w:p>
    <w:p w14:paraId="1CFF494A" w14:textId="77777777" w:rsidR="00865F53" w:rsidRPr="00296138" w:rsidRDefault="00865F53" w:rsidP="00731C54">
      <w:pPr>
        <w:tabs>
          <w:tab w:val="left" w:pos="0"/>
          <w:tab w:val="left" w:pos="709"/>
        </w:tabs>
        <w:spacing w:before="120" w:after="120" w:line="276" w:lineRule="auto"/>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55FBC9DD" w:rsidR="00865F53" w:rsidRPr="00296138" w:rsidRDefault="00865F53" w:rsidP="00731C54">
            <w:pPr>
              <w:tabs>
                <w:tab w:val="left" w:pos="0"/>
                <w:tab w:val="left" w:pos="709"/>
              </w:tabs>
              <w:spacing w:before="120" w:after="120" w:line="276" w:lineRule="auto"/>
              <w:jc w:val="both"/>
              <w:rPr>
                <w:rFonts w:ascii="Verdana" w:hAnsi="Verdana" w:cs="Tahoma"/>
                <w:sz w:val="20"/>
                <w:szCs w:val="20"/>
              </w:rPr>
            </w:pPr>
            <w:r w:rsidRPr="00296138">
              <w:rPr>
                <w:rFonts w:ascii="Verdana" w:hAnsi="Verdana" w:cs="Tahoma"/>
                <w:sz w:val="20"/>
                <w:szCs w:val="20"/>
              </w:rPr>
              <w:t>Nome:</w:t>
            </w:r>
            <w:r w:rsidR="007F2387">
              <w:rPr>
                <w:rFonts w:ascii="Verdana" w:hAnsi="Verdana" w:cs="Tahoma"/>
                <w:sz w:val="20"/>
                <w:szCs w:val="20"/>
              </w:rPr>
              <w:t xml:space="preserve"> Gabriel Soana Alamino</w:t>
            </w:r>
          </w:p>
          <w:p w14:paraId="309A1C61" w14:textId="6B0088D7" w:rsidR="00865F53" w:rsidRPr="00296138" w:rsidRDefault="00865F53" w:rsidP="00731C54">
            <w:pPr>
              <w:tabs>
                <w:tab w:val="left" w:pos="0"/>
                <w:tab w:val="left" w:pos="709"/>
              </w:tabs>
              <w:spacing w:before="120" w:after="120" w:line="276" w:lineRule="auto"/>
              <w:jc w:val="both"/>
              <w:rPr>
                <w:rFonts w:ascii="Verdana" w:hAnsi="Verdana" w:cs="Tahoma"/>
                <w:sz w:val="20"/>
                <w:szCs w:val="20"/>
              </w:rPr>
            </w:pPr>
            <w:r w:rsidRPr="00296138">
              <w:rPr>
                <w:rFonts w:ascii="Verdana" w:hAnsi="Verdana" w:cs="Tahoma"/>
                <w:sz w:val="20"/>
                <w:szCs w:val="20"/>
              </w:rPr>
              <w:t>RG nº</w:t>
            </w:r>
            <w:r w:rsidR="007F2387">
              <w:rPr>
                <w:rFonts w:ascii="Verdana" w:hAnsi="Verdana" w:cs="Tahoma"/>
                <w:sz w:val="20"/>
                <w:szCs w:val="20"/>
              </w:rPr>
              <w:t xml:space="preserve"> 43.655.117-2</w:t>
            </w:r>
          </w:p>
          <w:p w14:paraId="233F7322" w14:textId="5C61ED47" w:rsidR="00865F53" w:rsidRPr="00296138" w:rsidRDefault="00865F53" w:rsidP="00731C54">
            <w:pPr>
              <w:tabs>
                <w:tab w:val="left" w:pos="0"/>
                <w:tab w:val="left" w:pos="709"/>
              </w:tabs>
              <w:spacing w:before="120" w:after="120" w:line="276" w:lineRule="auto"/>
              <w:jc w:val="both"/>
              <w:rPr>
                <w:rFonts w:ascii="Verdana" w:hAnsi="Verdana" w:cs="Tahoma"/>
                <w:sz w:val="20"/>
                <w:szCs w:val="20"/>
              </w:rPr>
            </w:pPr>
            <w:r w:rsidRPr="00296138">
              <w:rPr>
                <w:rFonts w:ascii="Verdana" w:hAnsi="Verdana" w:cs="Tahoma"/>
                <w:sz w:val="20"/>
                <w:szCs w:val="20"/>
              </w:rPr>
              <w:t>CPF nº</w:t>
            </w:r>
            <w:r w:rsidR="007F2387">
              <w:rPr>
                <w:rFonts w:ascii="Verdana" w:hAnsi="Verdana" w:cs="Tahoma"/>
                <w:sz w:val="20"/>
                <w:szCs w:val="20"/>
              </w:rPr>
              <w:t xml:space="preserve"> 419.270.038-73</w:t>
            </w:r>
          </w:p>
        </w:tc>
        <w:tc>
          <w:tcPr>
            <w:tcW w:w="199" w:type="pct"/>
          </w:tcPr>
          <w:p w14:paraId="5430942D" w14:textId="77777777" w:rsidR="00865F53" w:rsidRPr="00296138" w:rsidRDefault="00865F53" w:rsidP="00731C54">
            <w:pPr>
              <w:tabs>
                <w:tab w:val="left" w:pos="0"/>
                <w:tab w:val="left" w:pos="709"/>
              </w:tabs>
              <w:spacing w:before="120" w:after="120" w:line="276" w:lineRule="auto"/>
              <w:jc w:val="both"/>
              <w:rPr>
                <w:rFonts w:ascii="Verdana" w:hAnsi="Verdana" w:cs="Tahoma"/>
                <w:sz w:val="20"/>
                <w:szCs w:val="20"/>
              </w:rPr>
            </w:pPr>
          </w:p>
        </w:tc>
        <w:tc>
          <w:tcPr>
            <w:tcW w:w="2401" w:type="pct"/>
            <w:tcBorders>
              <w:top w:val="single" w:sz="4" w:space="0" w:color="auto"/>
            </w:tcBorders>
          </w:tcPr>
          <w:p w14:paraId="66B15E5C" w14:textId="50B9F45F" w:rsidR="00865F53" w:rsidRPr="00296138" w:rsidRDefault="00865F53" w:rsidP="00731C54">
            <w:pPr>
              <w:tabs>
                <w:tab w:val="left" w:pos="0"/>
                <w:tab w:val="left" w:pos="709"/>
              </w:tabs>
              <w:spacing w:before="120" w:after="120" w:line="276" w:lineRule="auto"/>
              <w:jc w:val="both"/>
              <w:rPr>
                <w:rFonts w:ascii="Verdana" w:hAnsi="Verdana" w:cs="Tahoma"/>
                <w:sz w:val="20"/>
                <w:szCs w:val="20"/>
              </w:rPr>
            </w:pPr>
            <w:r w:rsidRPr="00296138">
              <w:rPr>
                <w:rFonts w:ascii="Verdana" w:hAnsi="Verdana" w:cs="Tahoma"/>
                <w:sz w:val="20"/>
                <w:szCs w:val="20"/>
              </w:rPr>
              <w:t>Nome:</w:t>
            </w:r>
            <w:r w:rsidR="007F2387">
              <w:rPr>
                <w:rFonts w:ascii="Verdana" w:hAnsi="Verdana" w:cs="Tahoma"/>
                <w:sz w:val="20"/>
                <w:szCs w:val="20"/>
              </w:rPr>
              <w:t xml:space="preserve"> Giulia Paes Ferreira</w:t>
            </w:r>
          </w:p>
          <w:p w14:paraId="3D7DCB5C" w14:textId="66B5C053" w:rsidR="00865F53" w:rsidRPr="00296138" w:rsidRDefault="00865F53" w:rsidP="00731C54">
            <w:pPr>
              <w:tabs>
                <w:tab w:val="left" w:pos="0"/>
                <w:tab w:val="left" w:pos="709"/>
              </w:tabs>
              <w:spacing w:before="120" w:after="120" w:line="276" w:lineRule="auto"/>
              <w:jc w:val="both"/>
              <w:rPr>
                <w:rFonts w:ascii="Verdana" w:hAnsi="Verdana" w:cs="Tahoma"/>
                <w:sz w:val="20"/>
                <w:szCs w:val="20"/>
              </w:rPr>
            </w:pPr>
            <w:r w:rsidRPr="00296138">
              <w:rPr>
                <w:rFonts w:ascii="Verdana" w:hAnsi="Verdana" w:cs="Tahoma"/>
                <w:sz w:val="20"/>
                <w:szCs w:val="20"/>
              </w:rPr>
              <w:t>RG nº</w:t>
            </w:r>
            <w:r w:rsidR="007F2387">
              <w:rPr>
                <w:rFonts w:ascii="Verdana" w:hAnsi="Verdana" w:cs="Tahoma"/>
                <w:sz w:val="20"/>
                <w:szCs w:val="20"/>
              </w:rPr>
              <w:t xml:space="preserve"> 38.351.237-2</w:t>
            </w:r>
          </w:p>
          <w:p w14:paraId="1DEF5D65" w14:textId="0CFA2076" w:rsidR="00865F53" w:rsidRPr="00296138" w:rsidRDefault="00865F53" w:rsidP="00731C54">
            <w:pPr>
              <w:tabs>
                <w:tab w:val="left" w:pos="0"/>
                <w:tab w:val="left" w:pos="709"/>
              </w:tabs>
              <w:spacing w:before="120" w:after="120" w:line="276" w:lineRule="auto"/>
              <w:jc w:val="both"/>
              <w:rPr>
                <w:rFonts w:ascii="Verdana" w:hAnsi="Verdana" w:cs="Tahoma"/>
                <w:sz w:val="20"/>
                <w:szCs w:val="20"/>
              </w:rPr>
            </w:pPr>
            <w:r w:rsidRPr="00296138">
              <w:rPr>
                <w:rFonts w:ascii="Verdana" w:hAnsi="Verdana" w:cs="Tahoma"/>
                <w:sz w:val="20"/>
                <w:szCs w:val="20"/>
              </w:rPr>
              <w:t>CPF nº</w:t>
            </w:r>
            <w:r w:rsidR="007F2387">
              <w:rPr>
                <w:rFonts w:ascii="Verdana" w:hAnsi="Verdana" w:cs="Tahoma"/>
                <w:sz w:val="20"/>
                <w:szCs w:val="20"/>
              </w:rPr>
              <w:t xml:space="preserve"> 430.188.348-79</w:t>
            </w:r>
          </w:p>
        </w:tc>
      </w:tr>
    </w:tbl>
    <w:p w14:paraId="31704796" w14:textId="77777777" w:rsidR="00865F53" w:rsidRPr="00296138" w:rsidRDefault="00865F53" w:rsidP="00731C54">
      <w:pPr>
        <w:spacing w:line="276" w:lineRule="auto"/>
        <w:rPr>
          <w:rFonts w:ascii="Verdana" w:hAnsi="Verdana" w:cs="Tahoma"/>
          <w:sz w:val="20"/>
          <w:szCs w:val="20"/>
        </w:rPr>
      </w:pPr>
    </w:p>
    <w:sectPr w:rsidR="00865F53" w:rsidRPr="00296138"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9"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1"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1"/>
  </w:num>
  <w:num w:numId="8">
    <w:abstractNumId w:val="12"/>
  </w:num>
  <w:num w:numId="9">
    <w:abstractNumId w:val="35"/>
  </w:num>
  <w:num w:numId="10">
    <w:abstractNumId w:val="40"/>
  </w:num>
  <w:num w:numId="11">
    <w:abstractNumId w:val="11"/>
  </w:num>
  <w:num w:numId="12">
    <w:abstractNumId w:val="13"/>
  </w:num>
  <w:num w:numId="13">
    <w:abstractNumId w:val="39"/>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8"/>
  </w:num>
  <w:num w:numId="21">
    <w:abstractNumId w:val="31"/>
  </w:num>
  <w:num w:numId="22">
    <w:abstractNumId w:val="43"/>
  </w:num>
  <w:num w:numId="23">
    <w:abstractNumId w:val="42"/>
  </w:num>
  <w:num w:numId="24">
    <w:abstractNumId w:val="15"/>
  </w:num>
  <w:num w:numId="25">
    <w:abstractNumId w:val="32"/>
  </w:num>
  <w:num w:numId="26">
    <w:abstractNumId w:val="1"/>
  </w:num>
  <w:num w:numId="27">
    <w:abstractNumId w:val="4"/>
  </w:num>
  <w:num w:numId="28">
    <w:abstractNumId w:val="5"/>
  </w:num>
  <w:num w:numId="29">
    <w:abstractNumId w:val="10"/>
  </w:num>
  <w:num w:numId="30">
    <w:abstractNumId w:val="19"/>
  </w:num>
  <w:num w:numId="31">
    <w:abstractNumId w:val="37"/>
  </w:num>
  <w:num w:numId="32">
    <w:abstractNumId w:val="26"/>
  </w:num>
  <w:num w:numId="33">
    <w:abstractNumId w:val="23"/>
  </w:num>
  <w:num w:numId="34">
    <w:abstractNumId w:val="22"/>
  </w:num>
  <w:num w:numId="35">
    <w:abstractNumId w:val="34"/>
  </w:num>
  <w:num w:numId="36">
    <w:abstractNumId w:val="29"/>
  </w:num>
  <w:num w:numId="37">
    <w:abstractNumId w:val="33"/>
  </w:num>
  <w:num w:numId="38">
    <w:abstractNumId w:val="25"/>
  </w:num>
  <w:num w:numId="39">
    <w:abstractNumId w:val="8"/>
  </w:num>
  <w:num w:numId="40">
    <w:abstractNumId w:val="7"/>
  </w:num>
  <w:num w:numId="41">
    <w:abstractNumId w:val="3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62ABE"/>
    <w:rsid w:val="00065D3D"/>
    <w:rsid w:val="000A0667"/>
    <w:rsid w:val="000A6450"/>
    <w:rsid w:val="000F57E9"/>
    <w:rsid w:val="00117450"/>
    <w:rsid w:val="00150765"/>
    <w:rsid w:val="00167290"/>
    <w:rsid w:val="00177729"/>
    <w:rsid w:val="00180AC1"/>
    <w:rsid w:val="001A6B52"/>
    <w:rsid w:val="001E2F19"/>
    <w:rsid w:val="001E7658"/>
    <w:rsid w:val="001F3152"/>
    <w:rsid w:val="001F5BAC"/>
    <w:rsid w:val="002074D7"/>
    <w:rsid w:val="00221E2B"/>
    <w:rsid w:val="00266328"/>
    <w:rsid w:val="0028797A"/>
    <w:rsid w:val="00296138"/>
    <w:rsid w:val="002B03FB"/>
    <w:rsid w:val="002B16B0"/>
    <w:rsid w:val="002F7159"/>
    <w:rsid w:val="00306226"/>
    <w:rsid w:val="00315FB8"/>
    <w:rsid w:val="00322EE4"/>
    <w:rsid w:val="00385CD8"/>
    <w:rsid w:val="003A4A84"/>
    <w:rsid w:val="004A3B52"/>
    <w:rsid w:val="004C40BB"/>
    <w:rsid w:val="004E503A"/>
    <w:rsid w:val="005278F7"/>
    <w:rsid w:val="00594199"/>
    <w:rsid w:val="00596037"/>
    <w:rsid w:val="005B28C7"/>
    <w:rsid w:val="005C473B"/>
    <w:rsid w:val="005F6890"/>
    <w:rsid w:val="006307C4"/>
    <w:rsid w:val="00654F79"/>
    <w:rsid w:val="0067642B"/>
    <w:rsid w:val="006911AA"/>
    <w:rsid w:val="00694CBD"/>
    <w:rsid w:val="006F7AE8"/>
    <w:rsid w:val="00731C54"/>
    <w:rsid w:val="00797D81"/>
    <w:rsid w:val="007F142A"/>
    <w:rsid w:val="007F2387"/>
    <w:rsid w:val="007F6142"/>
    <w:rsid w:val="00830DA8"/>
    <w:rsid w:val="008317CE"/>
    <w:rsid w:val="00865F53"/>
    <w:rsid w:val="00866589"/>
    <w:rsid w:val="008A12CC"/>
    <w:rsid w:val="008E21C9"/>
    <w:rsid w:val="008F4D7D"/>
    <w:rsid w:val="00922764"/>
    <w:rsid w:val="00924E07"/>
    <w:rsid w:val="00942396"/>
    <w:rsid w:val="0094487A"/>
    <w:rsid w:val="009457DF"/>
    <w:rsid w:val="00952F09"/>
    <w:rsid w:val="009B0326"/>
    <w:rsid w:val="00A13D45"/>
    <w:rsid w:val="00A42ED8"/>
    <w:rsid w:val="00A62AF3"/>
    <w:rsid w:val="00A70011"/>
    <w:rsid w:val="00A7596B"/>
    <w:rsid w:val="00A76E99"/>
    <w:rsid w:val="00A94516"/>
    <w:rsid w:val="00AA5B2B"/>
    <w:rsid w:val="00AD0259"/>
    <w:rsid w:val="00B44C65"/>
    <w:rsid w:val="00BA22E4"/>
    <w:rsid w:val="00C03F43"/>
    <w:rsid w:val="00C21FD2"/>
    <w:rsid w:val="00C46B7A"/>
    <w:rsid w:val="00C6704A"/>
    <w:rsid w:val="00C81763"/>
    <w:rsid w:val="00CC785A"/>
    <w:rsid w:val="00D65E5B"/>
    <w:rsid w:val="00D828A2"/>
    <w:rsid w:val="00D832B7"/>
    <w:rsid w:val="00DB3858"/>
    <w:rsid w:val="00DE7A70"/>
    <w:rsid w:val="00DF6A80"/>
    <w:rsid w:val="00E107FA"/>
    <w:rsid w:val="00E5486A"/>
    <w:rsid w:val="00E559B0"/>
    <w:rsid w:val="00E87A5F"/>
    <w:rsid w:val="00EA28D3"/>
    <w:rsid w:val="00EC7ECF"/>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270039795">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671061263">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2</cp:revision>
  <cp:lastPrinted>2018-12-05T19:40:00Z</cp:lastPrinted>
  <dcterms:created xsi:type="dcterms:W3CDTF">2021-05-18T16:54:00Z</dcterms:created>
  <dcterms:modified xsi:type="dcterms:W3CDTF">2021-05-18T16:54:00Z</dcterms:modified>
</cp:coreProperties>
</file>