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FF6E" w14:textId="215AF2B0"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E67F9A">
        <w:rPr>
          <w:rFonts w:ascii="Verdana" w:hAnsi="Verdana"/>
          <w:b/>
          <w:smallCaps/>
          <w:sz w:val="20"/>
          <w:szCs w:val="20"/>
        </w:rPr>
        <w:t xml:space="preserve">ATÉ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104B7D25" w:rsidR="00EB5CDB" w:rsidRPr="00E06B02" w:rsidRDefault="006B29FB" w:rsidP="00E06B02">
      <w:pPr>
        <w:pBdr>
          <w:bottom w:val="double" w:sz="6" w:space="0" w:color="auto"/>
        </w:pBdr>
        <w:spacing w:line="280" w:lineRule="exact"/>
        <w:jc w:val="center"/>
        <w:rPr>
          <w:rFonts w:ascii="Verdana" w:hAnsi="Verdana"/>
          <w:b/>
          <w:smallCaps/>
          <w:sz w:val="20"/>
          <w:szCs w:val="20"/>
        </w:rPr>
      </w:pPr>
      <w:r>
        <w:rPr>
          <w:rFonts w:ascii="Verdana" w:hAnsi="Verdana"/>
          <w:b/>
          <w:smallCaps/>
          <w:sz w:val="20"/>
          <w:szCs w:val="20"/>
        </w:rPr>
        <w:t>12</w:t>
      </w:r>
      <w:r w:rsidRPr="00E06B02">
        <w:rPr>
          <w:rFonts w:ascii="Verdana" w:hAnsi="Verdana"/>
          <w:b/>
          <w:smallCaps/>
          <w:sz w:val="20"/>
          <w:szCs w:val="20"/>
        </w:rPr>
        <w:t xml:space="preserve"> </w:t>
      </w:r>
      <w:r w:rsidR="002E7E75" w:rsidRPr="00E06B02">
        <w:rPr>
          <w:rFonts w:ascii="Verdana" w:hAnsi="Verdana"/>
          <w:b/>
          <w:smallCaps/>
          <w:sz w:val="20"/>
          <w:szCs w:val="20"/>
        </w:rPr>
        <w:t xml:space="preserve">DE </w:t>
      </w:r>
      <w:r w:rsidR="0051166F">
        <w:rPr>
          <w:rFonts w:ascii="Verdana" w:hAnsi="Verdana"/>
          <w:b/>
          <w:smallCaps/>
          <w:sz w:val="20"/>
          <w:szCs w:val="20"/>
        </w:rPr>
        <w:t>MAIO</w:t>
      </w:r>
      <w:r w:rsidR="0051166F" w:rsidRPr="00E06B02">
        <w:rPr>
          <w:rFonts w:ascii="Verdana" w:hAnsi="Verdana"/>
          <w:b/>
          <w:smallCaps/>
          <w:sz w:val="20"/>
          <w:szCs w:val="20"/>
        </w:rPr>
        <w:t xml:space="preserve"> </w:t>
      </w:r>
      <w:r w:rsidR="002E7E75" w:rsidRPr="00E06B02">
        <w:rPr>
          <w:rFonts w:ascii="Verdana" w:hAnsi="Verdana"/>
          <w:b/>
          <w:smallCaps/>
          <w:sz w:val="20"/>
          <w:szCs w:val="20"/>
        </w:rPr>
        <w:t>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0AEE7F8A"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E67F9A">
        <w:rPr>
          <w:rFonts w:ascii="Verdana" w:hAnsi="Verdana"/>
          <w:b/>
          <w:smallCaps/>
          <w:sz w:val="20"/>
          <w:szCs w:val="20"/>
        </w:rPr>
        <w:t xml:space="preserve">ATÉ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EEB21D"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w:t>
      </w:r>
      <w:r w:rsidR="0032581C">
        <w:rPr>
          <w:rFonts w:ascii="Verdana" w:hAnsi="Verdana"/>
          <w:sz w:val="20"/>
          <w:szCs w:val="20"/>
        </w:rPr>
        <w:t>c</w:t>
      </w:r>
      <w:r w:rsidRPr="00E06B02">
        <w:rPr>
          <w:rFonts w:ascii="Verdana" w:hAnsi="Verdana"/>
          <w:sz w:val="20"/>
          <w:szCs w:val="20"/>
        </w:rPr>
        <w:t xml:space="preserve">ontrato </w:t>
      </w:r>
      <w:r w:rsidR="0032581C">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54495770"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3C53C20A"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2581C" w:rsidRPr="00E06B02" w14:paraId="7F2A3373" w14:textId="77777777" w:rsidTr="0032581C">
        <w:tc>
          <w:tcPr>
            <w:tcW w:w="2970" w:type="dxa"/>
          </w:tcPr>
          <w:p w14:paraId="4013D9D5" w14:textId="77777777" w:rsidR="0032581C" w:rsidRPr="006B3238"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5CEB3C8B" w14:textId="77777777" w:rsidR="0032581C" w:rsidRDefault="0032581C" w:rsidP="0032581C">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5498A621" w14:textId="77777777" w:rsidR="000E7496" w:rsidRPr="00E06B02" w:rsidRDefault="000E7496" w:rsidP="0032581C">
            <w:pPr>
              <w:spacing w:line="280" w:lineRule="exact"/>
              <w:jc w:val="both"/>
              <w:rPr>
                <w:rFonts w:ascii="Verdana" w:hAnsi="Verdana"/>
                <w:sz w:val="20"/>
                <w:szCs w:val="20"/>
              </w:rPr>
            </w:pPr>
          </w:p>
        </w:tc>
      </w:tr>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6240E544"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4B34AF">
              <w:rPr>
                <w:rFonts w:ascii="Verdana" w:eastAsia="Arial Unicode MS" w:hAnsi="Verdana" w:cs="Tahoma"/>
                <w:sz w:val="20"/>
                <w:szCs w:val="20"/>
              </w:rPr>
              <w:t>07</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4B34AF">
              <w:rPr>
                <w:rFonts w:ascii="Verdana" w:eastAsia="Arial Unicode MS" w:hAnsi="Verdana" w:cs="Tahoma"/>
                <w:sz w:val="20"/>
                <w:szCs w:val="20"/>
              </w:rPr>
              <w:t>maio</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32581C" w:rsidRPr="00E06B02" w14:paraId="7FEF471C" w14:textId="77777777">
        <w:tc>
          <w:tcPr>
            <w:tcW w:w="2970" w:type="dxa"/>
          </w:tcPr>
          <w:p w14:paraId="78E8B0CD" w14:textId="28CD1AB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F85A9E7"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11D3A861" w14:textId="77777777" w:rsidR="0032581C" w:rsidRPr="00E06B02" w:rsidRDefault="0032581C" w:rsidP="0032581C">
            <w:pPr>
              <w:spacing w:line="280" w:lineRule="exact"/>
              <w:jc w:val="both"/>
              <w:rPr>
                <w:rFonts w:ascii="Verdana" w:hAnsi="Verdana"/>
                <w:sz w:val="20"/>
                <w:szCs w:val="20"/>
                <w:lang w:eastAsia="en-US"/>
              </w:rPr>
            </w:pPr>
          </w:p>
        </w:tc>
      </w:tr>
      <w:tr w:rsidR="0032581C" w:rsidRPr="00E06B02" w14:paraId="773F43B7" w14:textId="77777777">
        <w:tc>
          <w:tcPr>
            <w:tcW w:w="2970" w:type="dxa"/>
          </w:tcPr>
          <w:p w14:paraId="732D09C4" w14:textId="77777777" w:rsidR="0032581C"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A53BDCB" w14:textId="695FBB57" w:rsidR="0032581C" w:rsidRPr="00E06B02" w:rsidRDefault="0032581C" w:rsidP="0032581C">
            <w:pPr>
              <w:spacing w:line="280" w:lineRule="exact"/>
              <w:jc w:val="both"/>
              <w:rPr>
                <w:rFonts w:ascii="Verdana" w:hAnsi="Verdana" w:cs="Tahoma"/>
                <w:sz w:val="20"/>
                <w:szCs w:val="20"/>
              </w:rPr>
            </w:pPr>
          </w:p>
        </w:tc>
        <w:tc>
          <w:tcPr>
            <w:tcW w:w="6316" w:type="dxa"/>
          </w:tcPr>
          <w:p w14:paraId="20563BA8" w14:textId="1DE68134" w:rsidR="0051166F"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sidR="00A62379">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cuja contratação pode</w:t>
            </w:r>
            <w:r w:rsidR="0099019F">
              <w:rPr>
                <w:rFonts w:ascii="Verdana" w:eastAsia="MS Mincho" w:hAnsi="Verdana" w:cs="Tahoma"/>
                <w:sz w:val="20"/>
                <w:szCs w:val="20"/>
              </w:rPr>
              <w:t>rá</w:t>
            </w:r>
            <w:r>
              <w:rPr>
                <w:rFonts w:ascii="Verdana" w:eastAsia="MS Mincho" w:hAnsi="Verdana" w:cs="Tahoma"/>
                <w:sz w:val="20"/>
                <w:szCs w:val="20"/>
              </w:rPr>
              <w:t xml:space="preserve"> ser realizada</w:t>
            </w:r>
            <w:r w:rsidR="0099019F">
              <w:rPr>
                <w:rFonts w:ascii="Verdana" w:eastAsia="MS Mincho" w:hAnsi="Verdana" w:cs="Tahoma"/>
                <w:sz w:val="20"/>
                <w:szCs w:val="20"/>
              </w:rPr>
              <w:t xml:space="preserve"> pela Emissora</w:t>
            </w:r>
            <w:r>
              <w:rPr>
                <w:rFonts w:ascii="Verdana" w:eastAsia="MS Mincho" w:hAnsi="Verdana" w:cs="Tahoma"/>
                <w:sz w:val="20"/>
                <w:szCs w:val="20"/>
              </w:rPr>
              <w:t xml:space="preserve"> sem a necessidade de aprovação em Assembleia Geral de Debenturistas ou aprovação societária da Emissora</w:t>
            </w:r>
            <w:r w:rsidR="00A62379">
              <w:rPr>
                <w:rFonts w:ascii="Verdana" w:eastAsia="MS Mincho" w:hAnsi="Verdana" w:cs="Tahoma"/>
                <w:sz w:val="20"/>
                <w:szCs w:val="20"/>
              </w:rPr>
              <w:t xml:space="preserve">, sendo certo que o Agente de Cobrança Substitutivo poderá ser a </w:t>
            </w:r>
            <w:r w:rsidR="00A62379" w:rsidRPr="00A62379">
              <w:rPr>
                <w:rFonts w:ascii="Verdana" w:eastAsia="MS Mincho" w:hAnsi="Verdana" w:cs="Tahoma"/>
                <w:sz w:val="20"/>
                <w:szCs w:val="20"/>
              </w:rPr>
              <w:t>Reco</w:t>
            </w:r>
            <w:r w:rsidR="00A62379">
              <w:rPr>
                <w:rFonts w:ascii="Verdana" w:eastAsia="MS Mincho" w:hAnsi="Verdana" w:cs="Tahoma"/>
                <w:sz w:val="20"/>
                <w:szCs w:val="20"/>
              </w:rPr>
              <w:t>very do Brasil Consultoria S.A., inscrita no CNPJ/ME sob nº</w:t>
            </w:r>
            <w:r w:rsidR="00A62379" w:rsidRPr="00A62379">
              <w:rPr>
                <w:rFonts w:ascii="Verdana" w:eastAsia="MS Mincho" w:hAnsi="Verdana" w:cs="Tahoma"/>
                <w:sz w:val="20"/>
                <w:szCs w:val="20"/>
              </w:rPr>
              <w:t xml:space="preserve"> 05.032.035/0001-26</w:t>
            </w:r>
            <w:r w:rsidR="00A62379">
              <w:rPr>
                <w:rFonts w:ascii="Verdana" w:eastAsia="MS Mincho" w:hAnsi="Verdana" w:cs="Tahoma"/>
                <w:sz w:val="20"/>
                <w:szCs w:val="20"/>
              </w:rPr>
              <w:t xml:space="preserve"> ou a </w:t>
            </w:r>
            <w:r w:rsidR="00E22B0C">
              <w:rPr>
                <w:rFonts w:ascii="Verdana" w:eastAsia="MS Mincho" w:hAnsi="Verdana" w:cs="Tahoma"/>
                <w:sz w:val="20"/>
                <w:szCs w:val="20"/>
              </w:rPr>
              <w:t>Emissora e/ou qualquer empresa integrante de seu grupo econômico</w:t>
            </w:r>
            <w:r w:rsidRPr="00E06B02">
              <w:rPr>
                <w:rFonts w:ascii="Verdana" w:eastAsia="MS Mincho" w:hAnsi="Verdana" w:cs="Tahoma"/>
                <w:sz w:val="20"/>
                <w:szCs w:val="20"/>
              </w:rPr>
              <w:t>.</w:t>
            </w:r>
          </w:p>
          <w:p w14:paraId="69D0BB35" w14:textId="2EF76B07" w:rsidR="0032581C" w:rsidRPr="00E06B02" w:rsidRDefault="0032581C" w:rsidP="0032581C">
            <w:pPr>
              <w:spacing w:line="280" w:lineRule="exact"/>
              <w:jc w:val="both"/>
              <w:rPr>
                <w:rFonts w:ascii="Verdana" w:eastAsia="MS Mincho" w:hAnsi="Verdana" w:cs="Tahoma"/>
                <w:sz w:val="20"/>
                <w:szCs w:val="20"/>
              </w:rPr>
            </w:pPr>
          </w:p>
          <w:p w14:paraId="69A4EDAF" w14:textId="2291D8F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CFCC601" w14:textId="77777777">
        <w:tc>
          <w:tcPr>
            <w:tcW w:w="2970" w:type="dxa"/>
          </w:tcPr>
          <w:p w14:paraId="13B244E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909833E" w14:textId="138341FD" w:rsidR="0032581C" w:rsidRPr="00E06B02" w:rsidRDefault="0032581C" w:rsidP="0032581C">
            <w:pPr>
              <w:spacing w:line="280" w:lineRule="exact"/>
              <w:jc w:val="both"/>
              <w:rPr>
                <w:rFonts w:ascii="Verdana" w:hAnsi="Verdana" w:cs="Tahoma"/>
                <w:sz w:val="20"/>
                <w:szCs w:val="20"/>
              </w:rPr>
            </w:pPr>
          </w:p>
        </w:tc>
      </w:tr>
      <w:tr w:rsidR="0032581C" w:rsidRPr="00E06B02" w14:paraId="17790936" w14:textId="77777777">
        <w:tc>
          <w:tcPr>
            <w:tcW w:w="2970" w:type="dxa"/>
          </w:tcPr>
          <w:p w14:paraId="4844DE18"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32581C" w:rsidRPr="00E06B02" w:rsidRDefault="0032581C" w:rsidP="0032581C">
            <w:pPr>
              <w:spacing w:line="280" w:lineRule="exact"/>
              <w:jc w:val="both"/>
              <w:rPr>
                <w:rFonts w:ascii="Verdana" w:hAnsi="Verdana" w:cs="Tahoma"/>
                <w:sz w:val="20"/>
                <w:szCs w:val="20"/>
              </w:rPr>
            </w:pPr>
          </w:p>
        </w:tc>
      </w:tr>
      <w:tr w:rsidR="0032581C" w:rsidRPr="00E06B02" w14:paraId="31907A43" w14:textId="77777777">
        <w:tc>
          <w:tcPr>
            <w:tcW w:w="2970" w:type="dxa"/>
          </w:tcPr>
          <w:p w14:paraId="19632706"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32581C" w:rsidRPr="00E06B02" w:rsidRDefault="0032581C" w:rsidP="0032581C">
            <w:pPr>
              <w:spacing w:line="280" w:lineRule="exact"/>
              <w:jc w:val="both"/>
              <w:rPr>
                <w:rFonts w:ascii="Verdana" w:hAnsi="Verdana" w:cs="Tahoma"/>
                <w:sz w:val="20"/>
                <w:szCs w:val="20"/>
              </w:rPr>
            </w:pPr>
          </w:p>
        </w:tc>
      </w:tr>
      <w:tr w:rsidR="0032581C" w:rsidRPr="00E06B02" w14:paraId="306F7498" w14:textId="77777777">
        <w:tc>
          <w:tcPr>
            <w:tcW w:w="2970" w:type="dxa"/>
          </w:tcPr>
          <w:p w14:paraId="0EAF2A1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32581C" w:rsidRPr="00E06B02" w:rsidRDefault="0032581C" w:rsidP="0032581C">
            <w:pPr>
              <w:spacing w:line="280" w:lineRule="exact"/>
              <w:jc w:val="both"/>
              <w:rPr>
                <w:rFonts w:ascii="Verdana" w:hAnsi="Verdana" w:cs="Tahoma"/>
                <w:sz w:val="20"/>
                <w:szCs w:val="20"/>
              </w:rPr>
            </w:pPr>
          </w:p>
        </w:tc>
      </w:tr>
      <w:tr w:rsidR="0032581C" w:rsidRPr="00E06B02" w14:paraId="1A4ED1A8" w14:textId="77777777">
        <w:tc>
          <w:tcPr>
            <w:tcW w:w="2970" w:type="dxa"/>
          </w:tcPr>
          <w:p w14:paraId="3ED8C9D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32581C" w:rsidRPr="00E06B02" w:rsidRDefault="0032581C" w:rsidP="0032581C">
            <w:pPr>
              <w:spacing w:line="280" w:lineRule="exact"/>
              <w:jc w:val="both"/>
              <w:rPr>
                <w:rFonts w:ascii="Verdana" w:hAnsi="Verdana" w:cs="Tahoma"/>
                <w:sz w:val="20"/>
                <w:szCs w:val="20"/>
              </w:rPr>
            </w:pPr>
          </w:p>
        </w:tc>
      </w:tr>
      <w:tr w:rsidR="0032581C" w:rsidRPr="00E06B02" w14:paraId="158421E8" w14:textId="77777777">
        <w:tc>
          <w:tcPr>
            <w:tcW w:w="2970" w:type="dxa"/>
          </w:tcPr>
          <w:p w14:paraId="5CCDD9DE" w14:textId="117168C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32581C" w:rsidRPr="00E06B02" w:rsidRDefault="0032581C" w:rsidP="0032581C">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32581C" w:rsidRPr="00E06B02" w:rsidRDefault="0032581C" w:rsidP="0032581C">
            <w:pPr>
              <w:autoSpaceDE/>
              <w:autoSpaceDN/>
              <w:adjustRightInd/>
              <w:spacing w:line="280" w:lineRule="exact"/>
              <w:jc w:val="both"/>
              <w:rPr>
                <w:rFonts w:ascii="Verdana" w:hAnsi="Verdana" w:cs="Tahoma"/>
                <w:sz w:val="20"/>
                <w:szCs w:val="20"/>
              </w:rPr>
            </w:pPr>
          </w:p>
        </w:tc>
      </w:tr>
      <w:tr w:rsidR="0032581C" w:rsidRPr="00E06B02" w14:paraId="54F0CFD3" w14:textId="77777777">
        <w:tc>
          <w:tcPr>
            <w:tcW w:w="2970" w:type="dxa"/>
          </w:tcPr>
          <w:p w14:paraId="23CF936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6D579B61" w14:textId="385EC3AF" w:rsidR="0032581C" w:rsidRPr="00E06B02" w:rsidRDefault="0032581C" w:rsidP="0032581C">
            <w:pPr>
              <w:spacing w:line="280" w:lineRule="exact"/>
              <w:jc w:val="both"/>
              <w:rPr>
                <w:rFonts w:ascii="Verdana" w:hAnsi="Verdana" w:cs="Tahoma"/>
                <w:sz w:val="20"/>
                <w:szCs w:val="20"/>
              </w:rPr>
            </w:pPr>
          </w:p>
        </w:tc>
      </w:tr>
      <w:tr w:rsidR="0032581C" w:rsidRPr="00E06B02" w14:paraId="5DD4B67D" w14:textId="77777777">
        <w:tc>
          <w:tcPr>
            <w:tcW w:w="2970" w:type="dxa"/>
          </w:tcPr>
          <w:p w14:paraId="3561A7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32581C" w:rsidRPr="00E06B02" w:rsidRDefault="0032581C" w:rsidP="0032581C">
            <w:pPr>
              <w:spacing w:line="280" w:lineRule="exact"/>
              <w:jc w:val="both"/>
              <w:rPr>
                <w:rFonts w:ascii="Verdana" w:hAnsi="Verdana" w:cs="Tahoma"/>
                <w:sz w:val="20"/>
                <w:szCs w:val="20"/>
              </w:rPr>
            </w:pPr>
          </w:p>
        </w:tc>
      </w:tr>
      <w:tr w:rsidR="0032581C" w:rsidRPr="00E06B02" w14:paraId="49DD1369" w14:textId="77777777">
        <w:tc>
          <w:tcPr>
            <w:tcW w:w="2970" w:type="dxa"/>
          </w:tcPr>
          <w:p w14:paraId="4469BA9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32581C" w:rsidRPr="00E06B02" w:rsidRDefault="0032581C" w:rsidP="0032581C">
            <w:pPr>
              <w:spacing w:line="280" w:lineRule="exact"/>
              <w:jc w:val="both"/>
              <w:rPr>
                <w:rFonts w:ascii="Verdana" w:hAnsi="Verdana" w:cs="Tahoma"/>
                <w:sz w:val="20"/>
                <w:szCs w:val="20"/>
              </w:rPr>
            </w:pPr>
          </w:p>
        </w:tc>
      </w:tr>
      <w:tr w:rsidR="0032581C" w:rsidRPr="00E06B02" w14:paraId="1F7F8417" w14:textId="77777777">
        <w:tc>
          <w:tcPr>
            <w:tcW w:w="2970" w:type="dxa"/>
          </w:tcPr>
          <w:p w14:paraId="413E6FB9" w14:textId="06A92E7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0D4E3DB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1350D81D" w14:textId="24A5F254" w:rsidR="0032581C" w:rsidRPr="00E06B02" w:rsidRDefault="0032581C" w:rsidP="0032581C">
            <w:pPr>
              <w:spacing w:line="280" w:lineRule="exact"/>
              <w:jc w:val="both"/>
              <w:rPr>
                <w:rFonts w:ascii="Verdana" w:hAnsi="Verdana" w:cs="Tahoma"/>
                <w:sz w:val="20"/>
                <w:szCs w:val="20"/>
              </w:rPr>
            </w:pPr>
          </w:p>
        </w:tc>
      </w:tr>
      <w:tr w:rsidR="0032581C" w:rsidRPr="00E06B02" w14:paraId="08927804" w14:textId="77777777">
        <w:tc>
          <w:tcPr>
            <w:tcW w:w="2970" w:type="dxa"/>
          </w:tcPr>
          <w:p w14:paraId="79FB18A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32581C" w:rsidRPr="00E06B02" w:rsidRDefault="0032581C" w:rsidP="0032581C">
            <w:pPr>
              <w:spacing w:line="280" w:lineRule="exact"/>
              <w:jc w:val="both"/>
              <w:rPr>
                <w:rFonts w:ascii="Verdana" w:hAnsi="Verdana" w:cs="Tahoma"/>
                <w:sz w:val="20"/>
                <w:szCs w:val="20"/>
              </w:rPr>
            </w:pPr>
          </w:p>
        </w:tc>
      </w:tr>
      <w:tr w:rsidR="0032581C" w:rsidRPr="00E06B02" w14:paraId="55C5BD2C" w14:textId="77777777">
        <w:tc>
          <w:tcPr>
            <w:tcW w:w="2970" w:type="dxa"/>
          </w:tcPr>
          <w:p w14:paraId="7612E14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32581C" w:rsidRPr="00E06B02" w:rsidRDefault="0032581C" w:rsidP="0032581C">
            <w:pPr>
              <w:spacing w:line="280" w:lineRule="exact"/>
              <w:jc w:val="both"/>
              <w:rPr>
                <w:rFonts w:ascii="Verdana" w:hAnsi="Verdana" w:cs="Tahoma"/>
                <w:sz w:val="20"/>
                <w:szCs w:val="20"/>
              </w:rPr>
            </w:pPr>
          </w:p>
        </w:tc>
      </w:tr>
      <w:tr w:rsidR="0032581C" w:rsidRPr="00E06B02" w14:paraId="3C762F21" w14:textId="77777777">
        <w:tc>
          <w:tcPr>
            <w:tcW w:w="2970" w:type="dxa"/>
          </w:tcPr>
          <w:p w14:paraId="1DF72A3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2581C" w:rsidRPr="00E06B02" w14:paraId="203E3BD0" w14:textId="77777777" w:rsidTr="0032581C">
        <w:tc>
          <w:tcPr>
            <w:tcW w:w="2970" w:type="dxa"/>
          </w:tcPr>
          <w:p w14:paraId="1BD9AE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2690E8C3" w14:textId="44D5DD75" w:rsidR="0032581C" w:rsidRPr="0022258D" w:rsidRDefault="0032581C" w:rsidP="0022258D">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32581C" w:rsidRPr="00E06B02" w14:paraId="337147BB" w14:textId="77777777">
        <w:tc>
          <w:tcPr>
            <w:tcW w:w="2970" w:type="dxa"/>
          </w:tcPr>
          <w:p w14:paraId="12B00AA8" w14:textId="77777777" w:rsidR="0032581C" w:rsidRPr="00E06B02" w:rsidRDefault="0032581C" w:rsidP="0032581C">
            <w:pPr>
              <w:spacing w:line="280" w:lineRule="exact"/>
              <w:jc w:val="both"/>
              <w:rPr>
                <w:rFonts w:ascii="Verdana" w:hAnsi="Verdana" w:cs="Tahoma"/>
                <w:sz w:val="20"/>
                <w:szCs w:val="20"/>
              </w:rPr>
            </w:pPr>
          </w:p>
        </w:tc>
        <w:tc>
          <w:tcPr>
            <w:tcW w:w="6316" w:type="dxa"/>
          </w:tcPr>
          <w:p w14:paraId="06959492" w14:textId="77777777" w:rsidR="0032581C" w:rsidRPr="00E06B02" w:rsidRDefault="0032581C" w:rsidP="0032581C">
            <w:pPr>
              <w:spacing w:line="280" w:lineRule="exact"/>
              <w:jc w:val="both"/>
              <w:rPr>
                <w:rFonts w:ascii="Verdana" w:hAnsi="Verdana" w:cs="Tahoma"/>
                <w:sz w:val="20"/>
                <w:szCs w:val="20"/>
              </w:rPr>
            </w:pPr>
          </w:p>
        </w:tc>
      </w:tr>
      <w:tr w:rsidR="0032581C" w:rsidRPr="00E06B02" w14:paraId="4D8E5961" w14:textId="77777777">
        <w:tc>
          <w:tcPr>
            <w:tcW w:w="2970" w:type="dxa"/>
          </w:tcPr>
          <w:p w14:paraId="54B91280" w14:textId="4B925F3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2581C" w:rsidRPr="005C5113" w:rsidRDefault="0032581C" w:rsidP="0032581C">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5B07993B" w14:textId="495B8DEE" w:rsidR="0032581C" w:rsidRPr="005C5113" w:rsidRDefault="0032581C" w:rsidP="0032581C">
            <w:pPr>
              <w:spacing w:line="280" w:lineRule="exact"/>
              <w:jc w:val="both"/>
              <w:rPr>
                <w:rFonts w:ascii="Verdana" w:hAnsi="Verdana" w:cs="Tahoma"/>
                <w:bCs/>
                <w:sz w:val="20"/>
                <w:szCs w:val="20"/>
              </w:rPr>
            </w:pPr>
          </w:p>
        </w:tc>
      </w:tr>
      <w:tr w:rsidR="0032581C" w:rsidRPr="00E06B02" w14:paraId="27D3AFAF" w14:textId="77777777">
        <w:tc>
          <w:tcPr>
            <w:tcW w:w="2970" w:type="dxa"/>
          </w:tcPr>
          <w:p w14:paraId="01FCF68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4C4DD82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6089F6F3" w14:textId="60227C74" w:rsidR="0032581C" w:rsidRPr="00E06B02" w:rsidRDefault="0032581C" w:rsidP="0032581C">
            <w:pPr>
              <w:spacing w:line="280" w:lineRule="exact"/>
              <w:jc w:val="both"/>
              <w:rPr>
                <w:rFonts w:ascii="Verdana" w:hAnsi="Verdana" w:cs="Tahoma"/>
                <w:sz w:val="20"/>
                <w:szCs w:val="20"/>
              </w:rPr>
            </w:pPr>
          </w:p>
        </w:tc>
      </w:tr>
      <w:tr w:rsidR="0032581C" w:rsidRPr="00E06B02" w14:paraId="0E168766" w14:textId="77777777">
        <w:tc>
          <w:tcPr>
            <w:tcW w:w="2970" w:type="dxa"/>
          </w:tcPr>
          <w:p w14:paraId="7F078A2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2581C" w:rsidRPr="00E06B02" w:rsidRDefault="0032581C" w:rsidP="0032581C">
            <w:pPr>
              <w:spacing w:line="280" w:lineRule="exact"/>
              <w:jc w:val="both"/>
              <w:rPr>
                <w:rFonts w:ascii="Verdana" w:hAnsi="Verdana" w:cs="Tahoma"/>
                <w:sz w:val="20"/>
                <w:szCs w:val="20"/>
              </w:rPr>
            </w:pPr>
          </w:p>
        </w:tc>
      </w:tr>
      <w:tr w:rsidR="0032581C" w:rsidRPr="00E06B02" w14:paraId="0066A59E" w14:textId="77777777">
        <w:tc>
          <w:tcPr>
            <w:tcW w:w="2970" w:type="dxa"/>
          </w:tcPr>
          <w:p w14:paraId="11550F1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6169288D"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07311105" w14:textId="7CAF6265" w:rsidR="0032581C" w:rsidRPr="00E06B02" w:rsidRDefault="0032581C" w:rsidP="0032581C">
            <w:pPr>
              <w:spacing w:line="280" w:lineRule="exact"/>
              <w:jc w:val="both"/>
              <w:rPr>
                <w:rFonts w:ascii="Verdana" w:hAnsi="Verdana" w:cs="Tahoma"/>
                <w:sz w:val="20"/>
                <w:szCs w:val="20"/>
              </w:rPr>
            </w:pPr>
          </w:p>
        </w:tc>
      </w:tr>
      <w:tr w:rsidR="0032581C" w:rsidRPr="00E06B02" w14:paraId="116441DA" w14:textId="77777777">
        <w:tc>
          <w:tcPr>
            <w:tcW w:w="2970" w:type="dxa"/>
          </w:tcPr>
          <w:p w14:paraId="7CEC45B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0F3C2501" w14:textId="1DB2CF46"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F0A1178" w14:textId="77777777">
        <w:tc>
          <w:tcPr>
            <w:tcW w:w="2970" w:type="dxa"/>
          </w:tcPr>
          <w:p w14:paraId="4E3EF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três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a ser celebrado entre a Emissora e os Coordenadores.</w:t>
            </w:r>
          </w:p>
          <w:p w14:paraId="613B67CD" w14:textId="291BCB25" w:rsidR="0032581C" w:rsidRPr="00E06B02" w:rsidRDefault="0032581C" w:rsidP="0032581C">
            <w:pPr>
              <w:spacing w:line="280" w:lineRule="exact"/>
              <w:jc w:val="both"/>
              <w:rPr>
                <w:rFonts w:ascii="Verdana" w:hAnsi="Verdana" w:cs="Tahoma"/>
                <w:sz w:val="20"/>
                <w:szCs w:val="20"/>
              </w:rPr>
            </w:pPr>
          </w:p>
        </w:tc>
      </w:tr>
      <w:tr w:rsidR="0032581C" w:rsidRPr="00E06B02" w14:paraId="49FF915A" w14:textId="77777777">
        <w:tc>
          <w:tcPr>
            <w:tcW w:w="2970" w:type="dxa"/>
          </w:tcPr>
          <w:p w14:paraId="4983E516" w14:textId="5A18BB8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616C884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63F85C73" w14:textId="6A2EFF36" w:rsidR="0032581C" w:rsidRPr="00E06B02" w:rsidRDefault="0032581C" w:rsidP="0032581C">
            <w:pPr>
              <w:spacing w:line="280" w:lineRule="exact"/>
              <w:jc w:val="both"/>
              <w:rPr>
                <w:rFonts w:ascii="Verdana" w:hAnsi="Verdana" w:cs="Tahoma"/>
                <w:sz w:val="20"/>
                <w:szCs w:val="20"/>
              </w:rPr>
            </w:pPr>
          </w:p>
        </w:tc>
      </w:tr>
      <w:tr w:rsidR="0032581C" w:rsidRPr="00E06B02" w14:paraId="5F65F4B5" w14:textId="77777777">
        <w:tc>
          <w:tcPr>
            <w:tcW w:w="2970" w:type="dxa"/>
          </w:tcPr>
          <w:p w14:paraId="004CF4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2581C" w:rsidRPr="00E06B02" w:rsidRDefault="0032581C" w:rsidP="0032581C">
            <w:pPr>
              <w:spacing w:line="280" w:lineRule="exact"/>
              <w:jc w:val="both"/>
              <w:rPr>
                <w:rFonts w:ascii="Verdana" w:hAnsi="Verdana" w:cs="Tahoma"/>
                <w:sz w:val="20"/>
                <w:szCs w:val="20"/>
              </w:rPr>
            </w:pPr>
          </w:p>
        </w:tc>
      </w:tr>
      <w:tr w:rsidR="0032581C" w:rsidRPr="00E06B02" w14:paraId="55CB199D" w14:textId="77777777">
        <w:tc>
          <w:tcPr>
            <w:tcW w:w="2970" w:type="dxa"/>
          </w:tcPr>
          <w:p w14:paraId="6569A9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5A076F68"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w:t>
            </w:r>
            <w:r w:rsidR="00A62379">
              <w:rPr>
                <w:rFonts w:ascii="Verdana" w:hAnsi="Verdana" w:cs="Tahoma"/>
                <w:sz w:val="20"/>
                <w:szCs w:val="20"/>
              </w:rPr>
              <w:t>0</w:t>
            </w:r>
            <w:r w:rsidRPr="00E06B02">
              <w:rPr>
                <w:rFonts w:ascii="Verdana" w:hAnsi="Verdana" w:cs="Tahoma"/>
                <w:sz w:val="20"/>
                <w:szCs w:val="20"/>
              </w:rPr>
              <w:t xml:space="preserve"> de junho de 2021. </w:t>
            </w:r>
          </w:p>
          <w:p w14:paraId="219E6D12" w14:textId="4EAC7B7A" w:rsidR="0032581C" w:rsidRPr="00E06B02" w:rsidRDefault="0032581C" w:rsidP="0032581C">
            <w:pPr>
              <w:spacing w:line="280" w:lineRule="exact"/>
              <w:jc w:val="both"/>
              <w:rPr>
                <w:rFonts w:ascii="Verdana" w:hAnsi="Verdana" w:cs="Tahoma"/>
                <w:sz w:val="20"/>
                <w:szCs w:val="20"/>
              </w:rPr>
            </w:pPr>
          </w:p>
        </w:tc>
      </w:tr>
      <w:tr w:rsidR="0032581C" w:rsidRPr="00E06B02" w14:paraId="0D7E8EAA" w14:textId="77777777">
        <w:tc>
          <w:tcPr>
            <w:tcW w:w="2970" w:type="dxa"/>
          </w:tcPr>
          <w:p w14:paraId="6BA2803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541D9233" w14:textId="74E66C5C" w:rsidR="0032581C" w:rsidRPr="00E06B02" w:rsidRDefault="0032581C" w:rsidP="0032581C">
            <w:pPr>
              <w:spacing w:line="280" w:lineRule="exact"/>
              <w:jc w:val="both"/>
              <w:rPr>
                <w:rFonts w:ascii="Verdana" w:hAnsi="Verdana" w:cs="Tahoma"/>
                <w:sz w:val="20"/>
                <w:szCs w:val="20"/>
              </w:rPr>
            </w:pPr>
          </w:p>
        </w:tc>
      </w:tr>
      <w:tr w:rsidR="0032581C" w:rsidRPr="00E06B02" w14:paraId="56B3A678" w14:textId="77777777">
        <w:tc>
          <w:tcPr>
            <w:tcW w:w="2970" w:type="dxa"/>
          </w:tcPr>
          <w:p w14:paraId="4B33C4F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2581C" w:rsidRPr="00E06B02" w:rsidRDefault="0032581C" w:rsidP="0032581C">
            <w:pPr>
              <w:spacing w:line="280" w:lineRule="exact"/>
              <w:jc w:val="both"/>
              <w:rPr>
                <w:rFonts w:ascii="Verdana" w:hAnsi="Verdana" w:cs="Tahoma"/>
                <w:sz w:val="20"/>
                <w:szCs w:val="20"/>
              </w:rPr>
            </w:pPr>
          </w:p>
        </w:tc>
      </w:tr>
      <w:tr w:rsidR="0032581C" w:rsidRPr="00E06B02" w14:paraId="6F9FC666" w14:textId="77777777">
        <w:tc>
          <w:tcPr>
            <w:tcW w:w="2970" w:type="dxa"/>
          </w:tcPr>
          <w:p w14:paraId="4506207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2581C" w:rsidRPr="00E06B02" w:rsidRDefault="0032581C" w:rsidP="0032581C">
            <w:pPr>
              <w:spacing w:line="280" w:lineRule="exact"/>
              <w:jc w:val="both"/>
              <w:rPr>
                <w:rFonts w:ascii="Verdana" w:hAnsi="Verdana" w:cs="Tahoma"/>
                <w:sz w:val="20"/>
                <w:szCs w:val="20"/>
              </w:rPr>
            </w:pPr>
          </w:p>
        </w:tc>
      </w:tr>
      <w:tr w:rsidR="0032581C" w:rsidRPr="00E06B02" w14:paraId="1044C636" w14:textId="77777777">
        <w:tc>
          <w:tcPr>
            <w:tcW w:w="2970" w:type="dxa"/>
          </w:tcPr>
          <w:p w14:paraId="05F923F5" w14:textId="30AD9AF9"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2581C" w:rsidRPr="00E06B02" w:rsidRDefault="0032581C" w:rsidP="0032581C">
            <w:pPr>
              <w:spacing w:line="280" w:lineRule="exact"/>
              <w:jc w:val="both"/>
              <w:rPr>
                <w:rFonts w:ascii="Verdana" w:hAnsi="Verdana" w:cs="Tahoma"/>
                <w:sz w:val="20"/>
                <w:szCs w:val="20"/>
              </w:rPr>
            </w:pPr>
          </w:p>
        </w:tc>
      </w:tr>
      <w:tr w:rsidR="0032581C" w:rsidRPr="00E06B02" w14:paraId="3A87D282" w14:textId="77777777">
        <w:tc>
          <w:tcPr>
            <w:tcW w:w="2970" w:type="dxa"/>
          </w:tcPr>
          <w:p w14:paraId="5F8B1C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76D73E8E" w14:textId="1A4F3D86" w:rsidR="0032581C" w:rsidRPr="00E06B02" w:rsidRDefault="0032581C" w:rsidP="0032581C">
            <w:pPr>
              <w:spacing w:line="280" w:lineRule="exact"/>
              <w:jc w:val="both"/>
              <w:rPr>
                <w:rFonts w:ascii="Verdana" w:hAnsi="Verdana" w:cs="Tahoma"/>
                <w:sz w:val="20"/>
                <w:szCs w:val="20"/>
              </w:rPr>
            </w:pPr>
          </w:p>
        </w:tc>
      </w:tr>
      <w:tr w:rsidR="0032581C" w:rsidRPr="00E06B02" w14:paraId="556CA11A" w14:textId="77777777">
        <w:tc>
          <w:tcPr>
            <w:tcW w:w="2970" w:type="dxa"/>
          </w:tcPr>
          <w:p w14:paraId="64D469C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2581C" w:rsidRPr="00E06B02" w:rsidRDefault="0032581C" w:rsidP="0032581C">
            <w:pPr>
              <w:spacing w:line="280" w:lineRule="exact"/>
              <w:jc w:val="both"/>
              <w:rPr>
                <w:rFonts w:ascii="Verdana" w:hAnsi="Verdana" w:cs="Tahoma"/>
                <w:sz w:val="20"/>
                <w:szCs w:val="20"/>
              </w:rPr>
            </w:pPr>
          </w:p>
        </w:tc>
        <w:tc>
          <w:tcPr>
            <w:tcW w:w="6316" w:type="dxa"/>
          </w:tcPr>
          <w:p w14:paraId="32F00F88" w14:textId="1420D82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2581C" w:rsidRPr="00E06B02" w:rsidRDefault="0032581C" w:rsidP="0032581C">
            <w:pPr>
              <w:spacing w:line="280" w:lineRule="exact"/>
              <w:jc w:val="both"/>
              <w:rPr>
                <w:rFonts w:ascii="Verdana" w:hAnsi="Verdana" w:cs="Tahoma"/>
                <w:sz w:val="20"/>
                <w:szCs w:val="20"/>
              </w:rPr>
            </w:pPr>
          </w:p>
        </w:tc>
      </w:tr>
      <w:tr w:rsidR="0032581C" w:rsidRPr="00E06B02" w14:paraId="77241083" w14:textId="77777777">
        <w:tc>
          <w:tcPr>
            <w:tcW w:w="2970" w:type="dxa"/>
          </w:tcPr>
          <w:p w14:paraId="7DB9C8F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2581C" w:rsidRPr="00E06B02" w:rsidRDefault="0032581C" w:rsidP="0032581C">
            <w:pPr>
              <w:spacing w:line="280" w:lineRule="exact"/>
              <w:jc w:val="both"/>
              <w:rPr>
                <w:rFonts w:ascii="Verdana" w:hAnsi="Verdana" w:cs="Tahoma"/>
                <w:sz w:val="20"/>
                <w:szCs w:val="20"/>
              </w:rPr>
            </w:pPr>
          </w:p>
        </w:tc>
        <w:tc>
          <w:tcPr>
            <w:tcW w:w="6316" w:type="dxa"/>
          </w:tcPr>
          <w:p w14:paraId="4CB6585F" w14:textId="4B11717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2581C" w:rsidRPr="00E06B02" w:rsidRDefault="0032581C" w:rsidP="0032581C">
            <w:pPr>
              <w:spacing w:line="280" w:lineRule="exact"/>
              <w:jc w:val="both"/>
              <w:rPr>
                <w:rFonts w:ascii="Verdana" w:hAnsi="Verdana" w:cs="Tahoma"/>
                <w:sz w:val="20"/>
                <w:szCs w:val="20"/>
              </w:rPr>
            </w:pPr>
          </w:p>
        </w:tc>
      </w:tr>
      <w:tr w:rsidR="0032581C" w:rsidRPr="00E06B02" w14:paraId="677B63B2" w14:textId="77777777">
        <w:tc>
          <w:tcPr>
            <w:tcW w:w="2970" w:type="dxa"/>
          </w:tcPr>
          <w:p w14:paraId="254A286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2581C" w:rsidRPr="00E06B02" w:rsidRDefault="0032581C" w:rsidP="0032581C">
            <w:pPr>
              <w:spacing w:line="280" w:lineRule="exact"/>
              <w:jc w:val="both"/>
              <w:rPr>
                <w:rFonts w:ascii="Verdana" w:hAnsi="Verdana" w:cs="Tahoma"/>
                <w:sz w:val="20"/>
                <w:szCs w:val="20"/>
              </w:rPr>
            </w:pPr>
          </w:p>
        </w:tc>
        <w:tc>
          <w:tcPr>
            <w:tcW w:w="6316" w:type="dxa"/>
          </w:tcPr>
          <w:p w14:paraId="64D13E6B" w14:textId="773BA50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BBB0D4" w14:textId="5B5EF45B" w:rsidR="0032581C" w:rsidRPr="00E06B02" w:rsidRDefault="0032581C" w:rsidP="0032581C">
            <w:pPr>
              <w:spacing w:line="280" w:lineRule="exact"/>
              <w:jc w:val="both"/>
              <w:rPr>
                <w:rFonts w:ascii="Verdana" w:hAnsi="Verdana" w:cs="Tahoma"/>
                <w:sz w:val="20"/>
                <w:szCs w:val="20"/>
              </w:rPr>
            </w:pPr>
          </w:p>
        </w:tc>
      </w:tr>
      <w:tr w:rsidR="0032581C" w:rsidRPr="00E06B02" w14:paraId="119FBDBB" w14:textId="77777777">
        <w:tc>
          <w:tcPr>
            <w:tcW w:w="2970" w:type="dxa"/>
          </w:tcPr>
          <w:p w14:paraId="3D9A7371" w14:textId="59488549" w:rsidR="0032581C" w:rsidRPr="00E06B02" w:rsidRDefault="0032581C" w:rsidP="0032581C">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66982BDB" w14:textId="74A62F3B" w:rsidR="0032581C" w:rsidRPr="00E06B02" w:rsidRDefault="0032581C" w:rsidP="0032581C">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iniciando-se: (i) no primeiro mês após o Período de Alocação após a ocorrência de um Evento de Aceleração de Vencimento; ou (ii) no segundo mês após o Período de Alocação caso não ocorra um Evento de Aceleração de Vencimento. </w:t>
            </w:r>
          </w:p>
          <w:p w14:paraId="694B87A5" w14:textId="28FBFFFC" w:rsidR="0032581C" w:rsidRPr="00E06B02" w:rsidRDefault="0032581C" w:rsidP="0032581C">
            <w:pPr>
              <w:tabs>
                <w:tab w:val="left" w:pos="1134"/>
              </w:tabs>
              <w:spacing w:line="280" w:lineRule="exact"/>
              <w:jc w:val="both"/>
              <w:rPr>
                <w:rFonts w:ascii="Verdana" w:hAnsi="Verdana" w:cs="Tahoma"/>
                <w:sz w:val="20"/>
                <w:szCs w:val="20"/>
              </w:rPr>
            </w:pPr>
          </w:p>
        </w:tc>
      </w:tr>
      <w:tr w:rsidR="0032581C" w:rsidRPr="00E06B02" w14:paraId="734CF93F" w14:textId="77777777">
        <w:trPr>
          <w:trHeight w:val="733"/>
        </w:trPr>
        <w:tc>
          <w:tcPr>
            <w:tcW w:w="2970" w:type="dxa"/>
          </w:tcPr>
          <w:p w14:paraId="383E5AE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B089A32" w14:textId="217324F0" w:rsidR="0032581C" w:rsidRPr="00E06B02" w:rsidRDefault="0032581C" w:rsidP="0099019F">
            <w:pPr>
              <w:rPr>
                <w:rFonts w:ascii="Verdana" w:hAnsi="Verdana" w:cs="Tahoma"/>
                <w:sz w:val="20"/>
                <w:szCs w:val="20"/>
              </w:rPr>
            </w:pPr>
            <w:r>
              <w:rPr>
                <w:rFonts w:ascii="Verdana" w:hAnsi="Verdana" w:cs="Tahoma"/>
                <w:sz w:val="20"/>
                <w:szCs w:val="20"/>
              </w:rPr>
              <w:t>1</w:t>
            </w:r>
            <w:r w:rsidR="00137E0F">
              <w:rPr>
                <w:rFonts w:ascii="Verdana" w:hAnsi="Verdana" w:cs="Tahoma"/>
                <w:sz w:val="20"/>
                <w:szCs w:val="20"/>
              </w:rPr>
              <w:t>0</w:t>
            </w:r>
            <w:r>
              <w:rPr>
                <w:rFonts w:ascii="Verdana" w:hAnsi="Verdana" w:cs="Tahoma"/>
                <w:sz w:val="20"/>
                <w:szCs w:val="20"/>
              </w:rPr>
              <w:t xml:space="preserve"> de </w:t>
            </w:r>
            <w:r w:rsidR="00137E0F">
              <w:rPr>
                <w:rFonts w:ascii="Verdana" w:hAnsi="Verdana" w:cs="Tahoma"/>
                <w:sz w:val="20"/>
                <w:szCs w:val="20"/>
              </w:rPr>
              <w:t>dezembro</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Pr>
                <w:rFonts w:ascii="Verdana" w:hAnsi="Verdana" w:cs="Tahoma"/>
                <w:sz w:val="20"/>
                <w:szCs w:val="20"/>
              </w:rPr>
              <w:t>2024</w:t>
            </w:r>
            <w:r w:rsidRPr="00E06B02">
              <w:rPr>
                <w:rFonts w:ascii="Verdana" w:hAnsi="Verdana" w:cs="Tahoma"/>
                <w:sz w:val="20"/>
                <w:szCs w:val="20"/>
              </w:rPr>
              <w:t>.</w:t>
            </w:r>
          </w:p>
          <w:p w14:paraId="4B32B4C0" w14:textId="76D74B12" w:rsidR="0032581C" w:rsidRPr="00E06B02" w:rsidRDefault="0032581C" w:rsidP="0032581C">
            <w:pPr>
              <w:spacing w:line="280" w:lineRule="exact"/>
              <w:jc w:val="both"/>
              <w:rPr>
                <w:rFonts w:ascii="Verdana" w:hAnsi="Verdana" w:cs="Tahoma"/>
                <w:sz w:val="20"/>
                <w:szCs w:val="20"/>
              </w:rPr>
            </w:pPr>
          </w:p>
        </w:tc>
      </w:tr>
      <w:tr w:rsidR="0032581C" w:rsidRPr="00E06B02" w14:paraId="03CE09A6" w14:textId="77777777">
        <w:tc>
          <w:tcPr>
            <w:tcW w:w="2970" w:type="dxa"/>
          </w:tcPr>
          <w:p w14:paraId="6B02DB5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67A6C485" w14:textId="775EFE0C" w:rsidR="0032581C" w:rsidRPr="00E06B02" w:rsidRDefault="0032581C" w:rsidP="0032581C">
            <w:pPr>
              <w:spacing w:line="280" w:lineRule="exact"/>
              <w:jc w:val="both"/>
              <w:rPr>
                <w:rFonts w:ascii="Verdana" w:hAnsi="Verdana" w:cs="Tahoma"/>
                <w:sz w:val="20"/>
                <w:szCs w:val="20"/>
              </w:rPr>
            </w:pPr>
          </w:p>
        </w:tc>
      </w:tr>
      <w:tr w:rsidR="0032581C" w:rsidRPr="00E06B02" w14:paraId="5CD2CCE1" w14:textId="77777777">
        <w:tc>
          <w:tcPr>
            <w:tcW w:w="2970" w:type="dxa"/>
          </w:tcPr>
          <w:p w14:paraId="1254C4ED"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2581C" w:rsidRPr="00E06B02" w:rsidRDefault="0032581C" w:rsidP="0032581C">
            <w:pPr>
              <w:spacing w:line="280" w:lineRule="exact"/>
              <w:jc w:val="both"/>
              <w:rPr>
                <w:rFonts w:ascii="Verdana" w:hAnsi="Verdana" w:cs="Tahoma"/>
                <w:sz w:val="20"/>
                <w:szCs w:val="20"/>
              </w:rPr>
            </w:pPr>
          </w:p>
        </w:tc>
      </w:tr>
      <w:tr w:rsidR="0032581C" w:rsidRPr="00E06B02" w14:paraId="533043F4" w14:textId="77777777">
        <w:tc>
          <w:tcPr>
            <w:tcW w:w="2970" w:type="dxa"/>
          </w:tcPr>
          <w:p w14:paraId="1E0AB1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1B52D133" w14:textId="637B3BE6" w:rsidR="0032581C" w:rsidRPr="00E06B02" w:rsidRDefault="0032581C" w:rsidP="0032581C">
            <w:pPr>
              <w:spacing w:line="280" w:lineRule="exact"/>
              <w:jc w:val="both"/>
              <w:rPr>
                <w:rFonts w:ascii="Verdana" w:hAnsi="Verdana" w:cs="Tahoma"/>
                <w:sz w:val="20"/>
                <w:szCs w:val="20"/>
              </w:rPr>
            </w:pPr>
          </w:p>
        </w:tc>
      </w:tr>
      <w:tr w:rsidR="0032581C" w:rsidRPr="00E06B02" w14:paraId="69ADF9DB" w14:textId="77777777">
        <w:tc>
          <w:tcPr>
            <w:tcW w:w="2970" w:type="dxa"/>
          </w:tcPr>
          <w:p w14:paraId="7DABCAD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 e respectivos cônjuges e parentes até segundo grau.</w:t>
            </w:r>
          </w:p>
          <w:p w14:paraId="4291AD31" w14:textId="0F380962" w:rsidR="0032581C" w:rsidRPr="00E06B02" w:rsidRDefault="0032581C" w:rsidP="0032581C">
            <w:pPr>
              <w:spacing w:line="280" w:lineRule="exact"/>
              <w:jc w:val="both"/>
              <w:rPr>
                <w:rFonts w:ascii="Verdana" w:hAnsi="Verdana" w:cs="Tahoma"/>
                <w:sz w:val="20"/>
                <w:szCs w:val="20"/>
              </w:rPr>
            </w:pPr>
          </w:p>
        </w:tc>
      </w:tr>
      <w:tr w:rsidR="0032581C" w:rsidRPr="00E06B02" w14:paraId="71496362" w14:textId="77777777">
        <w:tc>
          <w:tcPr>
            <w:tcW w:w="2970" w:type="dxa"/>
          </w:tcPr>
          <w:p w14:paraId="5257243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2581C" w:rsidRPr="00E06B02" w:rsidRDefault="0032581C" w:rsidP="0032581C">
            <w:pPr>
              <w:spacing w:line="280" w:lineRule="exact"/>
              <w:jc w:val="both"/>
              <w:rPr>
                <w:rFonts w:ascii="Verdana" w:hAnsi="Verdana" w:cs="Tahoma"/>
                <w:sz w:val="20"/>
                <w:szCs w:val="20"/>
              </w:rPr>
            </w:pPr>
          </w:p>
        </w:tc>
      </w:tr>
      <w:tr w:rsidR="0032581C" w:rsidRPr="00E06B02" w14:paraId="6B860F88" w14:textId="77777777">
        <w:tc>
          <w:tcPr>
            <w:tcW w:w="2970" w:type="dxa"/>
          </w:tcPr>
          <w:p w14:paraId="277687E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2581C" w:rsidRPr="00E06B02" w:rsidRDefault="0032581C" w:rsidP="0032581C">
            <w:pPr>
              <w:spacing w:line="280" w:lineRule="exact"/>
              <w:jc w:val="both"/>
              <w:rPr>
                <w:rFonts w:ascii="Verdana" w:hAnsi="Verdana" w:cs="Tahoma"/>
                <w:sz w:val="20"/>
                <w:szCs w:val="20"/>
              </w:rPr>
            </w:pPr>
          </w:p>
        </w:tc>
      </w:tr>
      <w:tr w:rsidR="0032581C" w:rsidRPr="00E06B02" w14:paraId="134D1770" w14:textId="77777777">
        <w:tc>
          <w:tcPr>
            <w:tcW w:w="2970" w:type="dxa"/>
          </w:tcPr>
          <w:p w14:paraId="21BAB432" w14:textId="01CBBB9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29FB0C4" w14:textId="555AF0FC" w:rsidR="0032581C" w:rsidRPr="00E06B02" w:rsidRDefault="0032581C" w:rsidP="0032581C">
            <w:pPr>
              <w:spacing w:line="280" w:lineRule="exact"/>
              <w:jc w:val="both"/>
              <w:rPr>
                <w:rFonts w:ascii="Verdana" w:hAnsi="Verdana" w:cs="Tahoma"/>
                <w:sz w:val="20"/>
                <w:szCs w:val="20"/>
              </w:rPr>
            </w:pPr>
          </w:p>
        </w:tc>
      </w:tr>
      <w:tr w:rsidR="0032581C" w:rsidRPr="00E06B02" w14:paraId="38C7B381" w14:textId="77777777">
        <w:tc>
          <w:tcPr>
            <w:tcW w:w="2970" w:type="dxa"/>
          </w:tcPr>
          <w:p w14:paraId="110EC3F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32581C" w:rsidRPr="00E06B02" w:rsidRDefault="0032581C" w:rsidP="0032581C">
            <w:pPr>
              <w:spacing w:line="280" w:lineRule="exact"/>
              <w:jc w:val="both"/>
              <w:rPr>
                <w:rFonts w:ascii="Verdana" w:hAnsi="Verdana" w:cs="Tahoma"/>
                <w:sz w:val="20"/>
                <w:szCs w:val="20"/>
              </w:rPr>
            </w:pPr>
          </w:p>
        </w:tc>
      </w:tr>
      <w:tr w:rsidR="0032581C" w:rsidRPr="00E06B02" w14:paraId="68342B90" w14:textId="77777777">
        <w:tc>
          <w:tcPr>
            <w:tcW w:w="2970" w:type="dxa"/>
          </w:tcPr>
          <w:p w14:paraId="603E1F8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751EFEB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Tecnologia S.A.</w:t>
            </w:r>
            <w:r w:rsidR="00504741" w:rsidRPr="00504741">
              <w:rPr>
                <w:rFonts w:ascii="Verdana" w:hAnsi="Verdana" w:cs="Tahoma"/>
                <w:sz w:val="20"/>
                <w:szCs w:val="20"/>
              </w:rPr>
              <w:t xml:space="preserve"> nos termos do Contrato </w:t>
            </w:r>
            <w:r w:rsidR="00504741" w:rsidRPr="00FD21E4">
              <w:rPr>
                <w:rFonts w:ascii="Verdana" w:hAnsi="Verdana" w:cs="Tahoma"/>
                <w:sz w:val="20"/>
                <w:szCs w:val="20"/>
              </w:rPr>
              <w:t>de Cobrança,</w:t>
            </w:r>
            <w:r w:rsidR="00D309DB" w:rsidRPr="00F45B47">
              <w:rPr>
                <w:rFonts w:ascii="Verdana" w:hAnsi="Verdana" w:cs="Tahoma"/>
                <w:sz w:val="20"/>
                <w:szCs w:val="20"/>
              </w:rPr>
              <w:t xml:space="preserve"> </w:t>
            </w:r>
            <w:r w:rsidR="00D309DB" w:rsidRPr="001814F1">
              <w:rPr>
                <w:rFonts w:ascii="Verdana" w:hAnsi="Verdana" w:cs="Tahoma"/>
                <w:sz w:val="20"/>
                <w:szCs w:val="20"/>
              </w:rPr>
              <w:t>ou ao Agente de Cobrança Substitutivo</w:t>
            </w:r>
            <w:r w:rsidR="00504741" w:rsidRPr="001814F1">
              <w:rPr>
                <w:rFonts w:ascii="Verdana" w:hAnsi="Verdana" w:cs="Tahoma"/>
                <w:sz w:val="20"/>
                <w:szCs w:val="20"/>
              </w:rPr>
              <w:t>, nos termos de eventuais aditamentos do Contrato de Cobrança</w:t>
            </w:r>
            <w:r w:rsidR="00D309DB" w:rsidRPr="00504741">
              <w:rPr>
                <w:rFonts w:ascii="Verdana" w:hAnsi="Verdana" w:cs="Tahoma"/>
                <w:sz w:val="20"/>
                <w:szCs w:val="20"/>
              </w:rPr>
              <w:t>,</w:t>
            </w:r>
            <w:r w:rsidRPr="00504741">
              <w:rPr>
                <w:rFonts w:ascii="Verdana" w:hAnsi="Verdana" w:cs="Tahoma"/>
                <w:sz w:val="20"/>
                <w:szCs w:val="20"/>
              </w:rPr>
              <w:t xml:space="preserve"> a título</w:t>
            </w:r>
            <w:r w:rsidRPr="00E06B02">
              <w:rPr>
                <w:rFonts w:ascii="Verdana" w:hAnsi="Verdana" w:cs="Tahoma"/>
                <w:sz w:val="20"/>
                <w:szCs w:val="20"/>
              </w:rPr>
              <w:t xml:space="preserve"> de pagamento pelos serviços por ela prestados, </w:t>
            </w:r>
            <w:r w:rsidR="00D309DB">
              <w:rPr>
                <w:rFonts w:ascii="Verdana" w:hAnsi="Verdana" w:cs="Tahoma"/>
                <w:sz w:val="20"/>
                <w:szCs w:val="20"/>
              </w:rPr>
              <w:t>n</w:t>
            </w:r>
            <w:r w:rsidR="00D309DB" w:rsidRPr="00E06B02">
              <w:rPr>
                <w:rFonts w:ascii="Verdana" w:hAnsi="Verdana" w:cs="Tahoma"/>
                <w:sz w:val="20"/>
                <w:szCs w:val="20"/>
              </w:rPr>
              <w:t>os</w:t>
            </w:r>
            <w:r w:rsidRPr="00E06B02">
              <w:rPr>
                <w:rFonts w:ascii="Verdana" w:hAnsi="Verdana" w:cs="Tahoma"/>
                <w:sz w:val="20"/>
                <w:szCs w:val="20"/>
              </w:rPr>
              <w:t xml:space="preserve">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w:t>
            </w:r>
            <w:r w:rsidRPr="00E06B02">
              <w:rPr>
                <w:rFonts w:ascii="Verdana" w:hAnsi="Verdana" w:cs="Tahoma"/>
                <w:sz w:val="20"/>
                <w:szCs w:val="20"/>
              </w:rPr>
              <w:lastRenderedPageBreak/>
              <w:t xml:space="preserve">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32581C" w:rsidRPr="00E06B02" w:rsidRDefault="0032581C" w:rsidP="0032581C">
            <w:pPr>
              <w:spacing w:line="280" w:lineRule="exact"/>
              <w:jc w:val="both"/>
              <w:rPr>
                <w:rFonts w:ascii="Verdana" w:hAnsi="Verdana" w:cs="Tahoma"/>
                <w:sz w:val="20"/>
                <w:szCs w:val="20"/>
              </w:rPr>
            </w:pPr>
          </w:p>
        </w:tc>
      </w:tr>
      <w:tr w:rsidR="0032581C" w:rsidRPr="00E06B02" w14:paraId="247E8057" w14:textId="77777777">
        <w:tc>
          <w:tcPr>
            <w:tcW w:w="2970" w:type="dxa"/>
          </w:tcPr>
          <w:p w14:paraId="34782C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405DF29E" w14:textId="77777777">
        <w:tc>
          <w:tcPr>
            <w:tcW w:w="2970" w:type="dxa"/>
          </w:tcPr>
          <w:p w14:paraId="240E591C" w14:textId="7FB5CDB7" w:rsidR="0032581C" w:rsidRPr="00E06B02" w:rsidRDefault="0032581C"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D309DB">
              <w:rPr>
                <w:rFonts w:ascii="Verdana" w:hAnsi="Verdana" w:cs="Tahoma"/>
                <w:sz w:val="20"/>
                <w:szCs w:val="20"/>
                <w:u w:val="single"/>
              </w:rPr>
              <w:t>Cedidos</w:t>
            </w:r>
            <w:r w:rsidRPr="00E06B02">
              <w:rPr>
                <w:rFonts w:ascii="Verdana" w:hAnsi="Verdana" w:cs="Tahoma"/>
                <w:sz w:val="20"/>
                <w:szCs w:val="20"/>
              </w:rPr>
              <w:t>”</w:t>
            </w:r>
          </w:p>
        </w:tc>
        <w:tc>
          <w:tcPr>
            <w:tcW w:w="6316" w:type="dxa"/>
          </w:tcPr>
          <w:p w14:paraId="170BB405" w14:textId="7CA1DC2A"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00814738" w:rsidRPr="002D2D90">
              <w:rPr>
                <w:rFonts w:ascii="Verdana" w:hAnsi="Verdana"/>
                <w:sz w:val="20"/>
                <w:szCs w:val="20"/>
              </w:rPr>
              <w:t xml:space="preserve">todos os direitos, atuais ou futuros, detidos e a serem detidos pela Cedente como resultado dos valores depositados na Conta </w:t>
            </w:r>
            <w:r w:rsidR="00814738">
              <w:rPr>
                <w:rFonts w:ascii="Verdana" w:hAnsi="Verdana"/>
                <w:sz w:val="20"/>
                <w:szCs w:val="20"/>
              </w:rPr>
              <w:t>Exclusiva</w:t>
            </w:r>
            <w:r w:rsidR="00814738" w:rsidRPr="002D2D90">
              <w:rPr>
                <w:rFonts w:ascii="Verdana" w:hAnsi="Verdana"/>
                <w:sz w:val="20"/>
                <w:szCs w:val="20"/>
              </w:rPr>
              <w:t>, seus frutos e rendimentos, incluindo</w:t>
            </w:r>
            <w:r w:rsidR="00814738" w:rsidRPr="00770AA2" w:rsidDel="00770AA2">
              <w:rPr>
                <w:rFonts w:ascii="Verdana" w:hAnsi="Verdana" w:cstheme="minorHAnsi"/>
                <w:sz w:val="20"/>
                <w:szCs w:val="20"/>
              </w:rPr>
              <w:t xml:space="preserve"> </w:t>
            </w:r>
            <w:r w:rsidR="00814738"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557D3B6F" w14:textId="3F78C433"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02A6049F" w14:textId="77777777">
        <w:tc>
          <w:tcPr>
            <w:tcW w:w="2970" w:type="dxa"/>
          </w:tcPr>
          <w:p w14:paraId="6F317F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58E5CAE8" w14:textId="64FE0AE1"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BD7C02A" w14:textId="77777777">
        <w:tc>
          <w:tcPr>
            <w:tcW w:w="2970" w:type="dxa"/>
          </w:tcPr>
          <w:p w14:paraId="6E08FDF9" w14:textId="32C83F3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688843BF"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sidR="00D309DB">
              <w:rPr>
                <w:rFonts w:ascii="Verdana" w:hAnsi="Verdana" w:cs="Tahoma"/>
                <w:sz w:val="20"/>
                <w:szCs w:val="20"/>
              </w:rPr>
              <w:t xml:space="preserve">(vi) o Contrato de Promessa de Endosso; </w:t>
            </w:r>
            <w:r w:rsidR="00D309DB" w:rsidRPr="00E06B02">
              <w:rPr>
                <w:rFonts w:ascii="Verdana" w:hAnsi="Verdana" w:cs="Tahoma"/>
                <w:sz w:val="20"/>
                <w:szCs w:val="20"/>
              </w:rPr>
              <w:t>e (vi</w:t>
            </w:r>
            <w:r w:rsidR="00D309DB">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6F3575F" w14:textId="77777777">
        <w:tc>
          <w:tcPr>
            <w:tcW w:w="2970" w:type="dxa"/>
          </w:tcPr>
          <w:p w14:paraId="360BEF2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310EB16" w14:textId="77777777">
        <w:tc>
          <w:tcPr>
            <w:tcW w:w="2970" w:type="dxa"/>
          </w:tcPr>
          <w:p w14:paraId="206BD373"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 e/ou da Oferta Restrita.</w:t>
            </w:r>
          </w:p>
          <w:p w14:paraId="639B9786" w14:textId="5237C48D" w:rsidR="0032581C" w:rsidRPr="00E06B02" w:rsidRDefault="0032581C" w:rsidP="0032581C">
            <w:pPr>
              <w:spacing w:line="280" w:lineRule="exact"/>
              <w:jc w:val="both"/>
              <w:rPr>
                <w:rFonts w:ascii="Verdana" w:hAnsi="Verdana" w:cs="Tahoma"/>
                <w:sz w:val="20"/>
                <w:szCs w:val="20"/>
              </w:rPr>
            </w:pPr>
          </w:p>
        </w:tc>
      </w:tr>
      <w:tr w:rsidR="0032581C" w:rsidRPr="00E06B02" w14:paraId="7D1C6E09" w14:textId="77777777">
        <w:tc>
          <w:tcPr>
            <w:tcW w:w="2970" w:type="dxa"/>
          </w:tcPr>
          <w:p w14:paraId="1B178B0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713E4650" w14:textId="75E738D6"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E9EEB4E" w14:textId="77777777">
        <w:tc>
          <w:tcPr>
            <w:tcW w:w="2970" w:type="dxa"/>
          </w:tcPr>
          <w:p w14:paraId="46B63C9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583F474B" w14:textId="3977E08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5B55EF9" w14:textId="77777777">
        <w:tc>
          <w:tcPr>
            <w:tcW w:w="2970" w:type="dxa"/>
          </w:tcPr>
          <w:p w14:paraId="01B5C7C3" w14:textId="77777777" w:rsidR="0032581C" w:rsidRPr="00E06B02" w:rsidRDefault="0032581C" w:rsidP="0032581C">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FE04BD4" w14:textId="77777777">
        <w:tc>
          <w:tcPr>
            <w:tcW w:w="2970" w:type="dxa"/>
          </w:tcPr>
          <w:p w14:paraId="0A094E0D" w14:textId="0DF47DD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10EEBFBE" w14:textId="7A1E7CDB" w:rsidR="0032581C" w:rsidRPr="00E06B02" w:rsidRDefault="0032581C" w:rsidP="0032581C">
            <w:pPr>
              <w:pStyle w:val="Pr-formataoHTML"/>
              <w:spacing w:line="280" w:lineRule="exact"/>
              <w:jc w:val="both"/>
              <w:rPr>
                <w:rFonts w:ascii="Verdana" w:eastAsia="Arial Unicode MS" w:hAnsi="Verdana" w:cs="Tahoma"/>
              </w:rPr>
            </w:pPr>
            <w:r w:rsidRPr="00E06B02">
              <w:rPr>
                <w:rFonts w:ascii="Verdana" w:eastAsia="Arial Unicode MS" w:hAnsi="Verdana" w:cs="Tahoma"/>
              </w:rPr>
              <w:t>A Gyramais Tecnologia S.A., seus acionistas (diretos ou indiretos), suas controladas (diretas e indiretas), sociedades coligadas, subsidiárias (diretas ou indiretas), sociedades sob o controle comum e seus respectivos diretores, administradores ou empregados.</w:t>
            </w:r>
          </w:p>
          <w:p w14:paraId="2204092A" w14:textId="101BADFF" w:rsidR="0032581C" w:rsidRPr="00E06B02" w:rsidRDefault="0032581C" w:rsidP="0032581C">
            <w:pPr>
              <w:pStyle w:val="Pr-formataoHTML"/>
              <w:spacing w:line="280" w:lineRule="exact"/>
              <w:jc w:val="both"/>
              <w:rPr>
                <w:rFonts w:ascii="Verdana" w:eastAsia="Arial Unicode MS" w:hAnsi="Verdana" w:cs="Tahoma"/>
              </w:rPr>
            </w:pPr>
          </w:p>
        </w:tc>
      </w:tr>
      <w:tr w:rsidR="0032581C" w:rsidRPr="00E06B02" w14:paraId="629F442B" w14:textId="77777777">
        <w:tc>
          <w:tcPr>
            <w:tcW w:w="2970" w:type="dxa"/>
          </w:tcPr>
          <w:p w14:paraId="2AC9C70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Instrumento Particular de Escritura da 3ª (Terceira) Emissão de Debêntures Simples, Não Conversíveis em Ações, em até 3 (três) Séries, da Espécie com Garantia Real, para Distribuição Pública Com Esforços Restritos, da Companhia Securitizadora de Créditos Financeiros VERT-Gyra</w:t>
            </w:r>
            <w:r w:rsidRPr="00E06B02">
              <w:rPr>
                <w:rFonts w:ascii="Verdana" w:eastAsia="Arial Unicode MS" w:hAnsi="Verdana" w:cs="Tahoma"/>
                <w:sz w:val="20"/>
                <w:szCs w:val="20"/>
              </w:rPr>
              <w:t>”.</w:t>
            </w:r>
          </w:p>
          <w:p w14:paraId="19E433AD" w14:textId="323EA70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5D2F7649" w14:textId="77777777">
        <w:tc>
          <w:tcPr>
            <w:tcW w:w="2970" w:type="dxa"/>
          </w:tcPr>
          <w:p w14:paraId="13071B09" w14:textId="30827E7C"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Evento</w:t>
            </w:r>
            <w:r w:rsidR="00D309DB">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65845CA6" w14:textId="77777777" w:rsidR="00D309DB" w:rsidRPr="00212A7B" w:rsidRDefault="00D309DB" w:rsidP="00D309DB">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2A4F3F3" w14:textId="4BC29A0B" w:rsidR="0032581C" w:rsidRPr="00E06B02" w:rsidRDefault="0032581C" w:rsidP="0032581C">
            <w:pPr>
              <w:spacing w:line="280" w:lineRule="exact"/>
              <w:jc w:val="both"/>
              <w:rPr>
                <w:rFonts w:ascii="Verdana" w:hAnsi="Verdana" w:cs="Tahoma"/>
                <w:kern w:val="20"/>
                <w:sz w:val="20"/>
                <w:szCs w:val="20"/>
              </w:rPr>
            </w:pPr>
          </w:p>
        </w:tc>
      </w:tr>
      <w:tr w:rsidR="0032581C" w:rsidRPr="00E06B02" w14:paraId="3C2702FF" w14:textId="77777777">
        <w:tc>
          <w:tcPr>
            <w:tcW w:w="2970" w:type="dxa"/>
          </w:tcPr>
          <w:p w14:paraId="21E34072" w14:textId="082FAF03" w:rsidR="0032581C" w:rsidRDefault="0032581C" w:rsidP="0032581C">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w:t>
            </w:r>
            <w:r w:rsidR="00D309DB">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7D5AFF44" w14:textId="4840FD3D" w:rsidR="00D309DB" w:rsidRPr="00E06B02" w:rsidRDefault="00D309DB" w:rsidP="0032581C">
            <w:pPr>
              <w:spacing w:line="280" w:lineRule="exact"/>
              <w:jc w:val="both"/>
              <w:rPr>
                <w:rFonts w:ascii="Verdana" w:eastAsia="Arial Unicode MS" w:hAnsi="Verdana" w:cs="Tahoma"/>
                <w:w w:val="0"/>
                <w:sz w:val="20"/>
                <w:szCs w:val="20"/>
              </w:rPr>
            </w:pPr>
          </w:p>
        </w:tc>
        <w:tc>
          <w:tcPr>
            <w:tcW w:w="6316" w:type="dxa"/>
          </w:tcPr>
          <w:p w14:paraId="56C1DF10"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26FFBDF4" w14:textId="15E8E098" w:rsidR="0032581C" w:rsidRPr="00E06B02" w:rsidRDefault="0032581C" w:rsidP="0032581C">
            <w:pPr>
              <w:spacing w:line="280" w:lineRule="exact"/>
              <w:jc w:val="both"/>
              <w:rPr>
                <w:rFonts w:ascii="Verdana" w:hAnsi="Verdana" w:cs="Tahoma"/>
                <w:sz w:val="20"/>
                <w:szCs w:val="20"/>
              </w:rPr>
            </w:pPr>
          </w:p>
        </w:tc>
      </w:tr>
      <w:tr w:rsidR="0032581C" w:rsidRPr="00E06B02" w14:paraId="18EC3E34" w14:textId="77777777">
        <w:tc>
          <w:tcPr>
            <w:tcW w:w="2970" w:type="dxa"/>
          </w:tcPr>
          <w:p w14:paraId="02C40376" w14:textId="11F7DDB9" w:rsidR="0032581C" w:rsidRPr="00212A7B" w:rsidRDefault="0032581C"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 </w:t>
            </w:r>
            <w:r w:rsidR="00D309DB">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w:t>
            </w:r>
            <w:r w:rsidR="00D309DB">
              <w:rPr>
                <w:rFonts w:ascii="Verdana" w:hAnsi="Verdana" w:cs="Tahoma"/>
                <w:sz w:val="20"/>
                <w:szCs w:val="20"/>
                <w:u w:val="single"/>
              </w:rPr>
              <w:t xml:space="preserve">Não </w:t>
            </w:r>
            <w:r>
              <w:rPr>
                <w:rFonts w:ascii="Verdana" w:hAnsi="Verdana" w:cs="Tahoma"/>
                <w:sz w:val="20"/>
                <w:szCs w:val="20"/>
                <w:u w:val="single"/>
              </w:rPr>
              <w:t>Automático</w:t>
            </w:r>
            <w:r w:rsidRPr="00212A7B">
              <w:rPr>
                <w:rFonts w:ascii="Verdana" w:hAnsi="Verdana" w:cs="Tahoma"/>
                <w:sz w:val="20"/>
                <w:szCs w:val="20"/>
              </w:rPr>
              <w:t>”</w:t>
            </w:r>
          </w:p>
        </w:tc>
        <w:tc>
          <w:tcPr>
            <w:tcW w:w="6316" w:type="dxa"/>
          </w:tcPr>
          <w:p w14:paraId="6A52394B"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34C58781" w14:textId="77777777" w:rsidR="0032581C" w:rsidRPr="00212A7B" w:rsidRDefault="0032581C" w:rsidP="0032581C">
            <w:pPr>
              <w:spacing w:line="280" w:lineRule="exact"/>
              <w:jc w:val="both"/>
              <w:rPr>
                <w:rFonts w:ascii="Verdana" w:hAnsi="Verdana" w:cs="Tahoma"/>
                <w:sz w:val="20"/>
                <w:szCs w:val="20"/>
              </w:rPr>
            </w:pPr>
          </w:p>
        </w:tc>
      </w:tr>
      <w:tr w:rsidR="0032581C" w:rsidRPr="00E06B02" w14:paraId="5DF843E3" w14:textId="77777777">
        <w:tc>
          <w:tcPr>
            <w:tcW w:w="2970" w:type="dxa"/>
          </w:tcPr>
          <w:p w14:paraId="3DEF1DBC" w14:textId="4819E1A7" w:rsidR="0032581C" w:rsidRPr="00212A7B" w:rsidRDefault="0032581C" w:rsidP="0032581C">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3F28F6C" w14:textId="254C0D41" w:rsidR="0032581C" w:rsidRPr="00212A7B" w:rsidRDefault="0032581C" w:rsidP="0032581C">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r w:rsidR="00CB72ED">
              <w:rPr>
                <w:rFonts w:ascii="Verdana" w:hAnsi="Verdana" w:cs="Tahoma"/>
                <w:sz w:val="20"/>
                <w:szCs w:val="20"/>
              </w:rPr>
              <w:t xml:space="preserve">, nos termos do item </w:t>
            </w:r>
            <w:r w:rsidR="00CB72ED">
              <w:rPr>
                <w:rFonts w:ascii="Verdana" w:hAnsi="Verdana" w:cs="Tahoma"/>
                <w:sz w:val="20"/>
                <w:szCs w:val="20"/>
              </w:rPr>
              <w:fldChar w:fldCharType="begin"/>
            </w:r>
            <w:r w:rsidR="00CB72ED">
              <w:rPr>
                <w:rFonts w:ascii="Verdana" w:hAnsi="Verdana" w:cs="Tahoma"/>
                <w:sz w:val="20"/>
                <w:szCs w:val="20"/>
              </w:rPr>
              <w:instrText xml:space="preserve"> REF _Ref69339439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3.29.4</w:t>
            </w:r>
            <w:r w:rsidR="00CB72ED">
              <w:rPr>
                <w:rFonts w:ascii="Verdana" w:hAnsi="Verdana" w:cs="Tahoma"/>
                <w:sz w:val="20"/>
                <w:szCs w:val="20"/>
              </w:rPr>
              <w:fldChar w:fldCharType="end"/>
            </w:r>
            <w:r>
              <w:rPr>
                <w:rFonts w:ascii="Verdana" w:hAnsi="Verdana" w:cs="Tahoma"/>
                <w:sz w:val="20"/>
                <w:szCs w:val="20"/>
              </w:rPr>
              <w:t>.</w:t>
            </w:r>
          </w:p>
          <w:p w14:paraId="19549C2E" w14:textId="77777777" w:rsidR="0032581C" w:rsidRPr="00212A7B" w:rsidRDefault="0032581C" w:rsidP="0032581C">
            <w:pPr>
              <w:spacing w:line="280" w:lineRule="exact"/>
              <w:jc w:val="both"/>
              <w:rPr>
                <w:rFonts w:ascii="Verdana" w:hAnsi="Verdana" w:cs="Tahoma"/>
                <w:sz w:val="20"/>
                <w:szCs w:val="20"/>
              </w:rPr>
            </w:pPr>
          </w:p>
        </w:tc>
      </w:tr>
      <w:tr w:rsidR="00D309DB" w:rsidRPr="00E06B02" w14:paraId="7E145369" w14:textId="77777777">
        <w:tc>
          <w:tcPr>
            <w:tcW w:w="2970" w:type="dxa"/>
          </w:tcPr>
          <w:p w14:paraId="7BC0FF5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B3087C5" w14:textId="77777777"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3610A1F2" w14:textId="717178D3"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sidR="00CB72ED">
              <w:rPr>
                <w:rFonts w:ascii="Verdana" w:hAnsi="Verdana" w:cs="Tahoma"/>
                <w:sz w:val="20"/>
                <w:szCs w:val="20"/>
              </w:rPr>
              <w:fldChar w:fldCharType="begin"/>
            </w:r>
            <w:r w:rsidR="00CB72ED">
              <w:rPr>
                <w:rFonts w:ascii="Verdana" w:hAnsi="Verdana" w:cs="Tahoma"/>
                <w:sz w:val="20"/>
                <w:szCs w:val="20"/>
              </w:rPr>
              <w:instrText xml:space="preserve"> REF _Ref71664813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3.29.5</w:t>
            </w:r>
            <w:r w:rsidR="00CB72ED">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FD589CD" w14:textId="77777777" w:rsidR="00D309DB" w:rsidRPr="00E06B02" w:rsidRDefault="00D309DB" w:rsidP="00D309DB">
            <w:pPr>
              <w:spacing w:line="280" w:lineRule="exact"/>
              <w:jc w:val="both"/>
              <w:rPr>
                <w:rFonts w:ascii="Verdana" w:hAnsi="Verdana"/>
                <w:sz w:val="20"/>
                <w:szCs w:val="20"/>
              </w:rPr>
            </w:pPr>
          </w:p>
        </w:tc>
      </w:tr>
      <w:tr w:rsidR="00D309DB" w:rsidRPr="00E06B02" w14:paraId="3C3EE570" w14:textId="77777777">
        <w:tc>
          <w:tcPr>
            <w:tcW w:w="2970" w:type="dxa"/>
          </w:tcPr>
          <w:p w14:paraId="0C72BA0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6CD0F075" w14:textId="372185C6"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1C15D400" w14:textId="29353416"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sidR="00CB72ED">
              <w:rPr>
                <w:rFonts w:ascii="Verdana" w:hAnsi="Verdana" w:cs="Tahoma"/>
                <w:sz w:val="20"/>
                <w:szCs w:val="20"/>
              </w:rPr>
              <w:fldChar w:fldCharType="begin"/>
            </w:r>
            <w:r w:rsidR="00CB72ED">
              <w:rPr>
                <w:rFonts w:ascii="Verdana" w:hAnsi="Verdana" w:cs="Tahoma"/>
                <w:sz w:val="20"/>
                <w:szCs w:val="20"/>
              </w:rPr>
              <w:instrText xml:space="preserve"> REF _Ref71664801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3.29.6</w:t>
            </w:r>
            <w:r w:rsidR="00CB72ED">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26A5A886" w14:textId="77777777" w:rsidR="00D309DB" w:rsidRPr="00E06B02" w:rsidRDefault="00D309DB" w:rsidP="00D309DB">
            <w:pPr>
              <w:spacing w:line="280" w:lineRule="exact"/>
              <w:jc w:val="both"/>
              <w:rPr>
                <w:rFonts w:ascii="Verdana" w:hAnsi="Verdana"/>
                <w:sz w:val="20"/>
                <w:szCs w:val="20"/>
              </w:rPr>
            </w:pPr>
          </w:p>
        </w:tc>
      </w:tr>
      <w:tr w:rsidR="00D309DB" w:rsidRPr="00E06B02" w14:paraId="06F4C866" w14:textId="77777777">
        <w:tc>
          <w:tcPr>
            <w:tcW w:w="2970" w:type="dxa"/>
          </w:tcPr>
          <w:p w14:paraId="3390EEE1"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72739F50" w14:textId="77777777" w:rsidR="00D309DB" w:rsidRPr="00E06B02" w:rsidRDefault="00D309DB" w:rsidP="00D309DB">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889BD6E" w14:textId="77777777">
        <w:tc>
          <w:tcPr>
            <w:tcW w:w="2970" w:type="dxa"/>
          </w:tcPr>
          <w:p w14:paraId="033FBE51" w14:textId="77777777"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D309DB" w:rsidRPr="00E06B02" w:rsidRDefault="00D309DB" w:rsidP="00D309DB">
            <w:pPr>
              <w:spacing w:line="280" w:lineRule="exact"/>
              <w:rPr>
                <w:rFonts w:ascii="Verdana" w:hAnsi="Verdana" w:cs="Tahoma"/>
                <w:sz w:val="20"/>
                <w:szCs w:val="20"/>
              </w:rPr>
            </w:pPr>
          </w:p>
        </w:tc>
        <w:tc>
          <w:tcPr>
            <w:tcW w:w="6316" w:type="dxa"/>
          </w:tcPr>
          <w:p w14:paraId="7FC18D4E" w14:textId="77777777"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D309DB" w:rsidRPr="00E06B02" w:rsidRDefault="00D309DB" w:rsidP="00D309DB">
            <w:pPr>
              <w:tabs>
                <w:tab w:val="left" w:pos="1134"/>
              </w:tabs>
              <w:spacing w:line="280" w:lineRule="exact"/>
              <w:jc w:val="both"/>
              <w:rPr>
                <w:rFonts w:ascii="Verdana" w:eastAsia="Arial Unicode MS" w:hAnsi="Verdana" w:cs="Tahoma"/>
                <w:sz w:val="20"/>
                <w:szCs w:val="20"/>
              </w:rPr>
            </w:pPr>
          </w:p>
        </w:tc>
      </w:tr>
      <w:tr w:rsidR="00D309DB" w:rsidRPr="00F4191F" w14:paraId="51F736E1" w14:textId="77777777">
        <w:tc>
          <w:tcPr>
            <w:tcW w:w="2970" w:type="dxa"/>
          </w:tcPr>
          <w:p w14:paraId="2AD2ABBF" w14:textId="284FCA23"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D309DB" w:rsidRPr="00E06B02" w:rsidRDefault="00D309DB" w:rsidP="00D309DB">
            <w:pPr>
              <w:spacing w:line="280" w:lineRule="exact"/>
              <w:rPr>
                <w:rFonts w:ascii="Verdana" w:eastAsia="Arial Unicode MS" w:hAnsi="Verdana"/>
                <w:w w:val="0"/>
                <w:sz w:val="20"/>
                <w:szCs w:val="20"/>
              </w:rPr>
            </w:pPr>
          </w:p>
        </w:tc>
        <w:tc>
          <w:tcPr>
            <w:tcW w:w="6316" w:type="dxa"/>
          </w:tcPr>
          <w:p w14:paraId="6F138408" w14:textId="7B0EFCC9"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D309DB" w:rsidRPr="00E06B02" w:rsidRDefault="00D309DB" w:rsidP="00D309DB">
            <w:pPr>
              <w:tabs>
                <w:tab w:val="left" w:pos="1134"/>
              </w:tabs>
              <w:spacing w:line="280" w:lineRule="exact"/>
              <w:jc w:val="both"/>
              <w:rPr>
                <w:rFonts w:ascii="Verdana" w:hAnsi="Verdana"/>
                <w:sz w:val="20"/>
                <w:szCs w:val="20"/>
              </w:rPr>
            </w:pPr>
          </w:p>
        </w:tc>
      </w:tr>
      <w:tr w:rsidR="00D309DB" w:rsidRPr="00E06B02" w14:paraId="4DBB03BC" w14:textId="77777777">
        <w:tc>
          <w:tcPr>
            <w:tcW w:w="2970" w:type="dxa"/>
          </w:tcPr>
          <w:p w14:paraId="4734E028" w14:textId="143F69A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06D7AE62" w:rsidR="00D309DB" w:rsidRPr="00E06B02" w:rsidRDefault="00D309DB" w:rsidP="00D309DB">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e todos os </w:t>
            </w:r>
            <w:r w:rsidR="008C65B6">
              <w:rPr>
                <w:rFonts w:ascii="Verdana" w:eastAsia="MS Mincho" w:hAnsi="Verdana" w:cs="Tahoma"/>
                <w:sz w:val="20"/>
                <w:szCs w:val="20"/>
              </w:rPr>
              <w:t>D</w:t>
            </w:r>
            <w:r w:rsidRPr="00E06B02">
              <w:rPr>
                <w:rFonts w:ascii="Verdana" w:eastAsia="MS Mincho" w:hAnsi="Verdana" w:cs="Tahoma"/>
                <w:sz w:val="20"/>
                <w:szCs w:val="20"/>
              </w:rPr>
              <w:t xml:space="preserve">ireitos </w:t>
            </w:r>
            <w:r w:rsidR="008C65B6">
              <w:rPr>
                <w:rFonts w:ascii="Verdana" w:eastAsia="MS Mincho" w:hAnsi="Verdana" w:cs="Tahoma"/>
                <w:sz w:val="20"/>
                <w:szCs w:val="20"/>
              </w:rPr>
              <w:t>C</w:t>
            </w:r>
            <w:r w:rsidRPr="00E06B02">
              <w:rPr>
                <w:rFonts w:ascii="Verdana" w:eastAsia="MS Mincho" w:hAnsi="Verdana" w:cs="Tahoma"/>
                <w:sz w:val="20"/>
                <w:szCs w:val="20"/>
              </w:rPr>
              <w:t xml:space="preserve">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D309DB" w:rsidRPr="00E06B02" w:rsidRDefault="00D309DB" w:rsidP="00D309DB">
            <w:pPr>
              <w:spacing w:line="280" w:lineRule="exact"/>
              <w:jc w:val="both"/>
              <w:rPr>
                <w:rFonts w:ascii="Verdana" w:hAnsi="Verdana" w:cs="Tahoma"/>
                <w:sz w:val="20"/>
                <w:szCs w:val="20"/>
              </w:rPr>
            </w:pPr>
          </w:p>
        </w:tc>
      </w:tr>
      <w:tr w:rsidR="00D309DB" w:rsidRPr="00E06B02" w14:paraId="58DFE18C" w14:textId="77777777">
        <w:tc>
          <w:tcPr>
            <w:tcW w:w="2970" w:type="dxa"/>
          </w:tcPr>
          <w:p w14:paraId="7628BC96" w14:textId="18A9A8B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D309DB" w:rsidRPr="00E06B02" w:rsidRDefault="00D309DB" w:rsidP="00D309DB">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13D7CCFE" w14:textId="49EEC61A" w:rsidR="00D309DB" w:rsidRPr="00E06B02" w:rsidRDefault="00D309DB" w:rsidP="00D309DB">
            <w:pPr>
              <w:spacing w:line="280" w:lineRule="exact"/>
              <w:jc w:val="both"/>
              <w:rPr>
                <w:rFonts w:ascii="Verdana" w:hAnsi="Verdana" w:cs="Tahoma"/>
                <w:sz w:val="20"/>
                <w:szCs w:val="20"/>
              </w:rPr>
            </w:pPr>
          </w:p>
        </w:tc>
      </w:tr>
      <w:tr w:rsidR="00D309DB" w:rsidRPr="00E06B02" w14:paraId="4C836AD6" w14:textId="77777777">
        <w:tc>
          <w:tcPr>
            <w:tcW w:w="2970" w:type="dxa"/>
          </w:tcPr>
          <w:p w14:paraId="1A8B28D4" w14:textId="0B5885F3" w:rsidR="00D309DB" w:rsidRPr="00E06B02" w:rsidRDefault="00D309DB" w:rsidP="00D309DB">
            <w:pPr>
              <w:spacing w:line="280" w:lineRule="exact"/>
              <w:jc w:val="both"/>
              <w:rPr>
                <w:rFonts w:ascii="Verdana" w:hAnsi="Verdana" w:cs="Tahoma"/>
                <w:sz w:val="20"/>
                <w:szCs w:val="20"/>
              </w:rPr>
            </w:pPr>
            <w:bookmarkStart w:id="2" w:name="_DV_C61"/>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2"/>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61D9AFB9" w:rsidR="00D309DB" w:rsidRPr="005C5113" w:rsidRDefault="00D309DB" w:rsidP="00D309DB">
            <w:pPr>
              <w:tabs>
                <w:tab w:val="left" w:pos="1134"/>
              </w:tabs>
              <w:spacing w:line="280" w:lineRule="exact"/>
              <w:jc w:val="both"/>
              <w:rPr>
                <w:rStyle w:val="DeltaViewDeletion"/>
                <w:rFonts w:eastAsia="Arial Unicode MS"/>
                <w:strike w:val="0"/>
                <w:color w:val="auto"/>
                <w:szCs w:val="20"/>
              </w:rPr>
            </w:pPr>
            <w:bookmarkStart w:id="3"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3"/>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309DB" w:rsidRDefault="00D309DB" w:rsidP="00D309DB">
            <w:pPr>
              <w:spacing w:line="280" w:lineRule="exact"/>
              <w:jc w:val="both"/>
              <w:rPr>
                <w:rFonts w:ascii="Verdana" w:eastAsia="Arial Unicode MS" w:hAnsi="Verdana"/>
                <w:sz w:val="20"/>
                <w:szCs w:val="20"/>
              </w:rPr>
            </w:pPr>
            <w:bookmarkStart w:id="4" w:name="_DV_C63"/>
          </w:p>
          <w:p w14:paraId="5396367E" w14:textId="791BE62A" w:rsidR="00D309DB" w:rsidRPr="005B013E"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sidR="00935EAB">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1418A24F" w:rsidR="00D309DB" w:rsidRPr="00E06B02" w:rsidRDefault="00935EAB" w:rsidP="00D309DB">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00D309DB" w:rsidRPr="005B013E">
              <w:rPr>
                <w:rFonts w:ascii="Verdana" w:eastAsia="Arial Unicode MS" w:hAnsi="Verdana"/>
                <w:i/>
                <w:sz w:val="16"/>
                <w:szCs w:val="16"/>
              </w:rPr>
              <w:t>aldo</w:t>
            </w:r>
            <w:r w:rsidR="00137E0F">
              <w:rPr>
                <w:rFonts w:ascii="Verdana" w:eastAsia="Arial Unicode MS" w:hAnsi="Verdana"/>
                <w:i/>
                <w:sz w:val="16"/>
                <w:szCs w:val="16"/>
              </w:rPr>
              <w:t xml:space="preserve"> </w:t>
            </w:r>
            <w:r>
              <w:rPr>
                <w:rFonts w:ascii="Verdana" w:eastAsia="Arial Unicode MS" w:hAnsi="Verdana"/>
                <w:i/>
                <w:sz w:val="16"/>
                <w:szCs w:val="16"/>
              </w:rPr>
              <w:t>d</w:t>
            </w:r>
            <w:r w:rsidR="00137E0F">
              <w:rPr>
                <w:rFonts w:ascii="Verdana" w:eastAsia="Arial Unicode MS" w:hAnsi="Verdana"/>
                <w:i/>
                <w:sz w:val="16"/>
                <w:szCs w:val="16"/>
              </w:rPr>
              <w:t>evedor</w:t>
            </w:r>
            <w:r w:rsidR="00D309DB" w:rsidRPr="005B013E">
              <w:rPr>
                <w:rFonts w:ascii="Verdana" w:eastAsia="Arial Unicode MS" w:hAnsi="Verdana"/>
                <w:i/>
                <w:sz w:val="16"/>
                <w:szCs w:val="16"/>
              </w:rPr>
              <w:t xml:space="preserve"> das debêntures da Primeira Série</w:t>
            </w:r>
          </w:p>
          <w:bookmarkEnd w:id="4"/>
          <w:p w14:paraId="340204EB" w14:textId="77777777"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E9BCC8F" w14:textId="77777777">
        <w:tc>
          <w:tcPr>
            <w:tcW w:w="2970" w:type="dxa"/>
          </w:tcPr>
          <w:p w14:paraId="68A67350" w14:textId="7B3100E1" w:rsidR="00D309DB" w:rsidRPr="00E06B02" w:rsidRDefault="00D309DB" w:rsidP="00D309DB">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3CCF779E" w:rsidR="00D309DB" w:rsidRPr="005C5113" w:rsidRDefault="00D309DB" w:rsidP="00D309DB">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3FC3B423" w:rsidR="00D309DB" w:rsidRPr="005C5113"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sidR="00935EAB">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51E27343" w:rsidR="00D309DB" w:rsidRPr="005C5113" w:rsidRDefault="00D309DB" w:rsidP="00D309DB">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sidR="00935EAB">
              <w:rPr>
                <w:rFonts w:ascii="Verdana" w:eastAsia="Arial Unicode MS" w:hAnsi="Verdana"/>
                <w:i/>
                <w:sz w:val="16"/>
                <w:szCs w:val="16"/>
              </w:rPr>
              <w:t>d</w:t>
            </w:r>
            <w:r w:rsidR="00137E0F">
              <w:rPr>
                <w:rFonts w:ascii="Verdana" w:eastAsia="Arial Unicode MS" w:hAnsi="Verdana"/>
                <w:i/>
                <w:sz w:val="16"/>
                <w:szCs w:val="16"/>
              </w:rPr>
              <w:t xml:space="preserve">evedor </w:t>
            </w:r>
            <w:r w:rsidRPr="005C5113">
              <w:rPr>
                <w:rFonts w:ascii="Verdana" w:eastAsia="Arial Unicode MS" w:hAnsi="Verdana"/>
                <w:i/>
                <w:sz w:val="16"/>
                <w:szCs w:val="16"/>
              </w:rPr>
              <w:t>das debêntures da Primeira Série + saldo</w:t>
            </w:r>
            <w:r w:rsidR="00137E0F">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D309DB" w:rsidRPr="00E06B02" w:rsidRDefault="00D309DB" w:rsidP="00D309DB">
            <w:pPr>
              <w:spacing w:line="280" w:lineRule="exact"/>
              <w:jc w:val="both"/>
              <w:rPr>
                <w:rStyle w:val="DeltaViewDeletion"/>
                <w:rFonts w:ascii="Verdana" w:eastAsia="Arial Unicode MS" w:hAnsi="Verdana" w:cs="Tahoma"/>
                <w:strike w:val="0"/>
                <w:color w:val="auto"/>
                <w:sz w:val="20"/>
                <w:szCs w:val="20"/>
              </w:rPr>
            </w:pPr>
          </w:p>
        </w:tc>
      </w:tr>
      <w:tr w:rsidR="00D309DB" w:rsidRPr="00F4191F" w14:paraId="141F202F" w14:textId="77777777">
        <w:tc>
          <w:tcPr>
            <w:tcW w:w="2970" w:type="dxa"/>
          </w:tcPr>
          <w:p w14:paraId="78055C97" w14:textId="7051B0A8" w:rsidR="00D309DB" w:rsidRPr="00E06B02" w:rsidDel="00D8776F" w:rsidRDefault="00D309DB" w:rsidP="00D309DB">
            <w:pPr>
              <w:spacing w:line="280" w:lineRule="exact"/>
              <w:jc w:val="both"/>
              <w:rPr>
                <w:rFonts w:ascii="Verdana" w:eastAsia="Arial Unicode MS" w:hAnsi="Verdana" w:cs="Tahoma"/>
                <w:noProof/>
                <w:sz w:val="20"/>
                <w:szCs w:val="20"/>
              </w:rPr>
            </w:pPr>
          </w:p>
        </w:tc>
        <w:tc>
          <w:tcPr>
            <w:tcW w:w="6316" w:type="dxa"/>
          </w:tcPr>
          <w:p w14:paraId="00BE0053" w14:textId="77777777"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D309DB" w:rsidRPr="00E06B02" w14:paraId="67732658" w14:textId="77777777">
        <w:tc>
          <w:tcPr>
            <w:tcW w:w="2970" w:type="dxa"/>
          </w:tcPr>
          <w:p w14:paraId="3A038A14" w14:textId="07D5628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3E74EAF1" w14:textId="77777777">
        <w:tc>
          <w:tcPr>
            <w:tcW w:w="2970" w:type="dxa"/>
          </w:tcPr>
          <w:p w14:paraId="4792E9F1"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lastRenderedPageBreak/>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5270301" w14:textId="77777777">
        <w:tc>
          <w:tcPr>
            <w:tcW w:w="2970" w:type="dxa"/>
          </w:tcPr>
          <w:p w14:paraId="2665FBB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D309DB" w:rsidRPr="00E06B02" w:rsidRDefault="00D309DB" w:rsidP="00D309DB">
            <w:pPr>
              <w:spacing w:line="280" w:lineRule="exact"/>
              <w:jc w:val="both"/>
              <w:rPr>
                <w:rFonts w:ascii="Verdana" w:hAnsi="Verdana" w:cs="Tahoma"/>
                <w:sz w:val="20"/>
                <w:szCs w:val="20"/>
              </w:rPr>
            </w:pPr>
          </w:p>
        </w:tc>
      </w:tr>
      <w:tr w:rsidR="00D309DB" w:rsidRPr="00E06B02" w14:paraId="774360AE" w14:textId="77777777">
        <w:tc>
          <w:tcPr>
            <w:tcW w:w="2970" w:type="dxa"/>
          </w:tcPr>
          <w:p w14:paraId="64AAF0D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D309DB" w:rsidRPr="00E06B02" w:rsidRDefault="00D309DB" w:rsidP="00D309DB">
            <w:pPr>
              <w:spacing w:line="280" w:lineRule="exact"/>
              <w:jc w:val="both"/>
              <w:rPr>
                <w:rFonts w:ascii="Verdana" w:hAnsi="Verdana" w:cs="Tahoma"/>
                <w:sz w:val="20"/>
                <w:szCs w:val="20"/>
              </w:rPr>
            </w:pPr>
          </w:p>
        </w:tc>
      </w:tr>
      <w:tr w:rsidR="00D309DB" w:rsidRPr="00E06B02" w14:paraId="3FCCF3D8" w14:textId="77777777">
        <w:tc>
          <w:tcPr>
            <w:tcW w:w="2970" w:type="dxa"/>
          </w:tcPr>
          <w:p w14:paraId="57E91D1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D309DB" w:rsidRPr="00E06B02" w:rsidRDefault="00D309DB" w:rsidP="00D309DB">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D309DB" w:rsidRPr="00E06B02" w:rsidRDefault="00D309DB" w:rsidP="00D309DB">
            <w:pPr>
              <w:spacing w:line="280" w:lineRule="exact"/>
              <w:jc w:val="both"/>
              <w:rPr>
                <w:rFonts w:ascii="Verdana" w:eastAsia="MS Mincho" w:hAnsi="Verdana" w:cs="Tahoma"/>
                <w:bCs/>
                <w:sz w:val="20"/>
                <w:szCs w:val="20"/>
              </w:rPr>
            </w:pPr>
          </w:p>
        </w:tc>
      </w:tr>
      <w:tr w:rsidR="00D309DB" w:rsidRPr="00E06B02" w14:paraId="2794E795" w14:textId="77777777">
        <w:tc>
          <w:tcPr>
            <w:tcW w:w="2970" w:type="dxa"/>
          </w:tcPr>
          <w:p w14:paraId="34B36D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w:t>
            </w:r>
            <w:r w:rsidRPr="00E06B02">
              <w:rPr>
                <w:rFonts w:ascii="Verdana" w:hAnsi="Verdana" w:cs="Tahoma"/>
                <w:sz w:val="20"/>
                <w:szCs w:val="20"/>
              </w:rPr>
              <w:lastRenderedPageBreak/>
              <w:t>gerida por um ou mais cotistas, que sejam investidores qualificados.</w:t>
            </w:r>
          </w:p>
          <w:p w14:paraId="626A6AED" w14:textId="13C99C3E" w:rsidR="00D309DB" w:rsidRPr="00E06B02" w:rsidRDefault="00D309DB" w:rsidP="00D309DB">
            <w:pPr>
              <w:spacing w:line="280" w:lineRule="exact"/>
              <w:jc w:val="both"/>
              <w:rPr>
                <w:rFonts w:ascii="Verdana" w:hAnsi="Verdana" w:cs="Tahoma"/>
                <w:sz w:val="20"/>
                <w:szCs w:val="20"/>
              </w:rPr>
            </w:pPr>
          </w:p>
        </w:tc>
      </w:tr>
      <w:tr w:rsidR="00D309DB" w:rsidRPr="00E06B02" w14:paraId="0E410FF9" w14:textId="77777777">
        <w:tc>
          <w:tcPr>
            <w:tcW w:w="2970" w:type="dxa"/>
          </w:tcPr>
          <w:p w14:paraId="1684FE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D309DB" w:rsidRPr="00E06B02" w:rsidRDefault="00D309DB" w:rsidP="00D309DB">
            <w:pPr>
              <w:spacing w:line="280" w:lineRule="exact"/>
              <w:jc w:val="both"/>
              <w:rPr>
                <w:rFonts w:ascii="Verdana" w:hAnsi="Verdana" w:cs="Tahoma"/>
                <w:sz w:val="20"/>
                <w:szCs w:val="20"/>
              </w:rPr>
            </w:pPr>
          </w:p>
        </w:tc>
      </w:tr>
      <w:tr w:rsidR="00D309DB" w:rsidRPr="00E06B02" w14:paraId="21447671" w14:textId="77777777">
        <w:tc>
          <w:tcPr>
            <w:tcW w:w="2970" w:type="dxa"/>
          </w:tcPr>
          <w:p w14:paraId="710E814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D309DB" w:rsidRPr="00E06B02" w:rsidRDefault="00D309DB" w:rsidP="00D309DB">
            <w:pPr>
              <w:spacing w:line="280" w:lineRule="exact"/>
              <w:jc w:val="both"/>
              <w:rPr>
                <w:rFonts w:ascii="Verdana" w:hAnsi="Verdana" w:cs="Tahoma"/>
                <w:sz w:val="20"/>
                <w:szCs w:val="20"/>
              </w:rPr>
            </w:pPr>
          </w:p>
        </w:tc>
      </w:tr>
      <w:tr w:rsidR="00D309DB" w:rsidRPr="00E06B02" w14:paraId="33A9A55B" w14:textId="77777777">
        <w:tc>
          <w:tcPr>
            <w:tcW w:w="2970" w:type="dxa"/>
          </w:tcPr>
          <w:p w14:paraId="5A80824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D309DB" w:rsidRPr="00E06B02" w:rsidRDefault="00D309DB" w:rsidP="00D309DB">
            <w:pPr>
              <w:spacing w:line="280" w:lineRule="exact"/>
              <w:jc w:val="both"/>
              <w:rPr>
                <w:rFonts w:ascii="Verdana" w:hAnsi="Verdana" w:cs="Tahoma"/>
                <w:sz w:val="20"/>
                <w:szCs w:val="20"/>
              </w:rPr>
            </w:pPr>
          </w:p>
        </w:tc>
      </w:tr>
      <w:tr w:rsidR="00D309DB" w:rsidRPr="00E06B02" w14:paraId="7A358C96" w14:textId="77777777">
        <w:tc>
          <w:tcPr>
            <w:tcW w:w="2970" w:type="dxa"/>
          </w:tcPr>
          <w:p w14:paraId="079D7706" w14:textId="268983F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D309DB" w:rsidRPr="00E06B02" w:rsidRDefault="00D309DB" w:rsidP="00D309DB">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D309DB" w:rsidRPr="00E06B02" w:rsidRDefault="00D309DB" w:rsidP="00D309DB">
            <w:pPr>
              <w:spacing w:line="280" w:lineRule="exact"/>
              <w:jc w:val="both"/>
              <w:rPr>
                <w:rFonts w:ascii="Verdana" w:hAnsi="Verdana" w:cs="Tahoma"/>
                <w:sz w:val="20"/>
                <w:szCs w:val="20"/>
              </w:rPr>
            </w:pPr>
          </w:p>
        </w:tc>
      </w:tr>
      <w:tr w:rsidR="00D309DB" w:rsidRPr="00E06B02" w14:paraId="28A818D6" w14:textId="77777777">
        <w:tc>
          <w:tcPr>
            <w:tcW w:w="2970" w:type="dxa"/>
          </w:tcPr>
          <w:p w14:paraId="0E396AE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D309DB" w:rsidRPr="00E06B02" w:rsidRDefault="00D309DB" w:rsidP="00D309DB">
            <w:pPr>
              <w:spacing w:line="280" w:lineRule="exact"/>
              <w:jc w:val="both"/>
              <w:rPr>
                <w:rFonts w:ascii="Verdana" w:hAnsi="Verdana" w:cs="Tahoma"/>
                <w:sz w:val="20"/>
                <w:szCs w:val="20"/>
              </w:rPr>
            </w:pPr>
          </w:p>
        </w:tc>
      </w:tr>
      <w:tr w:rsidR="00D309DB" w:rsidRPr="00E06B02" w14:paraId="7D9526AC" w14:textId="77777777">
        <w:tc>
          <w:tcPr>
            <w:tcW w:w="2970" w:type="dxa"/>
          </w:tcPr>
          <w:p w14:paraId="53CD88F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D309DB" w:rsidRPr="00E06B02" w:rsidRDefault="00D309DB" w:rsidP="00D309DB">
            <w:pPr>
              <w:spacing w:line="280" w:lineRule="exact"/>
              <w:jc w:val="both"/>
              <w:rPr>
                <w:rFonts w:ascii="Verdana" w:hAnsi="Verdana" w:cs="Tahoma"/>
                <w:sz w:val="20"/>
                <w:szCs w:val="20"/>
              </w:rPr>
            </w:pPr>
          </w:p>
        </w:tc>
      </w:tr>
      <w:tr w:rsidR="00D309DB" w:rsidRPr="00E06B02" w14:paraId="1557EA08" w14:textId="77777777">
        <w:tc>
          <w:tcPr>
            <w:tcW w:w="2970" w:type="dxa"/>
          </w:tcPr>
          <w:p w14:paraId="5DF99D8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w:t>
            </w:r>
            <w:r w:rsidRPr="00E06B02">
              <w:rPr>
                <w:rFonts w:ascii="Verdana" w:hAnsi="Verdana" w:cs="Tahoma"/>
              </w:rPr>
              <w:lastRenderedPageBreak/>
              <w:t xml:space="preserve">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D309DB" w:rsidRPr="00E06B02" w:rsidRDefault="00D309DB" w:rsidP="00D309DB">
            <w:pPr>
              <w:pStyle w:val="Pr-formataoHTML"/>
              <w:spacing w:line="280" w:lineRule="exact"/>
              <w:jc w:val="both"/>
              <w:rPr>
                <w:rFonts w:ascii="Verdana" w:hAnsi="Verdana" w:cs="Tahoma"/>
              </w:rPr>
            </w:pPr>
          </w:p>
        </w:tc>
      </w:tr>
      <w:tr w:rsidR="00D309DB" w:rsidRPr="00E06B02" w14:paraId="4BFF8A45" w14:textId="77777777">
        <w:tc>
          <w:tcPr>
            <w:tcW w:w="2970" w:type="dxa"/>
          </w:tcPr>
          <w:p w14:paraId="68BA04D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D309DB" w:rsidRPr="00E06B02" w:rsidRDefault="00D309DB" w:rsidP="00D309DB">
            <w:pPr>
              <w:pStyle w:val="Pr-formataoHTML"/>
              <w:spacing w:line="280" w:lineRule="exact"/>
              <w:jc w:val="both"/>
              <w:rPr>
                <w:rFonts w:ascii="Verdana" w:hAnsi="Verdana" w:cs="Tahoma"/>
              </w:rPr>
            </w:pPr>
          </w:p>
        </w:tc>
      </w:tr>
      <w:tr w:rsidR="00D309DB" w:rsidRPr="00E06B02" w14:paraId="2487602E" w14:textId="77777777">
        <w:tc>
          <w:tcPr>
            <w:tcW w:w="2970" w:type="dxa"/>
          </w:tcPr>
          <w:p w14:paraId="2568629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D309DB" w:rsidRPr="00E06B02" w:rsidRDefault="00D309DB" w:rsidP="00D309DB">
            <w:pPr>
              <w:spacing w:line="280" w:lineRule="exact"/>
              <w:jc w:val="both"/>
              <w:rPr>
                <w:rFonts w:ascii="Verdana" w:hAnsi="Verdana" w:cs="Tahoma"/>
                <w:sz w:val="20"/>
                <w:szCs w:val="20"/>
              </w:rPr>
            </w:pPr>
          </w:p>
        </w:tc>
      </w:tr>
      <w:tr w:rsidR="00D309DB" w:rsidRPr="00E06B02" w14:paraId="78FFB53B" w14:textId="77777777">
        <w:tc>
          <w:tcPr>
            <w:tcW w:w="2970" w:type="dxa"/>
          </w:tcPr>
          <w:p w14:paraId="78819482"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D309DB" w:rsidRPr="00E06B02" w:rsidRDefault="00D309DB" w:rsidP="00D309DB">
            <w:pPr>
              <w:spacing w:line="280" w:lineRule="exact"/>
              <w:jc w:val="both"/>
              <w:rPr>
                <w:rFonts w:ascii="Verdana" w:hAnsi="Verdana" w:cs="Tahoma"/>
                <w:sz w:val="20"/>
                <w:szCs w:val="20"/>
              </w:rPr>
            </w:pPr>
          </w:p>
        </w:tc>
      </w:tr>
      <w:tr w:rsidR="00D309DB" w:rsidRPr="00E06B02" w14:paraId="492003D1" w14:textId="77777777">
        <w:tc>
          <w:tcPr>
            <w:tcW w:w="2970" w:type="dxa"/>
          </w:tcPr>
          <w:p w14:paraId="04D8813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D309DB" w:rsidRPr="00E06B02" w:rsidRDefault="00D309DB" w:rsidP="00D309DB">
            <w:pPr>
              <w:spacing w:line="280" w:lineRule="exact"/>
              <w:jc w:val="both"/>
              <w:rPr>
                <w:rFonts w:ascii="Verdana" w:hAnsi="Verdana" w:cs="Tahoma"/>
                <w:sz w:val="20"/>
                <w:szCs w:val="20"/>
              </w:rPr>
            </w:pPr>
          </w:p>
        </w:tc>
      </w:tr>
      <w:tr w:rsidR="00D309DB" w:rsidRPr="00E06B02" w14:paraId="15B4A538" w14:textId="77777777">
        <w:tc>
          <w:tcPr>
            <w:tcW w:w="2970" w:type="dxa"/>
          </w:tcPr>
          <w:p w14:paraId="5641F49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D309DB" w:rsidRPr="00E06B02" w:rsidRDefault="00D309DB" w:rsidP="00D309DB">
            <w:pPr>
              <w:spacing w:line="280" w:lineRule="exact"/>
              <w:jc w:val="both"/>
              <w:rPr>
                <w:rFonts w:ascii="Verdana" w:hAnsi="Verdana" w:cs="Tahoma"/>
                <w:sz w:val="20"/>
                <w:szCs w:val="20"/>
              </w:rPr>
            </w:pPr>
          </w:p>
        </w:tc>
        <w:tc>
          <w:tcPr>
            <w:tcW w:w="6316" w:type="dxa"/>
          </w:tcPr>
          <w:p w14:paraId="027084F7" w14:textId="3D993B3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D309DB" w:rsidRPr="00E06B02" w:rsidRDefault="00D309DB" w:rsidP="00D309DB">
            <w:pPr>
              <w:spacing w:line="280" w:lineRule="exact"/>
              <w:jc w:val="both"/>
              <w:rPr>
                <w:rFonts w:ascii="Verdana" w:hAnsi="Verdana" w:cs="Tahoma"/>
                <w:sz w:val="20"/>
                <w:szCs w:val="20"/>
              </w:rPr>
            </w:pPr>
          </w:p>
        </w:tc>
      </w:tr>
      <w:tr w:rsidR="00D309DB" w:rsidRPr="00E06B02" w14:paraId="4EAEB5B8" w14:textId="77777777">
        <w:tc>
          <w:tcPr>
            <w:tcW w:w="2970" w:type="dxa"/>
          </w:tcPr>
          <w:p w14:paraId="59D97AA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D309DB" w:rsidRPr="00E06B02" w:rsidRDefault="00D309DB" w:rsidP="00D309DB">
            <w:pPr>
              <w:spacing w:line="280" w:lineRule="exact"/>
              <w:jc w:val="both"/>
              <w:rPr>
                <w:rFonts w:ascii="Verdana" w:hAnsi="Verdana" w:cs="Tahoma"/>
                <w:sz w:val="20"/>
                <w:szCs w:val="20"/>
              </w:rPr>
            </w:pPr>
          </w:p>
        </w:tc>
        <w:tc>
          <w:tcPr>
            <w:tcW w:w="6316" w:type="dxa"/>
          </w:tcPr>
          <w:p w14:paraId="4C14B8D1" w14:textId="1B156C6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D309DB" w:rsidRPr="00E06B02" w:rsidRDefault="00D309DB" w:rsidP="00D309DB">
            <w:pPr>
              <w:spacing w:line="280" w:lineRule="exact"/>
              <w:jc w:val="both"/>
              <w:rPr>
                <w:rFonts w:ascii="Verdana" w:hAnsi="Verdana" w:cs="Tahoma"/>
                <w:sz w:val="20"/>
                <w:szCs w:val="20"/>
              </w:rPr>
            </w:pPr>
          </w:p>
        </w:tc>
      </w:tr>
      <w:tr w:rsidR="00D309DB" w:rsidRPr="00E06B02" w14:paraId="176E376C" w14:textId="77777777">
        <w:tc>
          <w:tcPr>
            <w:tcW w:w="2970" w:type="dxa"/>
          </w:tcPr>
          <w:p w14:paraId="2CE109E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D309DB" w:rsidRPr="00E06B02" w:rsidRDefault="00D309DB" w:rsidP="00D309DB">
            <w:pPr>
              <w:spacing w:line="280" w:lineRule="exact"/>
              <w:jc w:val="both"/>
              <w:rPr>
                <w:rFonts w:ascii="Verdana" w:hAnsi="Verdana" w:cs="Tahoma"/>
                <w:sz w:val="20"/>
                <w:szCs w:val="20"/>
              </w:rPr>
            </w:pPr>
          </w:p>
        </w:tc>
        <w:tc>
          <w:tcPr>
            <w:tcW w:w="6316" w:type="dxa"/>
          </w:tcPr>
          <w:p w14:paraId="6621631C" w14:textId="3D5F7A5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D309DB" w:rsidRPr="00E06B02" w:rsidRDefault="00D309DB" w:rsidP="00D309DB">
            <w:pPr>
              <w:spacing w:line="280" w:lineRule="exact"/>
              <w:jc w:val="both"/>
              <w:rPr>
                <w:rFonts w:ascii="Verdana" w:hAnsi="Verdana" w:cs="Tahoma"/>
                <w:sz w:val="20"/>
                <w:szCs w:val="20"/>
              </w:rPr>
            </w:pPr>
          </w:p>
        </w:tc>
      </w:tr>
      <w:tr w:rsidR="00D309DB" w:rsidRPr="00E06B02" w14:paraId="6ADBEB01" w14:textId="77777777">
        <w:tc>
          <w:tcPr>
            <w:tcW w:w="2970" w:type="dxa"/>
          </w:tcPr>
          <w:p w14:paraId="1F7E431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0CEF4301" w14:textId="77777777">
        <w:tc>
          <w:tcPr>
            <w:tcW w:w="2970" w:type="dxa"/>
          </w:tcPr>
          <w:p w14:paraId="11D37203"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B62B30A" w14:textId="77777777">
        <w:tc>
          <w:tcPr>
            <w:tcW w:w="2970" w:type="dxa"/>
          </w:tcPr>
          <w:p w14:paraId="5193214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D309DB" w:rsidRPr="00E06B02" w:rsidRDefault="00D309DB" w:rsidP="00D309DB">
            <w:pPr>
              <w:spacing w:line="280" w:lineRule="exact"/>
              <w:jc w:val="both"/>
              <w:rPr>
                <w:rFonts w:ascii="Verdana" w:hAnsi="Verdana" w:cs="Tahoma"/>
                <w:sz w:val="20"/>
                <w:szCs w:val="20"/>
              </w:rPr>
            </w:pPr>
          </w:p>
        </w:tc>
      </w:tr>
      <w:tr w:rsidR="00D309DB" w:rsidRPr="00E06B02" w14:paraId="50633A43" w14:textId="77777777">
        <w:tc>
          <w:tcPr>
            <w:tcW w:w="2970" w:type="dxa"/>
          </w:tcPr>
          <w:p w14:paraId="5CF12F26" w14:textId="1907DDE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D309DB" w:rsidRPr="00E06B02" w:rsidRDefault="00D309DB" w:rsidP="00D309DB">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D309DB" w:rsidRPr="00E06B02" w:rsidRDefault="00D309DB" w:rsidP="00D309DB">
            <w:pPr>
              <w:spacing w:line="280" w:lineRule="exact"/>
              <w:jc w:val="both"/>
              <w:rPr>
                <w:rFonts w:ascii="Verdana" w:hAnsi="Verdana" w:cs="Tahoma"/>
                <w:sz w:val="20"/>
                <w:szCs w:val="20"/>
              </w:rPr>
            </w:pPr>
          </w:p>
        </w:tc>
      </w:tr>
      <w:tr w:rsidR="00D309DB" w:rsidRPr="00E06B02" w14:paraId="03AE09FC" w14:textId="77777777">
        <w:tc>
          <w:tcPr>
            <w:tcW w:w="2970" w:type="dxa"/>
          </w:tcPr>
          <w:p w14:paraId="447B784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4FC2EA94" w14:textId="0DC6AB1F" w:rsidR="00D309DB" w:rsidRPr="00E06B02" w:rsidRDefault="00D309DB" w:rsidP="00D309DB">
            <w:pPr>
              <w:spacing w:line="280" w:lineRule="exact"/>
              <w:jc w:val="both"/>
              <w:rPr>
                <w:rFonts w:ascii="Verdana" w:hAnsi="Verdana" w:cs="Tahoma"/>
                <w:sz w:val="20"/>
                <w:szCs w:val="20"/>
              </w:rPr>
            </w:pPr>
          </w:p>
        </w:tc>
      </w:tr>
      <w:tr w:rsidR="00D309DB" w:rsidRPr="00E06B02" w14:paraId="1F5314A5" w14:textId="77777777">
        <w:tc>
          <w:tcPr>
            <w:tcW w:w="2970" w:type="dxa"/>
          </w:tcPr>
          <w:p w14:paraId="46C1B05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0F969808" w14:textId="15EF5D44" w:rsidR="00D309DB" w:rsidRPr="00E06B02" w:rsidRDefault="00D309DB" w:rsidP="00D309DB">
            <w:pPr>
              <w:spacing w:line="280" w:lineRule="exact"/>
              <w:jc w:val="both"/>
              <w:rPr>
                <w:rFonts w:ascii="Verdana" w:hAnsi="Verdana" w:cs="Tahoma"/>
                <w:sz w:val="20"/>
                <w:szCs w:val="20"/>
              </w:rPr>
            </w:pPr>
          </w:p>
        </w:tc>
      </w:tr>
      <w:tr w:rsidR="00D309DB" w:rsidRPr="00E06B02" w14:paraId="588EA927" w14:textId="77777777">
        <w:tc>
          <w:tcPr>
            <w:tcW w:w="2970" w:type="dxa"/>
          </w:tcPr>
          <w:p w14:paraId="514BB81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2AC0748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sidR="008C65B6">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sidR="008C65B6">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60E1FC08" w14:textId="64E1790C" w:rsidR="00D309DB" w:rsidRPr="00E06B02" w:rsidRDefault="00D309DB" w:rsidP="00D309DB">
            <w:pPr>
              <w:spacing w:line="280" w:lineRule="exact"/>
              <w:jc w:val="both"/>
              <w:rPr>
                <w:rFonts w:ascii="Verdana" w:hAnsi="Verdana" w:cs="Tahoma"/>
                <w:sz w:val="20"/>
                <w:szCs w:val="20"/>
              </w:rPr>
            </w:pPr>
          </w:p>
        </w:tc>
      </w:tr>
      <w:tr w:rsidR="00D309DB" w:rsidRPr="00E06B02" w14:paraId="24010BBD" w14:textId="77777777">
        <w:tc>
          <w:tcPr>
            <w:tcW w:w="2970" w:type="dxa"/>
          </w:tcPr>
          <w:p w14:paraId="73FC2CB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D309DB" w:rsidRPr="00E06B02" w:rsidRDefault="00D309DB" w:rsidP="00D309DB">
            <w:pPr>
              <w:spacing w:line="280" w:lineRule="exact"/>
              <w:jc w:val="both"/>
              <w:rPr>
                <w:rFonts w:ascii="Verdana" w:hAnsi="Verdana" w:cs="Tahoma"/>
                <w:sz w:val="20"/>
                <w:szCs w:val="20"/>
              </w:rPr>
            </w:pPr>
          </w:p>
        </w:tc>
      </w:tr>
      <w:tr w:rsidR="00D309DB" w:rsidRPr="00E06B02" w14:paraId="07D684BA" w14:textId="77777777">
        <w:tc>
          <w:tcPr>
            <w:tcW w:w="2970" w:type="dxa"/>
          </w:tcPr>
          <w:p w14:paraId="572C197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D309DB" w:rsidRPr="00E06B02" w:rsidRDefault="00D309DB" w:rsidP="00D309DB">
            <w:pPr>
              <w:spacing w:line="280" w:lineRule="exact"/>
              <w:jc w:val="both"/>
              <w:rPr>
                <w:rFonts w:ascii="Verdana" w:hAnsi="Verdana" w:cs="Tahoma"/>
                <w:sz w:val="20"/>
                <w:szCs w:val="20"/>
              </w:rPr>
            </w:pPr>
          </w:p>
        </w:tc>
      </w:tr>
      <w:tr w:rsidR="00D309DB" w:rsidRPr="00E06B02" w14:paraId="69ED3E0D" w14:textId="77777777">
        <w:tc>
          <w:tcPr>
            <w:tcW w:w="2970" w:type="dxa"/>
          </w:tcPr>
          <w:p w14:paraId="4BAE943C" w14:textId="7FEDAA9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D309DB" w:rsidRPr="00E06B02" w:rsidRDefault="00D309DB" w:rsidP="00D309DB">
            <w:pPr>
              <w:spacing w:line="280" w:lineRule="exact"/>
              <w:jc w:val="both"/>
              <w:rPr>
                <w:rFonts w:ascii="Verdana" w:hAnsi="Verdana" w:cs="Tahoma"/>
                <w:sz w:val="20"/>
                <w:szCs w:val="20"/>
              </w:rPr>
            </w:pPr>
          </w:p>
        </w:tc>
      </w:tr>
      <w:tr w:rsidR="00D309DB" w:rsidRPr="00E06B02" w14:paraId="25559530" w14:textId="77777777">
        <w:tc>
          <w:tcPr>
            <w:tcW w:w="2970" w:type="dxa"/>
          </w:tcPr>
          <w:p w14:paraId="5D802298" w14:textId="147FB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D309DB" w:rsidRPr="00E06B02" w:rsidRDefault="00D309DB" w:rsidP="00D309DB">
            <w:pPr>
              <w:spacing w:line="280" w:lineRule="exact"/>
              <w:jc w:val="both"/>
              <w:rPr>
                <w:rFonts w:ascii="Verdana" w:hAnsi="Verdana" w:cs="Tahoma"/>
                <w:sz w:val="20"/>
                <w:szCs w:val="20"/>
              </w:rPr>
            </w:pPr>
          </w:p>
        </w:tc>
      </w:tr>
      <w:tr w:rsidR="00D309DB" w:rsidRPr="00E06B02" w14:paraId="3591CAA6" w14:textId="77777777">
        <w:tc>
          <w:tcPr>
            <w:tcW w:w="2970" w:type="dxa"/>
          </w:tcPr>
          <w:p w14:paraId="4D726285"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D309DB" w:rsidRPr="00E06B02" w:rsidRDefault="00D309DB" w:rsidP="00D309DB">
            <w:pPr>
              <w:spacing w:line="280" w:lineRule="exact"/>
              <w:jc w:val="both"/>
              <w:rPr>
                <w:rFonts w:ascii="Verdana" w:hAnsi="Verdana" w:cs="Tahoma"/>
                <w:sz w:val="20"/>
                <w:szCs w:val="20"/>
              </w:rPr>
            </w:pPr>
          </w:p>
        </w:tc>
      </w:tr>
      <w:tr w:rsidR="00D309DB" w:rsidRPr="00E06B02" w14:paraId="6FC9CF63" w14:textId="77777777">
        <w:tc>
          <w:tcPr>
            <w:tcW w:w="2970" w:type="dxa"/>
          </w:tcPr>
          <w:p w14:paraId="3518139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77B4D7DA" w14:textId="67994C3B"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03EADAF" w14:textId="77777777">
        <w:tc>
          <w:tcPr>
            <w:tcW w:w="2970" w:type="dxa"/>
          </w:tcPr>
          <w:p w14:paraId="2C25F94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D309DB" w:rsidRPr="00E06B02" w:rsidRDefault="00D309DB" w:rsidP="00D309DB">
            <w:pPr>
              <w:spacing w:line="280" w:lineRule="exact"/>
              <w:jc w:val="both"/>
              <w:rPr>
                <w:rFonts w:ascii="Verdana" w:hAnsi="Verdana" w:cs="Tahoma"/>
                <w:sz w:val="20"/>
                <w:szCs w:val="20"/>
                <w:highlight w:val="yellow"/>
              </w:rPr>
            </w:pPr>
          </w:p>
        </w:tc>
      </w:tr>
      <w:tr w:rsidR="00D309DB" w:rsidRPr="00E06B02" w14:paraId="637C54E3" w14:textId="77777777">
        <w:tc>
          <w:tcPr>
            <w:tcW w:w="2970" w:type="dxa"/>
          </w:tcPr>
          <w:p w14:paraId="2F9A005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D309DB" w:rsidRPr="00E06B02" w:rsidRDefault="00D309DB" w:rsidP="00D309DB">
            <w:pPr>
              <w:spacing w:line="280" w:lineRule="exact"/>
              <w:jc w:val="both"/>
              <w:rPr>
                <w:rFonts w:ascii="Verdana" w:hAnsi="Verdana" w:cs="Tahoma"/>
                <w:sz w:val="20"/>
                <w:szCs w:val="20"/>
              </w:rPr>
            </w:pPr>
          </w:p>
        </w:tc>
      </w:tr>
      <w:tr w:rsidR="00D309DB" w:rsidRPr="00E06B02" w14:paraId="5368079E" w14:textId="77777777">
        <w:tc>
          <w:tcPr>
            <w:tcW w:w="2970" w:type="dxa"/>
          </w:tcPr>
          <w:p w14:paraId="2454373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D309DB" w:rsidRPr="00E06B02" w:rsidRDefault="00D309DB" w:rsidP="00D309DB">
            <w:pPr>
              <w:spacing w:line="280" w:lineRule="exact"/>
              <w:jc w:val="both"/>
              <w:rPr>
                <w:rFonts w:ascii="Verdana" w:hAnsi="Verdana" w:cs="Tahoma"/>
                <w:sz w:val="20"/>
                <w:szCs w:val="20"/>
              </w:rPr>
            </w:pPr>
          </w:p>
        </w:tc>
        <w:tc>
          <w:tcPr>
            <w:tcW w:w="6316" w:type="dxa"/>
          </w:tcPr>
          <w:p w14:paraId="44A26B12" w14:textId="5BB559F6"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D309DB" w:rsidRPr="00E06B02" w:rsidRDefault="00D309DB" w:rsidP="00D309DB">
            <w:pPr>
              <w:spacing w:line="280" w:lineRule="exact"/>
              <w:jc w:val="both"/>
              <w:rPr>
                <w:rFonts w:ascii="Verdana" w:hAnsi="Verdana" w:cs="Tahoma"/>
                <w:sz w:val="20"/>
                <w:szCs w:val="20"/>
              </w:rPr>
            </w:pPr>
          </w:p>
        </w:tc>
      </w:tr>
      <w:tr w:rsidR="00D309DB" w:rsidRPr="00E06B02" w14:paraId="5FC2563B" w14:textId="77777777">
        <w:tc>
          <w:tcPr>
            <w:tcW w:w="2970" w:type="dxa"/>
          </w:tcPr>
          <w:p w14:paraId="5F9E1EF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D309DB" w:rsidRPr="00E06B02" w:rsidRDefault="00D309DB" w:rsidP="00D309DB">
            <w:pPr>
              <w:spacing w:line="280" w:lineRule="exact"/>
              <w:jc w:val="both"/>
              <w:rPr>
                <w:rFonts w:ascii="Verdana" w:hAnsi="Verdana" w:cs="Tahoma"/>
                <w:sz w:val="20"/>
                <w:szCs w:val="20"/>
              </w:rPr>
            </w:pPr>
          </w:p>
        </w:tc>
        <w:tc>
          <w:tcPr>
            <w:tcW w:w="6316" w:type="dxa"/>
          </w:tcPr>
          <w:p w14:paraId="041FE497" w14:textId="574911C0"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B951FEF" w14:textId="77777777">
        <w:tc>
          <w:tcPr>
            <w:tcW w:w="2970" w:type="dxa"/>
          </w:tcPr>
          <w:p w14:paraId="1AFE687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D309DB" w:rsidRPr="00E06B02" w:rsidRDefault="00D309DB" w:rsidP="00D309DB">
            <w:pPr>
              <w:spacing w:line="280" w:lineRule="exact"/>
              <w:jc w:val="both"/>
              <w:rPr>
                <w:rFonts w:ascii="Verdana" w:hAnsi="Verdana" w:cs="Tahoma"/>
                <w:sz w:val="20"/>
                <w:szCs w:val="20"/>
              </w:rPr>
            </w:pPr>
          </w:p>
        </w:tc>
        <w:tc>
          <w:tcPr>
            <w:tcW w:w="6316" w:type="dxa"/>
          </w:tcPr>
          <w:p w14:paraId="1012935D" w14:textId="293AD55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719F9411" w14:textId="77777777">
        <w:tc>
          <w:tcPr>
            <w:tcW w:w="2970" w:type="dxa"/>
          </w:tcPr>
          <w:p w14:paraId="6DAD347F" w14:textId="34441C3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bookmarkStart w:id="5" w:name="_Hlk70721470"/>
            <w:r w:rsidRPr="008C65B6">
              <w:rPr>
                <w:rFonts w:ascii="Verdana" w:hAnsi="Verdana" w:cs="Tahoma"/>
                <w:sz w:val="20"/>
                <w:szCs w:val="20"/>
                <w:u w:val="single"/>
              </w:rPr>
              <w:t xml:space="preserve">Prêmio </w:t>
            </w:r>
            <w:r w:rsidR="008C65B6"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5"/>
            <w:r w:rsidRPr="00E06B02">
              <w:rPr>
                <w:rFonts w:ascii="Verdana" w:hAnsi="Verdana" w:cs="Tahoma"/>
                <w:sz w:val="20"/>
                <w:szCs w:val="20"/>
              </w:rPr>
              <w:t>”</w:t>
            </w:r>
          </w:p>
          <w:p w14:paraId="3D7310B1" w14:textId="33AC2250" w:rsidR="00D309DB" w:rsidRPr="00E06B02" w:rsidRDefault="00D309DB" w:rsidP="00D309DB">
            <w:pPr>
              <w:spacing w:line="280" w:lineRule="exact"/>
              <w:jc w:val="both"/>
              <w:rPr>
                <w:rFonts w:ascii="Verdana" w:hAnsi="Verdana" w:cs="Tahoma"/>
                <w:sz w:val="20"/>
                <w:szCs w:val="20"/>
                <w:u w:val="single"/>
              </w:rPr>
            </w:pPr>
          </w:p>
        </w:tc>
        <w:tc>
          <w:tcPr>
            <w:tcW w:w="6316" w:type="dxa"/>
          </w:tcPr>
          <w:p w14:paraId="2C7B61EF" w14:textId="5C0F53D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35ACC940" w14:textId="77777777">
        <w:trPr>
          <w:trHeight w:val="812"/>
        </w:trPr>
        <w:tc>
          <w:tcPr>
            <w:tcW w:w="2970" w:type="dxa"/>
          </w:tcPr>
          <w:p w14:paraId="1200526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D309DB" w:rsidRPr="00E06B02" w:rsidRDefault="00D309DB" w:rsidP="00D309DB">
            <w:pPr>
              <w:spacing w:line="280" w:lineRule="exact"/>
              <w:jc w:val="both"/>
              <w:rPr>
                <w:rFonts w:ascii="Verdana" w:hAnsi="Verdana" w:cs="Tahoma"/>
                <w:sz w:val="20"/>
                <w:szCs w:val="20"/>
              </w:rPr>
            </w:pPr>
          </w:p>
        </w:tc>
      </w:tr>
      <w:tr w:rsidR="00D309DB" w:rsidRPr="00E06B02" w14:paraId="1C63FB6F" w14:textId="77777777">
        <w:trPr>
          <w:trHeight w:val="812"/>
        </w:trPr>
        <w:tc>
          <w:tcPr>
            <w:tcW w:w="2970" w:type="dxa"/>
          </w:tcPr>
          <w:p w14:paraId="71854E9C" w14:textId="121E523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299276A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21E7C6EF" w14:textId="77777777">
        <w:tc>
          <w:tcPr>
            <w:tcW w:w="2970" w:type="dxa"/>
          </w:tcPr>
          <w:p w14:paraId="40B1714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617540BC" w14:textId="77777777">
        <w:tc>
          <w:tcPr>
            <w:tcW w:w="2970" w:type="dxa"/>
          </w:tcPr>
          <w:p w14:paraId="192986D0"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1479BB2C" w14:textId="77777777">
        <w:tc>
          <w:tcPr>
            <w:tcW w:w="2970" w:type="dxa"/>
          </w:tcPr>
          <w:p w14:paraId="6A4147A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AB25C64" w14:textId="77777777">
        <w:tc>
          <w:tcPr>
            <w:tcW w:w="2970" w:type="dxa"/>
          </w:tcPr>
          <w:p w14:paraId="06FD54C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1661B9C2" w14:textId="77777777">
        <w:tc>
          <w:tcPr>
            <w:tcW w:w="2970" w:type="dxa"/>
          </w:tcPr>
          <w:p w14:paraId="60E17C8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D309DB" w:rsidRPr="00E06B02" w:rsidRDefault="00D309DB" w:rsidP="00D309DB">
            <w:pPr>
              <w:spacing w:line="280" w:lineRule="exact"/>
              <w:jc w:val="both"/>
              <w:rPr>
                <w:rFonts w:ascii="Verdana" w:hAnsi="Verdana" w:cs="Tahoma"/>
                <w:sz w:val="20"/>
                <w:szCs w:val="20"/>
              </w:rPr>
            </w:pPr>
          </w:p>
        </w:tc>
        <w:tc>
          <w:tcPr>
            <w:tcW w:w="6316" w:type="dxa"/>
          </w:tcPr>
          <w:p w14:paraId="49CD025D" w14:textId="22B2A40D"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33372855" w14:textId="77777777">
        <w:tc>
          <w:tcPr>
            <w:tcW w:w="2970" w:type="dxa"/>
          </w:tcPr>
          <w:p w14:paraId="3A6828C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D309DB" w:rsidRPr="00E06B02" w:rsidRDefault="00D309DB" w:rsidP="00D309DB">
            <w:pPr>
              <w:spacing w:line="280" w:lineRule="exact"/>
              <w:jc w:val="both"/>
              <w:rPr>
                <w:rFonts w:ascii="Verdana" w:hAnsi="Verdana" w:cs="Tahoma"/>
                <w:sz w:val="20"/>
                <w:szCs w:val="20"/>
              </w:rPr>
            </w:pPr>
          </w:p>
        </w:tc>
        <w:tc>
          <w:tcPr>
            <w:tcW w:w="6316" w:type="dxa"/>
          </w:tcPr>
          <w:p w14:paraId="10CA1292" w14:textId="19A68519"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13AA6FF5" w14:textId="77777777">
        <w:tc>
          <w:tcPr>
            <w:tcW w:w="2970" w:type="dxa"/>
          </w:tcPr>
          <w:p w14:paraId="3E200225" w14:textId="77DFB30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77B9F9CD" w14:textId="77777777">
        <w:tc>
          <w:tcPr>
            <w:tcW w:w="2970" w:type="dxa"/>
          </w:tcPr>
          <w:p w14:paraId="0C95D5E9" w14:textId="082E828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203F3124" w14:textId="77777777">
        <w:tc>
          <w:tcPr>
            <w:tcW w:w="2970" w:type="dxa"/>
          </w:tcPr>
          <w:p w14:paraId="34B1292E" w14:textId="76A1CB5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14D66D6" w14:textId="77777777">
        <w:tc>
          <w:tcPr>
            <w:tcW w:w="2970" w:type="dxa"/>
          </w:tcPr>
          <w:p w14:paraId="2BA58034" w14:textId="54ECA5A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0D3D3241" w14:textId="7D539580"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sidR="001F016B">
              <w:rPr>
                <w:rFonts w:ascii="Verdana" w:hAnsi="Verdana"/>
                <w:sz w:val="20"/>
                <w:szCs w:val="20"/>
              </w:rPr>
              <w:t>e às Debêntures da Segunda Série</w:t>
            </w:r>
            <w:r w:rsidR="001F016B" w:rsidRPr="00E06B02">
              <w:rPr>
                <w:rFonts w:ascii="Verdana" w:hAnsi="Verdana"/>
                <w:sz w:val="20"/>
                <w:szCs w:val="20"/>
              </w:rPr>
              <w:t xml:space="preserve"> </w:t>
            </w:r>
            <w:r w:rsidRPr="00E06B02">
              <w:rPr>
                <w:rFonts w:ascii="Verdana" w:hAnsi="Verdana"/>
                <w:sz w:val="20"/>
                <w:szCs w:val="20"/>
              </w:rPr>
              <w:t>em qualquer data em que tais pagamentos sejam devidos, a Reserva de Liquidação da Terceira Série deverá ser revertida e o montante será utilizado para a realização dos pagamentos para as Debêntures da Primeira Série</w:t>
            </w:r>
            <w:r w:rsidR="001F016B">
              <w:rPr>
                <w:rFonts w:ascii="Verdana" w:hAnsi="Verdana"/>
                <w:sz w:val="20"/>
                <w:szCs w:val="20"/>
              </w:rPr>
              <w:t xml:space="preserve"> e para as Debêntures da Segunda Série, respectivamente</w:t>
            </w:r>
            <w:r w:rsidR="001F016B" w:rsidRPr="00E06B02">
              <w:rPr>
                <w:rFonts w:ascii="Verdana" w:hAnsi="Verdana"/>
                <w:sz w:val="20"/>
                <w:szCs w:val="20"/>
              </w:rPr>
              <w:t>.</w:t>
            </w:r>
          </w:p>
          <w:p w14:paraId="0734026B" w14:textId="318B509B"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9714746" w14:textId="77777777">
        <w:tc>
          <w:tcPr>
            <w:tcW w:w="2970" w:type="dxa"/>
          </w:tcPr>
          <w:p w14:paraId="4CA747C7" w14:textId="3A8A2E2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D309DB" w:rsidRPr="00E06B02" w:rsidRDefault="00D309DB" w:rsidP="00D309DB">
            <w:pPr>
              <w:spacing w:line="280" w:lineRule="exact"/>
              <w:jc w:val="both"/>
              <w:rPr>
                <w:rFonts w:ascii="Verdana" w:hAnsi="Verdana" w:cs="Tahoma"/>
                <w:sz w:val="20"/>
                <w:szCs w:val="20"/>
              </w:rPr>
            </w:pPr>
          </w:p>
        </w:tc>
      </w:tr>
      <w:tr w:rsidR="00D309DB" w:rsidRPr="00E06B02" w14:paraId="0B28EF59" w14:textId="77777777">
        <w:tc>
          <w:tcPr>
            <w:tcW w:w="2970" w:type="dxa"/>
          </w:tcPr>
          <w:p w14:paraId="25032EDE" w14:textId="1A98BC3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D309DB" w:rsidRPr="00E06B02" w:rsidRDefault="00D309DB" w:rsidP="00D309DB">
            <w:pPr>
              <w:spacing w:line="280" w:lineRule="exact"/>
              <w:jc w:val="both"/>
              <w:rPr>
                <w:rFonts w:ascii="Verdana" w:hAnsi="Verdana" w:cs="Tahoma"/>
                <w:sz w:val="20"/>
                <w:szCs w:val="20"/>
              </w:rPr>
            </w:pPr>
          </w:p>
        </w:tc>
      </w:tr>
      <w:tr w:rsidR="00D309DB" w:rsidRPr="00E06B02" w14:paraId="4160A4E1" w14:textId="77777777">
        <w:tc>
          <w:tcPr>
            <w:tcW w:w="2970" w:type="dxa"/>
          </w:tcPr>
          <w:p w14:paraId="3E8EBDDB" w14:textId="0A7C504F" w:rsidR="00D309DB" w:rsidRPr="00E06B02" w:rsidRDefault="00D309DB" w:rsidP="00D309DB">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FEC121D" w14:textId="77777777">
        <w:tc>
          <w:tcPr>
            <w:tcW w:w="2970" w:type="dxa"/>
          </w:tcPr>
          <w:p w14:paraId="33A21937" w14:textId="4AA47B62" w:rsidR="00D309DB" w:rsidRPr="00E06B02" w:rsidRDefault="00D309DB" w:rsidP="00D309DB">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D309DB" w:rsidRPr="00E06B02" w:rsidRDefault="00D309DB" w:rsidP="00D309DB">
            <w:pPr>
              <w:spacing w:line="280" w:lineRule="exact"/>
              <w:jc w:val="both"/>
              <w:rPr>
                <w:rFonts w:ascii="Verdana" w:hAnsi="Verdana" w:cs="Tahoma"/>
                <w:sz w:val="20"/>
                <w:szCs w:val="20"/>
              </w:rPr>
            </w:pPr>
          </w:p>
        </w:tc>
      </w:tr>
      <w:tr w:rsidR="00D309DB" w:rsidRPr="00E06B02" w14:paraId="32C32F54" w14:textId="77777777">
        <w:tc>
          <w:tcPr>
            <w:tcW w:w="2970" w:type="dxa"/>
          </w:tcPr>
          <w:p w14:paraId="4E7FE609" w14:textId="5FD97CC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6"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D309DB" w:rsidRPr="00E06B02" w:rsidRDefault="00D309DB" w:rsidP="00D309DB">
            <w:pPr>
              <w:spacing w:line="280" w:lineRule="exact"/>
              <w:jc w:val="both"/>
              <w:rPr>
                <w:rFonts w:ascii="Verdana" w:hAnsi="Verdana" w:cs="Tahoma"/>
                <w:sz w:val="20"/>
                <w:szCs w:val="20"/>
              </w:rPr>
            </w:pPr>
          </w:p>
        </w:tc>
      </w:tr>
      <w:tr w:rsidR="00D309DB" w:rsidRPr="00E06B02" w14:paraId="7AD8D2FF" w14:textId="77777777">
        <w:tc>
          <w:tcPr>
            <w:tcW w:w="2970" w:type="dxa"/>
          </w:tcPr>
          <w:p w14:paraId="4B3FA3C7" w14:textId="6068A0F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D309DB" w:rsidRPr="00E06B02" w:rsidRDefault="00D309DB" w:rsidP="00D309DB">
            <w:pPr>
              <w:spacing w:line="280" w:lineRule="exact"/>
              <w:jc w:val="both"/>
              <w:rPr>
                <w:rFonts w:ascii="Verdana" w:hAnsi="Verdana" w:cs="Tahoma"/>
                <w:sz w:val="20"/>
                <w:szCs w:val="20"/>
              </w:rPr>
            </w:pPr>
          </w:p>
        </w:tc>
      </w:tr>
      <w:tr w:rsidR="00D309DB" w:rsidRPr="00E06B02" w14:paraId="05EE013C" w14:textId="77777777">
        <w:tc>
          <w:tcPr>
            <w:tcW w:w="2970" w:type="dxa"/>
          </w:tcPr>
          <w:p w14:paraId="04FB841C" w14:textId="53A6C1B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1DFBA6A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w:t>
            </w:r>
            <w:r w:rsidR="003A64DD">
              <w:rPr>
                <w:rFonts w:ascii="Verdana" w:hAnsi="Verdana" w:cs="Tahoma"/>
                <w:sz w:val="20"/>
                <w:szCs w:val="20"/>
              </w:rPr>
              <w:t xml:space="preserve">pessoas </w:t>
            </w:r>
            <w:bookmarkStart w:id="6" w:name="_GoBack"/>
            <w:bookmarkEnd w:id="6"/>
            <w:r w:rsidRPr="00E06B02">
              <w:rPr>
                <w:rFonts w:ascii="Verdana" w:hAnsi="Verdana" w:cs="Tahoma"/>
                <w:sz w:val="20"/>
                <w:szCs w:val="20"/>
              </w:rPr>
              <w:t>jurídicas (não constituídas na forma de sociedades por ações) que emitem as CCB.</w:t>
            </w:r>
          </w:p>
          <w:p w14:paraId="4007CA70" w14:textId="140FE625" w:rsidR="00D309DB" w:rsidRPr="00E06B02" w:rsidRDefault="00D309DB" w:rsidP="00D309DB">
            <w:pPr>
              <w:spacing w:line="280" w:lineRule="exact"/>
              <w:jc w:val="both"/>
              <w:rPr>
                <w:rFonts w:ascii="Verdana" w:hAnsi="Verdana" w:cs="Tahoma"/>
                <w:sz w:val="20"/>
                <w:szCs w:val="20"/>
              </w:rPr>
            </w:pPr>
          </w:p>
        </w:tc>
      </w:tr>
      <w:tr w:rsidR="00D309DB" w:rsidRPr="00E06B02" w14:paraId="65840150" w14:textId="77777777">
        <w:tc>
          <w:tcPr>
            <w:tcW w:w="2970" w:type="dxa"/>
          </w:tcPr>
          <w:p w14:paraId="16B20668" w14:textId="0EAECD4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D309DB" w:rsidRPr="00E06B02" w:rsidRDefault="00D309DB" w:rsidP="00D309DB">
            <w:pPr>
              <w:spacing w:line="280" w:lineRule="exact"/>
              <w:jc w:val="both"/>
              <w:rPr>
                <w:rFonts w:ascii="Verdana" w:hAnsi="Verdana" w:cs="Tahoma"/>
                <w:sz w:val="20"/>
                <w:szCs w:val="20"/>
              </w:rPr>
            </w:pPr>
          </w:p>
        </w:tc>
      </w:tr>
      <w:tr w:rsidR="00D309DB" w:rsidRPr="00E06B02" w14:paraId="6A5122A1" w14:textId="77777777">
        <w:tc>
          <w:tcPr>
            <w:tcW w:w="2970" w:type="dxa"/>
          </w:tcPr>
          <w:p w14:paraId="14334DAE" w14:textId="02288A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D309DB" w:rsidRPr="00E06B02" w:rsidRDefault="00D309DB" w:rsidP="00D309DB">
            <w:pPr>
              <w:spacing w:line="280" w:lineRule="exact"/>
              <w:jc w:val="both"/>
              <w:rPr>
                <w:rFonts w:ascii="Verdana" w:hAnsi="Verdana" w:cs="Tahoma"/>
                <w:sz w:val="20"/>
                <w:szCs w:val="20"/>
              </w:rPr>
            </w:pPr>
          </w:p>
        </w:tc>
      </w:tr>
      <w:tr w:rsidR="00D309DB" w:rsidRPr="00E06B02" w14:paraId="624C8DAD" w14:textId="77777777">
        <w:tc>
          <w:tcPr>
            <w:tcW w:w="2970" w:type="dxa"/>
          </w:tcPr>
          <w:p w14:paraId="5239046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D309DB" w:rsidRPr="00E06B02" w:rsidRDefault="00D309DB" w:rsidP="00D309DB">
            <w:pPr>
              <w:spacing w:line="280" w:lineRule="exact"/>
              <w:jc w:val="both"/>
              <w:rPr>
                <w:rFonts w:ascii="Verdana" w:hAnsi="Verdana" w:cs="Tahoma"/>
                <w:sz w:val="20"/>
                <w:szCs w:val="20"/>
              </w:rPr>
            </w:pPr>
          </w:p>
        </w:tc>
        <w:tc>
          <w:tcPr>
            <w:tcW w:w="6316" w:type="dxa"/>
          </w:tcPr>
          <w:p w14:paraId="38850639" w14:textId="7FC606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D309DB" w:rsidRPr="00E06B02" w14:paraId="172D1B28" w14:textId="77777777">
        <w:tc>
          <w:tcPr>
            <w:tcW w:w="2970" w:type="dxa"/>
          </w:tcPr>
          <w:p w14:paraId="2DE3FEF0" w14:textId="657CDB2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D309DB" w:rsidRPr="00E06B02" w:rsidRDefault="00D309DB" w:rsidP="00D309DB">
            <w:pPr>
              <w:spacing w:line="280" w:lineRule="exact"/>
              <w:jc w:val="both"/>
              <w:rPr>
                <w:rFonts w:ascii="Verdana" w:hAnsi="Verdana" w:cs="Tahoma"/>
                <w:sz w:val="20"/>
                <w:szCs w:val="20"/>
              </w:rPr>
            </w:pPr>
          </w:p>
        </w:tc>
      </w:tr>
      <w:tr w:rsidR="00D309DB" w:rsidRPr="00E06B02" w14:paraId="6ED64DE0" w14:textId="77777777">
        <w:tc>
          <w:tcPr>
            <w:tcW w:w="2970" w:type="dxa"/>
          </w:tcPr>
          <w:p w14:paraId="38779803" w14:textId="6236D8C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1280C4F1"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5F0F73B2" w14:textId="3F1C9031" w:rsidR="00D309DB" w:rsidRPr="00E06B02" w:rsidRDefault="00D309DB" w:rsidP="00D309DB">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7" w:name="_DV_M23"/>
      <w:bookmarkEnd w:id="7"/>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8" w:name="_DV_M24"/>
      <w:bookmarkEnd w:id="8"/>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9" w:name="_DV_M25"/>
      <w:bookmarkStart w:id="10" w:name="_DV_M26"/>
      <w:bookmarkEnd w:id="9"/>
      <w:bookmarkEnd w:id="10"/>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11" w:name="_DV_M29"/>
      <w:bookmarkEnd w:id="11"/>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009D6F0E" w:rsidRPr="00BB0D48">
        <w:rPr>
          <w:rFonts w:ascii="Verdana" w:hAnsi="Verdana" w:cs="Tahoma"/>
          <w:i/>
          <w:iCs/>
          <w:sz w:val="20"/>
          <w:szCs w:val="20"/>
        </w:rPr>
        <w:t>Bookbuilding</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2" w:name="_DV_M30"/>
      <w:bookmarkEnd w:id="12"/>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3" w:name="_DV_M31"/>
      <w:bookmarkEnd w:id="13"/>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0164D420"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406F918A"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4" w:name="_DV_M38"/>
      <w:bookmarkStart w:id="15" w:name="_Ref422391391"/>
      <w:bookmarkEnd w:id="14"/>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r w:rsidR="00BC266C" w:rsidRPr="00644CEF">
        <w:rPr>
          <w:rFonts w:ascii="Verdana" w:hAnsi="Verdana" w:cs="Tahoma"/>
          <w:sz w:val="20"/>
          <w:szCs w:val="20"/>
        </w:rPr>
        <w:t xml:space="preserve">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15"/>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16"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6"/>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w:t>
      </w:r>
      <w:r w:rsidRPr="00E06B02">
        <w:rPr>
          <w:rFonts w:ascii="Verdana" w:hAnsi="Verdana" w:cs="Tahoma"/>
          <w:sz w:val="20"/>
          <w:szCs w:val="20"/>
        </w:rPr>
        <w:lastRenderedPageBreak/>
        <w:t xml:space="preserve">devidamente registrada deverá ser enviada ao Agente Fiduciário em até </w:t>
      </w:r>
      <w:bookmarkStart w:id="17" w:name="_Hlk69502127"/>
      <w:r w:rsidRPr="00E06B02">
        <w:rPr>
          <w:rFonts w:ascii="Verdana" w:hAnsi="Verdana" w:cs="Tahoma"/>
          <w:sz w:val="20"/>
          <w:szCs w:val="20"/>
        </w:rPr>
        <w:t>2 (dois) Dias Úteis contados da data do respectivo registro</w:t>
      </w:r>
      <w:bookmarkEnd w:id="17"/>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8" w:name="_DV_M32"/>
      <w:bookmarkStart w:id="19" w:name="_Ref490743716"/>
      <w:bookmarkStart w:id="20" w:name="_Ref481587098"/>
      <w:bookmarkEnd w:id="18"/>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9"/>
      <w:bookmarkEnd w:id="20"/>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0EFF6AD2"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1F016B">
        <w:rPr>
          <w:rFonts w:ascii="Verdana" w:hAnsi="Verdana"/>
          <w:sz w:val="20"/>
          <w:szCs w:val="20"/>
        </w:rPr>
        <w:t>C</w:t>
      </w:r>
      <w:r w:rsidR="007E2AFD" w:rsidRPr="00E06B02">
        <w:rPr>
          <w:rFonts w:ascii="Verdana" w:hAnsi="Verdana"/>
          <w:sz w:val="20"/>
          <w:szCs w:val="20"/>
        </w:rPr>
        <w:t xml:space="preserve">oordenador </w:t>
      </w:r>
      <w:r w:rsidR="001F016B">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21" w:name="_DV_M33"/>
      <w:bookmarkStart w:id="22" w:name="_DV_M34"/>
      <w:bookmarkStart w:id="23" w:name="_DV_M35"/>
      <w:bookmarkStart w:id="24" w:name="_DV_M37"/>
      <w:bookmarkStart w:id="25" w:name="_DV_M42"/>
      <w:bookmarkEnd w:id="21"/>
      <w:bookmarkEnd w:id="22"/>
      <w:bookmarkEnd w:id="23"/>
      <w:bookmarkEnd w:id="24"/>
      <w:bookmarkEnd w:id="25"/>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6" w:name="_DV_M43"/>
      <w:bookmarkStart w:id="27" w:name="_Ref481569233"/>
      <w:bookmarkEnd w:id="26"/>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7"/>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8" w:name="_DV_M44"/>
      <w:bookmarkEnd w:id="28"/>
      <w:r w:rsidRPr="00E06B02">
        <w:rPr>
          <w:rFonts w:ascii="Verdana" w:eastAsia="MS Mincho" w:hAnsi="Verdana" w:cs="Tahoma"/>
          <w:b/>
          <w:sz w:val="20"/>
          <w:szCs w:val="20"/>
        </w:rPr>
        <w:t xml:space="preserve">CLÁUSULA TERCEIRA – </w:t>
      </w:r>
      <w:bookmarkStart w:id="29" w:name="_DV_M45"/>
      <w:bookmarkEnd w:id="29"/>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0"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w:t>
      </w:r>
      <w:r w:rsidRPr="00E06B02">
        <w:rPr>
          <w:rFonts w:ascii="Verdana" w:hAnsi="Verdana"/>
          <w:sz w:val="20"/>
          <w:szCs w:val="20"/>
        </w:rPr>
        <w:lastRenderedPageBreak/>
        <w:t xml:space="preserve">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30"/>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1" w:name="_DV_M46"/>
      <w:bookmarkEnd w:id="31"/>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2" w:name="_DV_M71"/>
      <w:bookmarkEnd w:id="32"/>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3" w:name="_Hlk71537455"/>
      <w:r w:rsidRPr="00E06B02">
        <w:rPr>
          <w:rFonts w:ascii="Verdana" w:eastAsia="MS Mincho" w:hAnsi="Verdana" w:cs="Tahoma"/>
          <w:b/>
          <w:sz w:val="20"/>
          <w:szCs w:val="20"/>
        </w:rPr>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BB5D2F5"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4"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4"/>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7C01657A"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5" w:name="_DV_M58"/>
      <w:bookmarkStart w:id="36" w:name="_DV_M59"/>
      <w:bookmarkStart w:id="37" w:name="_Ref495596607"/>
      <w:bookmarkEnd w:id="35"/>
      <w:bookmarkEnd w:id="36"/>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até</w:t>
      </w:r>
      <w:r w:rsidR="00896F53" w:rsidRPr="00E06B02">
        <w:rPr>
          <w:rFonts w:ascii="Verdana" w:eastAsia="MS Mincho" w:hAnsi="Verdana" w:cs="Tahoma"/>
          <w:sz w:val="20"/>
          <w:szCs w:val="20"/>
        </w:rPr>
        <w:t xml:space="preserve"> </w:t>
      </w:r>
      <w:r w:rsidR="00726596" w:rsidRPr="0022258D">
        <w:rPr>
          <w:rFonts w:ascii="Verdana" w:hAnsi="Verdana" w:cs="Tahoma"/>
          <w:sz w:val="20"/>
          <w:szCs w:val="20"/>
        </w:rPr>
        <w:t>1</w:t>
      </w:r>
      <w:r w:rsidR="00B70165" w:rsidRPr="0022258D">
        <w:rPr>
          <w:rFonts w:ascii="Verdana" w:hAnsi="Verdana" w:cs="Tahoma"/>
          <w:sz w:val="20"/>
          <w:szCs w:val="20"/>
        </w:rPr>
        <w:t>2</w:t>
      </w:r>
      <w:r w:rsidR="004D2F65" w:rsidRPr="0022258D">
        <w:rPr>
          <w:rFonts w:ascii="Verdana" w:hAnsi="Verdana" w:cs="Tahoma"/>
          <w:sz w:val="20"/>
          <w:szCs w:val="20"/>
        </w:rPr>
        <w:t>0.000 (c</w:t>
      </w:r>
      <w:r w:rsidR="00726596" w:rsidRPr="0022258D">
        <w:rPr>
          <w:rFonts w:ascii="Verdana" w:hAnsi="Verdana" w:cs="Tahoma"/>
          <w:sz w:val="20"/>
          <w:szCs w:val="20"/>
        </w:rPr>
        <w:t>e</w:t>
      </w:r>
      <w:r w:rsidR="00B70165" w:rsidRPr="0022258D">
        <w:rPr>
          <w:rFonts w:ascii="Verdana" w:hAnsi="Verdana" w:cs="Tahoma"/>
          <w:sz w:val="20"/>
          <w:szCs w:val="20"/>
        </w:rPr>
        <w:t>nto e vinte</w:t>
      </w:r>
      <w:r w:rsidR="004D2F65" w:rsidRPr="0022258D">
        <w:rPr>
          <w:rFonts w:ascii="Verdana" w:hAnsi="Verdana" w:cs="Tahoma"/>
          <w:sz w:val="20"/>
          <w:szCs w:val="20"/>
        </w:rPr>
        <w:t xml:space="preserve"> mil)</w:t>
      </w:r>
      <w:r w:rsidRPr="00E06B02">
        <w:rPr>
          <w:rFonts w:ascii="Verdana" w:eastAsia="MS Mincho" w:hAnsi="Verdana" w:cs="Tahoma"/>
          <w:sz w:val="20"/>
          <w:szCs w:val="20"/>
        </w:rPr>
        <w:t xml:space="preserve"> Debêntures no âmbito da Emissão, </w:t>
      </w:r>
      <w:r w:rsidR="001F016B" w:rsidRPr="00EF3D57">
        <w:rPr>
          <w:rFonts w:ascii="Verdana" w:eastAsia="MS Mincho" w:hAnsi="Verdana" w:cs="Tahoma"/>
          <w:sz w:val="20"/>
          <w:szCs w:val="20"/>
        </w:rPr>
        <w:t xml:space="preserve">em montante a ser determinado por série de acordo com a definição apurada no Procedimento de </w:t>
      </w:r>
      <w:r w:rsidR="001F016B" w:rsidRPr="00EF3D57">
        <w:rPr>
          <w:rFonts w:ascii="Verdana" w:eastAsia="MS Mincho" w:hAnsi="Verdana" w:cs="Tahoma"/>
          <w:i/>
          <w:sz w:val="20"/>
          <w:szCs w:val="20"/>
        </w:rPr>
        <w:t>Bookbuilding</w:t>
      </w:r>
      <w:r w:rsidR="001F016B" w:rsidRPr="00EF3D57">
        <w:rPr>
          <w:rFonts w:ascii="Verdana" w:eastAsia="MS Mincho" w:hAnsi="Verdana" w:cs="Tahoma"/>
          <w:iCs/>
          <w:sz w:val="20"/>
          <w:szCs w:val="20"/>
        </w:rPr>
        <w:t>,</w:t>
      </w:r>
      <w:r w:rsidR="001F016B" w:rsidRPr="001D6B97">
        <w:rPr>
          <w:rFonts w:ascii="Verdana" w:eastAsia="MS Mincho" w:hAnsi="Verdana" w:cs="Tahoma"/>
          <w:sz w:val="20"/>
          <w:szCs w:val="20"/>
        </w:rPr>
        <w:t xml:space="preserve"> a ser alocado entre</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1F016B" w:rsidRPr="001D6B97">
        <w:rPr>
          <w:rFonts w:ascii="Verdana" w:eastAsia="MS Mincho" w:hAnsi="Verdana" w:cs="Tahoma"/>
          <w:sz w:val="20"/>
          <w:szCs w:val="20"/>
        </w:rPr>
        <w:t>(i) as Debêntures integrantes da primeira série (“</w:t>
      </w:r>
      <w:r w:rsidR="001F016B" w:rsidRPr="001D6B97">
        <w:rPr>
          <w:rFonts w:ascii="Verdana" w:eastAsia="MS Mincho" w:hAnsi="Verdana" w:cs="Tahoma"/>
          <w:sz w:val="20"/>
          <w:szCs w:val="20"/>
          <w:u w:val="single"/>
        </w:rPr>
        <w:t>Primeira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Primeira Série</w:t>
      </w:r>
      <w:r w:rsidR="001F016B" w:rsidRPr="001D6B97">
        <w:rPr>
          <w:rFonts w:ascii="Verdana" w:eastAsia="MS Mincho" w:hAnsi="Verdana" w:cs="Tahoma"/>
          <w:sz w:val="20"/>
          <w:szCs w:val="20"/>
        </w:rPr>
        <w:t>”); (ii) as debêntures integrantes da segunda série (“</w:t>
      </w:r>
      <w:r w:rsidR="001F016B" w:rsidRPr="001D6B97">
        <w:rPr>
          <w:rFonts w:ascii="Verdana" w:eastAsia="MS Mincho" w:hAnsi="Verdana" w:cs="Tahoma"/>
          <w:sz w:val="20"/>
          <w:szCs w:val="20"/>
          <w:u w:val="single"/>
        </w:rPr>
        <w:t>Segunda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Segunda Série</w:t>
      </w:r>
      <w:r w:rsidR="001F016B" w:rsidRPr="001D6B97">
        <w:rPr>
          <w:rFonts w:ascii="Verdana" w:eastAsia="MS Mincho" w:hAnsi="Verdana" w:cs="Tahoma"/>
          <w:sz w:val="20"/>
          <w:szCs w:val="20"/>
        </w:rPr>
        <w:t>”); e (iii) as debêntures integrantes da terceira série (“</w:t>
      </w:r>
      <w:r w:rsidR="001F016B" w:rsidRPr="001D6B97">
        <w:rPr>
          <w:rFonts w:ascii="Verdana" w:eastAsia="MS Mincho" w:hAnsi="Verdana" w:cs="Tahoma"/>
          <w:sz w:val="20"/>
          <w:szCs w:val="20"/>
          <w:u w:val="single"/>
        </w:rPr>
        <w:t>Terceira Série</w:t>
      </w:r>
      <w:r w:rsidR="001F016B" w:rsidRPr="001D6B97">
        <w:rPr>
          <w:rFonts w:ascii="Verdana" w:eastAsia="MS Mincho" w:hAnsi="Verdana" w:cs="Tahoma"/>
          <w:sz w:val="20"/>
          <w:szCs w:val="20"/>
        </w:rPr>
        <w:t>” e, em conjunto com Primeira Série e Segunda Série “</w:t>
      </w:r>
      <w:r w:rsidR="001F016B" w:rsidRPr="001D6B97">
        <w:rPr>
          <w:rFonts w:ascii="Verdana" w:eastAsia="MS Mincho" w:hAnsi="Verdana" w:cs="Tahoma"/>
          <w:sz w:val="20"/>
          <w:szCs w:val="20"/>
          <w:u w:val="single"/>
        </w:rPr>
        <w:t>Séries</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Terceira Série</w:t>
      </w:r>
      <w:r w:rsidR="001F016B" w:rsidRPr="001D6B97">
        <w:rPr>
          <w:rFonts w:ascii="Verdana" w:eastAsia="MS Mincho" w:hAnsi="Verdana" w:cs="Tahoma"/>
          <w:sz w:val="20"/>
          <w:szCs w:val="20"/>
        </w:rPr>
        <w:t>”)</w:t>
      </w:r>
      <w:r w:rsidR="001F016B">
        <w:rPr>
          <w:rFonts w:ascii="Verdana" w:eastAsia="MS Mincho" w:hAnsi="Verdana" w:cs="Tahoma"/>
          <w:sz w:val="20"/>
          <w:szCs w:val="20"/>
        </w:rPr>
        <w:t>.</w:t>
      </w:r>
      <w:bookmarkEnd w:id="37"/>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02913D00"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8" w:name="_DV_M47"/>
      <w:bookmarkStart w:id="39" w:name="_DV_M48"/>
      <w:bookmarkEnd w:id="38"/>
      <w:bookmarkEnd w:id="39"/>
      <w:r w:rsidRPr="00E06B02">
        <w:rPr>
          <w:rFonts w:ascii="Verdana" w:eastAsia="MS Mincho" w:hAnsi="Verdana" w:cs="Tahoma"/>
          <w:sz w:val="20"/>
          <w:szCs w:val="20"/>
        </w:rPr>
        <w:t xml:space="preserve">A Emissão será realizada em </w:t>
      </w:r>
      <w:r w:rsidR="00E67F9A">
        <w:rPr>
          <w:rFonts w:ascii="Verdana" w:eastAsia="MS Mincho" w:hAnsi="Verdana" w:cs="Tahoma"/>
          <w:sz w:val="20"/>
          <w:szCs w:val="20"/>
        </w:rPr>
        <w:t xml:space="preserve">até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bookmarkEnd w:id="33"/>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0" w:name="_Ref422391421"/>
      <w:r w:rsidRPr="00E06B02">
        <w:rPr>
          <w:rFonts w:ascii="Verdana" w:eastAsia="MS Mincho" w:hAnsi="Verdana" w:cs="Tahoma"/>
          <w:b/>
          <w:sz w:val="20"/>
          <w:szCs w:val="20"/>
        </w:rPr>
        <w:t>Destinação dos Recursos</w:t>
      </w:r>
      <w:bookmarkEnd w:id="40"/>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41" w:name="_DV_M61"/>
      <w:bookmarkStart w:id="42" w:name="_DV_M70"/>
      <w:bookmarkStart w:id="43" w:name="_Ref422391407"/>
      <w:bookmarkStart w:id="44" w:name="_Ref454963225"/>
      <w:bookmarkEnd w:id="41"/>
      <w:bookmarkEnd w:id="42"/>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43"/>
      <w:bookmarkEnd w:id="44"/>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5"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5"/>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6" w:name="_Ref495584033"/>
      <w:r w:rsidRPr="00E06B02">
        <w:rPr>
          <w:rFonts w:ascii="Verdana" w:hAnsi="Verdana" w:cs="Tahoma"/>
          <w:sz w:val="20"/>
          <w:szCs w:val="20"/>
        </w:rPr>
        <w:lastRenderedPageBreak/>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7" w:name="_Hlk494399553"/>
      <w:r w:rsidRPr="00E06B02">
        <w:rPr>
          <w:rFonts w:ascii="Verdana" w:hAnsi="Verdana" w:cs="Tahoma"/>
          <w:sz w:val="20"/>
          <w:szCs w:val="20"/>
          <w:u w:val="single"/>
        </w:rPr>
        <w:t>Data Limite de Atualização de CCB</w:t>
      </w:r>
      <w:bookmarkEnd w:id="47"/>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6"/>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8" w:name="_Ref465344335"/>
      <w:bookmarkStart w:id="49"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8"/>
      <w:r w:rsidRPr="00E06B02">
        <w:rPr>
          <w:rFonts w:ascii="Verdana" w:hAnsi="Verdana" w:cs="Tahoma"/>
          <w:sz w:val="20"/>
          <w:szCs w:val="20"/>
        </w:rPr>
        <w:t>.</w:t>
      </w:r>
      <w:bookmarkEnd w:id="49"/>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3B9D5693"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009D1944">
        <w:rPr>
          <w:rFonts w:ascii="Verdana" w:hAnsi="Verdana" w:cs="Tahoma"/>
          <w:sz w:val="20"/>
          <w:szCs w:val="20"/>
        </w:rPr>
        <w:t>pela Sitawi Finanças do Bem</w:t>
      </w:r>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p>
    <w:p w14:paraId="7BE1B13D" w14:textId="36A8293C" w:rsidR="00EB5CDB" w:rsidRDefault="00EB5CDB" w:rsidP="00E06B02">
      <w:pPr>
        <w:spacing w:line="280" w:lineRule="exact"/>
        <w:jc w:val="both"/>
        <w:rPr>
          <w:rFonts w:ascii="Verdana" w:hAnsi="Verdana" w:cs="Tahoma"/>
          <w:sz w:val="20"/>
          <w:szCs w:val="20"/>
        </w:rPr>
      </w:pPr>
    </w:p>
    <w:p w14:paraId="2D7283AD" w14:textId="202B288F" w:rsidR="00566E2B" w:rsidRDefault="00566E2B" w:rsidP="00F22A97">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sidR="00935EAB" w:rsidRPr="00935EAB">
        <w:rPr>
          <w:rFonts w:ascii="Verdana" w:hAnsi="Verdana" w:cs="Tahoma"/>
          <w:sz w:val="20"/>
          <w:szCs w:val="20"/>
        </w:rPr>
        <w:t xml:space="preserve"> </w:t>
      </w:r>
      <w:r w:rsidR="00935EAB" w:rsidRPr="00AC2408">
        <w:rPr>
          <w:rFonts w:ascii="Verdana" w:hAnsi="Verdana" w:cs="Tahoma"/>
          <w:sz w:val="20"/>
          <w:szCs w:val="20"/>
        </w:rPr>
        <w:t>http://vert.gyra.com.br/</w:t>
      </w:r>
      <w:r w:rsidRPr="00B66517">
        <w:rPr>
          <w:rFonts w:ascii="Verdana" w:hAnsi="Verdana" w:cs="Tahoma"/>
          <w:sz w:val="20"/>
          <w:szCs w:val="20"/>
        </w:rPr>
        <w:t xml:space="preserve">), bem como será enviada uma </w:t>
      </w:r>
      <w:r w:rsidRPr="00B66517">
        <w:rPr>
          <w:rFonts w:ascii="Verdana" w:hAnsi="Verdana" w:cs="Tahoma"/>
          <w:sz w:val="20"/>
          <w:szCs w:val="20"/>
        </w:rPr>
        <w:lastRenderedPageBreak/>
        <w:t>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sidR="00B16C89">
        <w:rPr>
          <w:rFonts w:ascii="Verdana" w:hAnsi="Verdana" w:cs="Tahoma"/>
          <w:sz w:val="20"/>
          <w:szCs w:val="20"/>
        </w:rPr>
        <w:t xml:space="preserve"> </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0" w:name="_Ref517621787"/>
      <w:r w:rsidRPr="00E06B02">
        <w:rPr>
          <w:rFonts w:ascii="Verdana" w:eastAsia="MS Mincho" w:hAnsi="Verdana" w:cs="Tahoma"/>
          <w:b/>
          <w:sz w:val="20"/>
          <w:szCs w:val="20"/>
        </w:rPr>
        <w:t>Investimentos Permitidos</w:t>
      </w:r>
      <w:bookmarkEnd w:id="50"/>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1FB2AA74"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51"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sidR="000963E5" w:rsidRPr="0022258D">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as Partes concordam que os recursos recebidos pela Emissora</w:t>
      </w:r>
      <w:r w:rsidR="000D280F" w:rsidRPr="0022258D">
        <w:rPr>
          <w:rFonts w:ascii="Verdana" w:hAnsi="Verdana" w:cs="Tahoma"/>
          <w:sz w:val="20"/>
          <w:szCs w:val="20"/>
        </w:rPr>
        <w:t>:</w:t>
      </w:r>
      <w:r w:rsidRPr="0022258D">
        <w:rPr>
          <w:rFonts w:ascii="Verdana" w:hAnsi="Verdana" w:cs="Tahoma"/>
          <w:sz w:val="20"/>
          <w:szCs w:val="20"/>
        </w:rPr>
        <w:t xml:space="preserve">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22258D">
        <w:rPr>
          <w:rFonts w:ascii="Verdana" w:hAnsi="Verdana" w:cs="Tahoma"/>
          <w:sz w:val="20"/>
          <w:szCs w:val="20"/>
        </w:rPr>
        <w:t xml:space="preserve">poderão </w:t>
      </w:r>
      <w:r w:rsidRPr="0022258D">
        <w:rPr>
          <w:rFonts w:ascii="Verdana" w:hAnsi="Verdana" w:cs="Tahoma"/>
          <w:sz w:val="20"/>
          <w:szCs w:val="20"/>
        </w:rPr>
        <w:t xml:space="preserve">ser </w:t>
      </w:r>
      <w:r w:rsidRPr="0022258D">
        <w:rPr>
          <w:rFonts w:ascii="Verdana" w:hAnsi="Verdana"/>
          <w:sz w:val="20"/>
          <w:szCs w:val="20"/>
        </w:rPr>
        <w:t>mantidos em moeda corrente nacional ou aplicados nos seguintes ativos</w:t>
      </w:r>
      <w:r w:rsidR="00AF0D5C">
        <w:rPr>
          <w:rFonts w:ascii="Verdana" w:hAnsi="Verdana"/>
          <w:sz w:val="20"/>
          <w:szCs w:val="20"/>
        </w:rPr>
        <w:t>, a exclusivo critério da Emissora</w:t>
      </w:r>
      <w:r w:rsidRPr="0022258D">
        <w:rPr>
          <w:rFonts w:ascii="Verdana" w:hAnsi="Verdana"/>
          <w:sz w:val="20"/>
          <w:szCs w:val="20"/>
        </w:rPr>
        <w:t xml:space="preserve">: </w:t>
      </w:r>
      <w:r w:rsidR="00F46CC5" w:rsidRPr="0022258D">
        <w:rPr>
          <w:rFonts w:ascii="Verdana" w:hAnsi="Verdana"/>
          <w:b/>
          <w:sz w:val="20"/>
          <w:szCs w:val="20"/>
        </w:rPr>
        <w:t>(a)</w:t>
      </w:r>
      <w:r w:rsidR="00F46CC5" w:rsidRPr="0022258D">
        <w:rPr>
          <w:rFonts w:ascii="Verdana" w:hAnsi="Verdana"/>
          <w:sz w:val="20"/>
          <w:szCs w:val="20"/>
        </w:rPr>
        <w:t xml:space="preserve"> letras financeiras do Tesouro Nacional (LFT); </w:t>
      </w:r>
      <w:r w:rsidR="00F46CC5" w:rsidRPr="0022258D">
        <w:rPr>
          <w:rFonts w:ascii="Verdana" w:hAnsi="Verdana"/>
          <w:b/>
          <w:sz w:val="20"/>
          <w:szCs w:val="20"/>
        </w:rPr>
        <w:t>(b)</w:t>
      </w:r>
      <w:r w:rsidR="00F46CC5" w:rsidRPr="0022258D">
        <w:rPr>
          <w:rFonts w:ascii="Verdana" w:hAnsi="Verdana"/>
          <w:sz w:val="20"/>
          <w:szCs w:val="20"/>
        </w:rPr>
        <w:t xml:space="preserve"> demais títulos de emissão do Tesouro Nacional, com prazo de vencimento máximo de 1 (um) ano; </w:t>
      </w:r>
      <w:r w:rsidR="00F46CC5" w:rsidRPr="0022258D">
        <w:rPr>
          <w:rFonts w:ascii="Verdana" w:hAnsi="Verdana"/>
          <w:b/>
          <w:sz w:val="20"/>
          <w:szCs w:val="20"/>
        </w:rPr>
        <w:t>(c)</w:t>
      </w:r>
      <w:r w:rsidR="00F46CC5"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00F46CC5" w:rsidRPr="0022258D">
        <w:rPr>
          <w:rFonts w:ascii="Verdana" w:hAnsi="Verdana"/>
          <w:b/>
          <w:sz w:val="20"/>
          <w:szCs w:val="20"/>
        </w:rPr>
        <w:t>(d)</w:t>
      </w:r>
      <w:r w:rsidR="00F46CC5"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00F46CC5" w:rsidRPr="0022258D">
        <w:rPr>
          <w:rFonts w:ascii="Verdana" w:hAnsi="Verdana"/>
          <w:b/>
          <w:sz w:val="20"/>
          <w:szCs w:val="20"/>
        </w:rPr>
        <w:t>(e)</w:t>
      </w:r>
      <w:r w:rsidR="00F46CC5"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2" w:name="_Ref450676472"/>
      <w:bookmarkEnd w:id="51"/>
      <w:r w:rsidRPr="00E06B02">
        <w:rPr>
          <w:rFonts w:ascii="Verdana" w:eastAsia="MS Mincho" w:hAnsi="Verdana" w:cs="Tahoma"/>
          <w:b/>
          <w:sz w:val="20"/>
          <w:szCs w:val="20"/>
        </w:rPr>
        <w:t>Direitos Creditórios Vinculados às Debêntures</w:t>
      </w:r>
      <w:bookmarkEnd w:id="52"/>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1EAF13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3"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w:t>
      </w:r>
      <w:r w:rsidR="001F016B" w:rsidRPr="001F016B">
        <w:rPr>
          <w:rFonts w:ascii="Verdana" w:hAnsi="Verdana" w:cs="Tahoma"/>
          <w:sz w:val="20"/>
          <w:szCs w:val="20"/>
        </w:rPr>
        <w:t xml:space="preserve"> </w:t>
      </w:r>
      <w:r w:rsidR="001F016B">
        <w:rPr>
          <w:rFonts w:ascii="Verdana" w:hAnsi="Verdana" w:cs="Tahoma"/>
          <w:sz w:val="20"/>
          <w:szCs w:val="20"/>
        </w:rPr>
        <w:t>de Reembolso</w:t>
      </w:r>
      <w:r w:rsidR="00017F48" w:rsidRPr="00E06B02">
        <w:rPr>
          <w:rFonts w:ascii="Verdana" w:hAnsi="Verdana" w:cs="Tahoma"/>
          <w:sz w:val="20"/>
          <w:szCs w:val="20"/>
        </w:rPr>
        <w:t xml:space="preserve"> Sobre a Receita dos Direitos Creditórios Vinculados</w:t>
      </w:r>
      <w:r w:rsidRPr="00E06B02">
        <w:rPr>
          <w:rFonts w:ascii="Verdana" w:hAnsi="Verdana" w:cs="Tahoma"/>
          <w:sz w:val="20"/>
          <w:szCs w:val="20"/>
        </w:rPr>
        <w:t>, nos termos da Resolução CMN 2.686.</w:t>
      </w:r>
      <w:bookmarkEnd w:id="53"/>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148DE54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641877C7"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001F016B">
        <w:rPr>
          <w:rFonts w:ascii="Verdana" w:hAnsi="Verdana" w:cs="Tahoma"/>
          <w:sz w:val="20"/>
          <w:szCs w:val="20"/>
        </w:rPr>
        <w:t>incluindo, mas não se limitando, a política de crédito da Instituição Endossante, conforme verificado pela Instituição Endossante nos termos do Contrato de Promessa de Endosso;</w:t>
      </w:r>
      <w:r w:rsidR="001F016B"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sidR="00545C69">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 xml:space="preserve">as CCB são </w:t>
      </w:r>
      <w:r w:rsidRPr="00E06B02">
        <w:rPr>
          <w:rFonts w:ascii="Verdana" w:hAnsi="Verdana"/>
          <w:sz w:val="20"/>
          <w:szCs w:val="20"/>
        </w:rPr>
        <w:lastRenderedPageBreak/>
        <w:t>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074D76F5"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54" w:name="_DV_M49"/>
      <w:bookmarkStart w:id="55" w:name="_DV_M50"/>
      <w:bookmarkStart w:id="56" w:name="_DV_M57"/>
      <w:bookmarkStart w:id="57" w:name="_DV_M60"/>
      <w:bookmarkStart w:id="58" w:name="_Ref465195304"/>
      <w:bookmarkEnd w:id="54"/>
      <w:bookmarkEnd w:id="55"/>
      <w:bookmarkEnd w:id="56"/>
      <w:bookmarkEnd w:id="57"/>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que estejam inadimplidas pelos respectivos Tomadores há mais de 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(ii)</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CCBs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AC5CC0">
        <w:rPr>
          <w:rFonts w:ascii="Verdana" w:hAnsi="Verdana" w:cs="Tahoma"/>
          <w:sz w:val="20"/>
          <w:szCs w:val="20"/>
        </w:rPr>
      </w:r>
      <w:r w:rsidR="00CC64F6" w:rsidRPr="00AC5CC0">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 xml:space="preserve">quaisquer valores recebidos pela Emissora em contrapartida à </w:t>
      </w:r>
      <w:r w:rsidR="00504741">
        <w:rPr>
          <w:rFonts w:ascii="Verdana" w:hAnsi="Verdana" w:cs="Tahoma"/>
          <w:sz w:val="20"/>
          <w:szCs w:val="20"/>
        </w:rPr>
        <w:t>alienação</w:t>
      </w:r>
      <w:r w:rsidR="00504741"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58"/>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9"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59"/>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3A9F46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sidR="00504741">
        <w:rPr>
          <w:rFonts w:ascii="Verdana" w:hAnsi="Verdana" w:cs="Tahoma"/>
          <w:sz w:val="20"/>
          <w:szCs w:val="20"/>
        </w:rPr>
        <w:t>alienação</w:t>
      </w:r>
      <w:r w:rsidR="00504741" w:rsidRPr="00E06B02">
        <w:rPr>
          <w:rFonts w:ascii="Verdana" w:hAnsi="Verdana" w:cs="Tahoma"/>
          <w:sz w:val="20"/>
          <w:szCs w:val="20"/>
        </w:rPr>
        <w:t xml:space="preserve"> </w:t>
      </w:r>
      <w:r w:rsidRPr="00E06B02">
        <w:rPr>
          <w:rFonts w:ascii="Verdana" w:hAnsi="Verdana" w:cs="Tahoma"/>
          <w:sz w:val="20"/>
          <w:szCs w:val="20"/>
        </w:rPr>
        <w:t>das CCB inadimplidas será utilizado conforme a Ordem de Alocação de Recursos.</w:t>
      </w:r>
    </w:p>
    <w:p w14:paraId="3D891448" w14:textId="77777777" w:rsidR="00545C69" w:rsidRPr="00E06B02" w:rsidRDefault="00545C69" w:rsidP="00E06B02">
      <w:pPr>
        <w:pStyle w:val="PargrafodaLista"/>
        <w:spacing w:line="280" w:lineRule="exact"/>
        <w:ind w:left="0"/>
        <w:jc w:val="both"/>
        <w:rPr>
          <w:rFonts w:ascii="Verdana" w:hAnsi="Verdana" w:cs="Tahoma"/>
          <w:sz w:val="20"/>
          <w:szCs w:val="20"/>
        </w:rPr>
      </w:pPr>
    </w:p>
    <w:p w14:paraId="25A6400C" w14:textId="04F5A4F5"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sidR="00545C69">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xml:space="preserve">. Neste caso, quaisquer valores recebidos pela Emissora em relação </w:t>
      </w:r>
      <w:r w:rsidR="00545C69">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BB4E515"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5EC5FDB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0"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60"/>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E6CADB4"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A50A0F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61"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s seguintes variações mínimas por níveis de rating de acordo com a Política de Crédito da Gyra vigente na data de aquisição:</w:t>
      </w:r>
      <w:bookmarkEnd w:id="61"/>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333296"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62093AA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sidR="00A75A9F">
              <w:rPr>
                <w:rFonts w:ascii="Verdana" w:hAnsi="Verdana" w:cs="Tahoma"/>
                <w:sz w:val="20"/>
                <w:szCs w:val="20"/>
                <w:lang w:val="en-GB"/>
              </w:rPr>
              <w:t>.</w:t>
            </w:r>
            <w:r w:rsidRPr="0022258D">
              <w:rPr>
                <w:rFonts w:ascii="Verdana" w:hAnsi="Verdana" w:cs="Tahoma"/>
                <w:sz w:val="20"/>
                <w:szCs w:val="20"/>
                <w:lang w:val="en-GB"/>
              </w:rPr>
              <w:t xml:space="preserve"> a 2,99 % a.m</w:t>
            </w:r>
            <w:r w:rsidR="00A75A9F">
              <w:rPr>
                <w:rFonts w:ascii="Verdana" w:hAnsi="Verdana" w:cs="Tahoma"/>
                <w:sz w:val="20"/>
                <w:szCs w:val="20"/>
                <w:lang w:val="en-GB"/>
              </w:rPr>
              <w:t>.</w:t>
            </w:r>
          </w:p>
        </w:tc>
      </w:tr>
      <w:tr w:rsidR="00C436CC" w:rsidRPr="00333296"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1B17259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00A75A9F" w:rsidRPr="00A75A9F">
              <w:rPr>
                <w:rFonts w:ascii="Verdana" w:hAnsi="Verdana" w:cs="Tahoma"/>
                <w:sz w:val="20"/>
                <w:szCs w:val="20"/>
                <w:lang w:val="en-GB"/>
              </w:rPr>
              <w:t>.</w:t>
            </w:r>
            <w:r w:rsidRPr="0022258D">
              <w:rPr>
                <w:rFonts w:ascii="Verdana" w:hAnsi="Verdana" w:cs="Tahoma"/>
                <w:sz w:val="20"/>
                <w:szCs w:val="20"/>
                <w:lang w:val="en-GB"/>
              </w:rPr>
              <w:t xml:space="preserve"> a 3,49% a.m</w:t>
            </w:r>
            <w:r w:rsidR="00A75A9F" w:rsidRPr="0022258D">
              <w:rPr>
                <w:rFonts w:ascii="Verdana" w:hAnsi="Verdana" w:cs="Tahoma"/>
                <w:sz w:val="20"/>
                <w:szCs w:val="20"/>
                <w:lang w:val="en-GB"/>
              </w:rPr>
              <w:t>.</w:t>
            </w:r>
          </w:p>
        </w:tc>
      </w:tr>
      <w:tr w:rsidR="00C436CC" w:rsidRPr="00333296"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25B7E69F"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3,99% a.m</w:t>
            </w:r>
            <w:r w:rsidR="00A75A9F">
              <w:rPr>
                <w:rFonts w:ascii="Verdana" w:hAnsi="Verdana" w:cs="Tahoma"/>
                <w:sz w:val="20"/>
                <w:szCs w:val="20"/>
                <w:lang w:val="en-GB"/>
              </w:rPr>
              <w:t>.</w:t>
            </w:r>
          </w:p>
        </w:tc>
      </w:tr>
      <w:tr w:rsidR="00C436CC" w:rsidRPr="00333296"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0A34C6B6"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4,99 % a.m</w:t>
            </w:r>
            <w:r w:rsidR="00A75A9F">
              <w:rPr>
                <w:rFonts w:ascii="Verdana" w:hAnsi="Verdana" w:cs="Tahoma"/>
                <w:sz w:val="20"/>
                <w:szCs w:val="20"/>
                <w:lang w:val="en-GB"/>
              </w:rPr>
              <w:t>.</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3189B014"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sidR="00A75A9F">
              <w:rPr>
                <w:rFonts w:ascii="Verdana" w:hAnsi="Verdana" w:cs="Tahoma"/>
                <w:sz w:val="20"/>
                <w:szCs w:val="20"/>
              </w:rPr>
              <w:t>.</w:t>
            </w:r>
          </w:p>
        </w:tc>
      </w:tr>
    </w:tbl>
    <w:p w14:paraId="350867C0" w14:textId="77777777" w:rsidR="001F5F8A" w:rsidRPr="0022258D" w:rsidRDefault="001F5F8A" w:rsidP="00E06B02">
      <w:pPr>
        <w:pStyle w:val="PargrafodaLista"/>
        <w:spacing w:line="280" w:lineRule="exact"/>
        <w:ind w:left="567"/>
        <w:jc w:val="both"/>
        <w:rPr>
          <w:rFonts w:ascii="Verdana" w:hAnsi="Verdana" w:cs="Tahoma"/>
          <w:b/>
          <w:sz w:val="20"/>
          <w:szCs w:val="20"/>
        </w:rPr>
      </w:pPr>
    </w:p>
    <w:p w14:paraId="1E810CB0" w14:textId="50DD553A"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2"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62"/>
      <w:r w:rsidR="00BD02FF" w:rsidRPr="00E06B02">
        <w:rPr>
          <w:rFonts w:ascii="Verdana" w:hAnsi="Verdana" w:cs="Tahoma"/>
          <w:sz w:val="20"/>
          <w:szCs w:val="20"/>
        </w:rPr>
        <w:t xml:space="preserve"> </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1814F1" w14:paraId="72E8434E" w14:textId="77777777" w:rsidTr="00212A7B">
        <w:tc>
          <w:tcPr>
            <w:tcW w:w="4004" w:type="dxa"/>
          </w:tcPr>
          <w:p w14:paraId="7753ED5E" w14:textId="77777777" w:rsidR="001F5F8A" w:rsidRPr="00080D11" w:rsidRDefault="001F5F8A" w:rsidP="00E06B02">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69C62E39" w14:textId="745B2313"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1F5F8A" w:rsidRPr="001814F1">
              <w:rPr>
                <w:rFonts w:ascii="Verdana" w:hAnsi="Verdana"/>
                <w:sz w:val="20"/>
                <w:szCs w:val="20"/>
              </w:rPr>
              <w:t>0% (</w:t>
            </w:r>
            <w:r w:rsidR="00CE5BCE" w:rsidRPr="001814F1">
              <w:rPr>
                <w:rFonts w:ascii="Verdana" w:hAnsi="Verdana"/>
                <w:sz w:val="20"/>
                <w:szCs w:val="20"/>
              </w:rPr>
              <w:t>quarenta por cento)</w:t>
            </w:r>
          </w:p>
        </w:tc>
      </w:tr>
      <w:tr w:rsidR="001F5F8A" w:rsidRPr="001814F1" w14:paraId="5D074E61" w14:textId="77777777" w:rsidTr="00212A7B">
        <w:tc>
          <w:tcPr>
            <w:tcW w:w="4004" w:type="dxa"/>
          </w:tcPr>
          <w:p w14:paraId="536AF82D"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 xml:space="preserve">Rating B </w:t>
            </w:r>
          </w:p>
        </w:tc>
        <w:tc>
          <w:tcPr>
            <w:tcW w:w="3923" w:type="dxa"/>
          </w:tcPr>
          <w:p w14:paraId="49BFC577" w14:textId="082C9310" w:rsidR="001F5F8A" w:rsidRPr="00080D11" w:rsidRDefault="001F5F8A" w:rsidP="00080D11">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1F5F8A" w:rsidRPr="001814F1" w14:paraId="6E2562AD" w14:textId="77777777" w:rsidTr="00212A7B">
        <w:tc>
          <w:tcPr>
            <w:tcW w:w="4004" w:type="dxa"/>
          </w:tcPr>
          <w:p w14:paraId="7C56CB82"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28CA2620" w14:textId="2FAAB338"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C12A0A" w:rsidRPr="001814F1">
              <w:rPr>
                <w:rFonts w:ascii="Verdana" w:hAnsi="Verdana"/>
                <w:sz w:val="20"/>
                <w:szCs w:val="20"/>
              </w:rPr>
              <w:t>5</w:t>
            </w:r>
            <w:r w:rsidR="001F5F8A" w:rsidRPr="001814F1">
              <w:rPr>
                <w:rFonts w:ascii="Verdana" w:hAnsi="Verdana"/>
                <w:sz w:val="20"/>
                <w:szCs w:val="20"/>
              </w:rPr>
              <w:t>% (</w:t>
            </w:r>
            <w:r w:rsidR="00CE5BCE" w:rsidRPr="001814F1">
              <w:rPr>
                <w:rFonts w:ascii="Verdana" w:hAnsi="Verdana"/>
                <w:sz w:val="20"/>
                <w:szCs w:val="20"/>
              </w:rPr>
              <w:t xml:space="preserve">quarenta </w:t>
            </w:r>
            <w:r w:rsidR="00C12A0A" w:rsidRPr="001814F1">
              <w:rPr>
                <w:rFonts w:ascii="Verdana" w:hAnsi="Verdana"/>
                <w:sz w:val="20"/>
                <w:szCs w:val="20"/>
              </w:rPr>
              <w:t xml:space="preserve">e cinco </w:t>
            </w:r>
            <w:r w:rsidR="001F5F8A" w:rsidRPr="001814F1">
              <w:rPr>
                <w:rFonts w:ascii="Verdana" w:hAnsi="Verdana"/>
                <w:sz w:val="20"/>
                <w:szCs w:val="20"/>
              </w:rPr>
              <w:t>por cento)</w:t>
            </w:r>
          </w:p>
        </w:tc>
      </w:tr>
      <w:tr w:rsidR="001F5F8A" w:rsidRPr="001814F1" w14:paraId="1B720740" w14:textId="77777777" w:rsidTr="00212A7B">
        <w:tc>
          <w:tcPr>
            <w:tcW w:w="4004" w:type="dxa"/>
          </w:tcPr>
          <w:p w14:paraId="2B478ADF"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72A768F2" w14:textId="14F13E81" w:rsidR="001F5F8A" w:rsidRPr="00080D11"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15</w:t>
            </w:r>
            <w:r w:rsidR="001F5F8A" w:rsidRPr="001814F1">
              <w:rPr>
                <w:rFonts w:ascii="Verdana" w:hAnsi="Verdana"/>
                <w:sz w:val="20"/>
                <w:szCs w:val="20"/>
              </w:rPr>
              <w:t xml:space="preserve">% </w:t>
            </w:r>
            <w:r w:rsidR="00CE5BCE" w:rsidRPr="001814F1">
              <w:rPr>
                <w:rFonts w:ascii="Verdana" w:hAnsi="Verdana"/>
                <w:sz w:val="20"/>
                <w:szCs w:val="20"/>
              </w:rPr>
              <w:t>(</w:t>
            </w:r>
            <w:r w:rsidRPr="001814F1">
              <w:rPr>
                <w:rFonts w:ascii="Verdana" w:hAnsi="Verdana"/>
                <w:sz w:val="20"/>
                <w:szCs w:val="20"/>
              </w:rPr>
              <w:t xml:space="preserve">quinze </w:t>
            </w:r>
            <w:r w:rsidR="001F5F8A" w:rsidRPr="001814F1">
              <w:rPr>
                <w:rFonts w:ascii="Verdana" w:hAnsi="Verdana"/>
                <w:sz w:val="20"/>
                <w:szCs w:val="20"/>
              </w:rPr>
              <w:t>por cento)</w:t>
            </w:r>
          </w:p>
        </w:tc>
      </w:tr>
      <w:tr w:rsidR="001F5F8A" w:rsidRPr="00E06B02" w14:paraId="63C55EC9" w14:textId="77777777" w:rsidTr="00212A7B">
        <w:tc>
          <w:tcPr>
            <w:tcW w:w="4004" w:type="dxa"/>
          </w:tcPr>
          <w:p w14:paraId="008CD521"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35D91347" w14:textId="07E83114" w:rsidR="001F5F8A" w:rsidRPr="00E06B02"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5</w:t>
            </w:r>
            <w:r w:rsidR="001F5F8A" w:rsidRPr="001814F1">
              <w:rPr>
                <w:rFonts w:ascii="Verdana" w:hAnsi="Verdana"/>
                <w:sz w:val="20"/>
                <w:szCs w:val="20"/>
              </w:rPr>
              <w:t>% (</w:t>
            </w:r>
            <w:r w:rsidRPr="001814F1">
              <w:rPr>
                <w:rFonts w:ascii="Verdana" w:hAnsi="Verdana"/>
                <w:sz w:val="20"/>
                <w:szCs w:val="20"/>
              </w:rPr>
              <w:t xml:space="preserve">cinco </w:t>
            </w:r>
            <w:r w:rsidR="001F5F8A" w:rsidRPr="001814F1">
              <w:rPr>
                <w:rFonts w:ascii="Verdana" w:hAnsi="Verdana"/>
                <w:sz w:val="20"/>
                <w:szCs w:val="20"/>
              </w:rPr>
              <w:t>por cento)</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013C4702"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xml:space="preserve"> a Emissora e </w:t>
      </w:r>
      <w:r w:rsidRPr="00E06B02">
        <w:rPr>
          <w:rFonts w:ascii="Verdana" w:hAnsi="Verdana" w:cs="Tahoma"/>
          <w:sz w:val="20"/>
          <w:szCs w:val="20"/>
        </w:rPr>
        <w:lastRenderedPageBreak/>
        <w:t>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0C824F92"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63"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 xml:space="preserve">”), </w:t>
      </w:r>
      <w:r w:rsidR="00C12A0A">
        <w:rPr>
          <w:rFonts w:ascii="Verdana" w:hAnsi="Verdana" w:cs="Tahoma"/>
          <w:sz w:val="20"/>
          <w:szCs w:val="20"/>
        </w:rPr>
        <w:t>sendo uma delas a instituição intermediária líder da Oferta Restrita (“</w:t>
      </w:r>
      <w:r w:rsidR="00C12A0A" w:rsidRPr="00EF3D57">
        <w:rPr>
          <w:rFonts w:ascii="Verdana" w:hAnsi="Verdana" w:cs="Tahoma"/>
          <w:sz w:val="20"/>
          <w:szCs w:val="20"/>
          <w:u w:val="single"/>
        </w:rPr>
        <w:t>Coordenador Líder</w:t>
      </w:r>
      <w:r w:rsidR="00C12A0A">
        <w:rPr>
          <w:rFonts w:ascii="Verdana" w:hAnsi="Verdana" w:cs="Tahoma"/>
          <w:sz w:val="20"/>
          <w:szCs w:val="20"/>
        </w:rPr>
        <w:t>”)</w:t>
      </w:r>
      <w:r w:rsidR="00C12A0A" w:rsidRPr="00E06B02">
        <w:rPr>
          <w:rFonts w:ascii="Verdana" w:hAnsi="Verdana" w:cs="Tahoma"/>
          <w:sz w:val="20"/>
          <w:szCs w:val="20"/>
        </w:rPr>
        <w:t xml:space="preserve">, </w:t>
      </w:r>
      <w:r w:rsidRPr="00E06B02">
        <w:rPr>
          <w:rFonts w:ascii="Verdana" w:hAnsi="Verdana" w:cs="Tahoma"/>
          <w:sz w:val="20"/>
          <w:szCs w:val="20"/>
        </w:rPr>
        <w:t>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sidR="00C12A0A">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63"/>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5240552E"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64"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sidR="00C12A0A">
        <w:rPr>
          <w:rFonts w:ascii="Verdana" w:eastAsia="MS Mincho" w:hAnsi="Verdana" w:cs="Tahoma"/>
          <w:sz w:val="20"/>
          <w:szCs w:val="20"/>
        </w:rPr>
        <w:t xml:space="preserve">, junto aos Investidores Profissionais, da demanda pelas Debêntures, por meio do qual será definida a quantidade de Debêntures a ser emitida e </w:t>
      </w:r>
      <w:r w:rsidR="00C12A0A" w:rsidRPr="00EF3D57">
        <w:rPr>
          <w:rFonts w:ascii="Verdana" w:eastAsia="MS Mincho" w:hAnsi="Verdana" w:cs="Tahoma"/>
          <w:sz w:val="20"/>
          <w:szCs w:val="20"/>
        </w:rPr>
        <w:t xml:space="preserve">alocada em cada série da Emissão, por meio do sistema de vasos comunicantes e observado o disposto na Cláusula </w:t>
      </w:r>
      <w:r w:rsidR="00C12A0A" w:rsidRPr="00EF3D57">
        <w:rPr>
          <w:rFonts w:ascii="Verdana" w:eastAsia="MS Mincho" w:hAnsi="Verdana" w:cs="Tahoma"/>
          <w:sz w:val="20"/>
          <w:szCs w:val="20"/>
        </w:rPr>
        <w:fldChar w:fldCharType="begin"/>
      </w:r>
      <w:r w:rsidR="00C12A0A" w:rsidRPr="00EF3D57">
        <w:rPr>
          <w:rFonts w:ascii="Verdana" w:eastAsia="MS Mincho" w:hAnsi="Verdana" w:cs="Tahoma"/>
          <w:sz w:val="20"/>
          <w:szCs w:val="20"/>
        </w:rPr>
        <w:instrText xml:space="preserve"> REF _Ref495596607 \r \h </w:instrText>
      </w:r>
      <w:r w:rsidR="00C12A0A">
        <w:rPr>
          <w:rFonts w:ascii="Verdana" w:eastAsia="MS Mincho" w:hAnsi="Verdana" w:cs="Tahoma"/>
          <w:sz w:val="20"/>
          <w:szCs w:val="20"/>
        </w:rPr>
        <w:instrText xml:space="preserve"> \* MERGEFORMAT </w:instrText>
      </w:r>
      <w:r w:rsidR="00C12A0A" w:rsidRPr="00EF3D57">
        <w:rPr>
          <w:rFonts w:ascii="Verdana" w:eastAsia="MS Mincho" w:hAnsi="Verdana" w:cs="Tahoma"/>
          <w:sz w:val="20"/>
          <w:szCs w:val="20"/>
        </w:rPr>
      </w:r>
      <w:r w:rsidR="00C12A0A" w:rsidRPr="00EF3D57">
        <w:rPr>
          <w:rFonts w:ascii="Verdana" w:eastAsia="MS Mincho" w:hAnsi="Verdana" w:cs="Tahoma"/>
          <w:sz w:val="20"/>
          <w:szCs w:val="20"/>
        </w:rPr>
        <w:fldChar w:fldCharType="separate"/>
      </w:r>
      <w:r w:rsidR="00C12A0A" w:rsidRPr="00EF3D57">
        <w:rPr>
          <w:rFonts w:ascii="Verdana" w:eastAsia="MS Mincho" w:hAnsi="Verdana" w:cs="Tahoma"/>
          <w:sz w:val="20"/>
          <w:szCs w:val="20"/>
        </w:rPr>
        <w:t>3.4.1</w:t>
      </w:r>
      <w:r w:rsidR="00C12A0A" w:rsidRPr="00EF3D57">
        <w:rPr>
          <w:rFonts w:ascii="Verdana" w:eastAsia="MS Mincho" w:hAnsi="Verdana" w:cs="Tahoma"/>
          <w:sz w:val="20"/>
          <w:szCs w:val="20"/>
        </w:rPr>
        <w:fldChar w:fldCharType="end"/>
      </w:r>
      <w:r w:rsidR="00C12A0A"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64"/>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25FD4BF6"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será ratificado por meio de aditamento a esta Escritura</w:t>
      </w:r>
      <w:r w:rsidR="00CB2311">
        <w:rPr>
          <w:rFonts w:ascii="Verdana" w:eastAsia="MS Mincho" w:hAnsi="Verdana" w:cs="Tahoma"/>
          <w:sz w:val="20"/>
          <w:szCs w:val="20"/>
        </w:rPr>
        <w:t xml:space="preserve">, </w:t>
      </w:r>
      <w:r w:rsidR="00C96983">
        <w:rPr>
          <w:rFonts w:ascii="Verdana" w:eastAsia="MS Mincho" w:hAnsi="Verdana" w:cs="Tahoma"/>
          <w:sz w:val="20"/>
          <w:szCs w:val="20"/>
        </w:rPr>
        <w:t xml:space="preserve">a ser formalizado de acordo com </w:t>
      </w:r>
      <w:r w:rsidR="00CB2311">
        <w:rPr>
          <w:rFonts w:ascii="Verdana" w:eastAsia="MS Mincho" w:hAnsi="Verdana" w:cs="Tahoma"/>
          <w:sz w:val="20"/>
          <w:szCs w:val="20"/>
        </w:rPr>
        <w:t>os termos do Anexo VII,</w:t>
      </w:r>
      <w:r w:rsidRPr="00AC0260">
        <w:rPr>
          <w:rFonts w:ascii="Verdana" w:eastAsia="MS Mincho" w:hAnsi="Verdana" w:cs="Tahoma"/>
          <w:sz w:val="20"/>
          <w:szCs w:val="20"/>
        </w:rPr>
        <w:t xml:space="preserve"> até a primeira Data de Integralização das Debêntures da Segunda Série, que deverá ser levado a registro perante a JUCESP, sem necessidade de nova aprovação societária pela Emissora</w:t>
      </w:r>
      <w:r w:rsidR="00C24E00">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65" w:name="_Ref70639009"/>
      <w:r w:rsidRPr="00E06B02">
        <w:rPr>
          <w:rFonts w:ascii="Verdana" w:hAnsi="Verdana" w:cs="Tahoma"/>
          <w:sz w:val="20"/>
          <w:szCs w:val="20"/>
        </w:rPr>
        <w:t>Será admitida a distribuição parcial das Debêntures.</w:t>
      </w:r>
      <w:bookmarkEnd w:id="65"/>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01D08479" w:rsidR="00EB5CDB" w:rsidRPr="00E06B02" w:rsidRDefault="008E55E6" w:rsidP="00E06B02">
      <w:pPr>
        <w:numPr>
          <w:ilvl w:val="3"/>
          <w:numId w:val="4"/>
        </w:numPr>
        <w:spacing w:line="280" w:lineRule="exact"/>
        <w:jc w:val="both"/>
        <w:rPr>
          <w:rFonts w:ascii="Verdana" w:hAnsi="Verdana" w:cs="Tahoma"/>
          <w:sz w:val="20"/>
          <w:szCs w:val="20"/>
        </w:rPr>
      </w:pPr>
      <w:bookmarkStart w:id="66"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66"/>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64A7F01D"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r w:rsidR="00B16C89">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67" w:name="_DV_M106"/>
      <w:bookmarkEnd w:id="67"/>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8" w:name="_DV_M95"/>
      <w:bookmarkEnd w:id="68"/>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69" w:name="_DV_M132"/>
      <w:bookmarkEnd w:id="69"/>
      <w:r w:rsidRPr="00E06B02">
        <w:rPr>
          <w:rFonts w:ascii="Verdana" w:eastAsia="MS Mincho" w:hAnsi="Verdana" w:cs="Tahoma"/>
          <w:b/>
          <w:sz w:val="20"/>
          <w:szCs w:val="20"/>
        </w:rPr>
        <w:lastRenderedPageBreak/>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7E7F204C"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70" w:name="_DV_M91"/>
      <w:bookmarkStart w:id="71" w:name="_DV_M92"/>
      <w:bookmarkStart w:id="72" w:name="_DV_M93"/>
      <w:bookmarkStart w:id="73" w:name="_DV_M94"/>
      <w:bookmarkEnd w:id="70"/>
      <w:bookmarkEnd w:id="71"/>
      <w:bookmarkEnd w:id="72"/>
      <w:bookmarkEnd w:id="73"/>
      <w:r w:rsidRPr="00E06B02">
        <w:rPr>
          <w:rFonts w:ascii="Verdana" w:hAnsi="Verdana" w:cs="Tahoma"/>
          <w:sz w:val="20"/>
          <w:szCs w:val="20"/>
        </w:rPr>
        <w:t xml:space="preserve">Para todos os efeitos legais, a Data de Emissão das Debêntures será </w:t>
      </w:r>
      <w:r w:rsidR="00137E0F">
        <w:rPr>
          <w:rFonts w:ascii="Verdana" w:hAnsi="Verdana" w:cs="Tahoma"/>
          <w:sz w:val="20"/>
          <w:szCs w:val="20"/>
        </w:rPr>
        <w:t>10</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62A7D11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 xml:space="preserve">Prêmio </w:t>
      </w:r>
      <w:r w:rsidR="00D73F1F">
        <w:rPr>
          <w:rFonts w:ascii="Verdana" w:hAnsi="Verdana" w:cs="Tahoma"/>
          <w:sz w:val="20"/>
          <w:szCs w:val="20"/>
        </w:rPr>
        <w:t>de Reembolso</w:t>
      </w:r>
      <w:r w:rsidR="00D73F1F"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EB0F659" w14:textId="682AEED0" w:rsidR="001000E4" w:rsidRDefault="004D28D4" w:rsidP="005C5113">
      <w:pPr>
        <w:pStyle w:val="PargrafodaLista"/>
        <w:numPr>
          <w:ilvl w:val="2"/>
          <w:numId w:val="4"/>
        </w:numPr>
        <w:spacing w:line="280" w:lineRule="exact"/>
        <w:jc w:val="both"/>
        <w:rPr>
          <w:rFonts w:ascii="Verdana" w:hAnsi="Verdana" w:cs="Tahoma"/>
          <w:sz w:val="20"/>
          <w:szCs w:val="20"/>
        </w:rPr>
      </w:pPr>
      <w:bookmarkStart w:id="74" w:name="_Ref422391547"/>
      <w:bookmarkStart w:id="75" w:name="_Ref477878438"/>
      <w:bookmarkStart w:id="76" w:name="_Ref495596571"/>
      <w:bookmarkStart w:id="77"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sidR="00C97453">
        <w:rPr>
          <w:rFonts w:ascii="Verdana" w:hAnsi="Verdana" w:cs="Tahoma"/>
          <w:sz w:val="20"/>
          <w:szCs w:val="20"/>
        </w:rPr>
        <w:t>depositadas</w:t>
      </w:r>
      <w:r w:rsidR="00C97453" w:rsidRPr="0022258D">
        <w:rPr>
          <w:rFonts w:ascii="Verdana" w:hAnsi="Verdana" w:cs="Tahoma"/>
          <w:sz w:val="20"/>
          <w:szCs w:val="20"/>
        </w:rPr>
        <w:t xml:space="preserve"> </w:t>
      </w:r>
      <w:r w:rsidRPr="0022258D">
        <w:rPr>
          <w:rFonts w:ascii="Verdana" w:hAnsi="Verdana" w:cs="Tahoma"/>
          <w:sz w:val="20"/>
          <w:szCs w:val="20"/>
        </w:rPr>
        <w:t xml:space="preserve">nos sistemas da B3, de acordo com os procedimentos aplicáveis. </w:t>
      </w:r>
    </w:p>
    <w:p w14:paraId="197DA243" w14:textId="77777777" w:rsidR="001000E4" w:rsidRDefault="001000E4" w:rsidP="0022258D">
      <w:pPr>
        <w:pStyle w:val="PargrafodaLista"/>
        <w:spacing w:line="280" w:lineRule="exact"/>
        <w:ind w:left="0"/>
        <w:jc w:val="both"/>
        <w:rPr>
          <w:rFonts w:ascii="Verdana" w:hAnsi="Verdana" w:cs="Tahoma"/>
          <w:sz w:val="20"/>
          <w:szCs w:val="20"/>
        </w:rPr>
      </w:pPr>
    </w:p>
    <w:p w14:paraId="1C6EE510" w14:textId="662FD3B5" w:rsidR="00EB5CDB" w:rsidRPr="00E06B02" w:rsidRDefault="008E55E6" w:rsidP="005C5113">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78" w:name="_Ref450673894"/>
      <w:bookmarkEnd w:id="74"/>
      <w:r w:rsidRPr="00E06B02">
        <w:rPr>
          <w:rFonts w:ascii="Verdana" w:hAnsi="Verdana" w:cs="Tahoma"/>
          <w:sz w:val="20"/>
          <w:szCs w:val="20"/>
        </w:rPr>
        <w:t>.</w:t>
      </w:r>
      <w:bookmarkEnd w:id="75"/>
      <w:bookmarkEnd w:id="78"/>
      <w:r w:rsidRPr="00E06B02">
        <w:rPr>
          <w:rFonts w:ascii="Verdana" w:hAnsi="Verdana" w:cs="Tahoma"/>
          <w:sz w:val="20"/>
          <w:szCs w:val="20"/>
        </w:rPr>
        <w:t xml:space="preserve"> A Razão Mínima de Subordinação</w:t>
      </w:r>
      <w:r w:rsidR="00A56BF6">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76"/>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22258D" w:rsidRDefault="008E55E6" w:rsidP="005C5113">
      <w:pPr>
        <w:pStyle w:val="PargrafodaLista"/>
        <w:numPr>
          <w:ilvl w:val="2"/>
          <w:numId w:val="4"/>
        </w:numPr>
        <w:spacing w:line="280" w:lineRule="exact"/>
        <w:jc w:val="both"/>
        <w:rPr>
          <w:rFonts w:ascii="Verdana" w:hAnsi="Verdana"/>
          <w:sz w:val="20"/>
          <w:szCs w:val="20"/>
        </w:rPr>
      </w:pPr>
      <w:bookmarkStart w:id="79" w:name="_Ref495596580"/>
      <w:r w:rsidRPr="00D73F1F">
        <w:rPr>
          <w:rFonts w:ascii="Verdana" w:eastAsia="Arial Unicode MS" w:hAnsi="Verdana" w:cs="Tahoma"/>
          <w:sz w:val="20"/>
          <w:szCs w:val="20"/>
        </w:rPr>
        <w:t xml:space="preserve">As Debêntures da Segunda Série serão integralizadas em moeda corrente nacional </w:t>
      </w:r>
      <w:r w:rsidRPr="00732EAA">
        <w:rPr>
          <w:rFonts w:ascii="Verdana" w:hAnsi="Verdana" w:cs="Tahoma"/>
          <w:sz w:val="20"/>
          <w:szCs w:val="20"/>
        </w:rPr>
        <w:t>pelo seu Valor Nominal Unitário</w:t>
      </w:r>
      <w:r w:rsidR="004D5194" w:rsidRPr="00732EAA">
        <w:rPr>
          <w:rFonts w:ascii="Verdana" w:hAnsi="Verdana" w:cs="Tahoma"/>
          <w:sz w:val="20"/>
          <w:szCs w:val="20"/>
        </w:rPr>
        <w:t xml:space="preserve"> no caso da Data da 1</w:t>
      </w:r>
      <w:r w:rsidR="004D5194" w:rsidRPr="00732EAA">
        <w:rPr>
          <w:rFonts w:ascii="Verdana" w:hAnsi="Verdana" w:cs="Tahoma"/>
          <w:sz w:val="20"/>
          <w:szCs w:val="20"/>
          <w:vertAlign w:val="superscript"/>
        </w:rPr>
        <w:t>a</w:t>
      </w:r>
      <w:r w:rsidR="004D5194" w:rsidRPr="00C13596">
        <w:rPr>
          <w:rFonts w:ascii="Verdana" w:hAnsi="Verdana" w:cs="Tahoma"/>
          <w:sz w:val="20"/>
          <w:szCs w:val="20"/>
        </w:rPr>
        <w:t xml:space="preserve"> Integralização da Segunda Série, e nas demais data de integralizações pelo seu Valor Nominal Unitário</w:t>
      </w:r>
      <w:r w:rsidRPr="00C13596">
        <w:rPr>
          <w:rFonts w:ascii="Verdana" w:hAnsi="Verdana" w:cs="Tahoma"/>
          <w:sz w:val="20"/>
          <w:szCs w:val="20"/>
        </w:rPr>
        <w:t xml:space="preserve">, acrescido </w:t>
      </w:r>
      <w:r w:rsidR="00373A67"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00361BC2" w:rsidRPr="0022258D">
        <w:rPr>
          <w:rFonts w:ascii="Verdana" w:hAnsi="Verdana"/>
          <w:i/>
          <w:sz w:val="20"/>
          <w:szCs w:val="20"/>
        </w:rPr>
        <w:t xml:space="preserve"> </w:t>
      </w:r>
      <w:r w:rsidR="00361BC2"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xml:space="preserve">”), nos montantes e em uma ou mais datas indicadas </w:t>
      </w:r>
      <w:r w:rsidR="00422D55" w:rsidRPr="0022258D">
        <w:rPr>
          <w:rFonts w:ascii="Verdana" w:hAnsi="Verdana" w:cs="Tahoma"/>
          <w:sz w:val="20"/>
          <w:szCs w:val="20"/>
        </w:rPr>
        <w:t>em sua ordem de investimento</w:t>
      </w:r>
      <w:r w:rsidRPr="0022258D">
        <w:rPr>
          <w:rFonts w:ascii="Verdana" w:hAnsi="Verdana" w:cs="Tahoma"/>
          <w:sz w:val="20"/>
          <w:szCs w:val="20"/>
        </w:rPr>
        <w:t>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79"/>
      <w:r w:rsidRPr="0022258D">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5151CEF6"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80"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w:t>
      </w:r>
      <w:r w:rsidRPr="00E06B02">
        <w:rPr>
          <w:rFonts w:ascii="Verdana" w:hAnsi="Verdana" w:cs="Tahoma"/>
          <w:sz w:val="20"/>
          <w:szCs w:val="20"/>
        </w:rPr>
        <w:lastRenderedPageBreak/>
        <w:t xml:space="preserve">correspondente à Remuneração das Debêntures da </w:t>
      </w:r>
      <w:r w:rsidR="00C63465">
        <w:rPr>
          <w:rFonts w:ascii="Verdana" w:hAnsi="Verdana" w:cs="Tahoma"/>
          <w:sz w:val="20"/>
          <w:szCs w:val="20"/>
        </w:rPr>
        <w:t>Segunda</w:t>
      </w:r>
      <w:r w:rsidR="00C63465" w:rsidRPr="00E06B02">
        <w:rPr>
          <w:rFonts w:ascii="Verdana" w:hAnsi="Verdana" w:cs="Tahoma"/>
          <w:sz w:val="20"/>
          <w:szCs w:val="20"/>
        </w:rPr>
        <w:t xml:space="preserve"> </w:t>
      </w:r>
      <w:r w:rsidRPr="00E06B02">
        <w:rPr>
          <w:rFonts w:ascii="Verdana" w:hAnsi="Verdana" w:cs="Tahoma"/>
          <w:sz w:val="20"/>
          <w:szCs w:val="20"/>
        </w:rPr>
        <w:t xml:space="preserve">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80"/>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CEA8A81" w14:textId="5E914155" w:rsidR="00C63465" w:rsidRPr="003B7F96" w:rsidRDefault="00EE77BF" w:rsidP="00DC4990">
      <w:pPr>
        <w:pStyle w:val="PargrafodaLista"/>
        <w:numPr>
          <w:ilvl w:val="2"/>
          <w:numId w:val="4"/>
        </w:numPr>
        <w:spacing w:line="280" w:lineRule="exact"/>
        <w:jc w:val="both"/>
        <w:rPr>
          <w:rFonts w:ascii="Verdana" w:eastAsia="Arial Unicode MS" w:hAnsi="Verdana" w:cs="Tahoma"/>
          <w:sz w:val="20"/>
          <w:szCs w:val="20"/>
        </w:rPr>
      </w:pPr>
      <w:bookmarkStart w:id="81" w:name="_Ref71653018"/>
      <w:bookmarkStart w:id="82" w:name="_Hlk71538709"/>
      <w:r w:rsidRPr="0022258D">
        <w:rPr>
          <w:rFonts w:ascii="Verdana" w:hAnsi="Verdana" w:cs="Tahoma"/>
          <w:sz w:val="20"/>
          <w:szCs w:val="20"/>
        </w:rPr>
        <w:t xml:space="preserve">A 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da </w:t>
      </w:r>
      <w:r>
        <w:rPr>
          <w:rFonts w:ascii="Verdana" w:eastAsia="Arial Unicode MS" w:hAnsi="Verdana" w:cs="Tahoma"/>
          <w:sz w:val="20"/>
          <w:szCs w:val="20"/>
        </w:rPr>
        <w:t>Primeira</w:t>
      </w:r>
      <w:r w:rsidRPr="0022258D">
        <w:rPr>
          <w:rFonts w:ascii="Verdana" w:eastAsia="Arial Unicode MS" w:hAnsi="Verdana" w:cs="Tahoma"/>
          <w:sz w:val="20"/>
          <w:szCs w:val="20"/>
        </w:rPr>
        <w:t xml:space="preserve"> Série e de Debêntures da </w:t>
      </w:r>
      <w:r>
        <w:rPr>
          <w:rFonts w:ascii="Verdana" w:eastAsia="Arial Unicode MS" w:hAnsi="Verdana" w:cs="Tahoma"/>
          <w:sz w:val="20"/>
          <w:szCs w:val="20"/>
        </w:rPr>
        <w:t>Segunda</w:t>
      </w:r>
      <w:r w:rsidRPr="0022258D">
        <w:rPr>
          <w:rFonts w:ascii="Verdana" w:eastAsia="Arial Unicode MS" w:hAnsi="Verdana" w:cs="Tahoma"/>
          <w:sz w:val="20"/>
          <w:szCs w:val="20"/>
        </w:rPr>
        <w:t xml:space="preserve"> Série efetivamente integralizadas no âmbito da Emissão, e </w:t>
      </w:r>
      <w:r w:rsidRPr="0022258D">
        <w:rPr>
          <w:rFonts w:ascii="Verdana" w:eastAsia="Arial Unicode MS" w:hAnsi="Verdana" w:cs="Tahoma"/>
          <w:b/>
          <w:sz w:val="20"/>
          <w:szCs w:val="20"/>
        </w:rPr>
        <w:t>(ii)</w:t>
      </w:r>
      <w:r w:rsidRPr="0022258D">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30% (trinta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Pr>
          <w:rFonts w:ascii="Verdana" w:hAnsi="Verdana" w:cs="Tahoma"/>
          <w:sz w:val="20"/>
          <w:szCs w:val="20"/>
          <w:u w:val="single"/>
        </w:rPr>
        <w:t xml:space="preserve"> da Primeira Série</w:t>
      </w:r>
      <w:r w:rsidRPr="0022258D">
        <w:rPr>
          <w:rFonts w:ascii="Verdana" w:hAnsi="Verdana" w:cs="Tahoma"/>
          <w:sz w:val="20"/>
          <w:szCs w:val="20"/>
        </w:rPr>
        <w:t xml:space="preserve">”) deverá ser observada como condição precedente para a integralização das Debêntures da Primeira Série. </w:t>
      </w: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em sua ordem de investimento. </w:t>
      </w:r>
      <w:r w:rsidRPr="0022258D">
        <w:rPr>
          <w:rFonts w:ascii="Verdana" w:hAnsi="Verdana" w:cs="Tahoma"/>
          <w:sz w:val="20"/>
          <w:szCs w:val="20"/>
        </w:rPr>
        <w:t>A</w:t>
      </w:r>
      <w:r>
        <w:rPr>
          <w:rFonts w:ascii="Verdana" w:hAnsi="Verdana" w:cs="Tahoma"/>
          <w:sz w:val="20"/>
          <w:szCs w:val="20"/>
        </w:rPr>
        <w:t>dicionalmente,</w:t>
      </w:r>
      <w:r w:rsidRPr="0022258D">
        <w:rPr>
          <w:rFonts w:ascii="Verdana" w:hAnsi="Verdana" w:cs="Tahoma"/>
          <w:sz w:val="20"/>
          <w:szCs w:val="20"/>
        </w:rPr>
        <w:t xml:space="preserve"> </w:t>
      </w:r>
      <w:r>
        <w:rPr>
          <w:rFonts w:ascii="Verdana" w:hAnsi="Verdana" w:cs="Tahoma"/>
          <w:sz w:val="20"/>
          <w:szCs w:val="20"/>
        </w:rPr>
        <w:t xml:space="preserve">a </w:t>
      </w:r>
      <w:r w:rsidRPr="0022258D">
        <w:rPr>
          <w:rFonts w:ascii="Verdana" w:hAnsi="Verdana" w:cs="Tahoma"/>
          <w:sz w:val="20"/>
          <w:szCs w:val="20"/>
        </w:rPr>
        <w:t xml:space="preserve">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w:t>
      </w:r>
      <w:r>
        <w:rPr>
          <w:rFonts w:ascii="Verdana" w:eastAsia="Arial Unicode MS" w:hAnsi="Verdana" w:cs="Tahoma"/>
          <w:sz w:val="20"/>
          <w:szCs w:val="20"/>
        </w:rPr>
        <w:t>da Terceira Série</w:t>
      </w:r>
      <w:r w:rsidRPr="0022258D">
        <w:rPr>
          <w:rFonts w:ascii="Verdana" w:eastAsia="Arial Unicode MS" w:hAnsi="Verdana" w:cs="Tahoma"/>
          <w:sz w:val="20"/>
          <w:szCs w:val="20"/>
        </w:rPr>
        <w:t xml:space="preserve"> efetivamente integralizadas no âmbito da Emissão, e </w:t>
      </w:r>
      <w:r w:rsidRPr="0022258D">
        <w:rPr>
          <w:rFonts w:ascii="Verdana" w:eastAsia="Arial Unicode MS" w:hAnsi="Verdana" w:cs="Tahoma"/>
          <w:b/>
          <w:sz w:val="20"/>
          <w:szCs w:val="20"/>
        </w:rPr>
        <w:t>(ii)</w:t>
      </w:r>
      <w:r w:rsidRPr="0022258D">
        <w:rPr>
          <w:rFonts w:ascii="Verdana" w:eastAsia="Arial Unicode MS" w:hAnsi="Verdana" w:cs="Tahoma"/>
          <w:sz w:val="20"/>
          <w:szCs w:val="20"/>
        </w:rPr>
        <w:t xml:space="preserve"> o volume total de Debêntures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w:t>
      </w:r>
      <w:r>
        <w:rPr>
          <w:rFonts w:ascii="Verdana" w:eastAsia="Arial Unicode MS" w:hAnsi="Verdana" w:cs="Tahoma"/>
          <w:sz w:val="20"/>
          <w:szCs w:val="20"/>
        </w:rPr>
        <w:t>20</w:t>
      </w:r>
      <w:r w:rsidRPr="0022258D">
        <w:rPr>
          <w:rFonts w:ascii="Verdana" w:eastAsia="Arial Unicode MS" w:hAnsi="Verdana" w:cs="Tahoma"/>
          <w:sz w:val="20"/>
          <w:szCs w:val="20"/>
        </w:rPr>
        <w:t>% (</w:t>
      </w:r>
      <w:r>
        <w:rPr>
          <w:rFonts w:ascii="Verdana" w:eastAsia="Arial Unicode MS" w:hAnsi="Verdana" w:cs="Tahoma"/>
          <w:sz w:val="20"/>
          <w:szCs w:val="20"/>
        </w:rPr>
        <w:t>vinte</w:t>
      </w:r>
      <w:r w:rsidRPr="0022258D">
        <w:rPr>
          <w:rFonts w:ascii="Verdana" w:eastAsia="Arial Unicode MS" w:hAnsi="Verdana" w:cs="Tahoma"/>
          <w:sz w:val="20"/>
          <w:szCs w:val="20"/>
        </w:rPr>
        <w:t xml:space="preserve">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Pr>
          <w:rFonts w:ascii="Verdana" w:hAnsi="Verdana" w:cs="Tahoma"/>
          <w:sz w:val="20"/>
          <w:szCs w:val="20"/>
          <w:u w:val="single"/>
        </w:rPr>
        <w:t xml:space="preserve"> da Segunda Série</w:t>
      </w:r>
      <w:r w:rsidRPr="0022258D">
        <w:rPr>
          <w:rFonts w:ascii="Verdana" w:hAnsi="Verdana" w:cs="Tahoma"/>
          <w:sz w:val="20"/>
          <w:szCs w:val="20"/>
        </w:rPr>
        <w:t xml:space="preserve">”) deverá ser observada como condição precedente para a integralização das Debêntures da </w:t>
      </w:r>
      <w:r>
        <w:rPr>
          <w:rFonts w:ascii="Verdana" w:hAnsi="Verdana" w:cs="Tahoma"/>
          <w:sz w:val="20"/>
          <w:szCs w:val="20"/>
        </w:rPr>
        <w:t>Segunda</w:t>
      </w:r>
      <w:r w:rsidRPr="0022258D">
        <w:rPr>
          <w:rFonts w:ascii="Verdana" w:hAnsi="Verdana" w:cs="Tahoma"/>
          <w:sz w:val="20"/>
          <w:szCs w:val="20"/>
        </w:rPr>
        <w:t xml:space="preserve"> Série. </w:t>
      </w: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em sua ordem de investimento</w:t>
      </w:r>
      <w:r>
        <w:rPr>
          <w:rFonts w:ascii="Verdana" w:eastAsia="Arial Unicode MS" w:hAnsi="Verdana" w:cs="Tahoma"/>
          <w:sz w:val="20"/>
          <w:szCs w:val="20"/>
        </w:rPr>
        <w:t>.</w:t>
      </w:r>
      <w:bookmarkEnd w:id="81"/>
    </w:p>
    <w:bookmarkEnd w:id="82"/>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77"/>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02AA694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3"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83"/>
      <w:r w:rsidR="001C30F8">
        <w:rPr>
          <w:rFonts w:ascii="Verdana" w:hAnsi="Verdana" w:cs="Tahoma"/>
          <w:sz w:val="20"/>
          <w:szCs w:val="20"/>
        </w:rPr>
        <w:t xml:space="preserve"> </w:t>
      </w:r>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 xml:space="preserve">Esta Escritura de Emissão será aditada, no prazo de 15 (quinze) Dias Úteis contados do encerramento do Período de Colocação, sem a necessidade de realização de Assembleia Geral </w:t>
      </w:r>
      <w:r w:rsidRPr="00E06B02">
        <w:rPr>
          <w:rFonts w:ascii="Verdana" w:hAnsi="Verdana" w:cs="Tahoma"/>
          <w:sz w:val="20"/>
          <w:szCs w:val="20"/>
        </w:rPr>
        <w:lastRenderedPageBreak/>
        <w:t>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15B4CB5F"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84" w:name="_DV_M146"/>
      <w:bookmarkEnd w:id="84"/>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w:t>
      </w:r>
      <w:r w:rsidR="00D07B6F">
        <w:rPr>
          <w:rFonts w:ascii="Verdana" w:eastAsia="Arial Unicode MS" w:hAnsi="Verdana" w:cs="Tahoma"/>
          <w:sz w:val="20"/>
          <w:szCs w:val="20"/>
        </w:rPr>
        <w:t>278</w:t>
      </w:r>
      <w:r w:rsidR="00D07B6F" w:rsidRPr="00E06B02" w:rsidDel="00106F0D">
        <w:rPr>
          <w:rFonts w:ascii="Verdana" w:hAnsi="Verdana" w:cs="Tahoma"/>
          <w:sz w:val="20"/>
          <w:szCs w:val="20"/>
        </w:rPr>
        <w:t xml:space="preserve"> </w:t>
      </w:r>
      <w:r w:rsidR="00106F0D" w:rsidRPr="00E06B02">
        <w:rPr>
          <w:rFonts w:ascii="Verdana" w:hAnsi="Verdana" w:cs="Tahoma"/>
          <w:sz w:val="20"/>
          <w:szCs w:val="20"/>
        </w:rPr>
        <w:t xml:space="preserve">(mil </w:t>
      </w:r>
      <w:r w:rsidR="00D07B6F">
        <w:rPr>
          <w:rFonts w:ascii="Verdana" w:hAnsi="Verdana" w:cs="Tahoma"/>
          <w:sz w:val="20"/>
          <w:szCs w:val="20"/>
        </w:rPr>
        <w:t>duzentos e setenta e oito</w:t>
      </w:r>
      <w:r w:rsidR="00106F0D"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sidR="00D73F1F">
        <w:rPr>
          <w:rFonts w:ascii="Verdana" w:hAnsi="Verdana" w:cs="Tahoma"/>
          <w:sz w:val="20"/>
          <w:szCs w:val="20"/>
        </w:rPr>
        <w:t>1</w:t>
      </w:r>
      <w:r w:rsidR="00AF0D5C">
        <w:rPr>
          <w:rFonts w:ascii="Verdana" w:hAnsi="Verdana" w:cs="Tahoma"/>
          <w:sz w:val="20"/>
          <w:szCs w:val="20"/>
        </w:rPr>
        <w:t>0</w:t>
      </w:r>
      <w:r w:rsidR="00D73F1F" w:rsidRPr="00E06B02">
        <w:rPr>
          <w:rFonts w:ascii="Verdana" w:hAnsi="Verdana" w:cs="Tahoma"/>
          <w:sz w:val="20"/>
          <w:szCs w:val="20"/>
        </w:rPr>
        <w:t xml:space="preserve"> </w:t>
      </w:r>
      <w:r w:rsidR="007813F3" w:rsidRPr="00E06B02">
        <w:rPr>
          <w:rFonts w:ascii="Verdana" w:hAnsi="Verdana" w:cs="Tahoma"/>
          <w:sz w:val="20"/>
          <w:szCs w:val="20"/>
        </w:rPr>
        <w:t xml:space="preserve">de </w:t>
      </w:r>
      <w:r w:rsidR="00D07B6F">
        <w:rPr>
          <w:rFonts w:ascii="Verdana" w:hAnsi="Verdana" w:cs="Tahoma"/>
          <w:sz w:val="20"/>
          <w:szCs w:val="20"/>
        </w:rPr>
        <w:t>dezembro</w:t>
      </w:r>
      <w:r w:rsidR="00D07B6F" w:rsidRPr="00E06B02">
        <w:rPr>
          <w:rFonts w:ascii="Verdana" w:hAnsi="Verdana" w:cs="Tahoma"/>
          <w:sz w:val="20"/>
          <w:szCs w:val="20"/>
        </w:rPr>
        <w:t xml:space="preserve"> </w:t>
      </w:r>
      <w:r w:rsidR="00106F0D" w:rsidRPr="00E06B02">
        <w:rPr>
          <w:rFonts w:ascii="Verdana" w:hAnsi="Verdana" w:cs="Tahoma"/>
          <w:sz w:val="20"/>
          <w:szCs w:val="20"/>
        </w:rPr>
        <w:t>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07411FC4" w:rsidR="00EB5CDB" w:rsidRPr="00E06B02" w:rsidRDefault="008E55E6" w:rsidP="00E06B02">
      <w:pPr>
        <w:keepNext/>
        <w:numPr>
          <w:ilvl w:val="1"/>
          <w:numId w:val="4"/>
        </w:numPr>
        <w:spacing w:line="280" w:lineRule="exact"/>
        <w:jc w:val="both"/>
        <w:rPr>
          <w:rFonts w:ascii="Verdana" w:hAnsi="Verdana" w:cs="Tahoma"/>
          <w:sz w:val="20"/>
          <w:szCs w:val="20"/>
        </w:rPr>
      </w:pPr>
      <w:bookmarkStart w:id="85" w:name="_Ref422946329"/>
      <w:bookmarkStart w:id="86"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0E38DB0C"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87"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00C96983" w:rsidRPr="00DC4990">
        <w:rPr>
          <w:rFonts w:ascii="Verdana" w:hAnsi="Verdana" w:cs="Calibri"/>
          <w:sz w:val="20"/>
          <w:szCs w:val="20"/>
        </w:rPr>
        <w:t>100</w:t>
      </w:r>
      <w:r w:rsidR="00C96983" w:rsidRPr="00C96983">
        <w:rPr>
          <w:rFonts w:ascii="Verdana" w:hAnsi="Verdana" w:cs="Tahoma"/>
          <w:sz w:val="20"/>
          <w:szCs w:val="20"/>
        </w:rPr>
        <w:t xml:space="preserve">% </w:t>
      </w:r>
      <w:r w:rsidR="00C96983" w:rsidRPr="001B6414">
        <w:rPr>
          <w:rFonts w:ascii="Verdana" w:hAnsi="Verdana" w:cs="Tahoma"/>
          <w:sz w:val="20"/>
          <w:szCs w:val="20"/>
        </w:rPr>
        <w:t>(</w:t>
      </w:r>
      <w:r w:rsidR="00C96983" w:rsidRPr="00DC4990">
        <w:rPr>
          <w:rFonts w:ascii="Verdana" w:hAnsi="Verdana" w:cs="Calibri"/>
          <w:sz w:val="20"/>
          <w:szCs w:val="20"/>
        </w:rPr>
        <w:t>cem</w:t>
      </w:r>
      <w:r w:rsidR="00C96983" w:rsidRPr="001B6414">
        <w:rPr>
          <w:rFonts w:ascii="Verdana" w:hAnsi="Verdana" w:cs="Tahoma"/>
          <w:sz w:val="20"/>
          <w:szCs w:val="20"/>
        </w:rPr>
        <w:t xml:space="preserve"> </w:t>
      </w:r>
      <w:r w:rsidRPr="001B6414">
        <w:rPr>
          <w:rFonts w:ascii="Verdana" w:hAnsi="Verdana" w:cs="Tahoma"/>
          <w:sz w:val="20"/>
          <w:szCs w:val="20"/>
        </w:rPr>
        <w:t>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informativo diário disponível em sua página na internet (http://www.</w:t>
      </w:r>
      <w:r w:rsidR="00426A51">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87"/>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8" w:name="_Ref497551838"/>
      <w:bookmarkStart w:id="89" w:name="_Ref476845774"/>
      <w:bookmarkStart w:id="90"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8"/>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lastRenderedPageBreak/>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3A64DD"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7" o:title=""/>
          </v:shape>
          <o:OLEObject Type="Embed" ProgID="Equation.3" ShapeID="_x0000_s1028" DrawAspect="Content" ObjectID="_1682425713" r:id="rId18"/>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3A64DD"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9" o:title=""/>
          </v:shape>
          <o:OLEObject Type="Embed" ProgID="Equation.3" ShapeID="_x0000_s1027" DrawAspect="Content" ObjectID="_1682425714" r:id="rId20"/>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3A64DD"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21" o:title=""/>
          </v:shape>
          <o:OLEObject Type="Embed" ProgID="Equation.3" ShapeID="_x0000_s1026" DrawAspect="Content" ObjectID="_1682425715" r:id="rId22"/>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5389C89B"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3638264A"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1"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sidR="00426A51">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91"/>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3A64DD"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7" o:title=""/>
          </v:shape>
          <o:OLEObject Type="Embed" ProgID="Equation.3" ShapeID="_x0000_s1029" DrawAspect="Content" ObjectID="_1682425716" r:id="rId23"/>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3A64DD"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9" o:title=""/>
          </v:shape>
          <o:OLEObject Type="Embed" ProgID="Equation.3" ShapeID="_x0000_s1030" DrawAspect="Content" ObjectID="_1682425717" r:id="rId24"/>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3A64DD"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21" o:title=""/>
          </v:shape>
          <o:OLEObject Type="Embed" ProgID="Equation.3" ShapeID="_x0000_s1031" DrawAspect="Content" ObjectID="_1682425718" r:id="rId25"/>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92"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92"/>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6EEF709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05EC12E2"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w:t>
      </w:r>
      <w:r w:rsidR="0080067F">
        <w:rPr>
          <w:rFonts w:ascii="Verdana" w:hAnsi="Verdana" w:cs="Tahoma"/>
          <w:sz w:val="20"/>
          <w:szCs w:val="20"/>
        </w:rPr>
        <w:t>a Emissora deverá, após a verificação de ausência de recursos para pagamento das Debêntures</w:t>
      </w:r>
      <w:r w:rsidR="0097180A">
        <w:rPr>
          <w:rFonts w:ascii="Verdana" w:hAnsi="Verdana" w:cs="Tahoma"/>
          <w:sz w:val="20"/>
          <w:szCs w:val="20"/>
        </w:rPr>
        <w:t xml:space="preserve"> da Primeira Série</w:t>
      </w:r>
      <w:r w:rsidR="0080067F">
        <w:rPr>
          <w:rFonts w:ascii="Verdana" w:hAnsi="Verdana" w:cs="Tahoma"/>
          <w:sz w:val="20"/>
          <w:szCs w:val="20"/>
        </w:rPr>
        <w:t>, comunicar a B3 para retirada do “evento de pagamento”</w:t>
      </w:r>
      <w:r w:rsidR="0097180A">
        <w:rPr>
          <w:rFonts w:ascii="Verdana" w:hAnsi="Verdana" w:cs="Tahoma"/>
          <w:sz w:val="20"/>
          <w:szCs w:val="20"/>
        </w:rPr>
        <w:t>,</w:t>
      </w:r>
      <w:r w:rsidR="0080067F">
        <w:rPr>
          <w:rFonts w:ascii="Verdana" w:hAnsi="Verdana" w:cs="Tahoma"/>
          <w:sz w:val="20"/>
          <w:szCs w:val="20"/>
        </w:rPr>
        <w:t xml:space="preserve"> de modo que o Período de Capitalização da Primeira Série será </w:t>
      </w:r>
      <w:r w:rsidR="00140EA4">
        <w:rPr>
          <w:rFonts w:ascii="Verdana" w:hAnsi="Verdana" w:cs="Tahoma"/>
          <w:sz w:val="20"/>
          <w:szCs w:val="20"/>
        </w:rPr>
        <w:t>estendido</w:t>
      </w:r>
      <w:r w:rsidR="0080067F">
        <w:rPr>
          <w:rFonts w:ascii="Verdana" w:hAnsi="Verdana" w:cs="Tahoma"/>
          <w:sz w:val="20"/>
          <w:szCs w:val="20"/>
        </w:rPr>
        <w:t>, encerrando somente na próxima Data de Pagamento</w:t>
      </w:r>
      <w:r w:rsidR="0097180A">
        <w:rPr>
          <w:rFonts w:ascii="Verdana" w:hAnsi="Verdana" w:cs="Tahoma"/>
          <w:sz w:val="20"/>
          <w:szCs w:val="20"/>
        </w:rPr>
        <w:t>. Deste modo, a</w:t>
      </w:r>
      <w:r w:rsidRPr="00E06B02">
        <w:rPr>
          <w:rFonts w:ascii="Verdana" w:hAnsi="Verdana" w:cs="Tahoma"/>
          <w:sz w:val="20"/>
          <w:szCs w:val="20"/>
        </w:rPr>
        <w:t xml:space="preserve">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r w:rsidR="0080067F">
        <w:rPr>
          <w:rFonts w:ascii="Verdana" w:hAnsi="Verdana" w:cs="Tahoma"/>
          <w:sz w:val="20"/>
          <w:szCs w:val="20"/>
        </w:rPr>
        <w:t xml:space="preserve"> </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3"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93"/>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560A17E5"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w:t>
      </w:r>
      <w:r w:rsidRPr="00E06B02">
        <w:rPr>
          <w:rFonts w:ascii="Verdana" w:hAnsi="Verdana" w:cs="Tahoma"/>
          <w:sz w:val="20"/>
          <w:szCs w:val="20"/>
        </w:rPr>
        <w:lastRenderedPageBreak/>
        <w:t>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w:t>
      </w:r>
      <w:r w:rsidR="0097180A">
        <w:rPr>
          <w:rFonts w:ascii="Verdana" w:hAnsi="Verdana" w:cs="Tahoma"/>
          <w:sz w:val="20"/>
          <w:szCs w:val="20"/>
        </w:rPr>
        <w:t xml:space="preserve"> a Emissora deverá, após a verificação de ausência de recursos para pagamento das Debêntures da Segunda Série, comunicar a B3 para retirada do “evento de pagamento”, de modo que o Período de Capitalização da Segunda Série será </w:t>
      </w:r>
      <w:r w:rsidR="00140EA4">
        <w:rPr>
          <w:rFonts w:ascii="Verdana" w:hAnsi="Verdana" w:cs="Tahoma"/>
          <w:sz w:val="20"/>
          <w:szCs w:val="20"/>
        </w:rPr>
        <w:t>estendido</w:t>
      </w:r>
      <w:r w:rsidR="0097180A">
        <w:rPr>
          <w:rFonts w:ascii="Verdana" w:hAnsi="Verdana" w:cs="Tahoma"/>
          <w:sz w:val="20"/>
          <w:szCs w:val="20"/>
        </w:rPr>
        <w:t>,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94" w:name="_Ref515465259"/>
      <w:bookmarkEnd w:id="89"/>
      <w:bookmarkEnd w:id="90"/>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94"/>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95"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95"/>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6"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96"/>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7" w:name="_Ref518572356"/>
      <w:r w:rsidRPr="00E06B02">
        <w:rPr>
          <w:rFonts w:ascii="Verdana" w:hAnsi="Verdana" w:cs="Tahoma"/>
          <w:sz w:val="20"/>
          <w:szCs w:val="20"/>
        </w:rPr>
        <w:lastRenderedPageBreak/>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7"/>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85"/>
      <w:r w:rsidRPr="00E06B02">
        <w:rPr>
          <w:rFonts w:ascii="Verdana" w:eastAsia="MS Mincho" w:hAnsi="Verdana" w:cs="Tahoma"/>
          <w:b/>
          <w:sz w:val="20"/>
          <w:szCs w:val="20"/>
        </w:rPr>
        <w:t xml:space="preserve"> Obrigatória</w:t>
      </w:r>
      <w:bookmarkEnd w:id="86"/>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8" w:name="_Ref497552677"/>
      <w:bookmarkStart w:id="99"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8"/>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78D1BF84"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0" w:name="_Ref495583440"/>
      <w:r w:rsidRPr="00E06B02">
        <w:rPr>
          <w:rFonts w:ascii="Verdana" w:hAnsi="Verdana" w:cs="Tahoma"/>
          <w:sz w:val="20"/>
          <w:szCs w:val="20"/>
        </w:rPr>
        <w:t xml:space="preserve">Observados os termos desta Escritura de Emissão, especialmente quanto à Ordem de Alocação de Recursos, o Valor Nominal Unitário </w:t>
      </w:r>
      <w:r w:rsidR="00140EA4">
        <w:rPr>
          <w:rFonts w:ascii="Verdana" w:hAnsi="Verdana" w:cs="Tahoma"/>
          <w:sz w:val="20"/>
          <w:szCs w:val="20"/>
        </w:rPr>
        <w:t>ou</w:t>
      </w:r>
      <w:r w:rsidR="00472075">
        <w:rPr>
          <w:rFonts w:ascii="Verdana" w:hAnsi="Verdana" w:cs="Tahoma"/>
          <w:sz w:val="20"/>
          <w:szCs w:val="20"/>
        </w:rPr>
        <w:t xml:space="preserve"> o saldo do Valor Nominal Unitário </w:t>
      </w:r>
      <w:r w:rsidRPr="00E06B02">
        <w:rPr>
          <w:rFonts w:ascii="Verdana" w:hAnsi="Verdana" w:cs="Tahoma"/>
          <w:sz w:val="20"/>
          <w:szCs w:val="20"/>
        </w:rPr>
        <w:t>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100"/>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w:t>
      </w:r>
      <w:r w:rsidR="005760A3" w:rsidRPr="005760A3">
        <w:rPr>
          <w:rFonts w:ascii="Verdana" w:eastAsia="Times New Roman" w:hAnsi="Verdana" w:cs="Tahoma"/>
          <w:sz w:val="20"/>
          <w:szCs w:val="20"/>
        </w:rPr>
        <w:t xml:space="preserve"> </w:t>
      </w:r>
      <w:r w:rsidR="005760A3" w:rsidRPr="005760A3">
        <w:rPr>
          <w:rFonts w:ascii="Verdana" w:hAnsi="Verdana" w:cs="Tahoma"/>
          <w:sz w:val="20"/>
          <w:szCs w:val="20"/>
        </w:rPr>
        <w:t>mediante aprovação em Assembleia Geral de Debenturistas</w:t>
      </w:r>
      <w:r w:rsidRPr="00E06B02">
        <w:rPr>
          <w:rFonts w:ascii="Verdana" w:hAnsi="Verdana" w:cs="Tahoma"/>
          <w:sz w:val="20"/>
          <w:szCs w:val="20"/>
        </w:rPr>
        <w:t xml:space="preserve"> (ii) da respectiva data na qual ocorrerá o pagamento, assim como (iii)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2E157292"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1"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101"/>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2" w:name="_Ref479690860"/>
      <w:bookmarkStart w:id="103" w:name="_Ref495588302"/>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w:t>
      </w:r>
      <w:r w:rsidRPr="00E06B02">
        <w:rPr>
          <w:rFonts w:ascii="Verdana" w:hAnsi="Verdana" w:cs="Tahoma"/>
          <w:sz w:val="20"/>
          <w:szCs w:val="20"/>
        </w:rPr>
        <w:lastRenderedPageBreak/>
        <w:t>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02"/>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4" w:name="_Ref497581146"/>
      <w:bookmarkEnd w:id="103"/>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04"/>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5"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5"/>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w:t>
      </w:r>
      <w:r w:rsidRPr="00E06B02">
        <w:rPr>
          <w:rFonts w:ascii="Verdana" w:hAnsi="Verdana" w:cs="Tahoma"/>
          <w:sz w:val="20"/>
          <w:szCs w:val="20"/>
        </w:rPr>
        <w:lastRenderedPageBreak/>
        <w:t>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99"/>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79C2791C"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06" w:name="_Ref521594228"/>
      <w:bookmarkStart w:id="107" w:name="_Ref517600953"/>
      <w:r w:rsidRPr="00E06B02">
        <w:rPr>
          <w:rFonts w:ascii="Verdana" w:hAnsi="Verdana" w:cs="Tahoma"/>
          <w:b/>
          <w:sz w:val="20"/>
          <w:szCs w:val="20"/>
        </w:rPr>
        <w:t xml:space="preserve">Prêmio </w:t>
      </w:r>
      <w:r w:rsidR="00D73F1F">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06"/>
      <w:r w:rsidRPr="00E06B02">
        <w:rPr>
          <w:rFonts w:ascii="Verdana" w:eastAsia="MS Mincho" w:hAnsi="Verdana"/>
          <w:b/>
          <w:sz w:val="20"/>
          <w:szCs w:val="20"/>
        </w:rPr>
        <w:t xml:space="preserve">Direitos Creditórios </w:t>
      </w:r>
      <w:bookmarkEnd w:id="107"/>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792848C2"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08"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 xml:space="preserve">os </w:t>
      </w:r>
      <w:r w:rsidRPr="00E06B02">
        <w:rPr>
          <w:rFonts w:ascii="Verdana" w:hAnsi="Verdana" w:cs="Tahoma"/>
          <w:sz w:val="20"/>
          <w:szCs w:val="20"/>
        </w:rPr>
        <w:lastRenderedPageBreak/>
        <w:t>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D73F1F">
        <w:rPr>
          <w:rFonts w:ascii="Verdana" w:hAnsi="Verdana" w:cs="Tahoma"/>
          <w:sz w:val="20"/>
          <w:szCs w:val="20"/>
        </w:rPr>
        <w:t>prêmio de reembolso calculado com base na receita</w:t>
      </w:r>
      <w:r w:rsidR="005760A3">
        <w:rPr>
          <w:rFonts w:ascii="Verdana" w:hAnsi="Verdana" w:cs="Tahoma"/>
          <w:sz w:val="20"/>
          <w:szCs w:val="20"/>
        </w:rPr>
        <w:t xml:space="preserve"> </w:t>
      </w:r>
      <w:r w:rsidR="00017F48" w:rsidRPr="00E06B02">
        <w:rPr>
          <w:rFonts w:ascii="Verdana" w:hAnsi="Verdana" w:cs="Tahoma"/>
          <w:sz w:val="20"/>
          <w:szCs w:val="20"/>
        </w:rPr>
        <w:t>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 xml:space="preserve">Prêmio </w:t>
      </w:r>
      <w:r w:rsidR="00244E7C">
        <w:rPr>
          <w:rFonts w:ascii="Verdana" w:hAnsi="Verdana" w:cs="Tahoma"/>
          <w:sz w:val="20"/>
          <w:szCs w:val="20"/>
          <w:u w:val="single"/>
        </w:rPr>
        <w:t xml:space="preserve">de Reembolso </w:t>
      </w:r>
      <w:r w:rsidR="00017F48"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08"/>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 xml:space="preserve">Prêmio </w:t>
      </w:r>
      <w:r w:rsidR="00244E7C">
        <w:rPr>
          <w:rFonts w:ascii="Verdana" w:hAnsi="Verdana"/>
          <w:sz w:val="20"/>
          <w:szCs w:val="20"/>
        </w:rPr>
        <w:t xml:space="preserve">de Reembolso </w:t>
      </w:r>
      <w:r w:rsidR="00017F48" w:rsidRPr="00E06B02">
        <w:rPr>
          <w:rFonts w:ascii="Verdana" w:hAnsi="Verdana"/>
          <w:sz w:val="20"/>
          <w:szCs w:val="20"/>
        </w:rPr>
        <w:t>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9" w:name="_DV_M139"/>
      <w:bookmarkStart w:id="110" w:name="_DV_M141"/>
      <w:bookmarkEnd w:id="109"/>
      <w:bookmarkEnd w:id="110"/>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741518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1" w:name="_Ref474448575"/>
      <w:bookmarkStart w:id="112" w:name="_Ref476852704"/>
      <w:bookmarkStart w:id="113"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 xml:space="preserve">Prêmio </w:t>
      </w:r>
      <w:r w:rsidR="00244E7C">
        <w:rPr>
          <w:rFonts w:ascii="Verdana" w:hAnsi="Verdana" w:cs="Tahoma"/>
          <w:sz w:val="20"/>
          <w:szCs w:val="20"/>
        </w:rPr>
        <w:t xml:space="preserve">de Reembolso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11"/>
      <w:bookmarkEnd w:id="112"/>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 xml:space="preserve">Prêmio </w:t>
      </w:r>
      <w:r w:rsidR="00244E7C">
        <w:rPr>
          <w:rFonts w:ascii="Verdana" w:hAnsi="Verdana" w:cs="Tahoma"/>
          <w:sz w:val="20"/>
          <w:szCs w:val="20"/>
        </w:rPr>
        <w:t>de Reembolso</w:t>
      </w:r>
      <w:r w:rsidR="00244E7C"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13"/>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4" w:name="_Ref475542670"/>
      <w:bookmarkStart w:id="115" w:name="_Ref478044661"/>
      <w:bookmarkStart w:id="116"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w:t>
      </w:r>
      <w:r w:rsidRPr="00E06B02">
        <w:rPr>
          <w:rFonts w:ascii="Verdana" w:hAnsi="Verdana" w:cs="Tahoma"/>
          <w:sz w:val="20"/>
          <w:szCs w:val="20"/>
        </w:rPr>
        <w:lastRenderedPageBreak/>
        <w:t xml:space="preserve">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14"/>
      <w:bookmarkEnd w:id="115"/>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16"/>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7" w:name="_DV_M197"/>
      <w:bookmarkStart w:id="118" w:name="_Ref475679731"/>
      <w:bookmarkEnd w:id="117"/>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767D04DF"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r w:rsidR="00AF0D5C">
        <w:rPr>
          <w:rFonts w:ascii="Verdana" w:hAnsi="Verdana" w:cs="Tahoma"/>
          <w:sz w:val="20"/>
          <w:szCs w:val="20"/>
          <w:lang w:val="pt-BR"/>
        </w:rPr>
        <w:t xml:space="preserve"> até o Limite da Amortização Extraordinária Obrigatória d</w:t>
      </w:r>
      <w:r w:rsidR="00961A8F">
        <w:rPr>
          <w:rFonts w:ascii="Verdana" w:hAnsi="Verdana" w:cs="Tahoma"/>
          <w:sz w:val="20"/>
          <w:szCs w:val="20"/>
          <w:lang w:val="pt-BR"/>
        </w:rPr>
        <w:t xml:space="preserve">a </w:t>
      </w:r>
      <w:r w:rsidR="00AF0D5C">
        <w:rPr>
          <w:rFonts w:ascii="Verdana" w:hAnsi="Verdana" w:cs="Tahoma"/>
          <w:sz w:val="20"/>
          <w:szCs w:val="20"/>
          <w:lang w:val="pt-BR"/>
        </w:rPr>
        <w:t>Primeira Série</w:t>
      </w:r>
      <w:r w:rsidRPr="00E06B02">
        <w:rPr>
          <w:rFonts w:ascii="Verdana" w:hAnsi="Verdana" w:cs="Tahoma"/>
          <w:sz w:val="20"/>
          <w:szCs w:val="20"/>
          <w:lang w:val="pt-BR"/>
        </w:rPr>
        <w:t>;</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63152A2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 xml:space="preserve">de Reembolso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223C7D96"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r w:rsidR="00AF0D5C">
        <w:rPr>
          <w:rFonts w:ascii="Verdana" w:hAnsi="Verdana" w:cs="Tahoma"/>
          <w:sz w:val="20"/>
          <w:szCs w:val="20"/>
          <w:lang w:val="pt-BR"/>
        </w:rPr>
        <w:t xml:space="preserve"> até o Limite da Amortização Extraordinária Obrigatória Segunda Série</w:t>
      </w:r>
      <w:r w:rsidRPr="00E06B02">
        <w:rPr>
          <w:rFonts w:ascii="Verdana" w:hAnsi="Verdana" w:cs="Tahoma"/>
          <w:sz w:val="20"/>
          <w:szCs w:val="20"/>
          <w:lang w:val="pt-BR"/>
        </w:rPr>
        <w:t>;</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3186CBBE" w:rsidR="00574DDE" w:rsidRPr="00E06B02" w:rsidRDefault="00961A8F"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Pr>
          <w:rFonts w:ascii="Verdana" w:hAnsi="Verdana" w:cs="Tahoma"/>
          <w:sz w:val="20"/>
          <w:szCs w:val="20"/>
          <w:lang w:val="pt-BR"/>
        </w:rPr>
        <w:t>Segunda</w:t>
      </w:r>
      <w:r w:rsidRPr="00E06B02">
        <w:rPr>
          <w:rFonts w:ascii="Verdana" w:hAnsi="Verdana" w:cs="Tahoma"/>
          <w:sz w:val="20"/>
          <w:szCs w:val="20"/>
          <w:lang w:val="pt-BR"/>
        </w:rPr>
        <w:t xml:space="preserve"> Série, sendo certo que havendo recursos disponíveis para pagamento do Prêmio </w:t>
      </w:r>
      <w:r>
        <w:rPr>
          <w:rFonts w:ascii="Verdana" w:hAnsi="Verdana" w:cs="Tahoma"/>
          <w:sz w:val="20"/>
          <w:szCs w:val="20"/>
          <w:lang w:val="pt-BR"/>
        </w:rPr>
        <w:t xml:space="preserve">de Reembolso </w:t>
      </w:r>
      <w:r w:rsidRPr="00E06B02">
        <w:rPr>
          <w:rFonts w:ascii="Verdana" w:hAnsi="Verdana" w:cs="Tahoma"/>
          <w:sz w:val="20"/>
          <w:szCs w:val="20"/>
          <w:lang w:val="pt-BR"/>
        </w:rPr>
        <w:t xml:space="preserve">Sobre a Receita dos Direitos Creditórios Vinculados,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r w:rsidR="00574DDE" w:rsidRPr="00E06B02">
        <w:rPr>
          <w:rFonts w:ascii="Verdana" w:hAnsi="Verdana" w:cs="Tahoma"/>
          <w:sz w:val="20"/>
          <w:szCs w:val="20"/>
          <w:lang w:val="pt-BR"/>
        </w:rPr>
        <w:t>;</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215C0F91"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r w:rsidR="00961A8F">
        <w:rPr>
          <w:rFonts w:ascii="Verdana" w:hAnsi="Verdana" w:cs="Tahoma"/>
          <w:sz w:val="20"/>
          <w:szCs w:val="20"/>
          <w:lang w:val="pt-BR"/>
        </w:rPr>
        <w:t xml:space="preserve"> até o Limite da Amortização Extraordinária Obrigatória Terceira Série</w:t>
      </w:r>
      <w:r w:rsidRPr="00E06B02">
        <w:rPr>
          <w:rFonts w:ascii="Verdana" w:hAnsi="Verdana" w:cs="Tahoma"/>
          <w:sz w:val="20"/>
          <w:szCs w:val="20"/>
          <w:lang w:val="pt-BR"/>
        </w:rPr>
        <w:t>;</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68DB0D9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de Reembolso</w:t>
      </w:r>
      <w:r w:rsidR="00244E7C" w:rsidRPr="00E06B02">
        <w:rPr>
          <w:rFonts w:ascii="Verdana" w:hAnsi="Verdana" w:cs="Tahoma"/>
          <w:sz w:val="20"/>
          <w:szCs w:val="20"/>
          <w:lang w:val="pt-BR"/>
        </w:rPr>
        <w:t xml:space="preserve">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8"/>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19"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19"/>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0" w:name="_Ref498986511"/>
      <w:bookmarkStart w:id="121"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22" w:name="art1365p"/>
      <w:bookmarkEnd w:id="120"/>
      <w:bookmarkEnd w:id="121"/>
      <w:bookmarkEnd w:id="122"/>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60BB4E6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3" w:name="_Ref497551749"/>
      <w:bookmarkStart w:id="124"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sidR="00244E7C">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25"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25"/>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sidR="00C63465">
        <w:rPr>
          <w:rFonts w:ascii="Verdana" w:hAnsi="Verdana" w:cs="Tahoma"/>
          <w:sz w:val="20"/>
          <w:szCs w:val="20"/>
        </w:rPr>
        <w:t>alienação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w:t>
      </w:r>
      <w:r w:rsidRPr="00E06B02">
        <w:rPr>
          <w:rFonts w:ascii="Verdana" w:hAnsi="Verdana" w:cs="Tahoma"/>
          <w:sz w:val="20"/>
          <w:szCs w:val="20"/>
        </w:rPr>
        <w:lastRenderedPageBreak/>
        <w:t xml:space="preserve">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3"/>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24"/>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6" w:name="_Ref495594053"/>
      <w:r w:rsidRPr="00E06B02">
        <w:rPr>
          <w:rFonts w:ascii="Verdana" w:hAnsi="Verdana" w:cs="Tahoma"/>
          <w:sz w:val="20"/>
          <w:szCs w:val="20"/>
        </w:rPr>
        <w:t xml:space="preserve"> e o Agente Fiduciário assim decidam, não restando qualquer relação entre </w:t>
      </w:r>
      <w:bookmarkEnd w:id="126"/>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27" w:name="_Ref495594341"/>
      <w:bookmarkStart w:id="128"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7994637E"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ou em prazo diverso acordado entre a Emissora e os Debenturistas,</w:t>
      </w:r>
      <w:r w:rsidR="005760A3">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127"/>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28"/>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w:t>
      </w:r>
      <w:r w:rsidRPr="00A04FB5">
        <w:rPr>
          <w:rFonts w:ascii="Verdana" w:hAnsi="Verdana" w:cs="Tahoma"/>
          <w:sz w:val="20"/>
          <w:szCs w:val="20"/>
        </w:rPr>
        <w:lastRenderedPageBreak/>
        <w:t>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638A1FAD"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sidR="001E09FC">
        <w:rPr>
          <w:rFonts w:ascii="Verdana" w:hAnsi="Verdana" w:cs="Tahoma"/>
          <w:sz w:val="20"/>
          <w:szCs w:val="20"/>
        </w:rPr>
        <w:t>s</w:t>
      </w:r>
      <w:r w:rsidRPr="00E06B02">
        <w:rPr>
          <w:rFonts w:ascii="Verdana" w:hAnsi="Verdana" w:cs="Tahoma"/>
          <w:sz w:val="20"/>
          <w:szCs w:val="20"/>
        </w:rPr>
        <w:t xml:space="preserve">aldo </w:t>
      </w:r>
      <w:r w:rsidR="001E09FC">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9" w:name="_DV_M211"/>
      <w:bookmarkEnd w:id="129"/>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0" w:name="_DV_M212"/>
      <w:bookmarkEnd w:id="130"/>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1" w:name="_Ref495596651"/>
      <w:r w:rsidRPr="00E06B02">
        <w:rPr>
          <w:rFonts w:ascii="Verdana" w:eastAsia="MS Mincho" w:hAnsi="Verdana" w:cs="Tahoma"/>
          <w:b/>
          <w:sz w:val="20"/>
          <w:szCs w:val="20"/>
        </w:rPr>
        <w:lastRenderedPageBreak/>
        <w:t>Encargos Moratórios</w:t>
      </w:r>
      <w:bookmarkEnd w:id="131"/>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32" w:name="_DV_M96"/>
      <w:bookmarkEnd w:id="132"/>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3" w:name="_Ref481525172"/>
      <w:r w:rsidRPr="00E06B02">
        <w:rPr>
          <w:rFonts w:ascii="Verdana" w:eastAsia="MS Mincho" w:hAnsi="Verdana" w:cs="Tahoma"/>
          <w:b/>
          <w:sz w:val="20"/>
          <w:szCs w:val="20"/>
        </w:rPr>
        <w:t>Garantia</w:t>
      </w:r>
      <w:bookmarkEnd w:id="133"/>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76D5FB35"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34"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 xml:space="preserve">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4"/>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5208774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732EAA">
        <w:rPr>
          <w:rFonts w:ascii="Verdana" w:hAnsi="Verdana" w:cs="Tahoma"/>
          <w:sz w:val="20"/>
          <w:szCs w:val="20"/>
        </w:rPr>
        <w:t>Cedidos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4FC1B410"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5" w:name="_DV_M147"/>
      <w:bookmarkStart w:id="136" w:name="_Ref422391862"/>
      <w:bookmarkStart w:id="137" w:name="_Ref491979942"/>
      <w:bookmarkStart w:id="138" w:name="_Ref497553343"/>
      <w:bookmarkEnd w:id="135"/>
      <w:r w:rsidRPr="00E06B02">
        <w:rPr>
          <w:rFonts w:ascii="Verdana" w:eastAsia="MS Mincho" w:hAnsi="Verdana" w:cs="Tahoma"/>
          <w:b/>
          <w:sz w:val="20"/>
          <w:szCs w:val="20"/>
        </w:rPr>
        <w:t>Eventos de Aceleração de Vencimento e</w:t>
      </w:r>
      <w:r w:rsidR="00732EAA">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39" w:name="_DV_M168"/>
      <w:bookmarkEnd w:id="136"/>
      <w:bookmarkEnd w:id="137"/>
      <w:bookmarkEnd w:id="138"/>
      <w:bookmarkEnd w:id="139"/>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60E3C699" w14:textId="77777777" w:rsidR="00732EAA" w:rsidRPr="00E06B02" w:rsidRDefault="00732EAA" w:rsidP="00732EAA">
      <w:pPr>
        <w:pStyle w:val="PargrafodaLista"/>
        <w:numPr>
          <w:ilvl w:val="2"/>
          <w:numId w:val="4"/>
        </w:numPr>
        <w:spacing w:line="280" w:lineRule="exact"/>
        <w:jc w:val="both"/>
        <w:rPr>
          <w:rFonts w:ascii="Verdana" w:hAnsi="Verdana" w:cs="Tahoma"/>
          <w:sz w:val="20"/>
          <w:szCs w:val="20"/>
        </w:rPr>
      </w:pPr>
      <w:bookmarkStart w:id="140" w:name="_Ref518568334"/>
      <w:bookmarkStart w:id="141" w:name="_Hlk57908732"/>
      <w:bookmarkStart w:id="142"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40"/>
    <w:bookmarkEnd w:id="141"/>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2AE3F3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r w:rsidRPr="00E06B02">
        <w:rPr>
          <w:rFonts w:ascii="Verdana" w:hAnsi="Verdana" w:cs="Tahoma"/>
          <w:i/>
          <w:sz w:val="20"/>
          <w:szCs w:val="20"/>
        </w:rPr>
        <w:t>pro forma</w:t>
      </w:r>
      <w:r w:rsidRPr="00E06B02">
        <w:rPr>
          <w:rFonts w:ascii="Verdana" w:hAnsi="Verdana" w:cs="Tahoma"/>
          <w:sz w:val="20"/>
          <w:szCs w:val="20"/>
        </w:rPr>
        <w:t xml:space="preserve"> o pagamento de Remuneração e Amortização Extraordinária </w:t>
      </w:r>
      <w:r w:rsidRPr="006621A7">
        <w:rPr>
          <w:rFonts w:ascii="Verdana" w:hAnsi="Verdana" w:cs="Tahoma"/>
          <w:sz w:val="20"/>
          <w:szCs w:val="20"/>
        </w:rPr>
        <w:t xml:space="preserve">Obrigatória na respectiva Data de Pagamento, conforme aplicável, de que o Índice de Cobertura </w:t>
      </w:r>
      <w:r w:rsidR="00623024" w:rsidRPr="00DB17CD">
        <w:rPr>
          <w:rFonts w:ascii="Verdana" w:hAnsi="Verdana" w:cs="Tahoma"/>
          <w:sz w:val="20"/>
          <w:szCs w:val="20"/>
        </w:rPr>
        <w:t>da Primeira Série</w:t>
      </w:r>
      <w:r w:rsidR="009D0976" w:rsidRPr="00DB17CD">
        <w:rPr>
          <w:rFonts w:ascii="Verdana" w:hAnsi="Verdana" w:cs="Tahoma"/>
          <w:sz w:val="20"/>
          <w:szCs w:val="20"/>
        </w:rPr>
        <w:t xml:space="preserve"> ou o Índice de Cobertura da Segunda Série</w:t>
      </w:r>
      <w:r w:rsidR="00623024" w:rsidRPr="001735F4">
        <w:rPr>
          <w:rFonts w:ascii="Verdana" w:hAnsi="Verdana" w:cs="Tahoma"/>
          <w:sz w:val="20"/>
          <w:szCs w:val="20"/>
        </w:rPr>
        <w:t xml:space="preserve"> </w:t>
      </w:r>
      <w:r w:rsidRPr="001735F4">
        <w:rPr>
          <w:rFonts w:ascii="Verdana" w:hAnsi="Verdana" w:cs="Tahoma"/>
          <w:sz w:val="20"/>
          <w:szCs w:val="20"/>
        </w:rPr>
        <w:t xml:space="preserve">é menor que </w:t>
      </w:r>
      <w:r w:rsidRPr="005C5113">
        <w:rPr>
          <w:rFonts w:ascii="Verdana" w:hAnsi="Verdana" w:cs="Tahoma"/>
          <w:sz w:val="20"/>
          <w:szCs w:val="20"/>
        </w:rPr>
        <w:t>0,</w:t>
      </w:r>
      <w:r w:rsidR="009D0976" w:rsidRPr="005C5113">
        <w:rPr>
          <w:rFonts w:ascii="Verdana" w:hAnsi="Verdana" w:cs="Tahoma"/>
          <w:sz w:val="20"/>
          <w:szCs w:val="20"/>
        </w:rPr>
        <w:t>8</w:t>
      </w:r>
      <w:r w:rsidRPr="005C5113">
        <w:rPr>
          <w:rFonts w:ascii="Verdana" w:hAnsi="Verdana" w:cs="Tahoma"/>
          <w:sz w:val="20"/>
          <w:szCs w:val="20"/>
        </w:rPr>
        <w:t xml:space="preserve"> (</w:t>
      </w:r>
      <w:r w:rsidR="009D0976" w:rsidRPr="005C5113">
        <w:rPr>
          <w:rFonts w:ascii="Verdana" w:hAnsi="Verdana" w:cs="Tahoma"/>
          <w:sz w:val="20"/>
          <w:szCs w:val="20"/>
        </w:rPr>
        <w:t>oito</w:t>
      </w:r>
      <w:r w:rsidR="00623024" w:rsidRPr="005C5113">
        <w:rPr>
          <w:rFonts w:ascii="Verdana" w:hAnsi="Verdana" w:cs="Tahoma"/>
          <w:sz w:val="20"/>
          <w:szCs w:val="20"/>
        </w:rPr>
        <w:t xml:space="preserve"> décimos</w:t>
      </w:r>
      <w:r w:rsidRPr="005C5113">
        <w:rPr>
          <w:rFonts w:ascii="Verdana" w:hAnsi="Verdana" w:cs="Tahoma"/>
          <w:sz w:val="20"/>
          <w:szCs w:val="20"/>
        </w:rPr>
        <w:t>)</w:t>
      </w:r>
      <w:r w:rsidRPr="006621A7">
        <w:rPr>
          <w:rFonts w:ascii="Verdana" w:hAnsi="Verdana" w:cs="Tahoma"/>
          <w:sz w:val="20"/>
          <w:szCs w:val="20"/>
        </w:rPr>
        <w:t>;</w:t>
      </w:r>
      <w:r w:rsidRPr="00E06B02">
        <w:rPr>
          <w:rFonts w:ascii="Verdana" w:hAnsi="Verdana" w:cs="Tahoma"/>
          <w:sz w:val="20"/>
          <w:szCs w:val="20"/>
        </w:rPr>
        <w:t xml:space="preserve"> </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21CC3F32" w:rsidR="00EB5CDB"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r w:rsidR="00BA774E" w:rsidRPr="00E06B02">
        <w:rPr>
          <w:rFonts w:ascii="Verdana" w:hAnsi="Verdana" w:cs="Tahoma"/>
          <w:sz w:val="20"/>
          <w:szCs w:val="20"/>
        </w:rPr>
        <w:t>Gyramais</w:t>
      </w:r>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 xml:space="preserve">30 (trinta) dias </w:t>
      </w:r>
      <w:r w:rsidRPr="00E06B02">
        <w:rPr>
          <w:rFonts w:ascii="Verdana" w:hAnsi="Verdana" w:cs="Tahoma"/>
          <w:sz w:val="20"/>
          <w:szCs w:val="20"/>
        </w:rPr>
        <w:t>consecutivos</w:t>
      </w:r>
      <w:r w:rsidR="002D7FDC" w:rsidRPr="00E06B02">
        <w:rPr>
          <w:rFonts w:ascii="Verdana" w:hAnsi="Verdana" w:cs="Tahoma"/>
          <w:sz w:val="20"/>
          <w:szCs w:val="20"/>
        </w:rPr>
        <w:t xml:space="preserve">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508226C8" w14:textId="77777777" w:rsidR="00732EAA" w:rsidRDefault="00732EAA" w:rsidP="0022258D">
      <w:pPr>
        <w:pStyle w:val="PargrafodaLista"/>
        <w:rPr>
          <w:rFonts w:ascii="Verdana" w:hAnsi="Verdana" w:cs="Tahoma"/>
          <w:sz w:val="20"/>
          <w:szCs w:val="20"/>
        </w:rPr>
      </w:pPr>
    </w:p>
    <w:p w14:paraId="73011097" w14:textId="77777777" w:rsidR="00FD21E4" w:rsidRDefault="00732EAA" w:rsidP="00732E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sidR="00FD21E4">
        <w:rPr>
          <w:rFonts w:ascii="Verdana" w:hAnsi="Verdana" w:cs="Tahoma"/>
          <w:sz w:val="20"/>
          <w:szCs w:val="20"/>
        </w:rPr>
        <w:t>;</w:t>
      </w:r>
    </w:p>
    <w:p w14:paraId="428F8099" w14:textId="77777777" w:rsidR="00FD21E4" w:rsidRDefault="00FD21E4" w:rsidP="001814F1">
      <w:pPr>
        <w:pStyle w:val="PargrafodaLista"/>
        <w:rPr>
          <w:rFonts w:ascii="Verdana" w:hAnsi="Verdana" w:cs="Tahoma"/>
          <w:sz w:val="20"/>
          <w:szCs w:val="20"/>
        </w:rPr>
      </w:pPr>
    </w:p>
    <w:p w14:paraId="46FB77DB" w14:textId="4AC62E05" w:rsidR="00FD21E4" w:rsidRPr="00E06B02" w:rsidRDefault="00FD21E4" w:rsidP="001814F1">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3831DF48" w14:textId="77777777" w:rsidR="00FD21E4" w:rsidRPr="00E06B02" w:rsidRDefault="00FD21E4" w:rsidP="00FD21E4">
      <w:pPr>
        <w:pStyle w:val="ListaColorida-nfase12"/>
        <w:spacing w:after="0" w:line="280" w:lineRule="exact"/>
        <w:ind w:left="0"/>
        <w:jc w:val="both"/>
        <w:rPr>
          <w:rFonts w:ascii="Verdana" w:hAnsi="Verdana" w:cs="Tahoma"/>
          <w:sz w:val="20"/>
          <w:szCs w:val="20"/>
        </w:rPr>
      </w:pPr>
    </w:p>
    <w:p w14:paraId="7EAFD06C" w14:textId="5527850C" w:rsidR="00732EAA" w:rsidRPr="00EF3D57" w:rsidRDefault="00FD21E4" w:rsidP="00FD21E4">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4037190A" w14:textId="77777777" w:rsidR="00732EAA" w:rsidRDefault="00732EAA" w:rsidP="0022258D">
      <w:pPr>
        <w:pStyle w:val="ListaColorida-nfase12"/>
        <w:spacing w:after="0" w:line="280" w:lineRule="exact"/>
        <w:ind w:left="1134"/>
        <w:jc w:val="both"/>
        <w:rPr>
          <w:rFonts w:ascii="Verdana" w:hAnsi="Verdana" w:cs="Tahoma"/>
          <w:sz w:val="20"/>
          <w:szCs w:val="20"/>
        </w:rPr>
      </w:pPr>
    </w:p>
    <w:p w14:paraId="0FCE1CB6" w14:textId="44EE25C9" w:rsidR="00732EAA" w:rsidRDefault="00732EAA" w:rsidP="00732EAA">
      <w:pPr>
        <w:pStyle w:val="PargrafodaLista"/>
        <w:numPr>
          <w:ilvl w:val="2"/>
          <w:numId w:val="4"/>
        </w:numPr>
        <w:spacing w:line="280" w:lineRule="exact"/>
        <w:jc w:val="both"/>
        <w:rPr>
          <w:rFonts w:ascii="Verdana" w:hAnsi="Verdana" w:cs="Tahoma"/>
          <w:sz w:val="20"/>
          <w:szCs w:val="20"/>
        </w:rPr>
      </w:pPr>
      <w:bookmarkStart w:id="143"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sidR="00006F84">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43"/>
    </w:p>
    <w:p w14:paraId="4D4B2238" w14:textId="77777777" w:rsidR="006621A7" w:rsidRPr="00E06B02" w:rsidRDefault="006621A7" w:rsidP="005C5113">
      <w:pPr>
        <w:pStyle w:val="ListaColorida-nfase12"/>
        <w:spacing w:after="0" w:line="280" w:lineRule="exact"/>
        <w:ind w:left="0"/>
        <w:jc w:val="both"/>
        <w:rPr>
          <w:rFonts w:ascii="Verdana" w:hAnsi="Verdana" w:cs="Tahoma"/>
          <w:sz w:val="20"/>
          <w:szCs w:val="20"/>
        </w:rPr>
      </w:pPr>
    </w:p>
    <w:p w14:paraId="257714DC" w14:textId="0C70D185"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2A264761"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14E9A7F"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4"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sidR="00732EAA">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44"/>
      <w:r w:rsidR="00732EAA">
        <w:rPr>
          <w:rFonts w:ascii="Verdana" w:hAnsi="Verdana" w:cs="Tahoma"/>
          <w:sz w:val="20"/>
          <w:szCs w:val="20"/>
        </w:rPr>
        <w:t xml:space="preserve"> </w:t>
      </w:r>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2FA9DA50" w:rsidR="00EB5CDB" w:rsidRPr="006621A7"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5"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Gyramais</w:t>
      </w:r>
      <w:r w:rsidRPr="00E06B02">
        <w:rPr>
          <w:rFonts w:ascii="Verdana" w:hAnsi="Verdana" w:cs="Tahoma"/>
          <w:sz w:val="20"/>
          <w:szCs w:val="20"/>
        </w:rPr>
        <w:t xml:space="preserve">, em valor individual ou agregado superior a </w:t>
      </w:r>
      <w:r w:rsidR="006621A7"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45"/>
    </w:p>
    <w:p w14:paraId="1313BC0B" w14:textId="77777777" w:rsidR="006F4E53" w:rsidRPr="00B73416" w:rsidRDefault="006F4E53" w:rsidP="00E06B02">
      <w:pPr>
        <w:pStyle w:val="ListaColorida-nfase12"/>
        <w:spacing w:after="0" w:line="280" w:lineRule="exact"/>
        <w:ind w:left="0"/>
        <w:jc w:val="both"/>
        <w:rPr>
          <w:rFonts w:ascii="Verdana" w:hAnsi="Verdana" w:cs="Tahoma"/>
          <w:sz w:val="20"/>
          <w:szCs w:val="20"/>
        </w:rPr>
      </w:pPr>
    </w:p>
    <w:p w14:paraId="1071E93F" w14:textId="7C09115F" w:rsidR="00EB5CDB" w:rsidRPr="006621A7" w:rsidRDefault="008E55E6" w:rsidP="0022258D">
      <w:pPr>
        <w:pStyle w:val="ListaColorida-nfase12"/>
        <w:numPr>
          <w:ilvl w:val="0"/>
          <w:numId w:val="84"/>
        </w:numPr>
        <w:spacing w:after="0" w:line="280" w:lineRule="exact"/>
        <w:ind w:hanging="567"/>
        <w:jc w:val="both"/>
        <w:rPr>
          <w:rFonts w:ascii="Verdana" w:hAnsi="Verdana"/>
          <w:sz w:val="20"/>
          <w:szCs w:val="20"/>
        </w:rPr>
      </w:pPr>
      <w:bookmarkStart w:id="146" w:name="_Ref518574724"/>
      <w:r w:rsidRPr="006621A7">
        <w:rPr>
          <w:rFonts w:ascii="Verdana" w:hAnsi="Verdana" w:cs="Tahoma"/>
          <w:sz w:val="20"/>
          <w:szCs w:val="20"/>
        </w:rPr>
        <w:t>não cumprimento pela Emissora</w:t>
      </w:r>
      <w:r w:rsidR="00A06069" w:rsidRPr="006621A7">
        <w:rPr>
          <w:rFonts w:ascii="Verdana" w:hAnsi="Verdana" w:cs="Tahoma"/>
          <w:sz w:val="20"/>
          <w:szCs w:val="20"/>
        </w:rPr>
        <w:t xml:space="preserve"> e/ou pela Gyramais</w:t>
      </w:r>
      <w:r w:rsidRPr="006621A7">
        <w:rPr>
          <w:rFonts w:ascii="Verdana" w:hAnsi="Verdana" w:cs="Tahoma"/>
          <w:sz w:val="20"/>
          <w:szCs w:val="20"/>
        </w:rPr>
        <w:t xml:space="preserve"> de qualquer decisão ou sentença judicial contra a Emissora, que, individualmente ou de forma agregada, ultrapasse o valor de </w:t>
      </w:r>
      <w:r w:rsidR="006621A7" w:rsidRPr="006621A7">
        <w:rPr>
          <w:rFonts w:ascii="Verdana" w:hAnsi="Verdana" w:cs="Tahoma"/>
          <w:sz w:val="20"/>
          <w:szCs w:val="20"/>
        </w:rPr>
        <w:t>R$300.000,00 (trezentos mil reais)</w:t>
      </w:r>
      <w:r w:rsidRPr="006621A7">
        <w:rPr>
          <w:rFonts w:ascii="Verdana" w:hAnsi="Verdana" w:cs="Tahoma"/>
          <w:sz w:val="20"/>
          <w:szCs w:val="20"/>
        </w:rPr>
        <w:t>, ou seu valor equivalente em outras moedas, no prazo estipulado para o pagamento;</w:t>
      </w:r>
      <w:bookmarkEnd w:id="146"/>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02EC56E9"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4F9658DB" w:rsidR="0075548D"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lastRenderedPageBreak/>
        <w:t xml:space="preserve">caso a Emissora e/ou a </w:t>
      </w:r>
      <w:r w:rsidR="00F470F4" w:rsidRPr="00E06B02">
        <w:rPr>
          <w:rFonts w:ascii="Verdana" w:hAnsi="Verdana" w:cs="Tahoma"/>
          <w:sz w:val="20"/>
          <w:szCs w:val="20"/>
        </w:rPr>
        <w:t>Gyramais</w:t>
      </w:r>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w:t>
      </w:r>
      <w:r w:rsidR="00AC74C5">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1043DA56"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7F2C661C"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147" w:name="_Ref69339439"/>
      <w:r w:rsidRPr="00E82AA5">
        <w:rPr>
          <w:rFonts w:ascii="Verdana" w:hAnsi="Verdana" w:cs="Tahoma"/>
          <w:sz w:val="20"/>
          <w:szCs w:val="20"/>
        </w:rPr>
        <w:t xml:space="preserve">Na ocorrência dos </w:t>
      </w:r>
      <w:r w:rsidR="00C13596">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1735F4">
        <w:rPr>
          <w:rFonts w:ascii="Verdana" w:eastAsia="Arial Unicode MS" w:hAnsi="Verdana" w:cs="Tahoma"/>
          <w:sz w:val="20"/>
          <w:szCs w:val="20"/>
        </w:rPr>
        <w:fldChar w:fldCharType="separate"/>
      </w:r>
      <w:r w:rsidR="00E71700" w:rsidRPr="001735F4">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r w:rsidR="00C13596">
        <w:rPr>
          <w:rFonts w:ascii="Verdana" w:hAnsi="Verdana" w:cs="Tahoma"/>
          <w:sz w:val="20"/>
          <w:szCs w:val="20"/>
        </w:rPr>
        <w:t xml:space="preserve"> (cada um, um “</w:t>
      </w:r>
      <w:r w:rsidR="00C13596" w:rsidRPr="00EF3D57">
        <w:rPr>
          <w:rFonts w:ascii="Verdana" w:hAnsi="Verdana" w:cs="Tahoma"/>
          <w:sz w:val="20"/>
          <w:szCs w:val="20"/>
          <w:u w:val="single"/>
        </w:rPr>
        <w:t>Evento de Vencimento Antecipado</w:t>
      </w:r>
      <w:r w:rsidR="00C13596" w:rsidRPr="006A232C">
        <w:rPr>
          <w:rFonts w:ascii="Verdana" w:hAnsi="Verdana" w:cs="Tahoma"/>
          <w:sz w:val="20"/>
          <w:szCs w:val="20"/>
        </w:rPr>
        <w:t>”)</w:t>
      </w:r>
      <w:r w:rsidRPr="00E82AA5">
        <w:rPr>
          <w:rFonts w:ascii="Verdana" w:hAnsi="Verdana" w:cs="Tahoma"/>
          <w:sz w:val="20"/>
          <w:szCs w:val="20"/>
        </w:rPr>
        <w:t>:</w:t>
      </w:r>
      <w:bookmarkEnd w:id="142"/>
      <w:bookmarkEnd w:id="147"/>
      <w:r w:rsidR="00450101" w:rsidRPr="00E82AA5">
        <w:rPr>
          <w:rFonts w:ascii="Verdana" w:hAnsi="Verdana" w:cs="Tahoma"/>
          <w:sz w:val="20"/>
          <w:szCs w:val="20"/>
        </w:rPr>
        <w:t xml:space="preserve"> </w:t>
      </w:r>
      <w:bookmarkStart w:id="148" w:name="_Ref70362010"/>
    </w:p>
    <w:bookmarkEnd w:id="148"/>
    <w:p w14:paraId="5D58A499" w14:textId="77777777"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9" w:name="_Ref497553410"/>
      <w:r w:rsidRPr="00E82AA5">
        <w:rPr>
          <w:rFonts w:ascii="Verdana" w:hAnsi="Verdana" w:cs="Tahoma"/>
          <w:sz w:val="20"/>
          <w:szCs w:val="20"/>
        </w:rPr>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149"/>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021A9A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0"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50"/>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1"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51"/>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2"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52"/>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E0EA38F"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3" w:name="_Ref422819738"/>
      <w:r w:rsidRPr="00E06B02">
        <w:rPr>
          <w:rFonts w:ascii="Verdana" w:hAnsi="Verdana" w:cs="Tahoma"/>
          <w:sz w:val="20"/>
          <w:szCs w:val="20"/>
        </w:rPr>
        <w:t>cessão, alienação</w:t>
      </w:r>
      <w:r w:rsidR="00C13596">
        <w:rPr>
          <w:rFonts w:ascii="Verdana" w:hAnsi="Verdana" w:cs="Tahoma"/>
          <w:sz w:val="20"/>
          <w:szCs w:val="20"/>
        </w:rPr>
        <w:t>, endosso</w:t>
      </w:r>
      <w:r w:rsidR="00C13596" w:rsidRPr="00E06B02">
        <w:rPr>
          <w:rFonts w:ascii="Verdana" w:hAnsi="Verdana" w:cs="Tahoma"/>
          <w:sz w:val="20"/>
          <w:szCs w:val="20"/>
        </w:rPr>
        <w:t xml:space="preserve"> </w:t>
      </w:r>
      <w:r w:rsidRPr="00E06B02">
        <w:rPr>
          <w:rFonts w:ascii="Verdana" w:hAnsi="Verdana" w:cs="Tahoma"/>
          <w:sz w:val="20"/>
          <w:szCs w:val="20"/>
        </w:rPr>
        <w:t>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3"/>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54" w:name="_Ref71756613"/>
      <w:bookmarkStart w:id="155" w:name="_Ref497553462"/>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bookmarkEnd w:id="154"/>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6" w:name="_Ref518574841"/>
      <w:r w:rsidRPr="00E06B02">
        <w:rPr>
          <w:rFonts w:ascii="Verdana" w:hAnsi="Verdana" w:cs="Tahoma"/>
          <w:sz w:val="20"/>
          <w:szCs w:val="20"/>
        </w:rPr>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55"/>
      <w:bookmarkEnd w:id="156"/>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7"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57"/>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58" w:name="_Ref422392038"/>
      <w:bookmarkStart w:id="159"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8"/>
      <w:r w:rsidR="008E55E6" w:rsidRPr="00E06B02">
        <w:rPr>
          <w:rFonts w:ascii="Verdana" w:hAnsi="Verdana" w:cs="Tahoma"/>
          <w:sz w:val="20"/>
          <w:szCs w:val="20"/>
        </w:rPr>
        <w:t>;</w:t>
      </w:r>
      <w:bookmarkEnd w:id="159"/>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60"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bookmarkEnd w:id="160"/>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61"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61"/>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38BF5ED0"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bookmarkStart w:id="162" w:name="_Ref71756644"/>
      <w:r w:rsidRPr="003C13B1">
        <w:rPr>
          <w:rFonts w:ascii="Verdana" w:hAnsi="Verdana" w:cs="Tahoma"/>
          <w:sz w:val="20"/>
          <w:szCs w:val="20"/>
        </w:rPr>
        <w:t xml:space="preserve">não </w:t>
      </w:r>
      <w:r w:rsidR="00C13596">
        <w:rPr>
          <w:rFonts w:ascii="Verdana" w:hAnsi="Verdana" w:cs="Tahoma"/>
          <w:sz w:val="20"/>
          <w:szCs w:val="20"/>
        </w:rPr>
        <w:t>aquisição</w:t>
      </w:r>
      <w:r w:rsidR="004E3760">
        <w:rPr>
          <w:rFonts w:ascii="Verdana" w:hAnsi="Verdana" w:cs="Tahoma"/>
          <w:sz w:val="20"/>
          <w:szCs w:val="20"/>
        </w:rPr>
        <w:t xml:space="preserve"> das CCB</w:t>
      </w:r>
      <w:r w:rsidR="00C13596">
        <w:rPr>
          <w:rFonts w:ascii="Verdana" w:hAnsi="Verdana" w:cs="Tahoma"/>
          <w:sz w:val="20"/>
          <w:szCs w:val="20"/>
        </w:rPr>
        <w:t>, pela Gyramais</w:t>
      </w:r>
      <w:r w:rsidR="00F45B47">
        <w:rPr>
          <w:rFonts w:ascii="Verdana" w:hAnsi="Verdana" w:cs="Tahoma"/>
          <w:sz w:val="20"/>
          <w:szCs w:val="20"/>
        </w:rPr>
        <w:t xml:space="preserve">, em decorrência </w:t>
      </w:r>
      <w:r w:rsidR="007E283F">
        <w:rPr>
          <w:rFonts w:ascii="Verdana" w:hAnsi="Verdana" w:cs="Tahoma"/>
          <w:sz w:val="20"/>
          <w:szCs w:val="20"/>
        </w:rPr>
        <w:t>do exercício, pela Emissora, do direito</w:t>
      </w:r>
      <w:r w:rsidR="004E3760">
        <w:rPr>
          <w:rFonts w:ascii="Verdana" w:hAnsi="Verdana" w:cs="Tahoma"/>
          <w:sz w:val="20"/>
          <w:szCs w:val="20"/>
        </w:rPr>
        <w:t xml:space="preserve"> estabelecido no Contrato de Promessa de Endosso</w:t>
      </w:r>
      <w:r w:rsidR="007E283F">
        <w:rPr>
          <w:rFonts w:ascii="Verdana" w:hAnsi="Verdana" w:cs="Tahoma"/>
          <w:sz w:val="20"/>
          <w:szCs w:val="20"/>
        </w:rPr>
        <w:t xml:space="preserve"> de solicitar </w:t>
      </w:r>
      <w:r w:rsidR="004E3760">
        <w:rPr>
          <w:rFonts w:ascii="Verdana" w:hAnsi="Verdana" w:cs="Tahoma"/>
          <w:sz w:val="20"/>
          <w:szCs w:val="20"/>
        </w:rPr>
        <w:t>referida</w:t>
      </w:r>
      <w:r w:rsidR="007E283F">
        <w:rPr>
          <w:rFonts w:ascii="Verdana" w:hAnsi="Verdana" w:cs="Tahoma"/>
          <w:sz w:val="20"/>
          <w:szCs w:val="20"/>
        </w:rPr>
        <w:t xml:space="preserve"> aquisição das CCB </w:t>
      </w:r>
      <w:r w:rsidR="004E3760">
        <w:rPr>
          <w:rFonts w:ascii="Verdana" w:hAnsi="Verdana" w:cs="Tahoma"/>
          <w:sz w:val="20"/>
          <w:szCs w:val="20"/>
        </w:rPr>
        <w:t xml:space="preserve">pela Gyramais </w:t>
      </w:r>
      <w:r w:rsidR="007E283F">
        <w:rPr>
          <w:rFonts w:ascii="Verdana" w:hAnsi="Verdana" w:cs="Tahoma"/>
          <w:sz w:val="20"/>
          <w:szCs w:val="20"/>
        </w:rPr>
        <w:t>em razão da ocorrência de determinados eventos estabelecidos na Promessa de Endosso, dentre eles o não atendimento dos Critérios de Elegibilidade (“</w:t>
      </w:r>
      <w:r w:rsidR="007E283F" w:rsidRPr="00DC4990">
        <w:rPr>
          <w:rFonts w:ascii="Verdana" w:hAnsi="Verdana" w:cs="Tahoma"/>
          <w:sz w:val="20"/>
          <w:szCs w:val="20"/>
          <w:u w:val="single"/>
        </w:rPr>
        <w:t xml:space="preserve">Opção </w:t>
      </w:r>
      <w:r w:rsidR="00F45B47" w:rsidRPr="00DC4990">
        <w:rPr>
          <w:rFonts w:ascii="Verdana" w:hAnsi="Verdana" w:cs="Tahoma"/>
          <w:sz w:val="20"/>
          <w:szCs w:val="20"/>
          <w:u w:val="single"/>
        </w:rPr>
        <w:t xml:space="preserve">de </w:t>
      </w:r>
      <w:r w:rsidR="007E283F" w:rsidRPr="00DC4990">
        <w:rPr>
          <w:rFonts w:ascii="Verdana" w:hAnsi="Verdana" w:cs="Tahoma"/>
          <w:sz w:val="20"/>
          <w:szCs w:val="20"/>
          <w:u w:val="single"/>
        </w:rPr>
        <w:t>Venda</w:t>
      </w:r>
      <w:r w:rsidR="007E283F">
        <w:rPr>
          <w:rFonts w:ascii="Verdana" w:hAnsi="Verdana" w:cs="Tahoma"/>
          <w:sz w:val="20"/>
          <w:szCs w:val="20"/>
        </w:rPr>
        <w:t>”)</w:t>
      </w:r>
      <w:r w:rsidR="00C13596">
        <w:rPr>
          <w:rFonts w:ascii="Verdana" w:hAnsi="Verdana" w:cs="Tahoma"/>
          <w:sz w:val="20"/>
          <w:szCs w:val="20"/>
        </w:rPr>
        <w:t>;</w:t>
      </w:r>
      <w:bookmarkEnd w:id="162"/>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722C1258" w:rsidR="008C6B80" w:rsidRPr="00E06B02" w:rsidRDefault="008C6B80" w:rsidP="008D0E5B">
      <w:pPr>
        <w:pStyle w:val="ListaColorida-nfase12"/>
        <w:numPr>
          <w:ilvl w:val="0"/>
          <w:numId w:val="35"/>
        </w:numPr>
        <w:spacing w:after="0" w:line="280" w:lineRule="exact"/>
        <w:ind w:hanging="567"/>
        <w:jc w:val="both"/>
        <w:rPr>
          <w:rFonts w:ascii="Verdana" w:hAnsi="Verdana" w:cs="Tahoma"/>
          <w:sz w:val="20"/>
          <w:szCs w:val="20"/>
        </w:rPr>
      </w:pPr>
      <w:bookmarkStart w:id="163" w:name="_Ref71756649"/>
      <w:bookmarkStart w:id="164"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bookmarkEnd w:id="163"/>
      <w:r w:rsidRPr="008D0E5B">
        <w:rPr>
          <w:rFonts w:ascii="Verdana" w:hAnsi="Verdana" w:cs="Tahoma"/>
          <w:sz w:val="20"/>
          <w:szCs w:val="20"/>
        </w:rPr>
        <w:t xml:space="preserve"> </w:t>
      </w:r>
      <w:bookmarkEnd w:id="164"/>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5ECE016F" w:rsidR="008C6B80" w:rsidRPr="00E06B02" w:rsidRDefault="008C6B80" w:rsidP="008D0E5B">
      <w:pPr>
        <w:pStyle w:val="ListaColorida-nfase12"/>
        <w:numPr>
          <w:ilvl w:val="0"/>
          <w:numId w:val="35"/>
        </w:numPr>
        <w:spacing w:after="0" w:line="280" w:lineRule="exact"/>
        <w:ind w:hanging="567"/>
        <w:jc w:val="both"/>
        <w:rPr>
          <w:rFonts w:ascii="Verdana" w:hAnsi="Verdana" w:cs="Tahoma"/>
          <w:sz w:val="20"/>
          <w:szCs w:val="20"/>
        </w:rPr>
      </w:pPr>
      <w:bookmarkStart w:id="165" w:name="_Ref71756651"/>
      <w:bookmarkStart w:id="166" w:name="_Ref70706742"/>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w:t>
      </w:r>
      <w:r w:rsidRPr="00E06B02">
        <w:rPr>
          <w:rFonts w:ascii="Verdana" w:hAnsi="Verdana" w:cs="Tahoma"/>
          <w:sz w:val="20"/>
          <w:szCs w:val="20"/>
        </w:rPr>
        <w:lastRenderedPageBreak/>
        <w:t>Debêntures que assim desejar, nos termos do artigo 231 da Lei das Sociedades por Ações;</w:t>
      </w:r>
      <w:bookmarkEnd w:id="165"/>
      <w:bookmarkEnd w:id="166"/>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2019F45E" w:rsidR="008C6B80" w:rsidRDefault="008C6B80" w:rsidP="00A05E00">
      <w:pPr>
        <w:pStyle w:val="ListaColorida-nfase12"/>
        <w:numPr>
          <w:ilvl w:val="0"/>
          <w:numId w:val="35"/>
        </w:numPr>
        <w:spacing w:after="0" w:line="280" w:lineRule="exact"/>
        <w:ind w:hanging="567"/>
        <w:jc w:val="both"/>
        <w:rPr>
          <w:rFonts w:ascii="Verdana" w:hAnsi="Verdana" w:cs="Tahoma"/>
          <w:sz w:val="20"/>
          <w:szCs w:val="20"/>
        </w:rPr>
      </w:pPr>
      <w:bookmarkStart w:id="167" w:name="_Ref70706750"/>
      <w:bookmarkStart w:id="168" w:name="_Ref71756652"/>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5E00">
        <w:rPr>
          <w:rFonts w:ascii="Verdana" w:hAnsi="Verdana" w:cs="Tahoma"/>
          <w:sz w:val="20"/>
          <w:szCs w:val="20"/>
        </w:rPr>
        <w:t>;</w:t>
      </w:r>
      <w:bookmarkEnd w:id="167"/>
      <w:r w:rsidR="00A05E00">
        <w:rPr>
          <w:rFonts w:ascii="Verdana" w:hAnsi="Verdana" w:cs="Tahoma"/>
          <w:sz w:val="20"/>
          <w:szCs w:val="20"/>
        </w:rPr>
        <w:t xml:space="preserve"> </w:t>
      </w:r>
      <w:bookmarkEnd w:id="168"/>
      <w:r w:rsidR="008D0E5B">
        <w:rPr>
          <w:rFonts w:ascii="Verdana" w:hAnsi="Verdana" w:cs="Tahoma"/>
          <w:sz w:val="20"/>
          <w:szCs w:val="20"/>
        </w:rPr>
        <w:t>e</w:t>
      </w:r>
    </w:p>
    <w:p w14:paraId="0C4C413C" w14:textId="77777777" w:rsidR="00A05E00" w:rsidRDefault="00A05E00" w:rsidP="008D0E5B">
      <w:pPr>
        <w:pStyle w:val="PargrafodaLista"/>
        <w:rPr>
          <w:rFonts w:ascii="Verdana" w:hAnsi="Verdana" w:cs="Tahoma"/>
          <w:sz w:val="20"/>
          <w:szCs w:val="20"/>
        </w:rPr>
      </w:pPr>
    </w:p>
    <w:p w14:paraId="2AE313C0" w14:textId="7ACAC5AF" w:rsidR="00A05E00" w:rsidRPr="00E06B02" w:rsidRDefault="00A05E00" w:rsidP="008D0E5B">
      <w:pPr>
        <w:pStyle w:val="ListaColorida-nfase12"/>
        <w:numPr>
          <w:ilvl w:val="0"/>
          <w:numId w:val="35"/>
        </w:numPr>
        <w:spacing w:after="0" w:line="280" w:lineRule="exact"/>
        <w:ind w:hanging="567"/>
        <w:jc w:val="both"/>
        <w:rPr>
          <w:rFonts w:ascii="Verdana" w:hAnsi="Verdana" w:cs="Tahoma"/>
          <w:sz w:val="20"/>
          <w:szCs w:val="20"/>
        </w:rPr>
      </w:pPr>
      <w:bookmarkStart w:id="169" w:name="_Ref71756654"/>
      <w:r>
        <w:rPr>
          <w:rFonts w:ascii="Verdana" w:hAnsi="Verdana" w:cs="Tahoma"/>
          <w:sz w:val="20"/>
          <w:szCs w:val="20"/>
        </w:rPr>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da cessão de CCBs originadas pela Gyramais através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bookmarkEnd w:id="169"/>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3513D281" w14:textId="6A08C7A3" w:rsidR="00182107" w:rsidRPr="00212A7B" w:rsidRDefault="00182107" w:rsidP="00182107">
      <w:pPr>
        <w:pStyle w:val="PargrafodaLista"/>
        <w:numPr>
          <w:ilvl w:val="2"/>
          <w:numId w:val="4"/>
        </w:numPr>
        <w:spacing w:line="280" w:lineRule="exact"/>
        <w:jc w:val="both"/>
        <w:rPr>
          <w:rFonts w:ascii="Verdana" w:hAnsi="Verdana" w:cs="Tahoma"/>
          <w:sz w:val="20"/>
          <w:szCs w:val="20"/>
        </w:rPr>
      </w:pPr>
      <w:bookmarkStart w:id="170" w:name="_DV_M280"/>
      <w:bookmarkStart w:id="171" w:name="_DV_M287"/>
      <w:bookmarkStart w:id="172" w:name="_Ref436843003"/>
      <w:bookmarkStart w:id="173" w:name="_Ref71664813"/>
      <w:bookmarkStart w:id="174" w:name="_Ref422392200"/>
      <w:bookmarkStart w:id="175" w:name="_Ref70550226"/>
      <w:bookmarkEnd w:id="170"/>
      <w:bookmarkEnd w:id="171"/>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sidR="00A05E00">
        <w:rPr>
          <w:rFonts w:ascii="Verdana" w:hAnsi="Verdana" w:cs="Tahoma"/>
          <w:sz w:val="20"/>
          <w:szCs w:val="20"/>
        </w:rPr>
        <w:fldChar w:fldCharType="begin"/>
      </w:r>
      <w:r w:rsidR="00A05E00">
        <w:rPr>
          <w:rFonts w:ascii="Verdana" w:hAnsi="Verdana" w:cs="Tahoma"/>
          <w:sz w:val="20"/>
          <w:szCs w:val="20"/>
        </w:rPr>
        <w:instrText xml:space="preserve"> REF _Ref497553410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_Ref422392031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_Ref422392033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(iii)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_Ref422392046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(iv)</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_Ref422819738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(v)</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_Ref71756613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(vi)</w:t>
      </w:r>
      <w:r w:rsidR="00A05E00">
        <w:rPr>
          <w:rFonts w:ascii="Verdana" w:hAnsi="Verdana" w:cs="Tahoma"/>
          <w:sz w:val="20"/>
          <w:szCs w:val="20"/>
        </w:rPr>
        <w:fldChar w:fldCharType="end"/>
      </w:r>
      <w:r w:rsidR="00A05E00">
        <w:rPr>
          <w:rFonts w:ascii="Verdana" w:hAnsi="Verdana" w:cs="Tahoma"/>
          <w:sz w:val="20"/>
          <w:szCs w:val="20"/>
        </w:rPr>
        <w:t>,</w:t>
      </w:r>
      <w:r w:rsidR="009D1944" w:rsidRPr="009D1944">
        <w:rPr>
          <w:rFonts w:ascii="Verdana" w:hAnsi="Verdana" w:cs="Tahoma"/>
          <w:sz w:val="20"/>
          <w:szCs w:val="20"/>
        </w:rPr>
        <w:t xml:space="preserve"> </w:t>
      </w:r>
      <w:r w:rsidR="009D1944">
        <w:rPr>
          <w:rFonts w:ascii="Verdana" w:hAnsi="Verdana" w:cs="Tahoma"/>
          <w:sz w:val="20"/>
          <w:szCs w:val="20"/>
        </w:rPr>
        <w:fldChar w:fldCharType="begin"/>
      </w:r>
      <w:r w:rsidR="009D1944">
        <w:rPr>
          <w:rFonts w:ascii="Verdana" w:hAnsi="Verdana" w:cs="Tahoma"/>
          <w:sz w:val="20"/>
          <w:szCs w:val="20"/>
        </w:rPr>
        <w:instrText xml:space="preserve"> REF _Ref422392229 \r \h </w:instrText>
      </w:r>
      <w:r w:rsidR="009D1944">
        <w:rPr>
          <w:rFonts w:ascii="Verdana" w:hAnsi="Verdana" w:cs="Tahoma"/>
          <w:sz w:val="20"/>
          <w:szCs w:val="20"/>
        </w:rPr>
      </w:r>
      <w:r w:rsidR="009D1944">
        <w:rPr>
          <w:rFonts w:ascii="Verdana" w:hAnsi="Verdana" w:cs="Tahoma"/>
          <w:sz w:val="20"/>
          <w:szCs w:val="20"/>
        </w:rPr>
        <w:fldChar w:fldCharType="separate"/>
      </w:r>
      <w:r w:rsidR="009D1944">
        <w:rPr>
          <w:rFonts w:ascii="Verdana" w:hAnsi="Verdana" w:cs="Tahoma"/>
          <w:sz w:val="20"/>
          <w:szCs w:val="20"/>
        </w:rPr>
        <w:t>(viii)</w:t>
      </w:r>
      <w:r w:rsidR="009D1944">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_Ref498562154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(ix)</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_Ref71756626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_Ref71756644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(xii)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_Ref71756649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(xiii)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_Ref71756651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(xiv)</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_Ref71756652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(xv)</w:t>
      </w:r>
      <w:r w:rsidR="00A05E00">
        <w:rPr>
          <w:rFonts w:ascii="Verdana" w:hAnsi="Verdana" w:cs="Tahoma"/>
          <w:sz w:val="20"/>
          <w:szCs w:val="20"/>
        </w:rPr>
        <w:fldChar w:fldCharType="end"/>
      </w:r>
      <w:r w:rsidR="00A05E00">
        <w:rPr>
          <w:rFonts w:ascii="Verdana" w:hAnsi="Verdana" w:cs="Tahoma"/>
          <w:sz w:val="20"/>
          <w:szCs w:val="20"/>
        </w:rPr>
        <w:t xml:space="preserve"> e </w:t>
      </w:r>
      <w:r w:rsidR="00A05E00">
        <w:rPr>
          <w:rFonts w:ascii="Verdana" w:hAnsi="Verdana" w:cs="Tahoma"/>
          <w:sz w:val="20"/>
          <w:szCs w:val="20"/>
        </w:rPr>
        <w:fldChar w:fldCharType="begin"/>
      </w:r>
      <w:r w:rsidR="00A05E00">
        <w:rPr>
          <w:rFonts w:ascii="Verdana" w:hAnsi="Verdana" w:cs="Tahoma"/>
          <w:sz w:val="20"/>
          <w:szCs w:val="20"/>
        </w:rPr>
        <w:instrText xml:space="preserve"> REF _Ref71756654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(xvi)</w:t>
      </w:r>
      <w:r w:rsidR="00A05E00">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sidR="00006F84">
        <w:rPr>
          <w:rFonts w:ascii="Verdana" w:hAnsi="Verdana" w:cs="Tahoma"/>
          <w:sz w:val="20"/>
          <w:szCs w:val="20"/>
        </w:rPr>
        <w:t xml:space="preserve"> (“</w:t>
      </w:r>
      <w:r w:rsidR="00006F84" w:rsidRPr="00F22A97">
        <w:rPr>
          <w:rFonts w:ascii="Verdana" w:hAnsi="Verdana" w:cs="Tahoma"/>
          <w:sz w:val="20"/>
          <w:szCs w:val="20"/>
          <w:u w:val="single"/>
        </w:rPr>
        <w:t>Evento de Vencimento Antecipado Automático</w:t>
      </w:r>
      <w:r w:rsidR="00006F84">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72"/>
      <w:r w:rsidR="004E3760">
        <w:rPr>
          <w:rFonts w:ascii="Verdana" w:hAnsi="Verdana" w:cs="Tahoma"/>
          <w:sz w:val="20"/>
          <w:szCs w:val="20"/>
        </w:rPr>
        <w:t xml:space="preserve"> </w:t>
      </w:r>
      <w:bookmarkEnd w:id="173"/>
    </w:p>
    <w:p w14:paraId="5AAB01AE" w14:textId="77777777" w:rsidR="00182107" w:rsidRDefault="00182107" w:rsidP="001814F1">
      <w:pPr>
        <w:pStyle w:val="PargrafodaLista"/>
        <w:spacing w:line="280" w:lineRule="exact"/>
        <w:ind w:left="0"/>
        <w:jc w:val="both"/>
        <w:rPr>
          <w:rFonts w:ascii="Verdana" w:hAnsi="Verdana" w:cs="Tahoma"/>
          <w:sz w:val="20"/>
          <w:szCs w:val="20"/>
        </w:rPr>
      </w:pPr>
    </w:p>
    <w:p w14:paraId="35E67D86" w14:textId="26A48172" w:rsidR="00EB5CDB" w:rsidRPr="00FF55D5" w:rsidRDefault="00C13596" w:rsidP="00E06B02">
      <w:pPr>
        <w:pStyle w:val="PargrafodaLista"/>
        <w:numPr>
          <w:ilvl w:val="2"/>
          <w:numId w:val="4"/>
        </w:numPr>
        <w:spacing w:line="280" w:lineRule="exact"/>
        <w:jc w:val="both"/>
        <w:rPr>
          <w:rFonts w:ascii="Verdana" w:hAnsi="Verdana"/>
          <w:sz w:val="20"/>
        </w:rPr>
      </w:pPr>
      <w:bookmarkStart w:id="176" w:name="_Ref71664801"/>
      <w:r w:rsidRPr="006B29FB">
        <w:rPr>
          <w:rFonts w:ascii="Verdana" w:hAnsi="Verdana" w:cs="Tahoma"/>
          <w:sz w:val="20"/>
          <w:szCs w:val="20"/>
        </w:rPr>
        <w:t xml:space="preserve">Na ocorrência de </w:t>
      </w:r>
      <w:r w:rsidR="008E4423" w:rsidRPr="006B29FB">
        <w:rPr>
          <w:rFonts w:ascii="Verdana" w:hAnsi="Verdana" w:cs="Tahoma"/>
          <w:sz w:val="20"/>
          <w:szCs w:val="20"/>
        </w:rPr>
        <w:t>quaisquer dos demais Eventos de Vencimento Antecipado</w:t>
      </w:r>
      <w:r w:rsidRPr="006B29FB">
        <w:rPr>
          <w:rFonts w:ascii="Verdana" w:eastAsia="Arial Unicode MS" w:hAnsi="Verdana" w:cs="Tahoma"/>
          <w:sz w:val="20"/>
          <w:szCs w:val="20"/>
        </w:rPr>
        <w:t xml:space="preserve">, </w:t>
      </w:r>
      <w:r w:rsidR="008E55E6"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002D7FDC" w:rsidRPr="00FF55D5">
        <w:rPr>
          <w:rFonts w:ascii="Verdana" w:hAnsi="Verdana" w:cs="Tahoma"/>
          <w:sz w:val="20"/>
          <w:szCs w:val="20"/>
        </w:rPr>
        <w:t xml:space="preserve">não </w:t>
      </w:r>
      <w:r w:rsidR="008E55E6" w:rsidRPr="00FF55D5">
        <w:rPr>
          <w:rFonts w:ascii="Verdana" w:hAnsi="Verdana" w:cs="Tahoma"/>
          <w:sz w:val="20"/>
          <w:szCs w:val="20"/>
        </w:rPr>
        <w:t>declaração do vencimento antecipado das Debêntures</w:t>
      </w:r>
      <w:r w:rsidR="00393A70" w:rsidRPr="00FF55D5">
        <w:rPr>
          <w:rFonts w:ascii="Verdana" w:hAnsi="Verdana" w:cs="Tahoma"/>
          <w:sz w:val="20"/>
          <w:szCs w:val="20"/>
        </w:rPr>
        <w:t>, observado</w:t>
      </w:r>
      <w:r w:rsidR="00393A70" w:rsidRPr="00FF55D5" w:rsidDel="00393A70">
        <w:rPr>
          <w:rFonts w:ascii="Verdana" w:hAnsi="Verdana" w:cs="Tahoma"/>
          <w:sz w:val="20"/>
          <w:szCs w:val="20"/>
        </w:rPr>
        <w:t xml:space="preserve"> </w:t>
      </w:r>
      <w:bookmarkEnd w:id="174"/>
      <w:r w:rsidR="008E55E6" w:rsidRPr="00FF55D5">
        <w:rPr>
          <w:rFonts w:ascii="Verdana" w:hAnsi="Verdana" w:cs="Tahoma"/>
          <w:sz w:val="20"/>
          <w:szCs w:val="20"/>
        </w:rPr>
        <w:t xml:space="preserve">o disposto na Cláusula </w:t>
      </w:r>
      <w:r w:rsidR="00024FD3" w:rsidRPr="00FF55D5">
        <w:rPr>
          <w:rFonts w:ascii="Verdana" w:hAnsi="Verdana" w:cs="Tahoma"/>
          <w:sz w:val="20"/>
          <w:szCs w:val="20"/>
        </w:rPr>
        <w:fldChar w:fldCharType="begin"/>
      </w:r>
      <w:r w:rsidR="00024FD3" w:rsidRPr="00FF55D5">
        <w:rPr>
          <w:rFonts w:ascii="Verdana" w:hAnsi="Verdana" w:cs="Tahoma"/>
          <w:sz w:val="20"/>
          <w:szCs w:val="20"/>
        </w:rPr>
        <w:instrText xml:space="preserve"> REF _Ref69339637 \r \h </w:instrText>
      </w:r>
      <w:r w:rsidR="00C46F11" w:rsidRPr="00FF55D5">
        <w:rPr>
          <w:rFonts w:ascii="Verdana" w:hAnsi="Verdana" w:cs="Tahoma"/>
          <w:sz w:val="20"/>
          <w:szCs w:val="20"/>
        </w:rPr>
        <w:instrText xml:space="preserve"> \* MERGEFORMAT </w:instrText>
      </w:r>
      <w:r w:rsidR="00024FD3" w:rsidRPr="00FF55D5">
        <w:rPr>
          <w:rFonts w:ascii="Verdana" w:hAnsi="Verdana" w:cs="Tahoma"/>
          <w:sz w:val="20"/>
          <w:szCs w:val="20"/>
        </w:rPr>
      </w:r>
      <w:r w:rsidR="00024FD3" w:rsidRPr="00FF55D5">
        <w:rPr>
          <w:rFonts w:ascii="Verdana" w:hAnsi="Verdana" w:cs="Tahoma"/>
          <w:sz w:val="20"/>
          <w:szCs w:val="20"/>
        </w:rPr>
        <w:fldChar w:fldCharType="separate"/>
      </w:r>
      <w:r w:rsidR="004E3760" w:rsidRPr="00FF55D5">
        <w:rPr>
          <w:rFonts w:ascii="Verdana" w:hAnsi="Verdana" w:cs="Tahoma"/>
          <w:sz w:val="20"/>
          <w:szCs w:val="20"/>
        </w:rPr>
        <w:t>4.6</w:t>
      </w:r>
      <w:r w:rsidR="00024FD3" w:rsidRPr="00FF55D5">
        <w:rPr>
          <w:rFonts w:ascii="Verdana" w:hAnsi="Verdana" w:cs="Tahoma"/>
          <w:sz w:val="20"/>
          <w:szCs w:val="20"/>
        </w:rPr>
        <w:fldChar w:fldCharType="end"/>
      </w:r>
      <w:r w:rsidR="008E55E6" w:rsidRPr="00FF55D5">
        <w:rPr>
          <w:rFonts w:ascii="Verdana" w:hAnsi="Verdana" w:cs="Tahoma"/>
          <w:sz w:val="20"/>
          <w:szCs w:val="20"/>
        </w:rPr>
        <w:t xml:space="preserve"> abaixo</w:t>
      </w:r>
      <w:r w:rsidR="008E4423" w:rsidRPr="00FF55D5">
        <w:rPr>
          <w:rFonts w:ascii="Verdana" w:hAnsi="Verdana" w:cs="Tahoma"/>
          <w:sz w:val="20"/>
          <w:szCs w:val="20"/>
        </w:rPr>
        <w:t xml:space="preserve"> (“</w:t>
      </w:r>
      <w:r w:rsidR="008E4423" w:rsidRPr="00FF55D5">
        <w:rPr>
          <w:rFonts w:ascii="Verdana" w:hAnsi="Verdana" w:cs="Tahoma"/>
          <w:sz w:val="20"/>
          <w:szCs w:val="20"/>
          <w:u w:val="single"/>
        </w:rPr>
        <w:t>Eventos de Vencimento Antecipado Não Automático</w:t>
      </w:r>
      <w:r w:rsidR="008E4423" w:rsidRPr="00FF55D5">
        <w:rPr>
          <w:rFonts w:ascii="Verdana" w:hAnsi="Verdana" w:cs="Tahoma"/>
          <w:sz w:val="20"/>
          <w:szCs w:val="20"/>
        </w:rPr>
        <w:t>”)</w:t>
      </w:r>
      <w:r w:rsidR="008E55E6" w:rsidRPr="00FF55D5">
        <w:rPr>
          <w:rFonts w:ascii="Verdana" w:hAnsi="Verdana" w:cs="Tahoma"/>
          <w:sz w:val="20"/>
          <w:szCs w:val="20"/>
        </w:rPr>
        <w:t>.</w:t>
      </w:r>
      <w:bookmarkEnd w:id="175"/>
      <w:bookmarkEnd w:id="176"/>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2807E05B"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77" w:name="_DV_M189"/>
      <w:bookmarkStart w:id="178" w:name="_DV_M200"/>
      <w:bookmarkEnd w:id="177"/>
      <w:bookmarkEnd w:id="178"/>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393A70">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7AA723B4"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179"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w:t>
      </w:r>
      <w:r w:rsidR="00DA3A42" w:rsidRPr="00E06B02">
        <w:rPr>
          <w:rFonts w:ascii="Verdana" w:hAnsi="Verdana" w:cs="Tahoma"/>
          <w:sz w:val="20"/>
          <w:szCs w:val="20"/>
        </w:rPr>
        <w:lastRenderedPageBreak/>
        <w:t xml:space="preserve">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sidR="00393A70">
        <w:rPr>
          <w:rFonts w:ascii="Verdana" w:hAnsi="Verdana" w:cs="Tahoma"/>
          <w:sz w:val="20"/>
          <w:szCs w:val="20"/>
        </w:rPr>
        <w:t xml:space="preserve">de Reembolso </w:t>
      </w:r>
      <w:r w:rsidR="00DA3A42"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p w14:paraId="5AFDDA07" w14:textId="1CF16DDD"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80" w:name="_Ref71762542"/>
      <w:bookmarkEnd w:id="179"/>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r w:rsidR="00265ABC">
        <w:rPr>
          <w:rFonts w:ascii="Verdana" w:hAnsi="Verdana" w:cs="Tahoma"/>
          <w:sz w:val="20"/>
          <w:szCs w:val="20"/>
        </w:rPr>
        <w:t xml:space="preserve"> e notificar a B3</w:t>
      </w:r>
      <w:r w:rsidR="00506384">
        <w:rPr>
          <w:rFonts w:ascii="Verdana" w:hAnsi="Verdana" w:cs="Tahoma"/>
          <w:sz w:val="20"/>
          <w:szCs w:val="20"/>
        </w:rPr>
        <w:t>, em conjunto com o Agente Fiduciári</w:t>
      </w:r>
      <w:r w:rsidR="009D1944">
        <w:rPr>
          <w:rFonts w:ascii="Verdana" w:hAnsi="Verdana" w:cs="Tahoma"/>
          <w:sz w:val="20"/>
          <w:szCs w:val="20"/>
        </w:rPr>
        <w:t>o</w:t>
      </w:r>
      <w:r w:rsidR="00506384">
        <w:rPr>
          <w:rFonts w:ascii="Verdana" w:hAnsi="Verdana" w:cs="Tahoma"/>
          <w:sz w:val="20"/>
          <w:szCs w:val="20"/>
        </w:rPr>
        <w:t>,</w:t>
      </w:r>
      <w:r w:rsidR="00506384" w:rsidRPr="00506384">
        <w:rPr>
          <w:rFonts w:ascii="Verdana" w:hAnsi="Verdana" w:cs="Tahoma"/>
          <w:sz w:val="20"/>
          <w:szCs w:val="20"/>
        </w:rPr>
        <w:t xml:space="preserve"> </w:t>
      </w:r>
      <w:r w:rsidR="00506384">
        <w:rPr>
          <w:rFonts w:ascii="Verdana" w:hAnsi="Verdana" w:cs="Tahoma"/>
          <w:sz w:val="20"/>
          <w:szCs w:val="20"/>
        </w:rPr>
        <w:t xml:space="preserve">acerca do pagamento de que trata o item </w:t>
      </w:r>
      <w:r w:rsidR="00506384">
        <w:rPr>
          <w:rFonts w:ascii="Verdana" w:hAnsi="Verdana" w:cs="Tahoma"/>
          <w:sz w:val="20"/>
          <w:szCs w:val="20"/>
        </w:rPr>
        <w:fldChar w:fldCharType="begin"/>
      </w:r>
      <w:r w:rsidR="00506384">
        <w:rPr>
          <w:rFonts w:ascii="Verdana" w:hAnsi="Verdana" w:cs="Tahoma"/>
          <w:sz w:val="20"/>
          <w:szCs w:val="20"/>
        </w:rPr>
        <w:instrText xml:space="preserve"> REF _Ref71762542 \r \h </w:instrText>
      </w:r>
      <w:r w:rsidR="00506384">
        <w:rPr>
          <w:rFonts w:ascii="Verdana" w:hAnsi="Verdana" w:cs="Tahoma"/>
          <w:sz w:val="20"/>
          <w:szCs w:val="20"/>
        </w:rPr>
      </w:r>
      <w:r w:rsidR="00506384">
        <w:rPr>
          <w:rFonts w:ascii="Verdana" w:hAnsi="Verdana" w:cs="Tahoma"/>
          <w:sz w:val="20"/>
          <w:szCs w:val="20"/>
        </w:rPr>
        <w:fldChar w:fldCharType="separate"/>
      </w:r>
      <w:r w:rsidR="00506384">
        <w:rPr>
          <w:rFonts w:ascii="Verdana" w:hAnsi="Verdana" w:cs="Tahoma"/>
          <w:sz w:val="20"/>
          <w:szCs w:val="20"/>
        </w:rPr>
        <w:t>3.29.9</w:t>
      </w:r>
      <w:r w:rsidR="00506384">
        <w:rPr>
          <w:rFonts w:ascii="Verdana" w:hAnsi="Verdana" w:cs="Tahoma"/>
          <w:sz w:val="20"/>
          <w:szCs w:val="20"/>
        </w:rPr>
        <w:fldChar w:fldCharType="end"/>
      </w:r>
      <w:r w:rsidR="00506384">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180"/>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75E4947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81"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393A70">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81"/>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2ECD338A"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82"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00B32530" w:rsidRPr="00AC2408">
        <w:rPr>
          <w:rStyle w:val="Hyperlink"/>
          <w:rFonts w:ascii="Verdana" w:hAnsi="Verdana"/>
          <w:sz w:val="20"/>
          <w:szCs w:val="20"/>
        </w:rPr>
        <w:t>http://vert.gyra.com.br/</w:t>
      </w:r>
      <w:r w:rsidRPr="00E06B02">
        <w:rPr>
          <w:rFonts w:ascii="Verdana" w:hAnsi="Verdana" w:cs="Tahoma"/>
          <w:sz w:val="20"/>
          <w:szCs w:val="20"/>
        </w:rPr>
        <w:t>).</w:t>
      </w:r>
      <w:bookmarkEnd w:id="182"/>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w:t>
      </w:r>
      <w:r w:rsidRPr="00E06B02">
        <w:rPr>
          <w:rFonts w:ascii="Verdana" w:hAnsi="Verdana" w:cs="Tahoma"/>
          <w:sz w:val="20"/>
          <w:szCs w:val="20"/>
        </w:rPr>
        <w:lastRenderedPageBreak/>
        <w:t xml:space="preserve">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r w:rsidR="00EB5B24" w:rsidRPr="00E06B02">
        <w:rPr>
          <w:rFonts w:ascii="Verdana" w:hAnsi="Verdana"/>
          <w:b/>
          <w:sz w:val="20"/>
          <w:szCs w:val="20"/>
        </w:rPr>
        <w:t>Gyra</w:t>
      </w:r>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6"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5B6EA4D5"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sidR="00A2726F">
        <w:rPr>
          <w:rFonts w:ascii="Verdana" w:hAnsi="Verdana"/>
          <w:b/>
          <w:sz w:val="20"/>
          <w:szCs w:val="20"/>
        </w:rPr>
        <w:t xml:space="preserve">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83"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previsto no Acordo Operacional. </w:t>
      </w:r>
      <w:bookmarkEnd w:id="183"/>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84" w:name="_DV_M299"/>
      <w:bookmarkStart w:id="185" w:name="_DV_M300"/>
      <w:bookmarkStart w:id="186" w:name="_DV_M301"/>
      <w:bookmarkStart w:id="187" w:name="_DV_M303"/>
      <w:bookmarkStart w:id="188" w:name="_DV_M304"/>
      <w:bookmarkStart w:id="189" w:name="_DV_M305"/>
      <w:bookmarkStart w:id="190" w:name="_DV_M306"/>
      <w:bookmarkStart w:id="191" w:name="_DV_M307"/>
      <w:bookmarkStart w:id="192" w:name="_DV_M308"/>
      <w:bookmarkStart w:id="193" w:name="_DV_M309"/>
      <w:bookmarkStart w:id="194" w:name="_DV_M310"/>
      <w:bookmarkStart w:id="195" w:name="_DV_M313"/>
      <w:bookmarkStart w:id="196" w:name="_DV_M314"/>
      <w:bookmarkStart w:id="197" w:name="_DV_M214"/>
      <w:bookmarkStart w:id="198" w:name="_DV_M31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99"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199"/>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1B5203AC"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200"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sidR="00393A70">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xml:space="preserve">, os Debenturistas, reunir-se-ão em Assembleia Geral de Debenturistas conjunta, a fim de deliberarem sobre matéria de interesse da comunhão dos Debenturistas de todas as Séries. Neste caso, para fins de apuração dos quóruns, deverá ser </w:t>
      </w:r>
      <w:r w:rsidRPr="00001BE5">
        <w:rPr>
          <w:rFonts w:ascii="Verdana" w:hAnsi="Verdana" w:cs="Tahoma"/>
          <w:sz w:val="20"/>
          <w:szCs w:val="20"/>
        </w:rPr>
        <w:lastRenderedPageBreak/>
        <w:t>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200"/>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23C5DF3F"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201"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w:t>
      </w:r>
      <w:r w:rsidR="00393A70">
        <w:rPr>
          <w:rFonts w:ascii="Verdana" w:hAnsi="Verdana" w:cs="Tahoma"/>
          <w:sz w:val="20"/>
          <w:szCs w:val="20"/>
        </w:rPr>
        <w:t>e</w:t>
      </w:r>
      <w:r w:rsidR="0059418C">
        <w:rPr>
          <w:rFonts w:ascii="Verdana" w:hAnsi="Verdana" w:cs="Tahoma"/>
          <w:sz w:val="20"/>
          <w:szCs w:val="20"/>
        </w:rPr>
        <w:t>nturistas de uma respectiva Série</w:t>
      </w:r>
      <w:r w:rsidRPr="00220697">
        <w:rPr>
          <w:rFonts w:ascii="Verdana" w:hAnsi="Verdana" w:cs="Tahoma"/>
          <w:sz w:val="20"/>
          <w:szCs w:val="20"/>
        </w:rPr>
        <w:t xml:space="preserve"> não impactará na decisão da outra.</w:t>
      </w:r>
      <w:bookmarkEnd w:id="201"/>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2"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202"/>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203" w:name="_Ref497554208"/>
      <w:bookmarkStart w:id="204" w:name="_Ref422392340"/>
      <w:r w:rsidRPr="00E06B02">
        <w:rPr>
          <w:rFonts w:ascii="Verdana" w:hAnsi="Verdana" w:cs="Tahoma"/>
          <w:sz w:val="20"/>
          <w:szCs w:val="20"/>
        </w:rPr>
        <w:lastRenderedPageBreak/>
        <w:t xml:space="preserve">As deliberações relativas </w:t>
      </w:r>
      <w:bookmarkStart w:id="205" w:name="_DV_C599"/>
      <w:r w:rsidRPr="00E06B02">
        <w:rPr>
          <w:rStyle w:val="DeltaViewDeletion"/>
          <w:rFonts w:ascii="Verdana" w:hAnsi="Verdana"/>
          <w:strike w:val="0"/>
          <w:color w:val="000000"/>
          <w:sz w:val="20"/>
          <w:szCs w:val="20"/>
        </w:rPr>
        <w:t xml:space="preserve">às seguintes </w:t>
      </w:r>
      <w:bookmarkStart w:id="206" w:name="_DV_M533"/>
      <w:bookmarkEnd w:id="205"/>
      <w:bookmarkEnd w:id="206"/>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207" w:name="_Ref70427107"/>
      <w:bookmarkEnd w:id="203"/>
    </w:p>
    <w:bookmarkEnd w:id="207"/>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08" w:name="_DV_C605"/>
      <w:bookmarkStart w:id="209" w:name="_DV_X601"/>
      <w:r w:rsidRPr="00E06B02">
        <w:rPr>
          <w:rStyle w:val="DeltaViewMoveSource"/>
          <w:rFonts w:ascii="Verdana" w:hAnsi="Verdana" w:cs="Tahoma"/>
          <w:strike w:val="0"/>
          <w:color w:val="000000"/>
          <w:sz w:val="20"/>
          <w:szCs w:val="20"/>
        </w:rPr>
        <w:t>modificação da Data de Vencimento das Debêntures</w:t>
      </w:r>
      <w:bookmarkStart w:id="210" w:name="_DV_C606"/>
      <w:bookmarkEnd w:id="208"/>
      <w:bookmarkEnd w:id="209"/>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11"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10"/>
      <w:bookmarkEnd w:id="211"/>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6365184E"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12" w:name="_DV_C607"/>
      <w:r w:rsidRPr="00E06B02">
        <w:rPr>
          <w:rStyle w:val="DeltaViewDeletion"/>
          <w:rFonts w:ascii="Verdana" w:hAnsi="Verdana"/>
          <w:strike w:val="0"/>
          <w:color w:val="000000"/>
          <w:sz w:val="20"/>
          <w:szCs w:val="20"/>
        </w:rPr>
        <w:t xml:space="preserve">alteração de qualquer dos </w:t>
      </w:r>
      <w:r w:rsidR="00313E76">
        <w:rPr>
          <w:rStyle w:val="DeltaViewDeletion"/>
          <w:rFonts w:ascii="Verdana" w:hAnsi="Verdana"/>
          <w:strike w:val="0"/>
          <w:color w:val="000000"/>
          <w:sz w:val="20"/>
          <w:szCs w:val="20"/>
        </w:rPr>
        <w:t xml:space="preserve">Aceleração de Vencimento e dos </w:t>
      </w:r>
      <w:r w:rsidR="00313E76" w:rsidRPr="00E06B02">
        <w:rPr>
          <w:rStyle w:val="DeltaViewDeletion"/>
          <w:rFonts w:ascii="Verdana" w:hAnsi="Verdana"/>
          <w:strike w:val="0"/>
          <w:color w:val="000000"/>
          <w:sz w:val="20"/>
          <w:szCs w:val="20"/>
        </w:rPr>
        <w:t xml:space="preserve">Eventos de </w:t>
      </w:r>
      <w:r w:rsidRPr="00E06B02">
        <w:rPr>
          <w:rStyle w:val="DeltaViewDeletion"/>
          <w:rFonts w:ascii="Verdana" w:hAnsi="Verdana"/>
          <w:strike w:val="0"/>
          <w:color w:val="000000"/>
          <w:sz w:val="20"/>
          <w:szCs w:val="20"/>
        </w:rPr>
        <w:t xml:space="preserve">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212"/>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74A71736"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0F28EE2B"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13" w:name="_Ref497554210"/>
      <w:r w:rsidRPr="00E06B02">
        <w:rPr>
          <w:rFonts w:ascii="Verdana" w:hAnsi="Verdana" w:cs="Tahoma"/>
          <w:sz w:val="20"/>
          <w:szCs w:val="20"/>
        </w:rPr>
        <w:t>As deliberações relativas às seguintes matérias serão aprovadas por titulares das Debêntures representando, pelo menos, 75% (setenta e cinco por cento) das Debêntures em Circulação</w:t>
      </w:r>
      <w:r w:rsidR="00313E76">
        <w:rPr>
          <w:rFonts w:ascii="Verdana" w:hAnsi="Verdana" w:cs="Tahoma"/>
          <w:sz w:val="20"/>
          <w:szCs w:val="20"/>
        </w:rPr>
        <w:t>,</w:t>
      </w:r>
      <w:r w:rsidRPr="00E06B02">
        <w:rPr>
          <w:rFonts w:ascii="Verdana" w:hAnsi="Verdana" w:cs="Tahoma"/>
          <w:sz w:val="20"/>
          <w:szCs w:val="20"/>
        </w:rPr>
        <w:t xml:space="preserve"> em primeira </w:t>
      </w:r>
      <w:r w:rsidR="00313E76">
        <w:rPr>
          <w:rFonts w:ascii="Verdana" w:hAnsi="Verdana" w:cs="Tahoma"/>
          <w:sz w:val="20"/>
          <w:szCs w:val="20"/>
        </w:rPr>
        <w:t>ou</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w:t>
      </w:r>
      <w:bookmarkEnd w:id="204"/>
      <w:bookmarkEnd w:id="213"/>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14"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14"/>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15"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w:t>
      </w:r>
      <w:r w:rsidRPr="00E06B02">
        <w:rPr>
          <w:rFonts w:ascii="Verdana" w:hAnsi="Verdana" w:cs="Tahoma"/>
          <w:sz w:val="20"/>
          <w:szCs w:val="20"/>
        </w:rPr>
        <w:lastRenderedPageBreak/>
        <w:t xml:space="preserve">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15"/>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16"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16"/>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tomadas pelos Debenturistas em Assembleias Gerais de Debenturistas no âmbito de sua competência legal, observados os quóruns desta Escritura de </w:t>
      </w:r>
      <w:r w:rsidRPr="00E06B02">
        <w:rPr>
          <w:rFonts w:ascii="Verdana" w:hAnsi="Verdana" w:cs="Tahoma"/>
          <w:sz w:val="20"/>
          <w:szCs w:val="20"/>
        </w:rPr>
        <w:lastRenderedPageBreak/>
        <w:t>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w:t>
      </w:r>
      <w:r w:rsidRPr="00E06B02">
        <w:rPr>
          <w:rFonts w:ascii="Verdana" w:hAnsi="Verdana" w:cs="Tahoma"/>
          <w:sz w:val="20"/>
          <w:szCs w:val="20"/>
        </w:rPr>
        <w:lastRenderedPageBreak/>
        <w:t xml:space="preserve">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11E41CC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sidR="00313E76">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sidR="00313E76">
        <w:rPr>
          <w:rFonts w:ascii="Verdana" w:hAnsi="Verdana" w:cs="Tahoma"/>
          <w:sz w:val="20"/>
          <w:szCs w:val="20"/>
        </w:rPr>
        <w:t>é</w:t>
      </w:r>
      <w:r w:rsidR="00313E76" w:rsidRPr="00E06B02">
        <w:rPr>
          <w:rFonts w:ascii="Verdana" w:hAnsi="Verdana" w:cs="Tahoma"/>
          <w:sz w:val="20"/>
          <w:szCs w:val="20"/>
        </w:rPr>
        <w:t xml:space="preserve"> a única conta bancária</w:t>
      </w:r>
      <w:r w:rsidRPr="00E06B02">
        <w:rPr>
          <w:rFonts w:ascii="Verdana" w:hAnsi="Verdana" w:cs="Tahoma"/>
          <w:sz w:val="20"/>
          <w:szCs w:val="20"/>
        </w:rPr>
        <w:t xml:space="preserve">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0ABCE1B6"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00313E76">
        <w:rPr>
          <w:rFonts w:ascii="Verdana" w:eastAsia="MS Mincho" w:hAnsi="Verdana" w:cs="Tahoma"/>
          <w:sz w:val="20"/>
          <w:szCs w:val="20"/>
        </w:rPr>
        <w:t>Cedidos</w:t>
      </w:r>
      <w:r w:rsidR="00313E76"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86037BA" w14:textId="77777777" w:rsidR="0099019F" w:rsidRDefault="000F6B0C"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313E76">
        <w:rPr>
          <w:rFonts w:ascii="Verdana" w:hAnsi="Verdana" w:cs="Tahoma"/>
          <w:sz w:val="20"/>
          <w:szCs w:val="20"/>
        </w:rPr>
        <w:t xml:space="preserve"> </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w:t>
      </w:r>
      <w:r w:rsidRPr="00E06B02">
        <w:rPr>
          <w:rFonts w:ascii="Verdana" w:hAnsi="Verdana" w:cs="Tahoma"/>
          <w:sz w:val="20"/>
          <w:szCs w:val="20"/>
        </w:rPr>
        <w:lastRenderedPageBreak/>
        <w:t xml:space="preserve">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l</w:t>
      </w:r>
      <w:r w:rsidR="0099019F">
        <w:rPr>
          <w:rFonts w:ascii="Verdana" w:hAnsi="Verdana" w:cs="Tahoma"/>
          <w:sz w:val="20"/>
          <w:szCs w:val="20"/>
        </w:rPr>
        <w:t>; e</w:t>
      </w:r>
    </w:p>
    <w:p w14:paraId="7E46C1D1" w14:textId="77777777" w:rsidR="0099019F" w:rsidRDefault="0099019F" w:rsidP="0099019F">
      <w:pPr>
        <w:pStyle w:val="PargrafodaLista"/>
        <w:rPr>
          <w:rFonts w:ascii="Verdana" w:hAnsi="Verdana" w:cs="Tahoma"/>
          <w:sz w:val="20"/>
          <w:szCs w:val="20"/>
        </w:rPr>
      </w:pPr>
    </w:p>
    <w:p w14:paraId="076864CA" w14:textId="0B2BC07D" w:rsidR="000F6B0C" w:rsidRPr="0099019F" w:rsidRDefault="0099019F"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17" w:name="_DV_M298"/>
      <w:bookmarkStart w:id="218" w:name="_DV_M203"/>
      <w:bookmarkStart w:id="219" w:name="_DV_M209"/>
      <w:bookmarkStart w:id="220" w:name="_DV_M216"/>
      <w:bookmarkStart w:id="221" w:name="_DV_M217"/>
      <w:bookmarkStart w:id="222" w:name="_DV_M218"/>
      <w:bookmarkStart w:id="223" w:name="_DV_M220"/>
      <w:bookmarkStart w:id="224" w:name="_Ref497571040"/>
      <w:bookmarkStart w:id="225" w:name="_Ref497578042"/>
      <w:bookmarkEnd w:id="217"/>
      <w:bookmarkEnd w:id="218"/>
      <w:bookmarkEnd w:id="219"/>
      <w:bookmarkEnd w:id="220"/>
      <w:bookmarkEnd w:id="221"/>
      <w:bookmarkEnd w:id="222"/>
      <w:bookmarkEnd w:id="223"/>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24"/>
      <w:bookmarkEnd w:id="225"/>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76C8061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 xml:space="preserve">Prêmio </w:t>
      </w:r>
      <w:r w:rsidR="00313E76">
        <w:rPr>
          <w:rFonts w:ascii="Verdana" w:hAnsi="Verdana" w:cs="Tahoma"/>
          <w:bCs/>
          <w:sz w:val="20"/>
          <w:szCs w:val="20"/>
        </w:rPr>
        <w:t xml:space="preserve">de Reembolso </w:t>
      </w:r>
      <w:r w:rsidR="00017F48" w:rsidRPr="00E06B02">
        <w:rPr>
          <w:rFonts w:ascii="Verdana" w:hAnsi="Verdana" w:cs="Tahoma"/>
          <w:bCs/>
          <w:sz w:val="20"/>
          <w:szCs w:val="20"/>
        </w:rPr>
        <w:t>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w:t>
      </w:r>
      <w:r w:rsidRPr="00E06B02">
        <w:rPr>
          <w:rFonts w:ascii="Verdana" w:hAnsi="Verdana" w:cs="Tahoma"/>
          <w:sz w:val="20"/>
          <w:szCs w:val="20"/>
        </w:rPr>
        <w:lastRenderedPageBreak/>
        <w:t xml:space="preserve">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718B8BE" w14:textId="77777777" w:rsidR="00080D11" w:rsidRDefault="008E55E6" w:rsidP="001814F1">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r w:rsidR="00080D11" w:rsidRPr="001648C5">
        <w:rPr>
          <w:rFonts w:ascii="Verdana" w:hAnsi="Verdana" w:cs="Tahoma"/>
          <w:sz w:val="20"/>
          <w:szCs w:val="20"/>
        </w:rPr>
        <w:t>PriceWaterhouseCoopers Auditores Independentes, KPMG Auditores Independentes S.S., Deloitte Brasil Auditores Independentes Ltda., Ernst&amp;Young Auditores Independentes S.S.</w:t>
      </w:r>
      <w:r w:rsidR="00080D11" w:rsidRPr="00AC61DB">
        <w:rPr>
          <w:rFonts w:ascii="Verdana" w:hAnsi="Verdana" w:cs="Tahoma"/>
          <w:sz w:val="20"/>
          <w:szCs w:val="20"/>
        </w:rPr>
        <w:t>, Grand Thorton Auditores Independentes, Bdo Rcs Auditores Independentes ou Bker Tilly 4Partners Auditoria e Consultoria Ltda.</w:t>
      </w:r>
    </w:p>
    <w:p w14:paraId="641EE328" w14:textId="77777777" w:rsidR="00080D11" w:rsidRDefault="00080D11" w:rsidP="001814F1">
      <w:pPr>
        <w:pStyle w:val="PargrafodaLista"/>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5D486AA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0C9773B4"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5E02F5" w:rsidRPr="00E06B02" w14:paraId="5D9A53FE" w14:textId="77777777" w:rsidTr="00212A7B">
        <w:tc>
          <w:tcPr>
            <w:tcW w:w="2977" w:type="dxa"/>
            <w:vAlign w:val="center"/>
          </w:tcPr>
          <w:p w14:paraId="583FEE57" w14:textId="293E80E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7A770AD" w14:textId="0FE6652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9019B26"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338153CD"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4AB764E0" w:rsidR="005E02F5" w:rsidRPr="00E06B02" w:rsidRDefault="004118CE" w:rsidP="00E06B02">
            <w:pPr>
              <w:pStyle w:val="ListaColorida-nfase12"/>
              <w:spacing w:after="0" w:line="280" w:lineRule="exact"/>
              <w:ind w:left="0"/>
              <w:jc w:val="both"/>
              <w:rPr>
                <w:rFonts w:ascii="Verdana" w:hAnsi="Verdana" w:cs="Tahoma"/>
                <w:sz w:val="20"/>
                <w:szCs w:val="20"/>
              </w:rPr>
            </w:pPr>
            <w:r>
              <w:rPr>
                <w:rFonts w:ascii="Verdana" w:eastAsia="Times New Roman" w:hAnsi="Verdana" w:cs="Tahoma"/>
                <w:bCs/>
                <w:caps/>
                <w:sz w:val="20"/>
                <w:szCs w:val="20"/>
                <w:lang w:eastAsia="pt-BR"/>
              </w:rPr>
              <w:t>10</w:t>
            </w:r>
            <w:r w:rsidR="005E02F5" w:rsidRPr="00E06B02">
              <w:rPr>
                <w:rFonts w:ascii="Verdana" w:eastAsia="Times New Roman" w:hAnsi="Verdana" w:cs="Tahoma"/>
                <w:bCs/>
                <w:caps/>
                <w:sz w:val="20"/>
                <w:szCs w:val="20"/>
                <w:lang w:eastAsia="pt-BR"/>
              </w:rPr>
              <w:t>0,00%</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78A5C74E" w:rsidR="00A04FB5" w:rsidRPr="00E06B02" w:rsidRDefault="004118CE" w:rsidP="00225738">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00A04FB5" w:rsidRPr="005C5113">
              <w:rPr>
                <w:rFonts w:ascii="Verdana" w:eastAsia="Times New Roman" w:hAnsi="Verdana" w:cs="Tahoma"/>
                <w:bCs/>
                <w:caps/>
                <w:sz w:val="20"/>
                <w:szCs w:val="20"/>
                <w:lang w:eastAsia="pt-BR"/>
              </w:rPr>
              <w:t>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lastRenderedPageBreak/>
              <w:t>Risco nível G: atraso entre 151 e 180 dias:</w:t>
            </w:r>
          </w:p>
        </w:tc>
        <w:tc>
          <w:tcPr>
            <w:tcW w:w="4394" w:type="dxa"/>
            <w:vAlign w:val="center"/>
          </w:tcPr>
          <w:p w14:paraId="7A624CC3" w14:textId="0ADBE4B0" w:rsidR="00A04FB5" w:rsidRPr="00E06B02" w:rsidRDefault="004118CE" w:rsidP="00A04FB5">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00A04FB5" w:rsidRPr="005C5113">
              <w:rPr>
                <w:rFonts w:ascii="Verdana" w:eastAsia="Times New Roman" w:hAnsi="Verdana" w:cs="Tahoma"/>
                <w:bCs/>
                <w:caps/>
                <w:sz w:val="20"/>
                <w:szCs w:val="20"/>
                <w:lang w:eastAsia="pt-BR"/>
              </w:rPr>
              <w:t>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10F7640C"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3AE4EE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sidR="001E09FC">
        <w:rPr>
          <w:rFonts w:ascii="Verdana" w:hAnsi="Verdana" w:cs="Tahoma"/>
          <w:sz w:val="20"/>
          <w:szCs w:val="20"/>
        </w:rPr>
        <w:t>s</w:t>
      </w:r>
      <w:r w:rsidRPr="00E06B02">
        <w:rPr>
          <w:rFonts w:ascii="Verdana" w:hAnsi="Verdana" w:cs="Tahoma"/>
          <w:sz w:val="20"/>
          <w:szCs w:val="20"/>
        </w:rPr>
        <w:t xml:space="preserve">aldo </w:t>
      </w:r>
      <w:r w:rsidR="001E09FC">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6"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226AC69C"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1B96BB82"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44515E08" w14:textId="75522284"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A43B3A" w14:textId="77777777" w:rsidR="00225738" w:rsidRPr="00E06B02" w:rsidRDefault="00225738" w:rsidP="0022258D">
      <w:pPr>
        <w:pStyle w:val="alpha4"/>
        <w:numPr>
          <w:ilvl w:val="0"/>
          <w:numId w:val="0"/>
        </w:numPr>
        <w:spacing w:after="0" w:line="280" w:lineRule="exact"/>
        <w:ind w:left="2367"/>
        <w:rPr>
          <w:rFonts w:ascii="Verdana" w:hAnsi="Verdana"/>
        </w:rPr>
      </w:pPr>
    </w:p>
    <w:p w14:paraId="0091221E" w14:textId="64B0F9F3"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w:t>
      </w:r>
      <w:r w:rsidRPr="00E06B02">
        <w:rPr>
          <w:rFonts w:ascii="Verdana" w:hAnsi="Verdana"/>
        </w:rPr>
        <w:lastRenderedPageBreak/>
        <w:t xml:space="preserve">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3780E11C"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5AD677C5" w14:textId="7471D0F1"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6648BC1F" w14:textId="77777777" w:rsidR="00225738" w:rsidRPr="00E06B02" w:rsidRDefault="00225738" w:rsidP="0022258D">
      <w:pPr>
        <w:pStyle w:val="alpha4"/>
        <w:numPr>
          <w:ilvl w:val="0"/>
          <w:numId w:val="0"/>
        </w:numPr>
        <w:spacing w:after="0" w:line="280" w:lineRule="exact"/>
        <w:ind w:left="2367"/>
        <w:rPr>
          <w:rFonts w:ascii="Verdana" w:hAnsi="Verdana"/>
        </w:rPr>
      </w:pP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225738"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0F65EB79" w14:textId="77777777" w:rsidR="00225738" w:rsidRPr="00E06B02" w:rsidRDefault="00225738" w:rsidP="0022258D">
      <w:pPr>
        <w:pStyle w:val="alpha4"/>
        <w:numPr>
          <w:ilvl w:val="0"/>
          <w:numId w:val="0"/>
        </w:numPr>
        <w:spacing w:after="0" w:line="280" w:lineRule="exact"/>
        <w:ind w:left="2367"/>
        <w:rPr>
          <w:rFonts w:ascii="Verdana" w:hAnsi="Verdana"/>
        </w:rPr>
      </w:pP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26"/>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7"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27"/>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8" w:name="_DV_M270"/>
      <w:bookmarkStart w:id="229" w:name="_Ref168844079"/>
      <w:bookmarkEnd w:id="228"/>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29"/>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30"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30"/>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3EB65E9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sidR="00225738">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755881B4" w:rsidR="00EB5CDB"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C61E6F">
        <w:rPr>
          <w:rFonts w:ascii="Verdana" w:hAnsi="Verdana" w:cs="Tahoma"/>
          <w:sz w:val="20"/>
          <w:szCs w:val="20"/>
        </w:rPr>
        <w:t>; e</w:t>
      </w:r>
    </w:p>
    <w:p w14:paraId="69E886F2" w14:textId="77777777" w:rsidR="00C61E6F" w:rsidRDefault="00C61E6F" w:rsidP="008D0E5B">
      <w:pPr>
        <w:pStyle w:val="PargrafodaLista"/>
        <w:rPr>
          <w:rFonts w:ascii="Verdana" w:hAnsi="Verdana" w:cs="Tahoma"/>
          <w:sz w:val="20"/>
          <w:szCs w:val="20"/>
        </w:rPr>
      </w:pPr>
    </w:p>
    <w:p w14:paraId="5534E957" w14:textId="7E51971D" w:rsidR="00C61E6F" w:rsidRPr="00E06B02" w:rsidRDefault="00C61E6F"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r>
        <w:rPr>
          <w:rFonts w:ascii="Verdana" w:hAnsi="Verdana" w:cs="Tahoma"/>
          <w:sz w:val="20"/>
          <w:szCs w:val="20"/>
        </w:rPr>
        <w:t>CCBs originadas pela Gyramais por meio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31"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31"/>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32"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33" w:name="_Ref495595902"/>
      <w:bookmarkEnd w:id="232"/>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33"/>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lastRenderedPageBreak/>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34"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34"/>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lastRenderedPageBreak/>
        <w:t>Deveres do Agente Fiduciário</w:t>
      </w:r>
      <w:bookmarkStart w:id="235"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36"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35"/>
      <w:bookmarkEnd w:id="236"/>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37"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37"/>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38" w:name="_Ref477873511"/>
      <w:r w:rsidRPr="00E06B02">
        <w:rPr>
          <w:rFonts w:ascii="Verdana" w:hAnsi="Verdana" w:cs="Tahoma"/>
          <w:sz w:val="20"/>
          <w:szCs w:val="20"/>
        </w:rPr>
        <w:t xml:space="preserve">existência de outras emissões de valores mobiliários, públicas ou privadas, feitas pela própria Emissora, por sociedade coligada, controlada, controladora ou integrante do mesmo grupo da Emissora, em que tenha atuado como </w:t>
      </w:r>
      <w:r w:rsidRPr="00E06B02">
        <w:rPr>
          <w:rFonts w:ascii="Verdana" w:hAnsi="Verdana" w:cs="Tahoma"/>
          <w:sz w:val="20"/>
          <w:szCs w:val="20"/>
        </w:rPr>
        <w:lastRenderedPageBreak/>
        <w:t>agente fiduciário no período, bem como os seguintes dados sobre tais emissões:</w:t>
      </w:r>
      <w:bookmarkEnd w:id="238"/>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39" w:name="_Ref436983621"/>
      <w:r w:rsidRPr="00E06B02">
        <w:rPr>
          <w:rFonts w:ascii="Verdana" w:hAnsi="Verdana" w:cs="Tahoma"/>
          <w:sz w:val="20"/>
          <w:szCs w:val="20"/>
        </w:rPr>
        <w:t xml:space="preserve">disponibilizar o relatório de que trata </w:t>
      </w:r>
      <w:bookmarkStart w:id="240" w:name="_DV_M311"/>
      <w:bookmarkStart w:id="241" w:name="_DV_M312"/>
      <w:bookmarkEnd w:id="240"/>
      <w:bookmarkEnd w:id="241"/>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39"/>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42"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42"/>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3"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43"/>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4" w:name="_Ref477873650"/>
      <w:r w:rsidRPr="00E06B02">
        <w:rPr>
          <w:rFonts w:ascii="Verdana" w:hAnsi="Verdana" w:cs="Tahoma"/>
          <w:sz w:val="20"/>
          <w:szCs w:val="20"/>
        </w:rPr>
        <w:t>tomar qualquer providência necessária para a realização dos créditos dos Debenturistas; e</w:t>
      </w:r>
      <w:bookmarkEnd w:id="244"/>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5"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45"/>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w:t>
      </w:r>
      <w:r w:rsidRPr="00E06B02">
        <w:rPr>
          <w:rFonts w:ascii="Verdana" w:hAnsi="Verdana" w:cs="Tahoma"/>
          <w:sz w:val="20"/>
          <w:szCs w:val="20"/>
        </w:rPr>
        <w:lastRenderedPageBreak/>
        <w:t xml:space="preserve">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46"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46"/>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47" w:name="_DV_X471"/>
      <w:bookmarkStart w:id="248"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49" w:name="_DV_C423"/>
      <w:bookmarkEnd w:id="247"/>
      <w:bookmarkEnd w:id="248"/>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50" w:name="_DV_X465"/>
      <w:bookmarkStart w:id="251" w:name="_DV_C425"/>
      <w:bookmarkEnd w:id="249"/>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52" w:name="_DV_C426"/>
      <w:bookmarkEnd w:id="250"/>
      <w:bookmarkEnd w:id="251"/>
      <w:r w:rsidRPr="00E06B02">
        <w:rPr>
          <w:rFonts w:ascii="Verdana" w:hAnsi="Verdana" w:cs="Tahoma"/>
          <w:sz w:val="20"/>
          <w:szCs w:val="20"/>
        </w:rPr>
        <w:t>, vinculativa e eficaz</w:t>
      </w:r>
      <w:bookmarkStart w:id="253" w:name="_DV_X467"/>
      <w:bookmarkStart w:id="254" w:name="_DV_C427"/>
      <w:bookmarkEnd w:id="252"/>
      <w:r w:rsidRPr="00E06B02">
        <w:rPr>
          <w:rFonts w:ascii="Verdana" w:hAnsi="Verdana" w:cs="Tahoma"/>
          <w:sz w:val="20"/>
          <w:szCs w:val="20"/>
        </w:rPr>
        <w:t xml:space="preserve"> do Agente Fiduciário, exequível de acordo com os seus termos e condições;</w:t>
      </w:r>
      <w:bookmarkEnd w:id="253"/>
      <w:bookmarkEnd w:id="254"/>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55" w:name="_DV_M201"/>
      <w:bookmarkStart w:id="256" w:name="_DV_M419"/>
      <w:bookmarkStart w:id="257" w:name="_DV_M327"/>
      <w:bookmarkStart w:id="258" w:name="_DV_M328"/>
      <w:bookmarkStart w:id="259" w:name="_DV_M329"/>
      <w:bookmarkStart w:id="260" w:name="_DV_M330"/>
      <w:bookmarkStart w:id="261" w:name="_DV_M331"/>
      <w:bookmarkStart w:id="262" w:name="_DV_M332"/>
      <w:bookmarkEnd w:id="255"/>
      <w:bookmarkEnd w:id="256"/>
      <w:bookmarkEnd w:id="257"/>
      <w:bookmarkEnd w:id="258"/>
      <w:bookmarkEnd w:id="259"/>
      <w:bookmarkEnd w:id="260"/>
      <w:bookmarkEnd w:id="261"/>
      <w:bookmarkEnd w:id="262"/>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w:t>
      </w:r>
      <w:r w:rsidRPr="00E06B02">
        <w:rPr>
          <w:rFonts w:ascii="Verdana" w:hAnsi="Verdana" w:cs="Tahoma"/>
          <w:sz w:val="20"/>
          <w:szCs w:val="20"/>
        </w:rPr>
        <w:lastRenderedPageBreak/>
        <w:t xml:space="preserve">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w:t>
      </w:r>
      <w:r w:rsidRPr="00E06B02">
        <w:rPr>
          <w:rFonts w:ascii="Verdana" w:hAnsi="Verdana" w:cs="Tahoma"/>
          <w:sz w:val="20"/>
          <w:szCs w:val="20"/>
        </w:rPr>
        <w:lastRenderedPageBreak/>
        <w:t xml:space="preserve">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12B363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63" w:name="_DV_M436"/>
      <w:bookmarkEnd w:id="263"/>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6B29FB">
        <w:rPr>
          <w:rFonts w:ascii="Verdana" w:eastAsia="Arial Unicode MS" w:hAnsi="Verdana"/>
          <w:sz w:val="20"/>
          <w:szCs w:val="20"/>
        </w:rPr>
        <w:t>12</w:t>
      </w:r>
      <w:r w:rsidR="006B29FB"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de </w:t>
      </w:r>
      <w:r w:rsidR="00080D11">
        <w:rPr>
          <w:rFonts w:ascii="Verdana" w:eastAsia="Arial Unicode MS" w:hAnsi="Verdana"/>
          <w:sz w:val="20"/>
          <w:szCs w:val="20"/>
        </w:rPr>
        <w:t>maio</w:t>
      </w:r>
      <w:r w:rsidR="00080D11"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4BEE2654"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E67F9A">
        <w:rPr>
          <w:rFonts w:ascii="Verdana" w:hAnsi="Verdana"/>
          <w:i/>
          <w:sz w:val="20"/>
          <w:szCs w:val="20"/>
        </w:rPr>
        <w:t xml:space="preserve">até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r w:rsidR="00F470F4" w:rsidRPr="00E06B02">
        <w:rPr>
          <w:rFonts w:ascii="Verdana" w:hAnsi="Verdana"/>
          <w:i/>
          <w:sz w:val="20"/>
          <w:szCs w:val="20"/>
        </w:rPr>
        <w:t>Gyra</w:t>
      </w:r>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footerReference w:type="default" r:id="rId27"/>
          <w:headerReference w:type="first" r:id="rId28"/>
          <w:footerReference w:type="first" r:id="rId29"/>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964F8C8"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64"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1C0F485F" w:rsidR="001F5F8A" w:rsidRPr="00E06B02" w:rsidRDefault="001F5F8A" w:rsidP="00A9007F">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p>
        </w:tc>
      </w:tr>
      <w:tr w:rsidR="00BB7BA4"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11581FD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BB7BA4"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7CCAE90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BB7BA4"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0F599A0B" w:rsidR="00BB7BA4" w:rsidRPr="00E06B02" w:rsidRDefault="00BB7BA4" w:rsidP="00BB7BA4">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BB7BA4"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7B7740FB" w:rsidR="00BB7BA4" w:rsidRPr="00E06B02" w:rsidRDefault="00BB7BA4" w:rsidP="00BB7BA4">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BB7BA4"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2904C4BC" w:rsidR="00BB7BA4" w:rsidRPr="00E06B02" w:rsidRDefault="00BB7BA4" w:rsidP="00BB7BA4">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BB7BA4"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36FC3B56"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BB7BA4"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057D205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BB7BA4"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C4DA79B"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BB7BA4"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3A23B98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BB7BA4"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0791502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BB7BA4"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6CBDA9E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BB7BA4"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432C2823"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BB7BA4"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00C8E2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BB7BA4"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4CB5191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BB7BA4"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5A8FB143"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BB7BA4"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55903C7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BB7BA4"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196D8FDB"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BB7BA4"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1B34957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BB7BA4"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4B57701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BB7BA4"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7474FFF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BB7BA4"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8CBB7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BB7BA4"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7D008D2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BB7BA4"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933477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BB7BA4"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5F4877B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BB7BA4"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7A25942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BB7BA4"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0EB0780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BB7BA4"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22F872E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BB7BA4"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305C54F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BB7BA4"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61347426"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BB7BA4"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3458CFA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BB7BA4"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4E22876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BB7BA4"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1DB0E5BD"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BB7BA4"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266A586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BB7BA4"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58CE51F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BB7BA4"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7E2B55C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BB7BA4"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5F87C14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BB7BA4"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760FEF1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BB7BA4"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5C54BED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BB7BA4"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3A2B1F6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BB7BA4"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36029E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BB7BA4"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7799520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64"/>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17E95D30"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6B89EDF6"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265" w:name="_DV_M416"/>
      <w:bookmarkEnd w:id="265"/>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EMISSÃO DE DEBÊNTURES SIMPLES, NÃO CONVERSÍVEIS EM AÇÕES, DA ESPÉCIE COM GARANTIA REAL, EM</w:t>
      </w:r>
      <w:r w:rsidR="00E67F9A">
        <w:rPr>
          <w:rFonts w:ascii="Verdana" w:hAnsi="Verdana"/>
          <w:b/>
          <w:smallCaps/>
          <w:sz w:val="20"/>
          <w:szCs w:val="20"/>
          <w:u w:val="single"/>
        </w:rPr>
        <w:t xml:space="preserve"> ATÉ</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7B69FC92"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4118CE" w:rsidRPr="00E06B02" w14:paraId="789530D1" w14:textId="77777777" w:rsidTr="00227DC5">
        <w:tc>
          <w:tcPr>
            <w:tcW w:w="3969" w:type="dxa"/>
            <w:vAlign w:val="center"/>
          </w:tcPr>
          <w:p w14:paraId="318B42D1" w14:textId="07802817"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41598551"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4118CE" w:rsidRPr="00E06B02" w14:paraId="67D85C82" w14:textId="77777777" w:rsidTr="00227DC5">
        <w:tc>
          <w:tcPr>
            <w:tcW w:w="3969" w:type="dxa"/>
            <w:vAlign w:val="center"/>
          </w:tcPr>
          <w:p w14:paraId="0E7EC175" w14:textId="21FADD3B"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FD05EFA" w14:textId="225C3B3C"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4118CE" w:rsidRPr="00E06B02" w14:paraId="345D3E23" w14:textId="77777777" w:rsidTr="00227DC5">
        <w:tc>
          <w:tcPr>
            <w:tcW w:w="3969" w:type="dxa"/>
            <w:vAlign w:val="center"/>
          </w:tcPr>
          <w:p w14:paraId="7261D033" w14:textId="12A34AF1"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47593939"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4118CE" w:rsidRPr="00E06B02" w14:paraId="36E2F8EB" w14:textId="77777777" w:rsidTr="00227DC5">
        <w:tc>
          <w:tcPr>
            <w:tcW w:w="3969" w:type="dxa"/>
            <w:vAlign w:val="center"/>
          </w:tcPr>
          <w:p w14:paraId="782591E3" w14:textId="79950485"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44F52409"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4118CE" w:rsidRPr="00E06B02" w14:paraId="42EE2B7B" w14:textId="77777777" w:rsidTr="00227DC5">
        <w:tc>
          <w:tcPr>
            <w:tcW w:w="3969" w:type="dxa"/>
            <w:vAlign w:val="center"/>
          </w:tcPr>
          <w:p w14:paraId="3C7431FA" w14:textId="308F9CA6"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B744F6E"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118CE" w:rsidRPr="00A04FB5" w14:paraId="7B1530D1" w14:textId="77777777" w:rsidTr="00227DC5">
        <w:tc>
          <w:tcPr>
            <w:tcW w:w="3969" w:type="dxa"/>
            <w:vAlign w:val="center"/>
          </w:tcPr>
          <w:p w14:paraId="2A0AF0B2" w14:textId="737D52BD"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0817E07E"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118CE" w:rsidRPr="00A04FB5" w14:paraId="7BC1F51D" w14:textId="77777777" w:rsidTr="00227DC5">
        <w:tc>
          <w:tcPr>
            <w:tcW w:w="3969" w:type="dxa"/>
            <w:vAlign w:val="center"/>
          </w:tcPr>
          <w:p w14:paraId="76FEC98B" w14:textId="79E217C2"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170BF7BA"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118CE" w:rsidRPr="00A04FB5" w14:paraId="70D3680F" w14:textId="77777777" w:rsidTr="00227DC5">
        <w:tc>
          <w:tcPr>
            <w:tcW w:w="3969" w:type="dxa"/>
            <w:vAlign w:val="center"/>
          </w:tcPr>
          <w:p w14:paraId="5AE5655A" w14:textId="7F161878"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412B45A8" w:rsidR="004118CE" w:rsidRPr="00E06B02" w:rsidRDefault="004118CE" w:rsidP="004118CE">
            <w:pPr>
              <w:pStyle w:val="ListaColorida-nfase12"/>
              <w:spacing w:after="0" w:line="280" w:lineRule="exact"/>
              <w:ind w:left="0"/>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7B21E328"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691B523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 xml:space="preserve">a realização da Emissão e da Oferta Restrita foi autorizada em Assembleia Geral Extraordinária realizada em </w:t>
      </w:r>
      <w:r w:rsidR="001A64FE">
        <w:rPr>
          <w:rFonts w:ascii="Verdana" w:hAnsi="Verdana" w:cs="Tahoma"/>
          <w:sz w:val="20"/>
          <w:szCs w:val="20"/>
        </w:rPr>
        <w:t>07</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 xml:space="preserve">maio </w:t>
      </w:r>
      <w:r w:rsidRPr="00E06B02">
        <w:rPr>
          <w:rFonts w:ascii="Verdana" w:hAnsi="Verdana" w:cs="Tahoma"/>
          <w:sz w:val="20"/>
          <w:szCs w:val="20"/>
        </w:rPr>
        <w:t>de</w:t>
      </w:r>
      <w:r w:rsidR="001A64FE">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sidR="001A64FE">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1946011B"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w:t>
      </w:r>
      <w:r w:rsidR="002953F3">
        <w:rPr>
          <w:rFonts w:ascii="Verdana" w:hAnsi="Verdana" w:cs="Tahoma"/>
          <w:i/>
          <w:sz w:val="20"/>
          <w:szCs w:val="20"/>
        </w:rPr>
        <w:t>até 3 (Três) Séries</w:t>
      </w:r>
      <w:r w:rsidRPr="00E06B02">
        <w:rPr>
          <w:rFonts w:ascii="Verdana" w:hAnsi="Verdana" w:cs="Tahoma"/>
          <w:i/>
          <w:sz w:val="20"/>
          <w:szCs w:val="20"/>
        </w:rPr>
        <w:t xml:space="preserve">, para Distribuição Pública com Esforços Restritos, da </w:t>
      </w:r>
      <w:r w:rsidRPr="00E06B02">
        <w:rPr>
          <w:rFonts w:ascii="Verdana" w:hAnsi="Verdana" w:cs="Tahoma"/>
          <w:bCs/>
          <w:i/>
          <w:sz w:val="20"/>
          <w:szCs w:val="20"/>
        </w:rPr>
        <w:lastRenderedPageBreak/>
        <w:t>Companhia 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sidR="006B29FB">
        <w:rPr>
          <w:rFonts w:ascii="Verdana" w:hAnsi="Verdana" w:cs="Tahoma"/>
          <w:sz w:val="20"/>
          <w:szCs w:val="20"/>
        </w:rPr>
        <w:t>12</w:t>
      </w:r>
      <w:r w:rsidR="006B29FB"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maio</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2021</w:t>
      </w:r>
      <w:r w:rsidR="001A64FE" w:rsidRPr="00E06B02">
        <w:rPr>
          <w:rFonts w:ascii="Verdana" w:hAnsi="Verdana" w:cs="Tahoma"/>
          <w:sz w:val="20"/>
          <w:szCs w:val="20"/>
        </w:rPr>
        <w:t xml:space="preserve">, </w:t>
      </w:r>
      <w:r w:rsidRPr="00E06B02">
        <w:rPr>
          <w:rFonts w:ascii="Verdana" w:hAnsi="Verdana" w:cs="Tahoma"/>
          <w:sz w:val="20"/>
          <w:szCs w:val="20"/>
        </w:rPr>
        <w:t>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66"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66"/>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10BA8EAC"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4D4CD081"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Default="00D12FEB" w:rsidP="00E06B02">
      <w:pPr>
        <w:tabs>
          <w:tab w:val="left" w:pos="0"/>
        </w:tabs>
        <w:spacing w:line="280" w:lineRule="exact"/>
        <w:rPr>
          <w:rFonts w:ascii="Verdana" w:eastAsia="Arial Unicode MS" w:hAnsi="Verdana" w:cstheme="minorHAnsi"/>
          <w:sz w:val="20"/>
          <w:szCs w:val="20"/>
        </w:rPr>
      </w:pPr>
    </w:p>
    <w:p w14:paraId="23033661" w14:textId="77777777" w:rsidR="00802ED0" w:rsidRDefault="00802ED0" w:rsidP="00E06B02">
      <w:pPr>
        <w:tabs>
          <w:tab w:val="left" w:pos="0"/>
        </w:tabs>
        <w:spacing w:line="280" w:lineRule="exact"/>
        <w:rPr>
          <w:rFonts w:ascii="Verdana" w:eastAsia="Arial Unicode MS" w:hAnsi="Verdana" w:cstheme="minorHAnsi"/>
          <w:sz w:val="20"/>
          <w:szCs w:val="20"/>
        </w:rPr>
      </w:pPr>
    </w:p>
    <w:p w14:paraId="4D49DA90" w14:textId="3C3CB4E5" w:rsidR="00802ED0" w:rsidRDefault="00802ED0">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3B1F4694" w14:textId="2ADD78C0" w:rsidR="00802ED0" w:rsidRPr="00E06B02" w:rsidRDefault="00802ED0" w:rsidP="00802ED0">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ANEXO V</w:t>
      </w:r>
      <w:r>
        <w:rPr>
          <w:rFonts w:ascii="Verdana" w:hAnsi="Verdana" w:cs="Tahoma"/>
          <w:b/>
          <w:sz w:val="20"/>
          <w:szCs w:val="20"/>
          <w:u w:val="single"/>
        </w:rPr>
        <w:t>I</w:t>
      </w:r>
      <w:r w:rsidR="00CB2311">
        <w:rPr>
          <w:rFonts w:ascii="Verdana" w:hAnsi="Verdana" w:cs="Tahoma"/>
          <w:b/>
          <w:sz w:val="20"/>
          <w:szCs w:val="20"/>
          <w:u w:val="single"/>
        </w:rPr>
        <w:t>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39E3650C" w14:textId="77777777" w:rsidR="00802ED0" w:rsidRPr="00E06B02" w:rsidRDefault="00802ED0" w:rsidP="00802ED0">
      <w:pPr>
        <w:tabs>
          <w:tab w:val="left" w:pos="0"/>
        </w:tabs>
        <w:spacing w:line="280" w:lineRule="exact"/>
        <w:rPr>
          <w:rFonts w:ascii="Verdana" w:hAnsi="Verdana" w:cstheme="minorHAnsi"/>
          <w:b/>
          <w:color w:val="000000"/>
          <w:sz w:val="20"/>
          <w:szCs w:val="20"/>
        </w:rPr>
      </w:pPr>
    </w:p>
    <w:p w14:paraId="63A8498F" w14:textId="3E2051D8" w:rsidR="00802ED0" w:rsidRPr="001814F1" w:rsidRDefault="00802ED0" w:rsidP="00802ED0">
      <w:pPr>
        <w:pStyle w:val="Lista2"/>
        <w:spacing w:line="280" w:lineRule="exact"/>
        <w:ind w:left="0" w:firstLine="0"/>
        <w:jc w:val="center"/>
        <w:rPr>
          <w:rFonts w:ascii="Verdana" w:hAnsi="Verdana" w:cs="Tahoma"/>
          <w:b/>
          <w:i/>
          <w:sz w:val="20"/>
          <w:szCs w:val="20"/>
        </w:rPr>
      </w:pPr>
      <w:r w:rsidRPr="00E06B02">
        <w:rPr>
          <w:rFonts w:ascii="Verdana" w:hAnsi="Verdana" w:cs="Tahoma"/>
          <w:b/>
          <w:sz w:val="20"/>
          <w:szCs w:val="20"/>
        </w:rPr>
        <w:t>MODELO DE ADITAMENTO À ESCRITURA DE EMISSÃO</w:t>
      </w:r>
      <w:r>
        <w:rPr>
          <w:rFonts w:ascii="Verdana" w:hAnsi="Verdana" w:cs="Tahoma"/>
          <w:b/>
          <w:sz w:val="20"/>
          <w:szCs w:val="20"/>
        </w:rPr>
        <w:t xml:space="preserve"> – PROCEDIMENTO DE </w:t>
      </w:r>
      <w:r>
        <w:rPr>
          <w:rFonts w:ascii="Verdana" w:hAnsi="Verdana" w:cs="Tahoma"/>
          <w:b/>
          <w:i/>
          <w:sz w:val="20"/>
          <w:szCs w:val="20"/>
        </w:rPr>
        <w:t>BOOKBULDING</w:t>
      </w:r>
    </w:p>
    <w:p w14:paraId="4A1AE8BC" w14:textId="77777777" w:rsidR="00802ED0" w:rsidRPr="00E06B02" w:rsidRDefault="00802ED0" w:rsidP="00802ED0">
      <w:pPr>
        <w:pStyle w:val="Lista2"/>
        <w:spacing w:line="280" w:lineRule="exact"/>
        <w:ind w:left="0" w:firstLine="0"/>
        <w:jc w:val="center"/>
        <w:rPr>
          <w:rFonts w:ascii="Verdana" w:hAnsi="Verdana" w:cs="Tahoma"/>
          <w:b/>
          <w:sz w:val="20"/>
          <w:szCs w:val="20"/>
          <w:u w:val="single"/>
        </w:rPr>
      </w:pPr>
    </w:p>
    <w:p w14:paraId="055F62D2" w14:textId="6C5CE6A8"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w:t>
      </w:r>
      <w:r>
        <w:rPr>
          <w:rFonts w:ascii="Verdana" w:hAnsi="Verdana" w:cs="Tahoma"/>
          <w:b/>
          <w:bCs/>
          <w:sz w:val="20"/>
          <w:szCs w:val="20"/>
        </w:rPr>
        <w:t>1º</w:t>
      </w:r>
      <w:r w:rsidRPr="00E06B02">
        <w:rPr>
          <w:rFonts w:ascii="Verdana" w:hAnsi="Verdana" w:cs="Tahoma"/>
          <w:b/>
          <w:bCs/>
          <w:sz w:val="20"/>
          <w:szCs w:val="20"/>
        </w:rPr>
        <w:t xml:space="preserve"> ADITAMENTO AO </w:t>
      </w:r>
      <w:r w:rsidRPr="00E06B02">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E06B02" w:rsidRDefault="00802ED0" w:rsidP="00802ED0">
      <w:pPr>
        <w:spacing w:line="280" w:lineRule="exact"/>
        <w:jc w:val="both"/>
        <w:rPr>
          <w:rFonts w:ascii="Verdana" w:hAnsi="Verdana" w:cs="Tahoma"/>
          <w:sz w:val="20"/>
          <w:szCs w:val="20"/>
        </w:rPr>
      </w:pPr>
    </w:p>
    <w:p w14:paraId="495FE72D" w14:textId="4F536E07"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Pelo presente instrumento particular de </w:t>
      </w:r>
      <w:r>
        <w:rPr>
          <w:rFonts w:ascii="Verdana" w:hAnsi="Verdana" w:cs="Tahoma"/>
          <w:sz w:val="20"/>
          <w:szCs w:val="20"/>
        </w:rPr>
        <w:t>1º</w:t>
      </w:r>
      <w:r w:rsidRPr="00E06B02">
        <w:rPr>
          <w:rFonts w:ascii="Verdana" w:hAnsi="Verdana" w:cs="Tahoma"/>
          <w:sz w:val="20"/>
          <w:szCs w:val="20"/>
        </w:rPr>
        <w:t xml:space="preserve"> aditamento, e na melhor forma de direito, as partes abaixo qualificadas:</w:t>
      </w:r>
    </w:p>
    <w:p w14:paraId="7F34923E" w14:textId="77777777" w:rsidR="00802ED0" w:rsidRPr="00E06B02" w:rsidRDefault="00802ED0" w:rsidP="00802ED0">
      <w:pPr>
        <w:tabs>
          <w:tab w:val="left" w:pos="4678"/>
        </w:tabs>
        <w:spacing w:line="280" w:lineRule="exact"/>
        <w:jc w:val="both"/>
        <w:rPr>
          <w:rFonts w:ascii="Verdana" w:hAnsi="Verdana" w:cs="Tahoma"/>
          <w:b/>
          <w:bCs/>
          <w:sz w:val="20"/>
          <w:szCs w:val="20"/>
        </w:rPr>
      </w:pPr>
    </w:p>
    <w:p w14:paraId="1EDB601E" w14:textId="77777777" w:rsidR="00802ED0" w:rsidRPr="00E06B02" w:rsidRDefault="00802ED0" w:rsidP="00802ED0">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610321A8" w14:textId="77777777" w:rsidR="00802ED0" w:rsidRPr="00E06B02" w:rsidRDefault="00802ED0" w:rsidP="00802ED0">
      <w:pPr>
        <w:spacing w:line="280" w:lineRule="exact"/>
        <w:jc w:val="both"/>
        <w:rPr>
          <w:rFonts w:ascii="Verdana" w:hAnsi="Verdana"/>
          <w:b/>
          <w:sz w:val="20"/>
          <w:szCs w:val="20"/>
        </w:rPr>
      </w:pPr>
    </w:p>
    <w:p w14:paraId="502F242A" w14:textId="77777777" w:rsidR="00802ED0" w:rsidRPr="00E06B02" w:rsidRDefault="00802ED0" w:rsidP="00802ED0">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3B8B3BF2" w14:textId="77777777" w:rsidR="00802ED0" w:rsidRPr="00E06B02" w:rsidRDefault="00802ED0" w:rsidP="00802ED0">
      <w:pPr>
        <w:spacing w:line="280" w:lineRule="exact"/>
        <w:jc w:val="both"/>
        <w:rPr>
          <w:rFonts w:ascii="Verdana" w:hAnsi="Verdana" w:cs="Tahoma"/>
          <w:b/>
          <w:sz w:val="20"/>
          <w:szCs w:val="20"/>
          <w:u w:val="single"/>
        </w:rPr>
      </w:pPr>
    </w:p>
    <w:p w14:paraId="678780D6" w14:textId="77777777"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4668E59" w14:textId="77777777" w:rsidR="00802ED0" w:rsidRPr="00E06B02" w:rsidRDefault="00802ED0" w:rsidP="00802ED0">
      <w:pPr>
        <w:autoSpaceDE/>
        <w:adjustRightInd/>
        <w:spacing w:line="280" w:lineRule="exact"/>
        <w:jc w:val="both"/>
        <w:rPr>
          <w:rFonts w:ascii="Verdana" w:hAnsi="Verdana" w:cs="Tahoma"/>
          <w:sz w:val="20"/>
          <w:szCs w:val="20"/>
        </w:rPr>
      </w:pPr>
    </w:p>
    <w:p w14:paraId="16794766" w14:textId="7FE6D182" w:rsidR="004E486D" w:rsidRDefault="0051767C"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Em </w:t>
      </w:r>
      <w:r w:rsidR="006B29FB">
        <w:rPr>
          <w:rFonts w:ascii="Verdana" w:hAnsi="Verdana" w:cs="Tahoma"/>
          <w:sz w:val="20"/>
          <w:szCs w:val="20"/>
        </w:rPr>
        <w:t xml:space="preserve">12 </w:t>
      </w:r>
      <w:r>
        <w:rPr>
          <w:rFonts w:ascii="Verdana" w:hAnsi="Verdana" w:cs="Tahoma"/>
          <w:sz w:val="20"/>
          <w:szCs w:val="20"/>
        </w:rPr>
        <w:t xml:space="preserve">de maio de 2021 </w:t>
      </w:r>
      <w:r w:rsidR="00802ED0" w:rsidRPr="00E06B02">
        <w:rPr>
          <w:rFonts w:ascii="Verdana" w:hAnsi="Verdana" w:cs="Tahoma"/>
          <w:sz w:val="20"/>
          <w:szCs w:val="20"/>
        </w:rPr>
        <w:t>a Emissora e o Agente Fiduciário celebraram o “</w:t>
      </w:r>
      <w:r w:rsidR="00802ED0" w:rsidRPr="00E06B02">
        <w:rPr>
          <w:rFonts w:ascii="Verdana" w:hAnsi="Verdana" w:cs="Tahoma"/>
          <w:i/>
          <w:sz w:val="20"/>
          <w:szCs w:val="20"/>
        </w:rPr>
        <w:t xml:space="preserve">Instrumento Particular de Escritura da 3ª (Terceira) Emissão de Debêntures Simples, Não Conversíveis em Ações, da Espécie com Garantia Real, em </w:t>
      </w:r>
      <w:r w:rsidR="006B29FB">
        <w:rPr>
          <w:rFonts w:ascii="Verdana" w:hAnsi="Verdana" w:cs="Tahoma"/>
          <w:i/>
          <w:sz w:val="20"/>
          <w:szCs w:val="20"/>
        </w:rPr>
        <w:t>até 3 (Três) Séries</w:t>
      </w:r>
      <w:r w:rsidR="00802ED0" w:rsidRPr="00E06B02">
        <w:rPr>
          <w:rFonts w:ascii="Verdana" w:hAnsi="Verdana" w:cs="Tahoma"/>
          <w:i/>
          <w:sz w:val="20"/>
          <w:szCs w:val="20"/>
        </w:rPr>
        <w:t xml:space="preserve">, para Distribuição Pública com Esforços Restritos, da </w:t>
      </w:r>
      <w:r w:rsidR="00802ED0" w:rsidRPr="00E06B02">
        <w:rPr>
          <w:rFonts w:ascii="Verdana" w:hAnsi="Verdana" w:cs="Tahoma"/>
          <w:bCs/>
          <w:i/>
          <w:sz w:val="20"/>
          <w:szCs w:val="20"/>
        </w:rPr>
        <w:t>Companhia Securitizadora de Créditos Financeiros VERT-Gyra</w:t>
      </w:r>
      <w:r w:rsidR="00802ED0" w:rsidRPr="00E06B02">
        <w:rPr>
          <w:rFonts w:ascii="Verdana" w:hAnsi="Verdana" w:cs="Tahoma"/>
          <w:sz w:val="20"/>
          <w:szCs w:val="20"/>
        </w:rPr>
        <w:t>” (“</w:t>
      </w:r>
      <w:r w:rsidR="00802ED0" w:rsidRPr="00E06B02">
        <w:rPr>
          <w:rFonts w:ascii="Verdana" w:eastAsia="Times New Roman" w:hAnsi="Verdana"/>
          <w:sz w:val="20"/>
          <w:szCs w:val="20"/>
          <w:u w:val="single"/>
        </w:rPr>
        <w:t>Escritura</w:t>
      </w:r>
      <w:r w:rsidR="00802ED0" w:rsidRPr="00E06B02">
        <w:rPr>
          <w:rFonts w:ascii="Verdana" w:hAnsi="Verdana" w:cs="Tahoma"/>
          <w:sz w:val="20"/>
          <w:szCs w:val="20"/>
        </w:rPr>
        <w:t>”)</w:t>
      </w:r>
      <w:r>
        <w:rPr>
          <w:rFonts w:ascii="Verdana" w:hAnsi="Verdana" w:cs="Tahoma"/>
          <w:sz w:val="20"/>
          <w:szCs w:val="20"/>
        </w:rPr>
        <w:t xml:space="preserve">, para reger os termos e </w:t>
      </w:r>
      <w:r w:rsidR="004E486D">
        <w:rPr>
          <w:rFonts w:ascii="Verdana" w:hAnsi="Verdana" w:cs="Tahoma"/>
          <w:sz w:val="20"/>
          <w:szCs w:val="20"/>
        </w:rPr>
        <w:t xml:space="preserve">condições da 3ª (terceira) emissão de </w:t>
      </w:r>
      <w:r w:rsidR="004E486D" w:rsidRPr="001814F1">
        <w:rPr>
          <w:rFonts w:ascii="Verdana" w:hAnsi="Verdana" w:cs="Tahoma"/>
          <w:sz w:val="20"/>
          <w:szCs w:val="20"/>
        </w:rPr>
        <w:t xml:space="preserve">Debêntures Simples, Não Conversíveis em Ações, da Espécie com Garantia Real, em </w:t>
      </w:r>
      <w:r w:rsidR="006B29FB" w:rsidRPr="00FF55D5">
        <w:rPr>
          <w:rFonts w:ascii="Verdana" w:hAnsi="Verdana" w:cs="Tahoma"/>
          <w:sz w:val="20"/>
          <w:szCs w:val="20"/>
        </w:rPr>
        <w:t>até 3 (Três) Séries</w:t>
      </w:r>
      <w:r w:rsidR="004E486D" w:rsidRPr="001814F1">
        <w:rPr>
          <w:rFonts w:ascii="Verdana" w:hAnsi="Verdana" w:cs="Tahoma"/>
          <w:sz w:val="20"/>
          <w:szCs w:val="20"/>
        </w:rPr>
        <w:t>, para Distribuição Pública com Esforços Restritos, da</w:t>
      </w:r>
      <w:r w:rsidR="004E486D">
        <w:rPr>
          <w:rFonts w:ascii="Verdana" w:hAnsi="Verdana" w:cs="Tahoma"/>
          <w:sz w:val="20"/>
          <w:szCs w:val="20"/>
        </w:rPr>
        <w:t xml:space="preserve"> Emissora (“</w:t>
      </w:r>
      <w:r w:rsidR="004E486D">
        <w:rPr>
          <w:rFonts w:ascii="Verdana" w:hAnsi="Verdana" w:cs="Tahoma"/>
          <w:sz w:val="20"/>
          <w:szCs w:val="20"/>
          <w:u w:val="single"/>
        </w:rPr>
        <w:t>Emissão</w:t>
      </w:r>
      <w:r w:rsidR="004E486D">
        <w:rPr>
          <w:rFonts w:ascii="Verdana" w:hAnsi="Verdana" w:cs="Tahoma"/>
          <w:sz w:val="20"/>
          <w:szCs w:val="20"/>
        </w:rPr>
        <w:t>” e “</w:t>
      </w:r>
      <w:r w:rsidR="004E486D">
        <w:rPr>
          <w:rFonts w:ascii="Verdana" w:hAnsi="Verdana" w:cs="Tahoma"/>
          <w:sz w:val="20"/>
          <w:szCs w:val="20"/>
          <w:u w:val="single"/>
        </w:rPr>
        <w:t>Debêntures</w:t>
      </w:r>
      <w:r w:rsidR="004E486D">
        <w:rPr>
          <w:rFonts w:ascii="Verdana" w:hAnsi="Verdana" w:cs="Tahoma"/>
          <w:sz w:val="20"/>
          <w:szCs w:val="20"/>
        </w:rPr>
        <w:t>”)</w:t>
      </w:r>
      <w:r w:rsidR="00802ED0" w:rsidRPr="00E06B02">
        <w:rPr>
          <w:rFonts w:ascii="Verdana" w:hAnsi="Verdana" w:cs="Tahoma"/>
          <w:sz w:val="20"/>
          <w:szCs w:val="20"/>
        </w:rPr>
        <w:t xml:space="preserve">; </w:t>
      </w:r>
    </w:p>
    <w:p w14:paraId="321EE7FB" w14:textId="77777777" w:rsidR="004E486D" w:rsidRDefault="004E486D" w:rsidP="001814F1">
      <w:pPr>
        <w:pStyle w:val="PargrafodaLista"/>
        <w:autoSpaceDE/>
        <w:adjustRightInd/>
        <w:spacing w:line="280" w:lineRule="exact"/>
        <w:ind w:left="0"/>
        <w:jc w:val="both"/>
        <w:rPr>
          <w:rFonts w:ascii="Verdana" w:hAnsi="Verdana" w:cs="Tahoma"/>
          <w:sz w:val="20"/>
          <w:szCs w:val="20"/>
        </w:rPr>
      </w:pPr>
    </w:p>
    <w:p w14:paraId="225A1BAC" w14:textId="27890F14" w:rsidR="00802ED0" w:rsidRDefault="004E486D"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Conforme previsto na cláusula 3.9.2 da Escritura, foi realizado o </w:t>
      </w:r>
      <w:r w:rsidR="00E67F9A" w:rsidRPr="00E67F9A">
        <w:rPr>
          <w:rFonts w:ascii="Verdana" w:hAnsi="Verdana" w:cs="Tahoma"/>
          <w:sz w:val="20"/>
          <w:szCs w:val="20"/>
        </w:rPr>
        <w:t>procedimento de coleta de intenções de investimento nas Debêntures</w:t>
      </w:r>
      <w:r w:rsidR="00E67F9A">
        <w:rPr>
          <w:rFonts w:ascii="Verdana" w:hAnsi="Verdana" w:cs="Tahoma"/>
          <w:sz w:val="20"/>
          <w:szCs w:val="20"/>
        </w:rPr>
        <w:t xml:space="preserve"> </w:t>
      </w:r>
      <w:r w:rsidR="00E67F9A" w:rsidRPr="00E67F9A">
        <w:rPr>
          <w:rFonts w:ascii="Verdana" w:hAnsi="Verdana" w:cs="Tahoma"/>
          <w:sz w:val="20"/>
          <w:szCs w:val="20"/>
        </w:rPr>
        <w:t>(“</w:t>
      </w:r>
      <w:r w:rsidR="00E67F9A" w:rsidRPr="00F22A97">
        <w:rPr>
          <w:rFonts w:ascii="Verdana" w:hAnsi="Verdana"/>
          <w:sz w:val="20"/>
          <w:u w:val="single"/>
        </w:rPr>
        <w:t xml:space="preserve">Procedimento de </w:t>
      </w:r>
      <w:r w:rsidR="00E67F9A" w:rsidRPr="00F22A97">
        <w:rPr>
          <w:rFonts w:ascii="Verdana" w:hAnsi="Verdana"/>
          <w:i/>
          <w:sz w:val="20"/>
          <w:u w:val="single"/>
        </w:rPr>
        <w:t>Bookbuilding</w:t>
      </w:r>
      <w:r w:rsidR="00E67F9A" w:rsidRPr="00E67F9A">
        <w:rPr>
          <w:rFonts w:ascii="Verdana" w:hAnsi="Verdana" w:cs="Tahoma"/>
          <w:sz w:val="20"/>
          <w:szCs w:val="20"/>
        </w:rPr>
        <w:t>”)</w:t>
      </w:r>
      <w:r>
        <w:rPr>
          <w:rFonts w:ascii="Verdana" w:hAnsi="Verdana" w:cs="Tahoma"/>
          <w:i/>
          <w:sz w:val="20"/>
          <w:szCs w:val="20"/>
        </w:rPr>
        <w:t xml:space="preserve">, </w:t>
      </w:r>
      <w:r>
        <w:rPr>
          <w:rFonts w:ascii="Verdana" w:hAnsi="Verdana" w:cs="Tahoma"/>
          <w:sz w:val="20"/>
          <w:szCs w:val="20"/>
        </w:rPr>
        <w:t>em [</w:t>
      </w:r>
      <w:r>
        <w:rPr>
          <w:rFonts w:ascii="Calibri" w:hAnsi="Calibri" w:cs="Calibri"/>
          <w:sz w:val="20"/>
          <w:szCs w:val="20"/>
        </w:rPr>
        <w:t>●</w:t>
      </w:r>
      <w:r>
        <w:rPr>
          <w:rFonts w:ascii="Verdana" w:hAnsi="Verdana" w:cs="Tahoma"/>
          <w:sz w:val="20"/>
          <w:szCs w:val="20"/>
        </w:rPr>
        <w:t>] de [</w:t>
      </w:r>
      <w:r>
        <w:rPr>
          <w:rFonts w:ascii="Calibri" w:hAnsi="Calibri" w:cs="Calibri"/>
          <w:sz w:val="20"/>
          <w:szCs w:val="20"/>
        </w:rPr>
        <w:t>●</w:t>
      </w:r>
      <w:r>
        <w:rPr>
          <w:rFonts w:ascii="Verdana" w:hAnsi="Verdana" w:cs="Tahoma"/>
          <w:sz w:val="20"/>
          <w:szCs w:val="20"/>
        </w:rPr>
        <w:t xml:space="preserve">] de 2021, </w:t>
      </w:r>
      <w:r w:rsidR="00B054ED">
        <w:rPr>
          <w:rFonts w:ascii="Verdana" w:hAnsi="Verdana" w:cs="Tahoma"/>
          <w:sz w:val="20"/>
          <w:szCs w:val="20"/>
        </w:rPr>
        <w:t xml:space="preserve">por meio do qual foi definida a quantidade de Debêntures emitidas e </w:t>
      </w:r>
      <w:r w:rsidR="00B054ED" w:rsidRPr="00EF3D57">
        <w:rPr>
          <w:rFonts w:ascii="Verdana" w:hAnsi="Verdana" w:cs="Tahoma"/>
          <w:sz w:val="20"/>
          <w:szCs w:val="20"/>
        </w:rPr>
        <w:t>alocada</w:t>
      </w:r>
      <w:r w:rsidR="00B054ED">
        <w:rPr>
          <w:rFonts w:ascii="Verdana" w:hAnsi="Verdana" w:cs="Tahoma"/>
          <w:sz w:val="20"/>
          <w:szCs w:val="20"/>
        </w:rPr>
        <w:t>s</w:t>
      </w:r>
      <w:r w:rsidR="00B054ED" w:rsidRPr="00EF3D57">
        <w:rPr>
          <w:rFonts w:ascii="Verdana" w:hAnsi="Verdana" w:cs="Tahoma"/>
          <w:sz w:val="20"/>
          <w:szCs w:val="20"/>
        </w:rPr>
        <w:t xml:space="preserve"> em cada série da Emissão, por meio do sistema de vasos comunicantes</w:t>
      </w:r>
      <w:r w:rsidR="00B054ED">
        <w:rPr>
          <w:rFonts w:ascii="Verdana" w:hAnsi="Verdana" w:cs="Tahoma"/>
          <w:sz w:val="20"/>
          <w:szCs w:val="20"/>
        </w:rPr>
        <w:t>, observado o disposto na cláusula 3.4.1 da Escritura; e</w:t>
      </w:r>
    </w:p>
    <w:p w14:paraId="3F4C1EC9" w14:textId="77777777" w:rsidR="00B054ED" w:rsidRPr="001814F1" w:rsidRDefault="00B054ED" w:rsidP="001814F1">
      <w:pPr>
        <w:pStyle w:val="PargrafodaLista"/>
        <w:rPr>
          <w:rFonts w:ascii="Verdana" w:hAnsi="Verdana" w:cs="Tahoma"/>
          <w:sz w:val="20"/>
          <w:szCs w:val="20"/>
        </w:rPr>
      </w:pPr>
    </w:p>
    <w:p w14:paraId="4C6E2C3E" w14:textId="428AA219" w:rsidR="00B054ED" w:rsidRPr="00B054ED" w:rsidRDefault="00B054ED" w:rsidP="001814F1">
      <w:pPr>
        <w:pStyle w:val="PargrafodaLista"/>
        <w:numPr>
          <w:ilvl w:val="0"/>
          <w:numId w:val="88"/>
        </w:numPr>
        <w:autoSpaceDE/>
        <w:adjustRightInd/>
        <w:spacing w:line="280" w:lineRule="exact"/>
        <w:ind w:left="0" w:firstLine="0"/>
        <w:jc w:val="both"/>
        <w:rPr>
          <w:rFonts w:ascii="Verdana" w:hAnsi="Verdana" w:cs="Tahoma"/>
          <w:sz w:val="20"/>
          <w:szCs w:val="20"/>
        </w:rPr>
      </w:pPr>
      <w:r w:rsidRPr="00B054ED">
        <w:rPr>
          <w:rFonts w:ascii="Verdana" w:hAnsi="Verdana" w:cs="Tahoma"/>
          <w:sz w:val="20"/>
          <w:szCs w:val="20"/>
        </w:rPr>
        <w:t xml:space="preserve">até o presente momento não houve subscrição e integralização das </w:t>
      </w:r>
      <w:r>
        <w:rPr>
          <w:rFonts w:ascii="Verdana" w:hAnsi="Verdana" w:cs="Tahoma"/>
          <w:sz w:val="20"/>
          <w:szCs w:val="20"/>
        </w:rPr>
        <w:t>Debêntures</w:t>
      </w:r>
      <w:r w:rsidRPr="00B054ED">
        <w:rPr>
          <w:rFonts w:ascii="Verdana" w:hAnsi="Verdana" w:cs="Tahoma"/>
          <w:sz w:val="20"/>
          <w:szCs w:val="20"/>
        </w:rPr>
        <w:t xml:space="preserve">, motivo pelo qual não foi realizada assembleia geral de </w:t>
      </w:r>
      <w:r>
        <w:rPr>
          <w:rFonts w:ascii="Verdana" w:hAnsi="Verdana" w:cs="Tahoma"/>
          <w:sz w:val="20"/>
          <w:szCs w:val="20"/>
        </w:rPr>
        <w:t>Debenturistas</w:t>
      </w:r>
      <w:r w:rsidRPr="00B054ED">
        <w:rPr>
          <w:rFonts w:ascii="Verdana" w:hAnsi="Verdana" w:cs="Tahoma"/>
          <w:sz w:val="20"/>
          <w:szCs w:val="20"/>
        </w:rPr>
        <w:t xml:space="preserve"> previamente à celebração deste </w:t>
      </w:r>
      <w:r>
        <w:rPr>
          <w:rFonts w:ascii="Verdana" w:hAnsi="Verdana" w:cs="Tahoma"/>
          <w:sz w:val="20"/>
          <w:szCs w:val="20"/>
        </w:rPr>
        <w:t xml:space="preserve">1º </w:t>
      </w:r>
      <w:r w:rsidRPr="00B054ED">
        <w:rPr>
          <w:rFonts w:ascii="Verdana" w:hAnsi="Verdana" w:cs="Tahoma"/>
          <w:sz w:val="20"/>
          <w:szCs w:val="20"/>
        </w:rPr>
        <w:t>Aditamento (conforme abaixo definido);</w:t>
      </w:r>
    </w:p>
    <w:p w14:paraId="5A8E31BE"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171F31" w14:textId="77F74890" w:rsidR="00802ED0" w:rsidRPr="00E06B02" w:rsidRDefault="00802ED0" w:rsidP="00802ED0">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w:t>
      </w:r>
      <w:r>
        <w:rPr>
          <w:rFonts w:ascii="Verdana" w:hAnsi="Verdana"/>
          <w:i/>
          <w:sz w:val="20"/>
          <w:szCs w:val="20"/>
        </w:rPr>
        <w:t>1º</w:t>
      </w:r>
      <w:r w:rsidRPr="00E06B02">
        <w:rPr>
          <w:rFonts w:ascii="Verdana" w:hAnsi="Verdana"/>
          <w:i/>
          <w:sz w:val="20"/>
          <w:szCs w:val="20"/>
        </w:rPr>
        <w:t xml:space="preserve"> Aditamento ao Instrumento Particular de Escritura da 3ª (Terceira) Emissão de Debêntures Simples, não Conversíveis em Ações, da Espécie com Garantia Real, em </w:t>
      </w:r>
      <w:r w:rsidR="002953F3">
        <w:rPr>
          <w:rFonts w:ascii="Verdana" w:hAnsi="Verdana"/>
          <w:i/>
          <w:sz w:val="20"/>
          <w:szCs w:val="20"/>
        </w:rPr>
        <w:t>até 3 (</w:t>
      </w:r>
      <w:r w:rsidRPr="00E06B02">
        <w:rPr>
          <w:rFonts w:ascii="Verdana" w:hAnsi="Verdana"/>
          <w:i/>
          <w:sz w:val="20"/>
          <w:szCs w:val="20"/>
        </w:rPr>
        <w:t>Três</w:t>
      </w:r>
      <w:r w:rsidR="002953F3">
        <w:rPr>
          <w:rFonts w:ascii="Verdana" w:hAnsi="Verdana"/>
          <w:i/>
          <w:sz w:val="20"/>
          <w:szCs w:val="20"/>
        </w:rPr>
        <w:t>)</w:t>
      </w:r>
      <w:r w:rsidRPr="00E06B02">
        <w:rPr>
          <w:rFonts w:ascii="Verdana" w:hAnsi="Verdana"/>
          <w:i/>
          <w:sz w:val="20"/>
          <w:szCs w:val="20"/>
        </w:rPr>
        <w:t xml:space="preserve">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Pr>
          <w:rFonts w:ascii="Verdana" w:hAnsi="Verdana" w:cs="Verdana"/>
          <w:sz w:val="20"/>
          <w:szCs w:val="20"/>
          <w:u w:val="single"/>
        </w:rPr>
        <w:t>1</w:t>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E14541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2CEC0161"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74FDB117"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7FAACE" w14:textId="2276CA0F"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 AUTORIZAÇÃO E REQUISITOS</w:t>
      </w:r>
    </w:p>
    <w:p w14:paraId="13C8669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0A14B32F" w14:textId="19612F99" w:rsidR="00802ED0" w:rsidRPr="00E06B02" w:rsidRDefault="00802ED0" w:rsidP="001814F1">
      <w:pPr>
        <w:pStyle w:val="Level1"/>
        <w:keepNext/>
        <w:numPr>
          <w:ilvl w:val="1"/>
          <w:numId w:val="85"/>
        </w:numPr>
        <w:tabs>
          <w:tab w:val="left" w:pos="1134"/>
        </w:tabs>
        <w:spacing w:after="0" w:line="280" w:lineRule="exact"/>
        <w:ind w:left="0" w:firstLine="0"/>
        <w:outlineLvl w:val="0"/>
        <w:rPr>
          <w:rFonts w:ascii="Verdana" w:hAnsi="Verdana" w:cs="Tahoma"/>
          <w:szCs w:val="20"/>
        </w:rPr>
      </w:pPr>
      <w:r w:rsidRPr="00E06B02">
        <w:rPr>
          <w:rFonts w:ascii="Verdana" w:hAnsi="Verdana"/>
          <w:szCs w:val="20"/>
        </w:rPr>
        <w:t xml:space="preserve">O presente </w:t>
      </w:r>
      <w:r>
        <w:rPr>
          <w:rFonts w:ascii="Verdana" w:hAnsi="Verdana"/>
          <w:szCs w:val="20"/>
        </w:rPr>
        <w:t>1</w:t>
      </w:r>
      <w:r w:rsidRPr="00E06B02">
        <w:rPr>
          <w:rFonts w:ascii="Verdana" w:hAnsi="Verdana"/>
          <w:szCs w:val="20"/>
        </w:rPr>
        <w:t>º Aditamento é celebrado com base na Cláusula 3.</w:t>
      </w:r>
      <w:r>
        <w:rPr>
          <w:rFonts w:ascii="Verdana" w:hAnsi="Verdana"/>
          <w:szCs w:val="20"/>
        </w:rPr>
        <w:t>9</w:t>
      </w:r>
      <w:r w:rsidRPr="00E06B02">
        <w:rPr>
          <w:rFonts w:ascii="Verdana" w:hAnsi="Verdana"/>
          <w:szCs w:val="20"/>
        </w:rPr>
        <w:t>.2</w:t>
      </w:r>
      <w:r>
        <w:rPr>
          <w:rFonts w:ascii="Verdana" w:hAnsi="Verdana"/>
          <w:szCs w:val="20"/>
        </w:rPr>
        <w:t>.1</w:t>
      </w:r>
      <w:r w:rsidRPr="00E06B02">
        <w:rPr>
          <w:rFonts w:ascii="Verdana" w:hAnsi="Verdana"/>
          <w:szCs w:val="20"/>
        </w:rPr>
        <w:t xml:space="preserve"> da Escritura de Emissão, não sendo necessária a realização de Assembleia Geral de Debenturistas e/ou de assembleia geral extraordinária da Emissora para sua realização.</w:t>
      </w:r>
    </w:p>
    <w:p w14:paraId="572ABD0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DA1D2A4" w14:textId="77777777"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DAS ALTERAÇÕES DA ESCRITURA</w:t>
      </w:r>
    </w:p>
    <w:p w14:paraId="641A9A0B"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7D3DF620" w14:textId="5C1C841C" w:rsidR="00913803" w:rsidRPr="00DC4990" w:rsidRDefault="00913803" w:rsidP="001814F1">
      <w:pPr>
        <w:pStyle w:val="Level2"/>
        <w:numPr>
          <w:ilvl w:val="1"/>
          <w:numId w:val="85"/>
        </w:numPr>
        <w:spacing w:after="0" w:line="280" w:lineRule="exact"/>
        <w:ind w:left="0" w:firstLine="0"/>
        <w:outlineLvl w:val="1"/>
        <w:rPr>
          <w:rFonts w:ascii="Verdana" w:hAnsi="Verdana" w:cs="Tahoma"/>
          <w:szCs w:val="20"/>
        </w:rPr>
      </w:pPr>
      <w:r w:rsidRPr="001814F1">
        <w:rPr>
          <w:rFonts w:ascii="Verdana" w:hAnsi="Verdana" w:cs="Tahoma"/>
          <w:szCs w:val="20"/>
          <w:lang w:val="pt-BR"/>
        </w:rPr>
        <w:t xml:space="preserve">Para refletir a realização do Procedimento de </w:t>
      </w:r>
      <w:r w:rsidRPr="001814F1">
        <w:rPr>
          <w:rFonts w:ascii="Verdana" w:hAnsi="Verdana" w:cs="Tahoma"/>
          <w:i/>
          <w:szCs w:val="20"/>
          <w:lang w:val="pt-BR"/>
        </w:rPr>
        <w:t>Bookbuilding</w:t>
      </w:r>
      <w:r w:rsidRPr="001814F1">
        <w:rPr>
          <w:rFonts w:ascii="Verdana" w:hAnsi="Verdana" w:cs="Tahoma"/>
          <w:szCs w:val="20"/>
          <w:lang w:val="pt-BR"/>
        </w:rPr>
        <w:t xml:space="preserve"> e,</w:t>
      </w:r>
      <w:r>
        <w:rPr>
          <w:rFonts w:ascii="Verdana" w:hAnsi="Verdana" w:cs="Tahoma"/>
          <w:szCs w:val="20"/>
          <w:lang w:val="pt-BR"/>
        </w:rPr>
        <w:t xml:space="preserve"> por consequência, </w:t>
      </w:r>
      <w:r w:rsidR="009E48C2">
        <w:rPr>
          <w:rFonts w:ascii="Verdana" w:hAnsi="Verdana" w:cs="Tahoma"/>
          <w:szCs w:val="20"/>
          <w:lang w:val="pt-BR"/>
        </w:rPr>
        <w:t>a quantidade de Debêntures emitidas e alocadas em cada série da Emissão</w:t>
      </w:r>
      <w:r w:rsidR="001B6414">
        <w:rPr>
          <w:rFonts w:ascii="Verdana" w:hAnsi="Verdana" w:cs="Tahoma"/>
          <w:szCs w:val="20"/>
          <w:lang w:val="pt-BR"/>
        </w:rPr>
        <w:t>, o número de Séries e o Valor Total da Emissão</w:t>
      </w:r>
      <w:r w:rsidR="009E48C2">
        <w:rPr>
          <w:rFonts w:ascii="Verdana" w:hAnsi="Verdana" w:cs="Tahoma"/>
          <w:szCs w:val="20"/>
          <w:lang w:val="pt-BR"/>
        </w:rPr>
        <w:t>, as Partes desejam alterar a</w:t>
      </w:r>
      <w:r w:rsidR="001B6414">
        <w:rPr>
          <w:rFonts w:ascii="Verdana" w:hAnsi="Verdana" w:cs="Tahoma"/>
          <w:szCs w:val="20"/>
          <w:lang w:val="pt-BR"/>
        </w:rPr>
        <w:t>s</w:t>
      </w:r>
      <w:r w:rsidR="009E48C2">
        <w:rPr>
          <w:rFonts w:ascii="Verdana" w:hAnsi="Verdana" w:cs="Tahoma"/>
          <w:szCs w:val="20"/>
          <w:lang w:val="pt-BR"/>
        </w:rPr>
        <w:t xml:space="preserve"> </w:t>
      </w:r>
      <w:r w:rsidR="009E48C2">
        <w:rPr>
          <w:rFonts w:ascii="Verdana" w:hAnsi="Verdana" w:cs="Tahoma"/>
          <w:szCs w:val="20"/>
          <w:u w:val="single"/>
          <w:lang w:val="pt-BR"/>
        </w:rPr>
        <w:t>Cláusula</w:t>
      </w:r>
      <w:r w:rsidR="001B6414">
        <w:rPr>
          <w:rFonts w:ascii="Verdana" w:hAnsi="Verdana" w:cs="Tahoma"/>
          <w:szCs w:val="20"/>
          <w:u w:val="single"/>
          <w:lang w:val="pt-BR"/>
        </w:rPr>
        <w:t>s 3.3.1,</w:t>
      </w:r>
      <w:r w:rsidR="009E48C2">
        <w:rPr>
          <w:rFonts w:ascii="Verdana" w:hAnsi="Verdana" w:cs="Tahoma"/>
          <w:szCs w:val="20"/>
          <w:u w:val="single"/>
          <w:lang w:val="pt-BR"/>
        </w:rPr>
        <w:t xml:space="preserve"> 3.4.1</w:t>
      </w:r>
      <w:r w:rsidR="001B6414" w:rsidRPr="00F22A97">
        <w:rPr>
          <w:rFonts w:ascii="Verdana" w:hAnsi="Verdana"/>
          <w:u w:val="single"/>
          <w:lang w:val="pt-BR"/>
        </w:rPr>
        <w:t xml:space="preserve"> </w:t>
      </w:r>
      <w:r w:rsidR="001B6414">
        <w:rPr>
          <w:rFonts w:ascii="Verdana" w:hAnsi="Verdana" w:cs="Tahoma"/>
          <w:szCs w:val="20"/>
          <w:u w:val="single"/>
          <w:lang w:val="pt-BR"/>
        </w:rPr>
        <w:t>e 3.5.1</w:t>
      </w:r>
      <w:r w:rsidR="009E48C2">
        <w:rPr>
          <w:rFonts w:ascii="Verdana" w:hAnsi="Verdana" w:cs="Tahoma"/>
          <w:szCs w:val="20"/>
          <w:lang w:val="pt-BR"/>
        </w:rPr>
        <w:t xml:space="preserve"> da Escritura, que passa</w:t>
      </w:r>
      <w:r w:rsidR="001B6414">
        <w:rPr>
          <w:rFonts w:ascii="Verdana" w:hAnsi="Verdana" w:cs="Tahoma"/>
          <w:szCs w:val="20"/>
          <w:lang w:val="pt-BR"/>
        </w:rPr>
        <w:t>m</w:t>
      </w:r>
      <w:r w:rsidR="009E48C2">
        <w:rPr>
          <w:rFonts w:ascii="Verdana" w:hAnsi="Verdana" w:cs="Tahoma"/>
          <w:szCs w:val="20"/>
          <w:lang w:val="pt-BR"/>
        </w:rPr>
        <w:t xml:space="preserve"> a viger </w:t>
      </w:r>
      <w:r w:rsidR="001B6414">
        <w:rPr>
          <w:rFonts w:ascii="Verdana" w:hAnsi="Verdana" w:cs="Tahoma"/>
          <w:szCs w:val="20"/>
          <w:lang w:val="pt-BR"/>
        </w:rPr>
        <w:t xml:space="preserve">de acordo </w:t>
      </w:r>
      <w:r w:rsidR="009E48C2">
        <w:rPr>
          <w:rFonts w:ascii="Verdana" w:hAnsi="Verdana" w:cs="Tahoma"/>
          <w:szCs w:val="20"/>
          <w:lang w:val="pt-BR"/>
        </w:rPr>
        <w:t>com a redação abaixo:</w:t>
      </w:r>
    </w:p>
    <w:p w14:paraId="6FEA526D" w14:textId="77777777" w:rsidR="001B6414" w:rsidRDefault="001B6414" w:rsidP="001B6414">
      <w:pPr>
        <w:pStyle w:val="Level2"/>
        <w:numPr>
          <w:ilvl w:val="0"/>
          <w:numId w:val="0"/>
        </w:numPr>
        <w:spacing w:after="0" w:line="280" w:lineRule="exact"/>
        <w:ind w:left="709"/>
        <w:outlineLvl w:val="1"/>
        <w:rPr>
          <w:rFonts w:ascii="Verdana" w:hAnsi="Verdana" w:cs="Tahoma"/>
          <w:szCs w:val="20"/>
        </w:rPr>
      </w:pPr>
    </w:p>
    <w:p w14:paraId="64D3D74E" w14:textId="60612FD1" w:rsidR="001B6414" w:rsidRPr="001B6414" w:rsidRDefault="001B6414" w:rsidP="00DC4990">
      <w:pPr>
        <w:pStyle w:val="Level2"/>
        <w:numPr>
          <w:ilvl w:val="0"/>
          <w:numId w:val="0"/>
        </w:numPr>
        <w:spacing w:after="0" w:line="280" w:lineRule="exact"/>
        <w:ind w:left="709"/>
        <w:outlineLvl w:val="1"/>
        <w:rPr>
          <w:rFonts w:ascii="Verdana" w:hAnsi="Verdana" w:cs="Tahoma"/>
          <w:szCs w:val="20"/>
        </w:rPr>
      </w:pPr>
      <w:r>
        <w:rPr>
          <w:rFonts w:ascii="Verdana" w:hAnsi="Verdana" w:cs="Tahoma"/>
          <w:szCs w:val="20"/>
          <w:lang w:val="pt-BR"/>
        </w:rPr>
        <w:t>“</w:t>
      </w:r>
      <w:r w:rsidRPr="001B6414">
        <w:rPr>
          <w:rFonts w:ascii="Verdana" w:hAnsi="Verdana" w:cs="Tahoma"/>
          <w:szCs w:val="20"/>
        </w:rPr>
        <w:t>3.3.1.</w:t>
      </w:r>
      <w:r w:rsidRPr="001B6414">
        <w:rPr>
          <w:rFonts w:ascii="Verdana" w:hAnsi="Verdana" w:cs="Tahoma"/>
          <w:szCs w:val="20"/>
        </w:rPr>
        <w:tab/>
        <w:t xml:space="preserve">O valor total da Emissão </w:t>
      </w:r>
      <w:r>
        <w:rPr>
          <w:rFonts w:ascii="Verdana" w:hAnsi="Verdana" w:cs="Tahoma"/>
          <w:szCs w:val="20"/>
          <w:lang w:val="pt-BR"/>
        </w:rPr>
        <w:t>foi de R$</w:t>
      </w:r>
      <w:r w:rsidRPr="00E06B02">
        <w:rPr>
          <w:rFonts w:ascii="Verdana" w:hAnsi="Verdana" w:cs="Tahoma"/>
          <w:szCs w:val="20"/>
        </w:rPr>
        <w:t>[●]</w:t>
      </w:r>
      <w:r>
        <w:rPr>
          <w:rFonts w:ascii="Verdana" w:hAnsi="Verdana" w:cs="Tahoma"/>
          <w:szCs w:val="20"/>
          <w:lang w:val="pt-BR"/>
        </w:rPr>
        <w:t>(</w:t>
      </w:r>
      <w:r w:rsidRPr="00E06B02">
        <w:rPr>
          <w:rFonts w:ascii="Verdana" w:hAnsi="Verdana" w:cs="Tahoma"/>
          <w:szCs w:val="20"/>
        </w:rPr>
        <w:t>[●]</w:t>
      </w:r>
      <w:r>
        <w:rPr>
          <w:rFonts w:ascii="Verdana" w:hAnsi="Verdana" w:cs="Tahoma"/>
          <w:szCs w:val="20"/>
          <w:lang w:val="pt-BR"/>
        </w:rPr>
        <w:t>)</w:t>
      </w:r>
      <w:r w:rsidRPr="001B6414">
        <w:rPr>
          <w:rFonts w:ascii="Verdana" w:hAnsi="Verdana" w:cs="Tahoma"/>
          <w:szCs w:val="20"/>
        </w:rPr>
        <w:t>, na Data de Emissão</w:t>
      </w:r>
      <w:r>
        <w:rPr>
          <w:rFonts w:ascii="Verdana" w:hAnsi="Verdana" w:cs="Tahoma"/>
          <w:szCs w:val="20"/>
          <w:lang w:val="pt-BR"/>
        </w:rPr>
        <w:t>.”</w:t>
      </w:r>
      <w:r w:rsidRPr="001B6414">
        <w:rPr>
          <w:rFonts w:ascii="Verdana" w:hAnsi="Verdana" w:cs="Tahoma"/>
          <w:szCs w:val="20"/>
        </w:rPr>
        <w:t xml:space="preserve"> </w:t>
      </w:r>
    </w:p>
    <w:p w14:paraId="3C3B69BF" w14:textId="77777777" w:rsidR="00802ED0" w:rsidRDefault="00802ED0" w:rsidP="00802ED0">
      <w:pPr>
        <w:pStyle w:val="Level2"/>
        <w:numPr>
          <w:ilvl w:val="0"/>
          <w:numId w:val="0"/>
        </w:numPr>
        <w:spacing w:after="0" w:line="280" w:lineRule="exact"/>
        <w:outlineLvl w:val="1"/>
        <w:rPr>
          <w:rFonts w:ascii="Verdana" w:hAnsi="Verdana" w:cs="Tahoma"/>
          <w:szCs w:val="20"/>
        </w:rPr>
      </w:pPr>
    </w:p>
    <w:p w14:paraId="0A4C6496" w14:textId="38335D80" w:rsidR="009E48C2" w:rsidRDefault="009E48C2" w:rsidP="001814F1">
      <w:pPr>
        <w:pStyle w:val="Level2"/>
        <w:numPr>
          <w:ilvl w:val="0"/>
          <w:numId w:val="0"/>
        </w:numPr>
        <w:spacing w:after="0" w:line="280" w:lineRule="exact"/>
        <w:ind w:left="709"/>
        <w:outlineLvl w:val="1"/>
        <w:rPr>
          <w:rFonts w:ascii="Verdana" w:eastAsia="MS Mincho" w:hAnsi="Verdana" w:cs="Tahoma"/>
          <w:szCs w:val="20"/>
          <w:lang w:val="pt-BR"/>
        </w:rPr>
      </w:pPr>
      <w:r>
        <w:rPr>
          <w:rFonts w:ascii="Verdana" w:hAnsi="Verdana" w:cs="Tahoma"/>
          <w:szCs w:val="20"/>
          <w:lang w:val="pt-BR"/>
        </w:rPr>
        <w:t xml:space="preserve">“3.4.1 </w:t>
      </w:r>
      <w:r>
        <w:rPr>
          <w:rFonts w:ascii="Verdana" w:eastAsia="MS Mincho" w:hAnsi="Verdana" w:cs="Tahoma"/>
          <w:szCs w:val="20"/>
          <w:lang w:val="pt-BR"/>
        </w:rPr>
        <w:t>Foram</w:t>
      </w:r>
      <w:r w:rsidRPr="00E06B02">
        <w:rPr>
          <w:rFonts w:ascii="Verdana" w:eastAsia="MS Mincho" w:hAnsi="Verdana" w:cs="Tahoma"/>
          <w:szCs w:val="20"/>
        </w:rPr>
        <w:t xml:space="preserve"> emitidas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 xml:space="preserve">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w:t>
      </w:r>
      <w:r w:rsidRPr="00E06B02">
        <w:rPr>
          <w:rFonts w:ascii="Verdana" w:eastAsia="MS Mincho" w:hAnsi="Verdana" w:cs="Tahoma"/>
          <w:szCs w:val="20"/>
        </w:rPr>
        <w:t xml:space="preserve"> Debêntures no âmbito da Emissão, </w:t>
      </w:r>
      <w:r>
        <w:rPr>
          <w:rFonts w:ascii="Verdana" w:eastAsia="MS Mincho" w:hAnsi="Verdana" w:cs="Tahoma"/>
          <w:szCs w:val="20"/>
        </w:rPr>
        <w:t>em montante</w:t>
      </w:r>
      <w:r w:rsidRPr="00EF3D57">
        <w:rPr>
          <w:rFonts w:ascii="Verdana" w:eastAsia="MS Mincho" w:hAnsi="Verdana" w:cs="Tahoma"/>
          <w:szCs w:val="20"/>
        </w:rPr>
        <w:t xml:space="preserve"> determinado por série de acordo com a definição apurada no Procedimento de </w:t>
      </w:r>
      <w:r w:rsidRPr="00EF3D57">
        <w:rPr>
          <w:rFonts w:ascii="Verdana" w:eastAsia="MS Mincho" w:hAnsi="Verdana" w:cs="Tahoma"/>
          <w:i/>
          <w:szCs w:val="20"/>
        </w:rPr>
        <w:t>Bookbuilding</w:t>
      </w:r>
      <w:r w:rsidRPr="00EF3D57">
        <w:rPr>
          <w:rFonts w:ascii="Verdana" w:eastAsia="MS Mincho" w:hAnsi="Verdana" w:cs="Tahoma"/>
          <w:iCs/>
          <w:szCs w:val="20"/>
        </w:rPr>
        <w:t>,</w:t>
      </w:r>
      <w:r w:rsidRPr="001D6B97">
        <w:rPr>
          <w:rFonts w:ascii="Verdana" w:eastAsia="MS Mincho" w:hAnsi="Verdana" w:cs="Tahoma"/>
          <w:szCs w:val="20"/>
        </w:rPr>
        <w:t xml:space="preserve"> alocado entre</w:t>
      </w:r>
      <w:r w:rsidRPr="00E06B02">
        <w:rPr>
          <w:rFonts w:ascii="Verdana" w:eastAsia="MS Mincho" w:hAnsi="Verdana" w:cs="Tahoma"/>
          <w:szCs w:val="20"/>
        </w:rPr>
        <w:t xml:space="preserve">: </w:t>
      </w:r>
      <w:r w:rsidRPr="001D6B97">
        <w:rPr>
          <w:rFonts w:ascii="Verdana" w:eastAsia="MS Mincho" w:hAnsi="Verdana" w:cs="Tahoma"/>
          <w:szCs w:val="20"/>
        </w:rPr>
        <w:t xml:space="preserve">(i)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 </w:t>
      </w:r>
      <w:r w:rsidRPr="001D6B97">
        <w:rPr>
          <w:rFonts w:ascii="Verdana" w:eastAsia="MS Mincho" w:hAnsi="Verdana" w:cs="Tahoma"/>
          <w:szCs w:val="20"/>
        </w:rPr>
        <w:t>integrantes da primeira série (“</w:t>
      </w:r>
      <w:r w:rsidRPr="001D6B97">
        <w:rPr>
          <w:rFonts w:ascii="Verdana" w:eastAsia="MS Mincho" w:hAnsi="Verdana" w:cs="Tahoma"/>
          <w:szCs w:val="20"/>
          <w:u w:val="single"/>
        </w:rPr>
        <w:t>Primeira Série</w:t>
      </w:r>
      <w:r w:rsidRPr="001D6B97">
        <w:rPr>
          <w:rFonts w:ascii="Verdana" w:eastAsia="MS Mincho" w:hAnsi="Verdana" w:cs="Tahoma"/>
          <w:szCs w:val="20"/>
        </w:rPr>
        <w:t>” e “</w:t>
      </w:r>
      <w:r w:rsidRPr="001D6B97">
        <w:rPr>
          <w:rFonts w:ascii="Verdana" w:eastAsia="MS Mincho" w:hAnsi="Verdana" w:cs="Tahoma"/>
          <w:szCs w:val="20"/>
          <w:u w:val="single"/>
        </w:rPr>
        <w:t>Debêntures da Primeira Série</w:t>
      </w:r>
      <w:r w:rsidRPr="001D6B97">
        <w:rPr>
          <w:rFonts w:ascii="Verdana" w:eastAsia="MS Mincho" w:hAnsi="Verdana" w:cs="Tahoma"/>
          <w:szCs w:val="20"/>
        </w:rPr>
        <w:t xml:space="preserve">”); (ii)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w:t>
      </w:r>
      <w:r w:rsidRPr="001D6B97">
        <w:rPr>
          <w:rFonts w:ascii="Verdana" w:eastAsia="MS Mincho" w:hAnsi="Verdana" w:cs="Tahoma"/>
          <w:szCs w:val="20"/>
        </w:rPr>
        <w:t xml:space="preserve"> debêntures da segunda série (“</w:t>
      </w:r>
      <w:r w:rsidRPr="001D6B97">
        <w:rPr>
          <w:rFonts w:ascii="Verdana" w:eastAsia="MS Mincho" w:hAnsi="Verdana" w:cs="Tahoma"/>
          <w:szCs w:val="20"/>
          <w:u w:val="single"/>
        </w:rPr>
        <w:t>Segunda Série</w:t>
      </w:r>
      <w:r w:rsidRPr="001D6B97">
        <w:rPr>
          <w:rFonts w:ascii="Verdana" w:eastAsia="MS Mincho" w:hAnsi="Verdana" w:cs="Tahoma"/>
          <w:szCs w:val="20"/>
        </w:rPr>
        <w:t>” e “</w:t>
      </w:r>
      <w:r w:rsidRPr="001D6B97">
        <w:rPr>
          <w:rFonts w:ascii="Verdana" w:eastAsia="MS Mincho" w:hAnsi="Verdana" w:cs="Tahoma"/>
          <w:szCs w:val="20"/>
          <w:u w:val="single"/>
        </w:rPr>
        <w:t>Debêntures da Segunda Série</w:t>
      </w:r>
      <w:r w:rsidRPr="001D6B97">
        <w:rPr>
          <w:rFonts w:ascii="Verdana" w:eastAsia="MS Mincho" w:hAnsi="Verdana" w:cs="Tahoma"/>
          <w:szCs w:val="20"/>
        </w:rPr>
        <w:t xml:space="preserve">”); e (iii) </w:t>
      </w:r>
      <w:r w:rsidRPr="00E06B02">
        <w:rPr>
          <w:rFonts w:ascii="Verdana" w:hAnsi="Verdana" w:cs="Tahoma"/>
          <w:szCs w:val="20"/>
        </w:rPr>
        <w:t>[●] ([●] mil)</w:t>
      </w:r>
      <w:r w:rsidRPr="001D6B97">
        <w:rPr>
          <w:rFonts w:ascii="Verdana" w:eastAsia="MS Mincho" w:hAnsi="Verdana" w:cs="Tahoma"/>
          <w:szCs w:val="20"/>
        </w:rPr>
        <w:t xml:space="preserve"> integrantes da </w:t>
      </w:r>
      <w:r w:rsidRPr="001D6B97">
        <w:rPr>
          <w:rFonts w:ascii="Verdana" w:eastAsia="MS Mincho" w:hAnsi="Verdana" w:cs="Tahoma"/>
          <w:szCs w:val="20"/>
        </w:rPr>
        <w:lastRenderedPageBreak/>
        <w:t>terceira série (“</w:t>
      </w:r>
      <w:r w:rsidRPr="001D6B97">
        <w:rPr>
          <w:rFonts w:ascii="Verdana" w:eastAsia="MS Mincho" w:hAnsi="Verdana" w:cs="Tahoma"/>
          <w:szCs w:val="20"/>
          <w:u w:val="single"/>
        </w:rPr>
        <w:t>Terceira Série</w:t>
      </w:r>
      <w:r w:rsidRPr="001D6B97">
        <w:rPr>
          <w:rFonts w:ascii="Verdana" w:eastAsia="MS Mincho" w:hAnsi="Verdana" w:cs="Tahoma"/>
          <w:szCs w:val="20"/>
        </w:rPr>
        <w:t>” e, em conjunto com Primeira Série e Segunda Série “</w:t>
      </w:r>
      <w:r w:rsidRPr="001D6B97">
        <w:rPr>
          <w:rFonts w:ascii="Verdana" w:eastAsia="MS Mincho" w:hAnsi="Verdana" w:cs="Tahoma"/>
          <w:szCs w:val="20"/>
          <w:u w:val="single"/>
        </w:rPr>
        <w:t>Séries</w:t>
      </w:r>
      <w:r w:rsidRPr="001D6B97">
        <w:rPr>
          <w:rFonts w:ascii="Verdana" w:eastAsia="MS Mincho" w:hAnsi="Verdana" w:cs="Tahoma"/>
          <w:szCs w:val="20"/>
        </w:rPr>
        <w:t>”, e “</w:t>
      </w:r>
      <w:r w:rsidRPr="001D6B97">
        <w:rPr>
          <w:rFonts w:ascii="Verdana" w:eastAsia="MS Mincho" w:hAnsi="Verdana" w:cs="Tahoma"/>
          <w:szCs w:val="20"/>
          <w:u w:val="single"/>
        </w:rPr>
        <w:t>Debêntures da Terceira Série</w:t>
      </w:r>
      <w:r w:rsidRPr="001D6B97">
        <w:rPr>
          <w:rFonts w:ascii="Verdana" w:eastAsia="MS Mincho" w:hAnsi="Verdana" w:cs="Tahoma"/>
          <w:szCs w:val="20"/>
        </w:rPr>
        <w:t>”)</w:t>
      </w:r>
      <w:r>
        <w:rPr>
          <w:rFonts w:ascii="Verdana" w:eastAsia="MS Mincho" w:hAnsi="Verdana" w:cs="Tahoma"/>
          <w:szCs w:val="20"/>
          <w:lang w:val="pt-BR"/>
        </w:rPr>
        <w:t>.”</w:t>
      </w:r>
    </w:p>
    <w:p w14:paraId="2596D96F" w14:textId="27203A50"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48EA1394" w14:textId="0103D326" w:rsidR="001B6414" w:rsidRPr="00DC4990" w:rsidRDefault="001B6414" w:rsidP="00DC4990">
      <w:pPr>
        <w:pStyle w:val="Level2"/>
        <w:numPr>
          <w:ilvl w:val="0"/>
          <w:numId w:val="0"/>
        </w:numPr>
        <w:spacing w:after="0" w:line="280" w:lineRule="exact"/>
        <w:ind w:left="709"/>
        <w:outlineLvl w:val="1"/>
        <w:rPr>
          <w:rFonts w:ascii="Verdana" w:hAnsi="Verdana" w:cs="Tahoma"/>
          <w:szCs w:val="20"/>
          <w:lang w:val="pt-BR"/>
        </w:rPr>
      </w:pPr>
      <w:r>
        <w:rPr>
          <w:rFonts w:ascii="Verdana" w:hAnsi="Verdana" w:cs="Tahoma"/>
          <w:szCs w:val="20"/>
          <w:lang w:val="pt-BR"/>
        </w:rPr>
        <w:t>“</w:t>
      </w:r>
      <w:r w:rsidRPr="001B6414">
        <w:rPr>
          <w:rFonts w:ascii="Verdana" w:hAnsi="Verdana" w:cs="Tahoma"/>
          <w:szCs w:val="20"/>
        </w:rPr>
        <w:t>3.5.1.</w:t>
      </w:r>
      <w:r>
        <w:rPr>
          <w:rFonts w:ascii="Verdana" w:hAnsi="Verdana" w:cs="Tahoma"/>
          <w:szCs w:val="20"/>
          <w:lang w:val="pt-BR"/>
        </w:rPr>
        <w:t xml:space="preserve"> </w:t>
      </w:r>
      <w:r w:rsidRPr="001B6414">
        <w:rPr>
          <w:rFonts w:ascii="Verdana" w:hAnsi="Verdana" w:cs="Tahoma"/>
          <w:szCs w:val="20"/>
        </w:rPr>
        <w:t xml:space="preserve">A Emissão </w:t>
      </w:r>
      <w:r>
        <w:rPr>
          <w:rFonts w:ascii="Verdana" w:hAnsi="Verdana" w:cs="Tahoma"/>
          <w:szCs w:val="20"/>
          <w:lang w:val="pt-BR"/>
        </w:rPr>
        <w:t xml:space="preserve">foi </w:t>
      </w:r>
      <w:r w:rsidRPr="001B6414">
        <w:rPr>
          <w:rFonts w:ascii="Verdana" w:hAnsi="Verdana" w:cs="Tahoma"/>
          <w:szCs w:val="20"/>
        </w:rPr>
        <w:t xml:space="preserve">realizada em </w:t>
      </w:r>
      <w:r w:rsidRPr="00E06B02">
        <w:rPr>
          <w:rFonts w:ascii="Verdana" w:hAnsi="Verdana" w:cs="Tahoma"/>
          <w:szCs w:val="20"/>
        </w:rPr>
        <w:t>[●]</w:t>
      </w:r>
      <w:r w:rsidRPr="001B6414">
        <w:rPr>
          <w:rFonts w:ascii="Verdana" w:hAnsi="Verdana" w:cs="Tahoma"/>
          <w:szCs w:val="20"/>
        </w:rPr>
        <w:t xml:space="preserve"> séries.</w:t>
      </w:r>
      <w:r>
        <w:rPr>
          <w:rFonts w:ascii="Verdana" w:hAnsi="Verdana" w:cs="Tahoma"/>
          <w:szCs w:val="20"/>
          <w:lang w:val="pt-BR"/>
        </w:rPr>
        <w:t>”</w:t>
      </w:r>
    </w:p>
    <w:p w14:paraId="1A69D160" w14:textId="77777777"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4E549948"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1E893148"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10344DA2" w14:textId="2362C24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4192F55A"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3DDB4BB2"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RATIFICAÇÕES</w:t>
      </w:r>
    </w:p>
    <w:p w14:paraId="20F3C8E1"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6E11B7" w14:textId="01CFF3A1"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w:t>
      </w:r>
    </w:p>
    <w:p w14:paraId="70AA793C"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6F9F83E" w14:textId="2F859C6A"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BF2C18" w14:textId="0D66D3F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666FE5BA"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6DCD0EF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6EC450B4"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C58F91B"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7C597A6A"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0FBA2D38" w14:textId="77777777" w:rsidR="00802ED0" w:rsidRPr="005C5113" w:rsidRDefault="00802ED0" w:rsidP="00802ED0">
      <w:pPr>
        <w:pStyle w:val="Level1"/>
        <w:keepNext/>
        <w:numPr>
          <w:ilvl w:val="0"/>
          <w:numId w:val="0"/>
        </w:numPr>
        <w:tabs>
          <w:tab w:val="left" w:pos="1134"/>
        </w:tabs>
        <w:spacing w:after="0" w:line="280" w:lineRule="exact"/>
        <w:outlineLvl w:val="0"/>
        <w:rPr>
          <w:rFonts w:ascii="Verdana" w:hAnsi="Verdana"/>
          <w:b/>
          <w:szCs w:val="20"/>
        </w:rPr>
      </w:pPr>
    </w:p>
    <w:p w14:paraId="746588CB"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763DD093" w14:textId="77777777" w:rsidR="00802ED0" w:rsidRPr="00E06B02" w:rsidRDefault="00802ED0" w:rsidP="00802ED0">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3C7788EB" w14:textId="77777777" w:rsidR="00802ED0" w:rsidRPr="00E06B02" w:rsidRDefault="00802ED0" w:rsidP="001814F1">
      <w:pPr>
        <w:pStyle w:val="Level2"/>
        <w:numPr>
          <w:ilvl w:val="1"/>
          <w:numId w:val="85"/>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w:t>
      </w:r>
      <w:r w:rsidRPr="00E06B02">
        <w:rPr>
          <w:rFonts w:ascii="Verdana" w:hAnsi="Verdana" w:cs="Calibri"/>
          <w:szCs w:val="20"/>
        </w:rPr>
        <w:lastRenderedPageBreak/>
        <w:t xml:space="preserve">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066D1E0" w14:textId="3E687CB6"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138E4BC7" w14:textId="77777777" w:rsidR="00802ED0" w:rsidRPr="00E06B02" w:rsidRDefault="00802ED0" w:rsidP="00802ED0">
      <w:pPr>
        <w:spacing w:line="280" w:lineRule="exact"/>
        <w:jc w:val="both"/>
        <w:rPr>
          <w:rFonts w:ascii="Verdana" w:hAnsi="Verdana" w:cs="Tahoma"/>
          <w:sz w:val="20"/>
          <w:szCs w:val="20"/>
        </w:rPr>
      </w:pPr>
    </w:p>
    <w:p w14:paraId="2A18C136" w14:textId="6977DDFF" w:rsidR="00802ED0" w:rsidRDefault="00802ED0" w:rsidP="00802ED0">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w:t>
      </w:r>
      <w:r>
        <w:rPr>
          <w:rFonts w:ascii="Calibri" w:eastAsia="Arial Unicode MS" w:hAnsi="Calibri" w:cs="Calibri"/>
          <w:sz w:val="20"/>
          <w:szCs w:val="20"/>
        </w:rPr>
        <w:t>●</w:t>
      </w:r>
      <w:r w:rsidRPr="00E06B02">
        <w:rPr>
          <w:rFonts w:ascii="Verdana" w:eastAsia="Arial Unicode MS" w:hAnsi="Verdana" w:cs="Tahoma"/>
          <w:sz w:val="20"/>
          <w:szCs w:val="20"/>
        </w:rPr>
        <w:t>]</w:t>
      </w:r>
      <w:r>
        <w:rPr>
          <w:rFonts w:ascii="Verdana" w:eastAsia="Arial Unicode MS" w:hAnsi="Verdana" w:cs="Tahoma"/>
          <w:sz w:val="20"/>
          <w:szCs w:val="20"/>
        </w:rPr>
        <w:t xml:space="preserve"> de [</w:t>
      </w:r>
      <w:r>
        <w:rPr>
          <w:rFonts w:ascii="Calibri" w:eastAsia="Arial Unicode MS" w:hAnsi="Calibri" w:cs="Calibri"/>
          <w:sz w:val="20"/>
          <w:szCs w:val="20"/>
        </w:rPr>
        <w:t>●</w:t>
      </w:r>
      <w:r>
        <w:rPr>
          <w:rFonts w:ascii="Verdana" w:eastAsia="Arial Unicode MS" w:hAnsi="Verdana" w:cs="Tahoma"/>
          <w:sz w:val="20"/>
          <w:szCs w:val="20"/>
        </w:rPr>
        <w:t>] de 2021</w:t>
      </w:r>
      <w:r w:rsidRPr="00E06B02">
        <w:rPr>
          <w:rFonts w:ascii="Verdana" w:eastAsia="Arial Unicode MS" w:hAnsi="Verdana" w:cs="Tahoma"/>
          <w:sz w:val="20"/>
          <w:szCs w:val="20"/>
        </w:rPr>
        <w:t>.</w:t>
      </w:r>
    </w:p>
    <w:p w14:paraId="498525D0" w14:textId="77777777" w:rsidR="00E00BC6" w:rsidRPr="00E06B02" w:rsidRDefault="00E00BC6" w:rsidP="00802ED0">
      <w:pPr>
        <w:spacing w:line="280" w:lineRule="exact"/>
        <w:jc w:val="center"/>
        <w:rPr>
          <w:rFonts w:ascii="Verdana" w:eastAsia="Arial Unicode MS" w:hAnsi="Verdana" w:cs="Tahoma"/>
          <w:sz w:val="20"/>
          <w:szCs w:val="20"/>
        </w:rPr>
      </w:pPr>
    </w:p>
    <w:p w14:paraId="5B1CCD58" w14:textId="6977DDFF" w:rsidR="00802ED0" w:rsidRPr="00E06B02" w:rsidRDefault="00802ED0" w:rsidP="00802ED0">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AFEA173" w14:textId="77777777" w:rsidR="00802ED0" w:rsidRPr="00E06B02" w:rsidRDefault="00802ED0" w:rsidP="00802ED0">
      <w:pPr>
        <w:spacing w:line="280" w:lineRule="exact"/>
        <w:jc w:val="center"/>
        <w:rPr>
          <w:rFonts w:ascii="Verdana" w:eastAsia="Arial Unicode MS" w:hAnsi="Verdana" w:cs="Tahoma"/>
          <w:i/>
          <w:sz w:val="20"/>
          <w:szCs w:val="20"/>
        </w:rPr>
      </w:pPr>
    </w:p>
    <w:p w14:paraId="7FF48330" w14:textId="77777777" w:rsidR="00802ED0" w:rsidRPr="00E06B02" w:rsidRDefault="00802ED0" w:rsidP="00E06B02">
      <w:pPr>
        <w:tabs>
          <w:tab w:val="left" w:pos="0"/>
        </w:tabs>
        <w:spacing w:line="280" w:lineRule="exact"/>
        <w:rPr>
          <w:rFonts w:ascii="Verdana" w:eastAsia="Arial Unicode MS" w:hAnsi="Verdana" w:cstheme="minorHAnsi"/>
          <w:sz w:val="20"/>
          <w:szCs w:val="20"/>
        </w:rPr>
      </w:pPr>
    </w:p>
    <w:sectPr w:rsidR="00802ED0" w:rsidRPr="00E06B02">
      <w:footerReference w:type="default" r:id="rId30"/>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9757E" w14:textId="77777777" w:rsidR="003A64DD" w:rsidRDefault="003A64DD">
      <w:r>
        <w:separator/>
      </w:r>
    </w:p>
  </w:endnote>
  <w:endnote w:type="continuationSeparator" w:id="0">
    <w:p w14:paraId="4E3099BB" w14:textId="77777777" w:rsidR="003A64DD" w:rsidRDefault="003A64DD">
      <w:r>
        <w:continuationSeparator/>
      </w:r>
    </w:p>
  </w:endnote>
  <w:endnote w:type="continuationNotice" w:id="1">
    <w:p w14:paraId="76689F88" w14:textId="77777777" w:rsidR="003A64DD" w:rsidRDefault="003A6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746B" w14:textId="4D0511B2" w:rsidR="003A64DD" w:rsidRDefault="003A64D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81E1" w14:textId="5684A63D" w:rsidR="003A64DD" w:rsidRDefault="003A64D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3C70" w14:textId="39EA646D" w:rsidR="003A64DD" w:rsidRDefault="003A64DD">
    <w:pPr>
      <w:pStyle w:val="Rodap"/>
      <w:jc w:val="right"/>
      <w:rPr>
        <w:rFonts w:ascii="Verdana" w:hAnsi="Verdana"/>
        <w:sz w:val="20"/>
      </w:rPr>
    </w:pPr>
  </w:p>
  <w:p w14:paraId="584D5B6B" w14:textId="77777777" w:rsidR="003A64DD" w:rsidRDefault="003A64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12A2" w14:textId="77777777" w:rsidR="003A64DD" w:rsidRDefault="003A64DD">
      <w:r>
        <w:separator/>
      </w:r>
    </w:p>
  </w:footnote>
  <w:footnote w:type="continuationSeparator" w:id="0">
    <w:p w14:paraId="7E50530B" w14:textId="77777777" w:rsidR="003A64DD" w:rsidRDefault="003A64DD">
      <w:r>
        <w:continuationSeparator/>
      </w:r>
    </w:p>
  </w:footnote>
  <w:footnote w:type="continuationNotice" w:id="1">
    <w:p w14:paraId="0166263E" w14:textId="77777777" w:rsidR="003A64DD" w:rsidRDefault="003A64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78E1" w14:textId="05766B11" w:rsidR="003A64DD" w:rsidRDefault="003A64DD">
    <w:pPr>
      <w:pStyle w:val="Cabealho"/>
      <w:jc w:val="right"/>
      <w:rPr>
        <w:rFonts w:ascii="Verdana" w:hAnsi="Verdana"/>
        <w:b/>
      </w:rPr>
    </w:pPr>
    <w:r w:rsidRPr="00B5045B">
      <w:rPr>
        <w:i/>
        <w:iCs/>
        <w:noProof/>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5"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0"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3"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5"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7"/>
  </w:num>
  <w:num w:numId="3">
    <w:abstractNumId w:val="60"/>
  </w:num>
  <w:num w:numId="4">
    <w:abstractNumId w:val="31"/>
  </w:num>
  <w:num w:numId="5">
    <w:abstractNumId w:val="21"/>
  </w:num>
  <w:num w:numId="6">
    <w:abstractNumId w:val="54"/>
  </w:num>
  <w:num w:numId="7">
    <w:abstractNumId w:val="47"/>
  </w:num>
  <w:num w:numId="8">
    <w:abstractNumId w:val="66"/>
  </w:num>
  <w:num w:numId="9">
    <w:abstractNumId w:val="20"/>
  </w:num>
  <w:num w:numId="10">
    <w:abstractNumId w:val="25"/>
  </w:num>
  <w:num w:numId="11">
    <w:abstractNumId w:val="65"/>
  </w:num>
  <w:num w:numId="12">
    <w:abstractNumId w:val="29"/>
  </w:num>
  <w:num w:numId="13">
    <w:abstractNumId w:val="0"/>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14"/>
  </w:num>
  <w:num w:numId="17">
    <w:abstractNumId w:val="26"/>
  </w:num>
  <w:num w:numId="18">
    <w:abstractNumId w:val="17"/>
  </w:num>
  <w:num w:numId="19">
    <w:abstractNumId w:val="35"/>
  </w:num>
  <w:num w:numId="20">
    <w:abstractNumId w:val="30"/>
  </w:num>
  <w:num w:numId="21">
    <w:abstractNumId w:val="64"/>
  </w:num>
  <w:num w:numId="22">
    <w:abstractNumId w:val="42"/>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18"/>
  </w:num>
  <w:num w:numId="26">
    <w:abstractNumId w:val="50"/>
  </w:num>
  <w:num w:numId="27">
    <w:abstractNumId w:val="70"/>
  </w:num>
  <w:num w:numId="28">
    <w:abstractNumId w:val="56"/>
  </w:num>
  <w:num w:numId="29">
    <w:abstractNumId w:val="6"/>
  </w:num>
  <w:num w:numId="30">
    <w:abstractNumId w:val="69"/>
  </w:num>
  <w:num w:numId="31">
    <w:abstractNumId w:val="28"/>
  </w:num>
  <w:num w:numId="32">
    <w:abstractNumId w:val="51"/>
  </w:num>
  <w:num w:numId="33">
    <w:abstractNumId w:val="46"/>
  </w:num>
  <w:num w:numId="34">
    <w:abstractNumId w:val="36"/>
  </w:num>
  <w:num w:numId="35">
    <w:abstractNumId w:val="5"/>
  </w:num>
  <w:num w:numId="36">
    <w:abstractNumId w:val="24"/>
  </w:num>
  <w:num w:numId="37">
    <w:abstractNumId w:val="57"/>
  </w:num>
  <w:num w:numId="38">
    <w:abstractNumId w:val="55"/>
  </w:num>
  <w:num w:numId="39">
    <w:abstractNumId w:val="32"/>
  </w:num>
  <w:num w:numId="40">
    <w:abstractNumId w:val="8"/>
  </w:num>
  <w:num w:numId="41">
    <w:abstractNumId w:val="39"/>
  </w:num>
  <w:num w:numId="42">
    <w:abstractNumId w:val="53"/>
  </w:num>
  <w:num w:numId="43">
    <w:abstractNumId w:val="15"/>
  </w:num>
  <w:num w:numId="44">
    <w:abstractNumId w:val="33"/>
  </w:num>
  <w:num w:numId="45">
    <w:abstractNumId w:val="38"/>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64"/>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43"/>
  </w:num>
  <w:num w:numId="61">
    <w:abstractNumId w:val="68"/>
  </w:num>
  <w:num w:numId="62">
    <w:abstractNumId w:val="7"/>
  </w:num>
  <w:num w:numId="63">
    <w:abstractNumId w:val="37"/>
  </w:num>
  <w:num w:numId="64">
    <w:abstractNumId w:val="40"/>
  </w:num>
  <w:num w:numId="65">
    <w:abstractNumId w:val="9"/>
  </w:num>
  <w:num w:numId="66">
    <w:abstractNumId w:val="13"/>
  </w:num>
  <w:num w:numId="67">
    <w:abstractNumId w:val="10"/>
  </w:num>
  <w:num w:numId="68">
    <w:abstractNumId w:val="64"/>
  </w:num>
  <w:num w:numId="69">
    <w:abstractNumId w:val="64"/>
  </w:num>
  <w:num w:numId="70">
    <w:abstractNumId w:val="45"/>
  </w:num>
  <w:num w:numId="71">
    <w:abstractNumId w:val="4"/>
  </w:num>
  <w:num w:numId="72">
    <w:abstractNumId w:val="52"/>
  </w:num>
  <w:num w:numId="73">
    <w:abstractNumId w:val="27"/>
  </w:num>
  <w:num w:numId="74">
    <w:abstractNumId w:val="23"/>
  </w:num>
  <w:num w:numId="75">
    <w:abstractNumId w:val="12"/>
  </w:num>
  <w:num w:numId="76">
    <w:abstractNumId w:val="19"/>
  </w:num>
  <w:num w:numId="77">
    <w:abstractNumId w:val="19"/>
  </w:num>
  <w:num w:numId="78">
    <w:abstractNumId w:val="41"/>
  </w:num>
  <w:num w:numId="79">
    <w:abstractNumId w:val="3"/>
  </w:num>
  <w:num w:numId="80">
    <w:abstractNumId w:val="22"/>
  </w:num>
  <w:num w:numId="81">
    <w:abstractNumId w:val="22"/>
    <w:lvlOverride w:ilvl="0">
      <w:startOverride w:val="1"/>
    </w:lvlOverride>
  </w:num>
  <w:num w:numId="82">
    <w:abstractNumId w:val="49"/>
  </w:num>
  <w:num w:numId="83">
    <w:abstractNumId w:val="62"/>
  </w:num>
  <w:num w:numId="84">
    <w:abstractNumId w:val="61"/>
  </w:num>
  <w:num w:numId="85">
    <w:abstractNumId w:val="63"/>
  </w:num>
  <w:num w:numId="86">
    <w:abstractNumId w:val="19"/>
  </w:num>
  <w:num w:numId="87">
    <w:abstractNumId w:val="19"/>
  </w:num>
  <w:num w:numId="88">
    <w:abstractNumId w:val="34"/>
  </w:num>
  <w:num w:numId="89">
    <w:abstractNumId w:val="19"/>
  </w:num>
  <w:num w:numId="90">
    <w:abstractNumId w:val="19"/>
  </w:num>
  <w:num w:numId="91">
    <w:abstractNumId w:val="19"/>
  </w:num>
  <w:num w:numId="92">
    <w:abstractNumId w:val="1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DB"/>
    <w:rsid w:val="00001BE5"/>
    <w:rsid w:val="00003847"/>
    <w:rsid w:val="00004B1F"/>
    <w:rsid w:val="00006F84"/>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31D6"/>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E7496"/>
    <w:rsid w:val="000F2F27"/>
    <w:rsid w:val="000F6B0C"/>
    <w:rsid w:val="001000E4"/>
    <w:rsid w:val="00102633"/>
    <w:rsid w:val="00106F0D"/>
    <w:rsid w:val="00107CC1"/>
    <w:rsid w:val="00107DC6"/>
    <w:rsid w:val="00116391"/>
    <w:rsid w:val="0011641B"/>
    <w:rsid w:val="001263EB"/>
    <w:rsid w:val="0013135C"/>
    <w:rsid w:val="00137E0F"/>
    <w:rsid w:val="00140C1C"/>
    <w:rsid w:val="00140EA4"/>
    <w:rsid w:val="001449F6"/>
    <w:rsid w:val="00172477"/>
    <w:rsid w:val="001735F4"/>
    <w:rsid w:val="00173C2A"/>
    <w:rsid w:val="001743CC"/>
    <w:rsid w:val="00176781"/>
    <w:rsid w:val="001811A1"/>
    <w:rsid w:val="001814F1"/>
    <w:rsid w:val="00182107"/>
    <w:rsid w:val="00182652"/>
    <w:rsid w:val="001869BD"/>
    <w:rsid w:val="00197FC7"/>
    <w:rsid w:val="001A0545"/>
    <w:rsid w:val="001A49B1"/>
    <w:rsid w:val="001A64FE"/>
    <w:rsid w:val="001B4405"/>
    <w:rsid w:val="001B6414"/>
    <w:rsid w:val="001C30F8"/>
    <w:rsid w:val="001C3E55"/>
    <w:rsid w:val="001C7E27"/>
    <w:rsid w:val="001D1A53"/>
    <w:rsid w:val="001E09FC"/>
    <w:rsid w:val="001E48A9"/>
    <w:rsid w:val="001E71E3"/>
    <w:rsid w:val="001F016B"/>
    <w:rsid w:val="001F3F56"/>
    <w:rsid w:val="001F5F8A"/>
    <w:rsid w:val="00201446"/>
    <w:rsid w:val="0020508F"/>
    <w:rsid w:val="00205CC6"/>
    <w:rsid w:val="002077B6"/>
    <w:rsid w:val="00212A7B"/>
    <w:rsid w:val="00220697"/>
    <w:rsid w:val="0022258D"/>
    <w:rsid w:val="00225738"/>
    <w:rsid w:val="00225A8D"/>
    <w:rsid w:val="00227962"/>
    <w:rsid w:val="00227DC5"/>
    <w:rsid w:val="00244008"/>
    <w:rsid w:val="00244E7C"/>
    <w:rsid w:val="00246A64"/>
    <w:rsid w:val="002500C3"/>
    <w:rsid w:val="00251802"/>
    <w:rsid w:val="00251E22"/>
    <w:rsid w:val="0026399B"/>
    <w:rsid w:val="00265ABC"/>
    <w:rsid w:val="00275EEB"/>
    <w:rsid w:val="002777BE"/>
    <w:rsid w:val="00280E84"/>
    <w:rsid w:val="00283525"/>
    <w:rsid w:val="002878A4"/>
    <w:rsid w:val="002953F3"/>
    <w:rsid w:val="002B1CAB"/>
    <w:rsid w:val="002C4188"/>
    <w:rsid w:val="002C64E5"/>
    <w:rsid w:val="002D3B9C"/>
    <w:rsid w:val="002D48A7"/>
    <w:rsid w:val="002D7FDC"/>
    <w:rsid w:val="002E1841"/>
    <w:rsid w:val="002E2CD1"/>
    <w:rsid w:val="002E2CFB"/>
    <w:rsid w:val="002E7E75"/>
    <w:rsid w:val="002F38F9"/>
    <w:rsid w:val="00305E7A"/>
    <w:rsid w:val="00306A61"/>
    <w:rsid w:val="00312DF9"/>
    <w:rsid w:val="00312E0C"/>
    <w:rsid w:val="00313E76"/>
    <w:rsid w:val="003239AD"/>
    <w:rsid w:val="0032456A"/>
    <w:rsid w:val="003251AC"/>
    <w:rsid w:val="0032581C"/>
    <w:rsid w:val="00333296"/>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64DD"/>
    <w:rsid w:val="003A66FD"/>
    <w:rsid w:val="003A7E06"/>
    <w:rsid w:val="003B7F96"/>
    <w:rsid w:val="003C13B1"/>
    <w:rsid w:val="003C450E"/>
    <w:rsid w:val="003C5C00"/>
    <w:rsid w:val="003C6942"/>
    <w:rsid w:val="003D2640"/>
    <w:rsid w:val="003D3ECC"/>
    <w:rsid w:val="003D4616"/>
    <w:rsid w:val="003F7AFF"/>
    <w:rsid w:val="00403542"/>
    <w:rsid w:val="00405A33"/>
    <w:rsid w:val="004118CE"/>
    <w:rsid w:val="00414C2A"/>
    <w:rsid w:val="00422D55"/>
    <w:rsid w:val="00426A51"/>
    <w:rsid w:val="004329C6"/>
    <w:rsid w:val="00435E3F"/>
    <w:rsid w:val="00437033"/>
    <w:rsid w:val="00446094"/>
    <w:rsid w:val="004475E8"/>
    <w:rsid w:val="00450101"/>
    <w:rsid w:val="004509C0"/>
    <w:rsid w:val="00450DC7"/>
    <w:rsid w:val="004510FE"/>
    <w:rsid w:val="00455A7D"/>
    <w:rsid w:val="00472075"/>
    <w:rsid w:val="0047295B"/>
    <w:rsid w:val="00476FA7"/>
    <w:rsid w:val="00480315"/>
    <w:rsid w:val="004A750C"/>
    <w:rsid w:val="004A797B"/>
    <w:rsid w:val="004B1B53"/>
    <w:rsid w:val="004B34AF"/>
    <w:rsid w:val="004B71FA"/>
    <w:rsid w:val="004B7DFE"/>
    <w:rsid w:val="004C04A8"/>
    <w:rsid w:val="004C6187"/>
    <w:rsid w:val="004D28D4"/>
    <w:rsid w:val="004D2F65"/>
    <w:rsid w:val="004D5194"/>
    <w:rsid w:val="004E3760"/>
    <w:rsid w:val="004E486D"/>
    <w:rsid w:val="00500F3D"/>
    <w:rsid w:val="00502CDD"/>
    <w:rsid w:val="00504741"/>
    <w:rsid w:val="00506384"/>
    <w:rsid w:val="005069EB"/>
    <w:rsid w:val="005072CC"/>
    <w:rsid w:val="0051166F"/>
    <w:rsid w:val="00514413"/>
    <w:rsid w:val="005174B7"/>
    <w:rsid w:val="0051767C"/>
    <w:rsid w:val="00520E14"/>
    <w:rsid w:val="005233B6"/>
    <w:rsid w:val="005234A9"/>
    <w:rsid w:val="0052657A"/>
    <w:rsid w:val="00526D00"/>
    <w:rsid w:val="00545C69"/>
    <w:rsid w:val="00551D05"/>
    <w:rsid w:val="0055769C"/>
    <w:rsid w:val="00564526"/>
    <w:rsid w:val="00566E2B"/>
    <w:rsid w:val="00567DD9"/>
    <w:rsid w:val="00571478"/>
    <w:rsid w:val="00572833"/>
    <w:rsid w:val="00573C9D"/>
    <w:rsid w:val="00574A51"/>
    <w:rsid w:val="00574DDE"/>
    <w:rsid w:val="00574E95"/>
    <w:rsid w:val="005760A3"/>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E02F5"/>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3E3C"/>
    <w:rsid w:val="006640D4"/>
    <w:rsid w:val="006849F0"/>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17D9"/>
    <w:rsid w:val="006D23FB"/>
    <w:rsid w:val="006D6366"/>
    <w:rsid w:val="006E1AFA"/>
    <w:rsid w:val="006E2FA9"/>
    <w:rsid w:val="006F22B6"/>
    <w:rsid w:val="006F2A2A"/>
    <w:rsid w:val="006F3FE2"/>
    <w:rsid w:val="006F4E53"/>
    <w:rsid w:val="007058C6"/>
    <w:rsid w:val="00706073"/>
    <w:rsid w:val="00710177"/>
    <w:rsid w:val="00711B4D"/>
    <w:rsid w:val="007120CB"/>
    <w:rsid w:val="00713BE3"/>
    <w:rsid w:val="00726596"/>
    <w:rsid w:val="00726D28"/>
    <w:rsid w:val="00732EAA"/>
    <w:rsid w:val="0073364C"/>
    <w:rsid w:val="0073753A"/>
    <w:rsid w:val="007476A2"/>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3D8D"/>
    <w:rsid w:val="007B46DC"/>
    <w:rsid w:val="007C07D2"/>
    <w:rsid w:val="007C62E2"/>
    <w:rsid w:val="007D2360"/>
    <w:rsid w:val="007D6BA3"/>
    <w:rsid w:val="007E283F"/>
    <w:rsid w:val="007E2AFD"/>
    <w:rsid w:val="007E465F"/>
    <w:rsid w:val="007F011C"/>
    <w:rsid w:val="0080067F"/>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5B6"/>
    <w:rsid w:val="008C6B80"/>
    <w:rsid w:val="008D0E5B"/>
    <w:rsid w:val="008D4AB4"/>
    <w:rsid w:val="008D5596"/>
    <w:rsid w:val="008D6F6D"/>
    <w:rsid w:val="008E4423"/>
    <w:rsid w:val="008E55E6"/>
    <w:rsid w:val="008F0239"/>
    <w:rsid w:val="008F2E56"/>
    <w:rsid w:val="0090717C"/>
    <w:rsid w:val="00910B98"/>
    <w:rsid w:val="00913803"/>
    <w:rsid w:val="00914437"/>
    <w:rsid w:val="00916CF6"/>
    <w:rsid w:val="0092174A"/>
    <w:rsid w:val="00925E96"/>
    <w:rsid w:val="00933FCF"/>
    <w:rsid w:val="00935EAB"/>
    <w:rsid w:val="00935FDB"/>
    <w:rsid w:val="00947946"/>
    <w:rsid w:val="00950EAF"/>
    <w:rsid w:val="0095295B"/>
    <w:rsid w:val="00952BB2"/>
    <w:rsid w:val="00954D9A"/>
    <w:rsid w:val="00960972"/>
    <w:rsid w:val="00961A8F"/>
    <w:rsid w:val="009649FB"/>
    <w:rsid w:val="0097180A"/>
    <w:rsid w:val="00972A3E"/>
    <w:rsid w:val="00985E97"/>
    <w:rsid w:val="00987407"/>
    <w:rsid w:val="00987681"/>
    <w:rsid w:val="0099019F"/>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44CC"/>
    <w:rsid w:val="00A04FB5"/>
    <w:rsid w:val="00A05E00"/>
    <w:rsid w:val="00A06069"/>
    <w:rsid w:val="00A104FE"/>
    <w:rsid w:val="00A1258F"/>
    <w:rsid w:val="00A14300"/>
    <w:rsid w:val="00A15451"/>
    <w:rsid w:val="00A159F6"/>
    <w:rsid w:val="00A2726F"/>
    <w:rsid w:val="00A30C7D"/>
    <w:rsid w:val="00A31785"/>
    <w:rsid w:val="00A44927"/>
    <w:rsid w:val="00A45285"/>
    <w:rsid w:val="00A56BF6"/>
    <w:rsid w:val="00A60C5B"/>
    <w:rsid w:val="00A62379"/>
    <w:rsid w:val="00A67466"/>
    <w:rsid w:val="00A75A9F"/>
    <w:rsid w:val="00A77734"/>
    <w:rsid w:val="00A870AB"/>
    <w:rsid w:val="00A9007F"/>
    <w:rsid w:val="00A90277"/>
    <w:rsid w:val="00A92F9F"/>
    <w:rsid w:val="00A9636F"/>
    <w:rsid w:val="00AA05C2"/>
    <w:rsid w:val="00AA4EA8"/>
    <w:rsid w:val="00AA6B30"/>
    <w:rsid w:val="00AC0A6B"/>
    <w:rsid w:val="00AC17DA"/>
    <w:rsid w:val="00AC1CE9"/>
    <w:rsid w:val="00AC28EA"/>
    <w:rsid w:val="00AC295B"/>
    <w:rsid w:val="00AC3F4C"/>
    <w:rsid w:val="00AC5739"/>
    <w:rsid w:val="00AC5CC0"/>
    <w:rsid w:val="00AC74C5"/>
    <w:rsid w:val="00AD1D48"/>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5E3"/>
    <w:rsid w:val="00B52409"/>
    <w:rsid w:val="00B56877"/>
    <w:rsid w:val="00B60E2A"/>
    <w:rsid w:val="00B70165"/>
    <w:rsid w:val="00B73416"/>
    <w:rsid w:val="00B75CBF"/>
    <w:rsid w:val="00B75E9B"/>
    <w:rsid w:val="00BA08A7"/>
    <w:rsid w:val="00BA36AB"/>
    <w:rsid w:val="00BA774E"/>
    <w:rsid w:val="00BB0D48"/>
    <w:rsid w:val="00BB43A4"/>
    <w:rsid w:val="00BB7BA4"/>
    <w:rsid w:val="00BC2363"/>
    <w:rsid w:val="00BC266C"/>
    <w:rsid w:val="00BC3200"/>
    <w:rsid w:val="00BD0074"/>
    <w:rsid w:val="00BD02FF"/>
    <w:rsid w:val="00BD4D15"/>
    <w:rsid w:val="00BE2F7C"/>
    <w:rsid w:val="00BE3B17"/>
    <w:rsid w:val="00BE4F04"/>
    <w:rsid w:val="00BE6ADF"/>
    <w:rsid w:val="00C04E48"/>
    <w:rsid w:val="00C102D4"/>
    <w:rsid w:val="00C10CBC"/>
    <w:rsid w:val="00C11482"/>
    <w:rsid w:val="00C12A0A"/>
    <w:rsid w:val="00C13596"/>
    <w:rsid w:val="00C149A0"/>
    <w:rsid w:val="00C24E00"/>
    <w:rsid w:val="00C32572"/>
    <w:rsid w:val="00C33096"/>
    <w:rsid w:val="00C436CC"/>
    <w:rsid w:val="00C469B1"/>
    <w:rsid w:val="00C46F11"/>
    <w:rsid w:val="00C5205A"/>
    <w:rsid w:val="00C55183"/>
    <w:rsid w:val="00C57ACD"/>
    <w:rsid w:val="00C57F2A"/>
    <w:rsid w:val="00C6173C"/>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2B7C"/>
    <w:rsid w:val="00CF408D"/>
    <w:rsid w:val="00CF7A16"/>
    <w:rsid w:val="00D00526"/>
    <w:rsid w:val="00D02FBE"/>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C4990"/>
    <w:rsid w:val="00DE66C7"/>
    <w:rsid w:val="00DF2768"/>
    <w:rsid w:val="00DF4613"/>
    <w:rsid w:val="00DF4A35"/>
    <w:rsid w:val="00E00BC6"/>
    <w:rsid w:val="00E06B02"/>
    <w:rsid w:val="00E07FAD"/>
    <w:rsid w:val="00E22B0C"/>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7D80"/>
    <w:rsid w:val="00EE078E"/>
    <w:rsid w:val="00EE184F"/>
    <w:rsid w:val="00EE3481"/>
    <w:rsid w:val="00EE4FDF"/>
    <w:rsid w:val="00EE77BF"/>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2821"/>
    <w:rsid w:val="00F67663"/>
    <w:rsid w:val="00F715C7"/>
    <w:rsid w:val="00F76859"/>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UnresolvedMention">
    <w:name w:val="Unresolved Mention"/>
    <w:basedOn w:val="Fontepargpadro"/>
    <w:uiPriority w:val="99"/>
    <w:semiHidden/>
    <w:unhideWhenUsed/>
    <w:rsid w:val="0042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oleObject" Target="embeddings/oleObject2.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7.xml>��< ? x m l   v e r s i o n = " 1 . 0 "   e n c o d i n g = " u t f - 1 6 " ? > < p r o p e r t i e s   x m l n s = " h t t p : / / w w w . i m a n a g e . c o m / w o r k / x m l s c h e m a " >  
     < d o c u m e n t i d > J U R _ S P ! 3 0 8 3 3 4 6 9 . 9 < / d o c u m e n t i d >  
     < s e n d e r i d > H S N < / s e n d e r i d >  
     < s e n d e r e m a i l > T A M B R O S A N O @ P N . C O M . B R < / s e n d e r e m a i l >  
     < l a s t m o d i f i e d > 2 0 1 8 - 0 9 - 1 9 T 2 2 : 0 2 : 0 0 . 0 0 0 0 0 0 0 - 0 3 : 0 0 < / l a s t m o d i f i e d >  
 < / p r o p e r t i e s > 
</file>

<file path=customXml/item8.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2.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3.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E20F11-6A2F-49EB-8DDB-E977FF72F31F}">
  <ds:schemaRefs>
    <ds:schemaRef ds:uri="http://www.imanage.com/work/xmlschema"/>
  </ds:schemaRefs>
</ds:datastoreItem>
</file>

<file path=customXml/itemProps6.xml><?xml version="1.0" encoding="utf-8"?>
<ds:datastoreItem xmlns:ds="http://schemas.openxmlformats.org/officeDocument/2006/customXml" ds:itemID="{D8187FE1-7DDD-4A96-B68A-2CE18BF0674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bd4b9cc-8746-41d1-b5cc-e8920a0bba5d"/>
    <ds:schemaRef ds:uri="http://purl.org/dc/dcmitype/"/>
  </ds:schemaRefs>
</ds:datastoreItem>
</file>

<file path=customXml/itemProps7.xml><?xml version="1.0" encoding="utf-8"?>
<ds:datastoreItem xmlns:ds="http://schemas.openxmlformats.org/officeDocument/2006/customXml" ds:itemID="{70B010B4-0953-4B6F-A986-CD74AD8E6E2E}">
  <ds:schemaRefs>
    <ds:schemaRef ds:uri="http://www.imanage.com/work/xmlschema"/>
  </ds:schemaRefs>
</ds:datastoreItem>
</file>

<file path=customXml/itemProps8.xml><?xml version="1.0" encoding="utf-8"?>
<ds:datastoreItem xmlns:ds="http://schemas.openxmlformats.org/officeDocument/2006/customXml" ds:itemID="{0FC2CF70-A104-45CC-88B1-8C94E27E56F3}">
  <ds:schemaRefs>
    <ds:schemaRef ds:uri="http://www.imanage.com/work/xmlschema"/>
  </ds:schemaRefs>
</ds:datastoreItem>
</file>

<file path=customXml/itemProps9.xml><?xml version="1.0" encoding="utf-8"?>
<ds:datastoreItem xmlns:ds="http://schemas.openxmlformats.org/officeDocument/2006/customXml" ds:itemID="{0F069BC0-A5DD-442C-B53B-554D1781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95</Pages>
  <Words>29696</Words>
  <Characters>175506</Characters>
  <Application>Microsoft Office Word</Application>
  <DocSecurity>0</DocSecurity>
  <Lines>3900</Lines>
  <Paragraphs>1057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4</cp:revision>
  <cp:lastPrinted>2020-09-29T02:47:00Z</cp:lastPrinted>
  <dcterms:created xsi:type="dcterms:W3CDTF">2021-05-13T17:37:00Z</dcterms:created>
  <dcterms:modified xsi:type="dcterms:W3CDTF">2021-05-13T18:42:00Z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20210513154023841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