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7FE6D182"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 xml:space="preserve">de maio de 2021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 xml:space="preserve">Companhia </w:t>
      </w:r>
      <w:proofErr w:type="spellStart"/>
      <w:r w:rsidR="00802ED0" w:rsidRPr="00F02C89">
        <w:rPr>
          <w:rFonts w:ascii="Verdana" w:hAnsi="Verdana" w:cs="Tahoma"/>
          <w:bCs/>
          <w:i/>
          <w:sz w:val="20"/>
          <w:szCs w:val="20"/>
        </w:rPr>
        <w:t>Securitizadora</w:t>
      </w:r>
      <w:proofErr w:type="spellEnd"/>
      <w:r w:rsidR="00802ED0" w:rsidRPr="00F02C89">
        <w:rPr>
          <w:rFonts w:ascii="Verdana" w:hAnsi="Verdana" w:cs="Tahoma"/>
          <w:bCs/>
          <w:i/>
          <w:sz w:val="20"/>
          <w:szCs w:val="20"/>
        </w:rPr>
        <w:t xml:space="preserve"> de Créditos Financeiros VERT-</w:t>
      </w:r>
      <w:proofErr w:type="spellStart"/>
      <w:r w:rsidR="00802ED0" w:rsidRPr="00F02C89">
        <w:rPr>
          <w:rFonts w:ascii="Verdana" w:hAnsi="Verdana" w:cs="Tahoma"/>
          <w:bCs/>
          <w:i/>
          <w:sz w:val="20"/>
          <w:szCs w:val="20"/>
        </w:rPr>
        <w:t>Gyra</w:t>
      </w:r>
      <w:proofErr w:type="spellEnd"/>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proofErr w:type="spellStart"/>
      <w:r w:rsidR="00E67F9A" w:rsidRPr="00F02C89">
        <w:rPr>
          <w:rFonts w:ascii="Verdana" w:hAnsi="Verdana"/>
          <w:i/>
          <w:sz w:val="20"/>
          <w:szCs w:val="20"/>
          <w:u w:val="single"/>
        </w:rPr>
        <w:t>Bookbuilding</w:t>
      </w:r>
      <w:proofErr w:type="spellEnd"/>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0AD2C66C"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As Partes desejam alterar a Escritura a fim </w:t>
      </w:r>
      <w:r w:rsidR="00A06C29" w:rsidRPr="00F02C89">
        <w:rPr>
          <w:rFonts w:ascii="Verdana" w:hAnsi="Verdana" w:cs="Tahoma"/>
          <w:sz w:val="20"/>
          <w:szCs w:val="20"/>
        </w:rPr>
        <w:t>de ajustar a Cláusula 3.8.10</w:t>
      </w:r>
      <w:r w:rsidR="00A92157" w:rsidRPr="00F02C89">
        <w:rPr>
          <w:rFonts w:ascii="Verdana" w:hAnsi="Verdana" w:cs="Tahoma"/>
          <w:sz w:val="20"/>
          <w:szCs w:val="20"/>
        </w:rPr>
        <w:t>,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para prever hipótese de resgate das Debêntures</w:t>
      </w:r>
      <w:r w:rsidR="00A91D9E">
        <w:rPr>
          <w:rFonts w:ascii="Verdana" w:hAnsi="Verdana" w:cs="Tahoma"/>
          <w:sz w:val="20"/>
          <w:szCs w:val="20"/>
        </w:rPr>
        <w:t>,</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 xml:space="preserve">Escritura 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28AA219" w:rsidR="00B054ED" w:rsidRPr="00F02C89" w:rsidRDefault="00B054E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w:t>
      </w:r>
      <w:proofErr w:type="spellStart"/>
      <w:r w:rsidRPr="00F02C89">
        <w:rPr>
          <w:rFonts w:ascii="Verdana" w:hAnsi="Verdana"/>
          <w:i/>
          <w:sz w:val="20"/>
          <w:szCs w:val="20"/>
        </w:rPr>
        <w:t>Securitizadora</w:t>
      </w:r>
      <w:proofErr w:type="spellEnd"/>
      <w:r w:rsidRPr="00F02C89">
        <w:rPr>
          <w:rFonts w:ascii="Verdana" w:hAnsi="Verdana"/>
          <w:i/>
          <w:sz w:val="20"/>
          <w:szCs w:val="20"/>
        </w:rPr>
        <w:t xml:space="preserve"> de Créditos Financeiros VERT-</w:t>
      </w:r>
      <w:proofErr w:type="spellStart"/>
      <w:r w:rsidRPr="00F02C89">
        <w:rPr>
          <w:rFonts w:ascii="Verdana" w:hAnsi="Verdana"/>
          <w:i/>
          <w:sz w:val="20"/>
          <w:szCs w:val="20"/>
        </w:rPr>
        <w:t>Gyra</w:t>
      </w:r>
      <w:proofErr w:type="spellEnd"/>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proofErr w:type="spellStart"/>
      <w:r w:rsidRPr="00F02C89">
        <w:rPr>
          <w:rFonts w:ascii="Verdana" w:hAnsi="Verdana" w:cs="Tahoma"/>
          <w:i/>
          <w:szCs w:val="20"/>
          <w:lang w:val="pt-BR"/>
        </w:rPr>
        <w:t>Bookbuilding</w:t>
      </w:r>
      <w:proofErr w:type="spellEnd"/>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w:t>
      </w:r>
      <w:proofErr w:type="spellStart"/>
      <w:r w:rsidRPr="00F02C89">
        <w:rPr>
          <w:rFonts w:ascii="Verdana" w:eastAsia="MS Mincho" w:hAnsi="Verdana" w:cs="Tahoma"/>
          <w:i/>
          <w:iCs/>
          <w:szCs w:val="20"/>
        </w:rPr>
        <w:lastRenderedPageBreak/>
        <w:t>Bookbuilding</w:t>
      </w:r>
      <w:proofErr w:type="spellEnd"/>
      <w:r w:rsidRPr="00F02C89">
        <w:rPr>
          <w:rFonts w:ascii="Verdana" w:eastAsia="MS Mincho" w:hAnsi="Verdana" w:cs="Tahoma"/>
          <w:i/>
          <w:iCs/>
          <w:szCs w:val="20"/>
        </w:rPr>
        <w:t xml:space="preserve">,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w:t>
      </w:r>
      <w:proofErr w:type="spellStart"/>
      <w:r w:rsidRPr="00F02C89">
        <w:rPr>
          <w:rFonts w:ascii="Verdana" w:eastAsia="MS Mincho" w:hAnsi="Verdana" w:cs="Tahoma"/>
          <w:i/>
          <w:iCs/>
          <w:szCs w:val="20"/>
        </w:rPr>
        <w:t>ii</w:t>
      </w:r>
      <w:proofErr w:type="spellEnd"/>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e (</w:t>
      </w:r>
      <w:proofErr w:type="spellStart"/>
      <w:r w:rsidRPr="00F02C89">
        <w:rPr>
          <w:rFonts w:ascii="Verdana" w:eastAsia="MS Mincho" w:hAnsi="Verdana" w:cs="Tahoma"/>
          <w:i/>
          <w:iCs/>
          <w:szCs w:val="20"/>
        </w:rPr>
        <w:t>iii</w:t>
      </w:r>
      <w:proofErr w:type="spellEnd"/>
      <w:r w:rsidRPr="00F02C89">
        <w:rPr>
          <w:rFonts w:ascii="Verdana" w:eastAsia="MS Mincho" w:hAnsi="Verdana" w:cs="Tahoma"/>
          <w:i/>
          <w:iCs/>
          <w:szCs w:val="20"/>
        </w:rPr>
        <w:t xml:space="preserve">) </w:t>
      </w:r>
      <w:r w:rsidRPr="00F02C89">
        <w:rPr>
          <w:rFonts w:ascii="Verdana" w:hAnsi="Verdana" w:cs="Tahoma"/>
          <w:i/>
          <w:iCs/>
          <w:szCs w:val="20"/>
        </w:rPr>
        <w:t>[●] ([●] mil)</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66553548"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a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c</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3.18.2.</w:t>
      </w:r>
      <w:r w:rsidR="003E1AE6" w:rsidRPr="00F02C89">
        <w:rPr>
          <w:rFonts w:ascii="Verdana" w:hAnsi="Verdana" w:cs="Tahoma"/>
          <w:szCs w:val="20"/>
          <w:lang w:val="pt-BR"/>
        </w:rPr>
        <w:t>1.1</w:t>
      </w:r>
      <w:r w:rsidR="003A1173" w:rsidRPr="00F02C89">
        <w:rPr>
          <w:rFonts w:ascii="Verdana" w:hAnsi="Verdana" w:cs="Tahoma"/>
          <w:szCs w:val="20"/>
        </w:rPr>
        <w:t xml:space="preserve"> e 3.18.3.</w:t>
      </w:r>
      <w:r w:rsidR="003E1AE6" w:rsidRPr="00F02C89">
        <w:rPr>
          <w:rFonts w:ascii="Verdana" w:hAnsi="Verdana" w:cs="Tahoma"/>
          <w:szCs w:val="20"/>
          <w:lang w:val="pt-BR"/>
        </w:rPr>
        <w:t>1.1</w:t>
      </w:r>
      <w:r w:rsidR="00A91D9E">
        <w:rPr>
          <w:rFonts w:ascii="Verdana" w:hAnsi="Verdana" w:cs="Tahoma"/>
          <w:szCs w:val="20"/>
          <w:lang w:val="pt-BR"/>
        </w:rPr>
        <w:t>; e d) alteração dos quóruns de aprovação em Assembleia Geral de Debenturistas</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0E131D">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5198A8DF"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0E131D">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r w:rsidR="00C40E52" w:rsidRPr="00F02C89" w14:paraId="4B0DED88" w14:textId="77777777" w:rsidTr="00C40E52">
        <w:tc>
          <w:tcPr>
            <w:tcW w:w="2970" w:type="dxa"/>
          </w:tcPr>
          <w:p w14:paraId="4D14D60F" w14:textId="30EAC88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3364CE00" w14:textId="3A5546C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00544B1B" w:rsidRPr="00F02C89">
              <w:rPr>
                <w:rFonts w:ascii="Verdana" w:hAnsi="Verdana" w:cs="Tahoma"/>
                <w:i/>
                <w:iCs/>
                <w:szCs w:val="20"/>
                <w:lang w:val="pt-BR"/>
              </w:rPr>
              <w:t xml:space="preserve">3.15.5 </w:t>
            </w:r>
            <w:r w:rsidRPr="00F02C89">
              <w:rPr>
                <w:rFonts w:ascii="Verdana" w:hAnsi="Verdana" w:cs="Tahoma"/>
                <w:i/>
                <w:iCs/>
                <w:szCs w:val="20"/>
              </w:rPr>
              <w:t>desta Escritura de Emissão.</w:t>
            </w:r>
            <w:r w:rsidR="007014B5">
              <w:rPr>
                <w:rFonts w:ascii="Verdana" w:hAnsi="Verdana" w:cs="Tahoma"/>
                <w:i/>
                <w:iCs/>
                <w:szCs w:val="20"/>
                <w:lang w:val="pt-BR"/>
              </w:rPr>
              <w:t>”</w:t>
            </w:r>
          </w:p>
          <w:p w14:paraId="3D3F9397" w14:textId="77777777"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p>
        </w:tc>
      </w:tr>
    </w:tbl>
    <w:p w14:paraId="5C5F2024" w14:textId="77777777" w:rsidR="00C40E52" w:rsidRPr="00F02C89" w:rsidRDefault="00C40E52"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54F53B2"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lastRenderedPageBreak/>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 xml:space="preserve">em cada data de aquisição de </w:t>
      </w:r>
      <w:proofErr w:type="spellStart"/>
      <w:r w:rsidR="001119AA" w:rsidRPr="00F02C89">
        <w:rPr>
          <w:rFonts w:ascii="Verdana" w:hAnsi="Verdana" w:cs="Tahoma"/>
          <w:i/>
          <w:iCs/>
          <w:szCs w:val="20"/>
        </w:rPr>
        <w:t>CCBs</w:t>
      </w:r>
      <w:proofErr w:type="spellEnd"/>
      <w:r w:rsidR="001119AA" w:rsidRPr="00F02C89">
        <w:rPr>
          <w:rFonts w:ascii="Verdana" w:hAnsi="Verdana" w:cs="Tahoma"/>
          <w:i/>
          <w:iCs/>
          <w:szCs w:val="20"/>
        </w:rPr>
        <w:t xml:space="preserve">, considerando </w:t>
      </w:r>
      <w:proofErr w:type="spellStart"/>
      <w:r w:rsidR="001119AA" w:rsidRPr="00F02C89">
        <w:rPr>
          <w:rFonts w:ascii="Verdana" w:hAnsi="Verdana" w:cs="Tahoma"/>
          <w:i/>
          <w:iCs/>
          <w:szCs w:val="20"/>
        </w:rPr>
        <w:t>pro-forma</w:t>
      </w:r>
      <w:proofErr w:type="spellEnd"/>
      <w:r w:rsidR="001119AA" w:rsidRPr="00F02C89">
        <w:rPr>
          <w:rFonts w:ascii="Verdana" w:hAnsi="Verdana" w:cs="Tahoma"/>
          <w:i/>
          <w:iCs/>
          <w:szCs w:val="20"/>
        </w:rPr>
        <w:t xml:space="preserve"> a aquisição de novas </w:t>
      </w:r>
      <w:proofErr w:type="spellStart"/>
      <w:r w:rsidR="001119AA" w:rsidRPr="00F02C89">
        <w:rPr>
          <w:rFonts w:ascii="Verdana" w:hAnsi="Verdana" w:cs="Tahoma"/>
          <w:i/>
          <w:iCs/>
          <w:szCs w:val="20"/>
        </w:rPr>
        <w:t>CCBs</w:t>
      </w:r>
      <w:proofErr w:type="spellEnd"/>
      <w:r w:rsidR="001119AA" w:rsidRPr="00F02C89">
        <w:rPr>
          <w:rFonts w:ascii="Verdana" w:hAnsi="Verdana" w:cs="Tahoma"/>
          <w:i/>
          <w:iCs/>
          <w:szCs w:val="20"/>
        </w:rPr>
        <w:t xml:space="preserve"> para efeitos de apuração deste critério, a carteira formada pelos Direitos Creditórios Vinculados deverá apresentar rentabilidade média de 2,5% (dois inteiros e cinquenta centésimos por cento) ao mês.</w:t>
      </w:r>
      <w:r w:rsidR="002333CF" w:rsidRPr="00F02C89">
        <w:rPr>
          <w:rFonts w:ascii="Verdana" w:eastAsia="MS Mincho" w:hAnsi="Verdana" w:cs="Tahoma"/>
          <w:i/>
          <w:iCs/>
          <w:szCs w:val="20"/>
          <w:lang w:val="pt-BR"/>
        </w:rPr>
        <w:t>”</w:t>
      </w:r>
    </w:p>
    <w:p w14:paraId="033DADB6" w14:textId="567691E6" w:rsidR="002333CF" w:rsidRPr="00F02C89"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0" w:name="_Ref71653018"/>
      <w:r w:rsidRPr="00F02C89">
        <w:rPr>
          <w:rFonts w:ascii="Verdana" w:hAnsi="Verdana" w:cs="Tahoma"/>
          <w:i/>
          <w:iCs/>
          <w:szCs w:val="20"/>
          <w:lang w:val="pt-BR"/>
        </w:rPr>
        <w:t>“</w:t>
      </w:r>
      <w:r w:rsidRPr="00F02C89">
        <w:rPr>
          <w:rFonts w:ascii="Verdana" w:hAnsi="Verdana" w:cs="Tahoma"/>
          <w:b/>
          <w:bCs/>
          <w:i/>
          <w:iCs/>
          <w:szCs w:val="20"/>
          <w:lang w:val="pt-BR"/>
        </w:rPr>
        <w:t xml:space="preserve">3.15.5 </w:t>
      </w:r>
      <w:r w:rsidRPr="00F02C89">
        <w:rPr>
          <w:rFonts w:ascii="Verdana" w:hAnsi="Verdana" w:cs="Tahoma"/>
          <w:i/>
          <w:iCs/>
          <w:szCs w:val="20"/>
          <w:lang w:val="pt-BR"/>
        </w:rPr>
        <w:t xml:space="preserve">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Primeira Série e de Debêntures da Segunda Série efetivamente integralizadas no âmbito da Emissão, e </w:t>
      </w:r>
      <w:r w:rsidRPr="00F02C89">
        <w:rPr>
          <w:rFonts w:ascii="Verdana" w:hAnsi="Verdana" w:cs="Tahoma"/>
          <w:b/>
          <w:i/>
          <w:iCs/>
          <w:szCs w:val="20"/>
          <w:lang w:val="pt-BR"/>
        </w:rPr>
        <w:t>(</w:t>
      </w:r>
      <w:proofErr w:type="spellStart"/>
      <w:r w:rsidRPr="00F02C89">
        <w:rPr>
          <w:rFonts w:ascii="Verdana" w:hAnsi="Verdana" w:cs="Tahoma"/>
          <w:b/>
          <w:i/>
          <w:iCs/>
          <w:szCs w:val="20"/>
          <w:lang w:val="pt-BR"/>
        </w:rPr>
        <w:t>ii</w:t>
      </w:r>
      <w:proofErr w:type="spellEnd"/>
      <w:r w:rsidRPr="00F02C89">
        <w:rPr>
          <w:rFonts w:ascii="Verdana" w:hAnsi="Verdana" w:cs="Tahoma"/>
          <w:b/>
          <w:i/>
          <w:iCs/>
          <w:szCs w:val="20"/>
          <w:lang w:val="pt-BR"/>
        </w:rPr>
        <w:t>)</w:t>
      </w:r>
      <w:r w:rsidRPr="00F02C89">
        <w:rPr>
          <w:rFonts w:ascii="Verdana" w:hAnsi="Verdana" w:cs="Tahoma"/>
          <w:i/>
          <w:iCs/>
          <w:szCs w:val="20"/>
          <w:lang w:val="pt-BR"/>
        </w:rPr>
        <w:t xml:space="preserve"> o volume total de Debêntures da Primeira, da Segunda Série e Terceira Série efetivamente integralizadas no âmbito da Emissão, em cada caso considerando pro forma a integralização a ser realizada em tal data, igual ou maior que 30% (trinta por cento) (“</w:t>
      </w:r>
      <w:r w:rsidRPr="00F02C89">
        <w:rPr>
          <w:rFonts w:ascii="Verdana" w:hAnsi="Verdana" w:cs="Tahoma"/>
          <w:i/>
          <w:iCs/>
          <w:szCs w:val="20"/>
          <w:u w:val="single"/>
          <w:lang w:val="pt-BR"/>
        </w:rPr>
        <w:t>Razão Mínima de Subordinação da Primeira Série</w:t>
      </w:r>
      <w:r w:rsidRPr="00F02C89">
        <w:rPr>
          <w:rFonts w:ascii="Verdana" w:hAnsi="Verdana" w:cs="Tahoma"/>
          <w:i/>
          <w:iCs/>
          <w:szCs w:val="20"/>
          <w:lang w:val="pt-BR"/>
        </w:rPr>
        <w:t>”) deverá ser observada como condição precedente para a integralização das Debêntures da Primeira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 Adicionalmente, 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Terceira Série efetivamente integralizadas no âmbito da Emissão, e </w:t>
      </w:r>
      <w:r w:rsidRPr="00F02C89">
        <w:rPr>
          <w:rFonts w:ascii="Verdana" w:hAnsi="Verdana" w:cs="Tahoma"/>
          <w:b/>
          <w:i/>
          <w:iCs/>
          <w:szCs w:val="20"/>
          <w:lang w:val="pt-BR"/>
        </w:rPr>
        <w:t>(</w:t>
      </w:r>
      <w:proofErr w:type="spellStart"/>
      <w:r w:rsidRPr="00F02C89">
        <w:rPr>
          <w:rFonts w:ascii="Verdana" w:hAnsi="Verdana" w:cs="Tahoma"/>
          <w:b/>
          <w:i/>
          <w:iCs/>
          <w:szCs w:val="20"/>
          <w:lang w:val="pt-BR"/>
        </w:rPr>
        <w:t>ii</w:t>
      </w:r>
      <w:proofErr w:type="spellEnd"/>
      <w:r w:rsidRPr="00F02C89">
        <w:rPr>
          <w:rFonts w:ascii="Verdana" w:hAnsi="Verdana" w:cs="Tahoma"/>
          <w:b/>
          <w:i/>
          <w:iCs/>
          <w:szCs w:val="20"/>
          <w:lang w:val="pt-BR"/>
        </w:rPr>
        <w:t>)</w:t>
      </w:r>
      <w:r w:rsidRPr="00F02C89">
        <w:rPr>
          <w:rFonts w:ascii="Verdana" w:hAnsi="Verdana" w:cs="Tahoma"/>
          <w:i/>
          <w:iCs/>
          <w:szCs w:val="20"/>
          <w:lang w:val="pt-BR"/>
        </w:rPr>
        <w:t xml:space="preserve"> o volume total de Debêntures da Segunda Série e Terceira Série efetivamente integralizadas no âmbito da Emissão, em cada caso considerando pro forma a integralização a ser realizada em tal data, igual ou maior que 20% (vinte por cento) (“</w:t>
      </w:r>
      <w:r w:rsidRPr="00F02C89">
        <w:rPr>
          <w:rFonts w:ascii="Verdana" w:hAnsi="Verdana" w:cs="Tahoma"/>
          <w:i/>
          <w:iCs/>
          <w:szCs w:val="20"/>
          <w:u w:val="single"/>
          <w:lang w:val="pt-BR"/>
        </w:rPr>
        <w:t>Razão Mínima de Subordinação da Segunda Série</w:t>
      </w:r>
      <w:r w:rsidRPr="00F02C89">
        <w:rPr>
          <w:rFonts w:ascii="Verdana" w:hAnsi="Verdana" w:cs="Tahoma"/>
          <w:i/>
          <w:iCs/>
          <w:szCs w:val="20"/>
          <w:lang w:val="pt-BR"/>
        </w:rPr>
        <w:t>” e, em conjunto com Razão Mínima de Subordinação da Segunda Série, “</w:t>
      </w:r>
      <w:r w:rsidRPr="00F02C89">
        <w:rPr>
          <w:rFonts w:ascii="Verdana" w:hAnsi="Verdana" w:cs="Tahoma"/>
          <w:i/>
          <w:iCs/>
          <w:szCs w:val="20"/>
          <w:u w:val="single"/>
          <w:lang w:val="pt-BR"/>
        </w:rPr>
        <w:t>Razão Mínima de Subordinação</w:t>
      </w:r>
      <w:r w:rsidRPr="00F02C89">
        <w:rPr>
          <w:rFonts w:ascii="Verdana" w:hAnsi="Verdana" w:cs="Tahoma"/>
          <w:i/>
          <w:iCs/>
          <w:szCs w:val="20"/>
          <w:lang w:val="pt-BR"/>
        </w:rPr>
        <w:t>”) deverá ser observada como condição precedente para a integralização das Debêntures da Segunda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w:t>
      </w:r>
      <w:bookmarkEnd w:id="0"/>
      <w:r w:rsidRPr="00F02C89">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5678A9C5" w14:textId="19B78289" w:rsidR="00356C6A" w:rsidRPr="00F02C89" w:rsidRDefault="00356C6A" w:rsidP="00F02C89">
      <w:pPr>
        <w:pStyle w:val="PargrafodaLista"/>
        <w:spacing w:line="300" w:lineRule="exact"/>
        <w:ind w:left="709"/>
        <w:jc w:val="both"/>
        <w:rPr>
          <w:rFonts w:ascii="Verdana" w:hAnsi="Verdana" w:cs="Tahoma"/>
          <w:i/>
          <w:sz w:val="20"/>
          <w:szCs w:val="20"/>
        </w:rPr>
      </w:pPr>
      <w:bookmarkStart w:id="1" w:name="_Ref497581146"/>
      <w:r w:rsidRPr="00F02C89">
        <w:rPr>
          <w:rFonts w:ascii="Verdana" w:hAnsi="Verdana" w:cs="Tahoma"/>
          <w:bCs/>
          <w:i/>
          <w:sz w:val="20"/>
          <w:szCs w:val="20"/>
        </w:rPr>
        <w:t>“</w:t>
      </w:r>
      <w:r w:rsidRPr="00F02C89">
        <w:rPr>
          <w:rFonts w:ascii="Verdana" w:hAnsi="Verdana" w:cs="Tahoma"/>
          <w:b/>
          <w:i/>
          <w:sz w:val="20"/>
          <w:szCs w:val="20"/>
        </w:rPr>
        <w:t>3.18.3 Amortização Extraordinária Obrigatória das Debêntures da Segunda Série</w:t>
      </w:r>
      <w:r w:rsidRPr="00F02C89">
        <w:rPr>
          <w:rFonts w:ascii="Verdana" w:hAnsi="Verdana" w:cs="Tahoma"/>
          <w:i/>
          <w:sz w:val="20"/>
          <w:szCs w:val="20"/>
        </w:rPr>
        <w:t xml:space="preserve">. Observado o disposto no item </w:t>
      </w:r>
      <w:r w:rsidR="003E1AE6" w:rsidRPr="00F02C89">
        <w:rPr>
          <w:rFonts w:ascii="Verdana" w:hAnsi="Verdana" w:cs="Tahoma"/>
          <w:i/>
          <w:sz w:val="20"/>
          <w:szCs w:val="20"/>
        </w:rPr>
        <w:t>3.18.1.1</w:t>
      </w:r>
      <w:r w:rsidRPr="00F02C89">
        <w:rPr>
          <w:rFonts w:ascii="Verdana" w:hAnsi="Verdana" w:cs="Tahoma"/>
          <w:i/>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bookmarkEnd w:id="1"/>
      <w:r w:rsidRPr="00F02C89">
        <w:rPr>
          <w:rFonts w:ascii="Verdana" w:hAnsi="Verdana" w:cs="Tahoma"/>
          <w:i/>
          <w:sz w:val="20"/>
          <w:szCs w:val="20"/>
        </w:rPr>
        <w:t>.”</w:t>
      </w:r>
    </w:p>
    <w:p w14:paraId="1CD131A4" w14:textId="31A658B3" w:rsidR="00615933" w:rsidRDefault="00615933" w:rsidP="00A6344A">
      <w:pPr>
        <w:pStyle w:val="PargrafodaLista"/>
        <w:spacing w:line="300" w:lineRule="exact"/>
        <w:ind w:left="709"/>
        <w:jc w:val="both"/>
        <w:rPr>
          <w:rFonts w:ascii="Verdana" w:hAnsi="Verdana" w:cs="Tahoma"/>
          <w:i/>
          <w:sz w:val="20"/>
          <w:szCs w:val="20"/>
        </w:rPr>
      </w:pPr>
    </w:p>
    <w:p w14:paraId="7446DF84" w14:textId="77777777" w:rsidR="00A91D9E" w:rsidRPr="000A01C5" w:rsidRDefault="00A91D9E" w:rsidP="00A91D9E">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3.18.2.1.1</w:t>
      </w:r>
      <w:r w:rsidRPr="000A01C5">
        <w:rPr>
          <w:rStyle w:val="DeltaViewInsertion"/>
          <w:rFonts w:ascii="Verdana" w:hAnsi="Verdana" w:cs="Tahoma"/>
          <w:i/>
          <w:iCs/>
          <w:color w:val="auto"/>
          <w:sz w:val="20"/>
          <w:szCs w:val="20"/>
          <w:u w:val="none"/>
        </w:rPr>
        <w:t xml:space="preserve"> Na hipótese </w:t>
      </w:r>
      <w:r w:rsidRPr="000A01C5">
        <w:rPr>
          <w:rStyle w:val="DeltaViewInsertion"/>
          <w:rFonts w:ascii="Verdana" w:hAnsi="Verdana" w:cs="Tahoma"/>
          <w:bCs/>
          <w:i/>
          <w:iCs/>
          <w:color w:val="auto"/>
          <w:sz w:val="20"/>
          <w:szCs w:val="20"/>
          <w:u w:val="none"/>
        </w:rPr>
        <w:t xml:space="preserve">de Amortização Extraordinária Obrigatória das Debêntures da Primeira Série até o Limite da Amortização Extraordinária Obrigatória da Primeira Série, a </w:t>
      </w:r>
      <w:r w:rsidRPr="000A01C5">
        <w:rPr>
          <w:rFonts w:ascii="Verdana" w:hAnsi="Verdana" w:cs="Tahoma"/>
          <w:bCs/>
          <w:i/>
          <w:iCs/>
          <w:sz w:val="20"/>
          <w:szCs w:val="20"/>
        </w:rPr>
        <w:t xml:space="preserve">Emissora deverá resgatar a totalidade das Debêntures da Primeira Série, no prazo máximo de [●] Dias Úteis contados da data em que o </w:t>
      </w:r>
      <w:r w:rsidRPr="000A01C5">
        <w:rPr>
          <w:rStyle w:val="DeltaViewInsertion"/>
          <w:rFonts w:ascii="Verdana" w:hAnsi="Verdana" w:cs="Tahoma"/>
          <w:bCs/>
          <w:i/>
          <w:iCs/>
          <w:color w:val="auto"/>
          <w:sz w:val="20"/>
          <w:szCs w:val="20"/>
          <w:u w:val="none"/>
        </w:rPr>
        <w:t>Limite da Amortização Extraordinária Obrigatória da Primeira Série</w:t>
      </w:r>
      <w:r w:rsidRPr="000A01C5">
        <w:rPr>
          <w:rFonts w:ascii="Verdana" w:hAnsi="Verdana" w:cs="Tahoma"/>
          <w:bCs/>
          <w:i/>
          <w:iCs/>
          <w:sz w:val="20"/>
          <w:szCs w:val="20"/>
        </w:rPr>
        <w:t xml:space="preserve"> foi atingido, pelo seu Valor Nominal Unitário acrescido da Remuneração devida até a data do efetivo resgate, calculada pro rata </w:t>
      </w:r>
      <w:proofErr w:type="spellStart"/>
      <w:r w:rsidRPr="000A01C5">
        <w:rPr>
          <w:rFonts w:ascii="Verdana" w:hAnsi="Verdana" w:cs="Tahoma"/>
          <w:bCs/>
          <w:i/>
          <w:iCs/>
          <w:sz w:val="20"/>
          <w:szCs w:val="20"/>
        </w:rPr>
        <w:t>temporis</w:t>
      </w:r>
      <w:proofErr w:type="spellEnd"/>
      <w:r w:rsidRPr="000A01C5">
        <w:rPr>
          <w:rFonts w:ascii="Verdana" w:hAnsi="Verdana" w:cs="Tahoma"/>
          <w:bCs/>
          <w:i/>
          <w:iCs/>
          <w:sz w:val="20"/>
          <w:szCs w:val="20"/>
        </w:rPr>
        <w:t>, a partir da última Data de Pagamento da Remuneração das Debêntures da Primeira Série, sem necessidade de aprovação por meio de Assembleia Geral de Debenturistas.</w:t>
      </w:r>
      <w:r w:rsidRPr="000A01C5">
        <w:rPr>
          <w:rFonts w:ascii="Verdana" w:hAnsi="Verdana" w:cs="Tahoma"/>
          <w:i/>
          <w:iCs/>
          <w:sz w:val="20"/>
          <w:szCs w:val="20"/>
        </w:rPr>
        <w:t>”</w:t>
      </w:r>
    </w:p>
    <w:p w14:paraId="5DF9C828" w14:textId="77777777" w:rsidR="00A91D9E" w:rsidRPr="000A01C5" w:rsidRDefault="00A91D9E" w:rsidP="00A91D9E">
      <w:pPr>
        <w:pStyle w:val="PargrafodaLista"/>
        <w:spacing w:line="300" w:lineRule="exact"/>
        <w:ind w:left="709"/>
        <w:jc w:val="both"/>
        <w:rPr>
          <w:rFonts w:ascii="Verdana" w:hAnsi="Verdana" w:cs="Tahoma"/>
          <w:i/>
          <w:iCs/>
          <w:sz w:val="20"/>
          <w:szCs w:val="20"/>
        </w:rPr>
      </w:pPr>
    </w:p>
    <w:p w14:paraId="55A588D8" w14:textId="52809473" w:rsidR="00A91D9E" w:rsidRDefault="00A91D9E" w:rsidP="00A91D9E">
      <w:pPr>
        <w:pStyle w:val="PargrafodaLista"/>
        <w:spacing w:line="300" w:lineRule="exact"/>
        <w:ind w:left="709"/>
        <w:jc w:val="both"/>
        <w:rPr>
          <w:rFonts w:ascii="Verdana" w:hAnsi="Verdana" w:cs="Tahoma"/>
          <w:i/>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3.18.3.1.1</w:t>
      </w:r>
      <w:r w:rsidRPr="000A01C5">
        <w:rPr>
          <w:rStyle w:val="DeltaViewInsertion"/>
          <w:rFonts w:ascii="Verdana" w:hAnsi="Verdana" w:cs="Tahoma"/>
          <w:i/>
          <w:iCs/>
          <w:color w:val="auto"/>
          <w:sz w:val="20"/>
          <w:szCs w:val="20"/>
          <w:u w:val="none"/>
        </w:rPr>
        <w:t xml:space="preserve"> Na hipótese </w:t>
      </w:r>
      <w:r w:rsidRPr="000A01C5">
        <w:rPr>
          <w:rStyle w:val="DeltaViewInsertion"/>
          <w:rFonts w:ascii="Verdana" w:hAnsi="Verdana" w:cs="Tahoma"/>
          <w:bCs/>
          <w:i/>
          <w:iCs/>
          <w:color w:val="auto"/>
          <w:sz w:val="20"/>
          <w:szCs w:val="20"/>
          <w:u w:val="none"/>
        </w:rPr>
        <w:t xml:space="preserve">de Amortização Extraordinária Obrigatória das Debêntures da Segunda Série até o Limite da Amortização Extraordinária Obrigatória da Segunda Série, a </w:t>
      </w:r>
      <w:r w:rsidRPr="000A01C5">
        <w:rPr>
          <w:rFonts w:ascii="Verdana" w:hAnsi="Verdana" w:cs="Tahoma"/>
          <w:bCs/>
          <w:i/>
          <w:iCs/>
          <w:sz w:val="20"/>
          <w:szCs w:val="20"/>
        </w:rPr>
        <w:t xml:space="preserve">Emissora deverá resgatar a totalidade das Debêntures da Segunda Série, no prazo máximo de [●] Dias Úteis contados da data em que o </w:t>
      </w:r>
      <w:r w:rsidRPr="000A01C5">
        <w:rPr>
          <w:rStyle w:val="DeltaViewInsertion"/>
          <w:rFonts w:ascii="Verdana" w:hAnsi="Verdana" w:cs="Tahoma"/>
          <w:bCs/>
          <w:i/>
          <w:iCs/>
          <w:color w:val="auto"/>
          <w:sz w:val="20"/>
          <w:szCs w:val="20"/>
          <w:u w:val="none"/>
        </w:rPr>
        <w:t>Limite da Amortização Extraordinária Obrigatória da Segunda Série</w:t>
      </w:r>
      <w:r w:rsidRPr="000A01C5">
        <w:rPr>
          <w:rFonts w:ascii="Verdana" w:hAnsi="Verdana" w:cs="Tahoma"/>
          <w:bCs/>
          <w:i/>
          <w:iCs/>
          <w:sz w:val="20"/>
          <w:szCs w:val="20"/>
        </w:rPr>
        <w:t xml:space="preserve"> foi atingido, pelo seu Valor Nominal Unitário acrescido da Remuneração devida até a data do efetivo resgate, calculada pro rata </w:t>
      </w:r>
      <w:proofErr w:type="spellStart"/>
      <w:r w:rsidRPr="000A01C5">
        <w:rPr>
          <w:rFonts w:ascii="Verdana" w:hAnsi="Verdana" w:cs="Tahoma"/>
          <w:bCs/>
          <w:i/>
          <w:iCs/>
          <w:sz w:val="20"/>
          <w:szCs w:val="20"/>
        </w:rPr>
        <w:t>temporis</w:t>
      </w:r>
      <w:proofErr w:type="spellEnd"/>
      <w:r w:rsidRPr="000A01C5">
        <w:rPr>
          <w:rFonts w:ascii="Verdana" w:hAnsi="Verdana" w:cs="Tahoma"/>
          <w:bCs/>
          <w:i/>
          <w:iCs/>
          <w:sz w:val="20"/>
          <w:szCs w:val="20"/>
        </w:rPr>
        <w:t>, a partir da última Data de Pagamento da Remuneração das Debêntures da Segunda Série, sem necessidade de aprovação por meio de Assembleia Geral de Debenturistas.</w:t>
      </w:r>
      <w:r w:rsidRPr="000A01C5">
        <w:rPr>
          <w:rFonts w:ascii="Verdana" w:hAnsi="Verdana" w:cs="Tahoma"/>
          <w:i/>
          <w:iCs/>
          <w:sz w:val="20"/>
          <w:szCs w:val="20"/>
        </w:rPr>
        <w:t>”</w:t>
      </w:r>
    </w:p>
    <w:p w14:paraId="5DAA95EF" w14:textId="77777777" w:rsidR="00A91D9E" w:rsidRPr="00F02C89" w:rsidRDefault="00A91D9E" w:rsidP="00F02C89">
      <w:pPr>
        <w:pStyle w:val="PargrafodaLista"/>
        <w:spacing w:line="300" w:lineRule="exact"/>
        <w:ind w:left="709"/>
        <w:jc w:val="both"/>
        <w:rPr>
          <w:rFonts w:ascii="Verdana" w:hAnsi="Verdana" w:cs="Tahoma"/>
          <w:i/>
          <w:sz w:val="20"/>
          <w:szCs w:val="20"/>
        </w:rPr>
      </w:pPr>
    </w:p>
    <w:p w14:paraId="7591D997" w14:textId="0BCE9A1F" w:rsidR="00615933" w:rsidRPr="00F02C89" w:rsidRDefault="007014B5" w:rsidP="00F02C89">
      <w:pPr>
        <w:pStyle w:val="PargrafodaLista"/>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F02C89">
        <w:rPr>
          <w:rStyle w:val="DeltaViewInsertion"/>
          <w:rFonts w:ascii="Verdana" w:hAnsi="Verdana" w:cs="Tahoma"/>
          <w:b/>
          <w:bCs/>
          <w:i/>
          <w:iCs/>
          <w:color w:val="auto"/>
          <w:sz w:val="20"/>
          <w:szCs w:val="20"/>
          <w:u w:val="none"/>
        </w:rPr>
        <w:t>3.29.3</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2245FD" w:rsidRPr="00F02C89">
        <w:rPr>
          <w:rStyle w:val="DeltaViewInsertion"/>
          <w:rFonts w:ascii="Verdana" w:hAnsi="Verdana" w:cs="Tahoma"/>
          <w:i/>
          <w:iCs/>
          <w:color w:val="auto"/>
          <w:sz w:val="20"/>
          <w:szCs w:val="20"/>
          <w:u w:val="none"/>
        </w:rPr>
        <w:fldChar w:fldCharType="separate"/>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w:t>
      </w:r>
      <w:proofErr w:type="spellStart"/>
      <w:r w:rsidR="00615933" w:rsidRPr="00F02C89">
        <w:rPr>
          <w:rStyle w:val="DeltaViewInsertion"/>
          <w:rFonts w:ascii="Verdana" w:hAnsi="Verdana" w:cs="Tahoma"/>
          <w:b/>
          <w:i/>
          <w:iCs/>
          <w:color w:val="auto"/>
          <w:sz w:val="20"/>
          <w:szCs w:val="20"/>
          <w:u w:val="none"/>
        </w:rPr>
        <w:t>ii</w:t>
      </w:r>
      <w:proofErr w:type="spellEnd"/>
      <w:r w:rsidR="00615933" w:rsidRPr="00F02C89">
        <w:rPr>
          <w:rStyle w:val="DeltaViewInsertion"/>
          <w:rFonts w:ascii="Verdana" w:hAnsi="Verdana" w:cs="Tahoma"/>
          <w:b/>
          <w:i/>
          <w:iCs/>
          <w:color w:val="auto"/>
          <w:sz w:val="20"/>
          <w:szCs w:val="20"/>
          <w:u w:val="none"/>
        </w:rPr>
        <w:t>)</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05A905EB"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2"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w:t>
      </w:r>
      <w:r w:rsidR="000C6B3F" w:rsidRPr="00F02C89">
        <w:rPr>
          <w:rFonts w:ascii="Verdana" w:hAnsi="Verdana" w:cs="Tahoma"/>
          <w:i/>
          <w:iCs/>
          <w:sz w:val="20"/>
          <w:szCs w:val="20"/>
        </w:rPr>
        <w:t xml:space="preserve">As deliberações relativas </w:t>
      </w:r>
      <w:bookmarkStart w:id="3" w:name="_DV_C599"/>
      <w:r w:rsidR="000C6B3F" w:rsidRPr="00F02C89">
        <w:rPr>
          <w:rStyle w:val="DeltaViewDeletion"/>
          <w:rFonts w:ascii="Verdana" w:hAnsi="Verdana"/>
          <w:i/>
          <w:iCs/>
          <w:strike w:val="0"/>
          <w:color w:val="000000"/>
          <w:sz w:val="20"/>
          <w:szCs w:val="20"/>
        </w:rPr>
        <w:t xml:space="preserve">às seguintes </w:t>
      </w:r>
      <w:bookmarkStart w:id="4" w:name="_DV_M533"/>
      <w:bookmarkEnd w:id="3"/>
      <w:bookmarkEnd w:id="4"/>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convocação e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presentes em segunda convocação</w:t>
      </w:r>
      <w:r w:rsidR="000C6B3F" w:rsidRPr="00F02C89">
        <w:rPr>
          <w:rFonts w:ascii="Verdana" w:eastAsia="Arial Unicode MS" w:hAnsi="Verdana" w:cs="Arial"/>
          <w:i/>
          <w:iCs/>
          <w:color w:val="000000"/>
          <w:sz w:val="20"/>
          <w:szCs w:val="20"/>
          <w:u w:color="000000"/>
          <w:bdr w:val="nil"/>
          <w:lang w:val="pt"/>
        </w:rPr>
        <w:t>, observado que o quórum de instalação não poderá ser inferior a 30% (trinta por cento) das Debêntures em Circulação</w:t>
      </w:r>
      <w:r w:rsidR="000C6B3F" w:rsidRPr="00F02C89">
        <w:rPr>
          <w:rFonts w:ascii="Verdana" w:hAnsi="Verdana"/>
          <w:i/>
          <w:iCs/>
          <w:sz w:val="20"/>
          <w:szCs w:val="20"/>
        </w:rPr>
        <w:t>:</w:t>
      </w:r>
      <w:bookmarkStart w:id="5" w:name="_Ref70427107"/>
      <w:bookmarkEnd w:id="2"/>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6"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w:t>
      </w:r>
      <w:r w:rsidR="000C6B3F" w:rsidRPr="00F02C89">
        <w:rPr>
          <w:rFonts w:ascii="Verdana" w:hAnsi="Verdana" w:cs="Tahoma"/>
          <w:i/>
          <w:iCs/>
          <w:sz w:val="20"/>
          <w:szCs w:val="20"/>
        </w:rPr>
        <w:t xml:space="preserve">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6"/>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7"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w:t>
      </w:r>
      <w:r w:rsidR="000C6B3F" w:rsidRPr="00F02C89">
        <w:rPr>
          <w:rFonts w:ascii="Verdana" w:hAnsi="Verdana" w:cs="Tahoma"/>
          <w:i/>
          <w:iCs/>
          <w:sz w:val="20"/>
          <w:szCs w:val="20"/>
        </w:rPr>
        <w:t>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7"/>
      <w:r>
        <w:rPr>
          <w:rFonts w:ascii="Verdana" w:hAnsi="Verdana" w:cs="Tahoma"/>
          <w:i/>
          <w:iCs/>
          <w:sz w:val="20"/>
          <w:szCs w:val="20"/>
        </w:rPr>
        <w:t>”</w:t>
      </w:r>
    </w:p>
    <w:bookmarkEnd w:id="5"/>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w:t>
      </w:r>
      <w:r w:rsidR="000C6B3F" w:rsidRPr="00F02C89">
        <w:rPr>
          <w:rFonts w:ascii="Verdana" w:eastAsia="MS Mincho" w:hAnsi="Verdana" w:cs="Tahoma"/>
          <w:i/>
          <w:iCs/>
          <w:szCs w:val="20"/>
          <w:lang w:val="pt-BR"/>
        </w:rPr>
        <w:t xml:space="preserve">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w:t>
      </w:r>
      <w:r w:rsidR="000C6B3F" w:rsidRPr="00F02C89">
        <w:rPr>
          <w:rFonts w:ascii="Verdana" w:eastAsia="MS Mincho" w:hAnsi="Verdana" w:cs="Tahoma"/>
          <w:i/>
          <w:iCs/>
          <w:szCs w:val="20"/>
          <w:lang w:val="pt-BR"/>
        </w:rPr>
        <w:t xml:space="preserve">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w:t>
      </w:r>
      <w:r w:rsidR="000C6B3F" w:rsidRPr="00F02C89">
        <w:rPr>
          <w:rFonts w:ascii="Verdana" w:eastAsia="MS Mincho" w:hAnsi="Verdana" w:cs="Tahoma"/>
          <w:i/>
          <w:iCs/>
          <w:szCs w:val="20"/>
          <w:lang w:val="pt-BR"/>
        </w:rPr>
        <w:t xml:space="preserve">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01CFF3A1"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2F859C6A"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77777777"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Este 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77777777"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77777777"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3E687CB6"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até 3 (Três) Séries, para Distribuição Pública com Esforços Restritos, da Companhia </w:t>
      </w:r>
      <w:proofErr w:type="spellStart"/>
      <w:r w:rsidRPr="00F02C89">
        <w:rPr>
          <w:rFonts w:ascii="Verdana" w:hAnsi="Verdana"/>
          <w:i/>
          <w:sz w:val="20"/>
          <w:szCs w:val="20"/>
        </w:rPr>
        <w:t>Securitizadora</w:t>
      </w:r>
      <w:proofErr w:type="spellEnd"/>
      <w:r w:rsidRPr="00F02C89">
        <w:rPr>
          <w:rFonts w:ascii="Verdana" w:hAnsi="Verdana"/>
          <w:i/>
          <w:sz w:val="20"/>
          <w:szCs w:val="20"/>
        </w:rPr>
        <w:t xml:space="preserve"> de Créditos Financeiros VERT-</w:t>
      </w:r>
      <w:proofErr w:type="spellStart"/>
      <w:r w:rsidRPr="00F02C89">
        <w:rPr>
          <w:rFonts w:ascii="Verdana" w:hAnsi="Verdana"/>
          <w:i/>
          <w:sz w:val="20"/>
          <w:szCs w:val="20"/>
        </w:rPr>
        <w:t>Gyra</w:t>
      </w:r>
      <w:proofErr w:type="spellEnd"/>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0A01C5">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0A01C5">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0A01C5">
        <w:trPr>
          <w:jc w:val="center"/>
        </w:trPr>
        <w:tc>
          <w:tcPr>
            <w:tcW w:w="8647" w:type="dxa"/>
            <w:tcBorders>
              <w:top w:val="single" w:sz="4" w:space="0" w:color="auto"/>
            </w:tcBorders>
            <w:shd w:val="clear" w:color="auto" w:fill="auto"/>
          </w:tcPr>
          <w:p w14:paraId="57D05A0E" w14:textId="77777777" w:rsidR="00B90E42" w:rsidRPr="00E06B02" w:rsidRDefault="00B90E42" w:rsidP="000A01C5">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0A01C5">
        <w:trPr>
          <w:trHeight w:val="494"/>
          <w:jc w:val="center"/>
        </w:trPr>
        <w:tc>
          <w:tcPr>
            <w:tcW w:w="2400" w:type="pct"/>
            <w:tcBorders>
              <w:top w:val="single" w:sz="4" w:space="0" w:color="auto"/>
            </w:tcBorders>
          </w:tcPr>
          <w:p w14:paraId="2EEC174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0A01C5">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77777777" w:rsidR="00B90E42" w:rsidRPr="00F02C89" w:rsidRDefault="00B90E42" w:rsidP="00F02C89">
      <w:pPr>
        <w:tabs>
          <w:tab w:val="left" w:pos="0"/>
        </w:tabs>
        <w:spacing w:line="300" w:lineRule="exact"/>
        <w:rPr>
          <w:rFonts w:ascii="Verdana" w:eastAsia="Arial Unicode MS" w:hAnsi="Verdana" w:cstheme="minorHAnsi"/>
          <w:sz w:val="20"/>
          <w:szCs w:val="20"/>
        </w:rPr>
      </w:pPr>
    </w:p>
    <w:sectPr w:rsidR="00B90E42" w:rsidRPr="00F02C89">
      <w:footerReference w:type="default" r:id="rId16"/>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2832CF" w:rsidRDefault="002832CF">
      <w:r>
        <w:separator/>
      </w:r>
    </w:p>
  </w:endnote>
  <w:endnote w:type="continuationSeparator" w:id="0">
    <w:p w14:paraId="4E3099BB" w14:textId="77777777" w:rsidR="002832CF" w:rsidRDefault="002832CF">
      <w:r>
        <w:continuationSeparator/>
      </w:r>
    </w:p>
  </w:endnote>
  <w:endnote w:type="continuationNotice" w:id="1">
    <w:p w14:paraId="76689F88" w14:textId="77777777" w:rsidR="002832CF" w:rsidRDefault="0028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2832CF" w:rsidRDefault="002832CF">
    <w:pPr>
      <w:pStyle w:val="Rodap"/>
      <w:jc w:val="right"/>
      <w:rPr>
        <w:rFonts w:ascii="Verdana" w:hAnsi="Verdana"/>
        <w:sz w:val="20"/>
      </w:rPr>
    </w:pPr>
  </w:p>
  <w:p w14:paraId="584D5B6B" w14:textId="77777777" w:rsidR="002832CF" w:rsidRDefault="002832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2832CF" w:rsidRDefault="002832CF">
      <w:r>
        <w:separator/>
      </w:r>
    </w:p>
  </w:footnote>
  <w:footnote w:type="continuationSeparator" w:id="0">
    <w:p w14:paraId="7E50530B" w14:textId="77777777" w:rsidR="002832CF" w:rsidRDefault="002832CF">
      <w:r>
        <w:continuationSeparator/>
      </w:r>
    </w:p>
  </w:footnote>
  <w:footnote w:type="continuationNotice" w:id="1">
    <w:p w14:paraId="0166263E" w14:textId="77777777" w:rsidR="002832CF" w:rsidRDefault="00283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9"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5"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3"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8"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1"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6"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9"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0"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1"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1"/>
  </w:num>
  <w:num w:numId="3">
    <w:abstractNumId w:val="64"/>
  </w:num>
  <w:num w:numId="4">
    <w:abstractNumId w:val="33"/>
  </w:num>
  <w:num w:numId="5">
    <w:abstractNumId w:val="23"/>
  </w:num>
  <w:num w:numId="6">
    <w:abstractNumId w:val="57"/>
  </w:num>
  <w:num w:numId="7">
    <w:abstractNumId w:val="49"/>
  </w:num>
  <w:num w:numId="8">
    <w:abstractNumId w:val="70"/>
  </w:num>
  <w:num w:numId="9">
    <w:abstractNumId w:val="22"/>
  </w:num>
  <w:num w:numId="10">
    <w:abstractNumId w:val="27"/>
  </w:num>
  <w:num w:numId="11">
    <w:abstractNumId w:val="69"/>
  </w:num>
  <w:num w:numId="12">
    <w:abstractNumId w:val="31"/>
  </w:num>
  <w:num w:numId="13">
    <w:abstractNumId w:val="0"/>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4"/>
  </w:num>
  <w:num w:numId="17">
    <w:abstractNumId w:val="28"/>
  </w:num>
  <w:num w:numId="18">
    <w:abstractNumId w:val="18"/>
  </w:num>
  <w:num w:numId="19">
    <w:abstractNumId w:val="37"/>
  </w:num>
  <w:num w:numId="20">
    <w:abstractNumId w:val="32"/>
  </w:num>
  <w:num w:numId="21">
    <w:abstractNumId w:val="68"/>
  </w:num>
  <w:num w:numId="22">
    <w:abstractNumId w:val="44"/>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19"/>
  </w:num>
  <w:num w:numId="26">
    <w:abstractNumId w:val="53"/>
  </w:num>
  <w:num w:numId="27">
    <w:abstractNumId w:val="74"/>
  </w:num>
  <w:num w:numId="28">
    <w:abstractNumId w:val="59"/>
  </w:num>
  <w:num w:numId="29">
    <w:abstractNumId w:val="6"/>
  </w:num>
  <w:num w:numId="30">
    <w:abstractNumId w:val="73"/>
  </w:num>
  <w:num w:numId="31">
    <w:abstractNumId w:val="30"/>
  </w:num>
  <w:num w:numId="32">
    <w:abstractNumId w:val="54"/>
  </w:num>
  <w:num w:numId="33">
    <w:abstractNumId w:val="48"/>
  </w:num>
  <w:num w:numId="34">
    <w:abstractNumId w:val="38"/>
  </w:num>
  <w:num w:numId="35">
    <w:abstractNumId w:val="5"/>
  </w:num>
  <w:num w:numId="36">
    <w:abstractNumId w:val="26"/>
  </w:num>
  <w:num w:numId="37">
    <w:abstractNumId w:val="60"/>
  </w:num>
  <w:num w:numId="38">
    <w:abstractNumId w:val="58"/>
  </w:num>
  <w:num w:numId="39">
    <w:abstractNumId w:val="34"/>
  </w:num>
  <w:num w:numId="40">
    <w:abstractNumId w:val="8"/>
  </w:num>
  <w:num w:numId="41">
    <w:abstractNumId w:val="41"/>
  </w:num>
  <w:num w:numId="42">
    <w:abstractNumId w:val="56"/>
  </w:num>
  <w:num w:numId="43">
    <w:abstractNumId w:val="15"/>
  </w:num>
  <w:num w:numId="44">
    <w:abstractNumId w:val="35"/>
  </w:num>
  <w:num w:numId="45">
    <w:abstractNumId w:val="40"/>
  </w:num>
  <w:num w:numId="4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num>
  <w:num w:numId="55">
    <w:abstractNumId w:val="68"/>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45"/>
  </w:num>
  <w:num w:numId="61">
    <w:abstractNumId w:val="72"/>
  </w:num>
  <w:num w:numId="62">
    <w:abstractNumId w:val="7"/>
  </w:num>
  <w:num w:numId="63">
    <w:abstractNumId w:val="39"/>
  </w:num>
  <w:num w:numId="64">
    <w:abstractNumId w:val="42"/>
  </w:num>
  <w:num w:numId="65">
    <w:abstractNumId w:val="9"/>
  </w:num>
  <w:num w:numId="66">
    <w:abstractNumId w:val="13"/>
  </w:num>
  <w:num w:numId="67">
    <w:abstractNumId w:val="10"/>
  </w:num>
  <w:num w:numId="68">
    <w:abstractNumId w:val="68"/>
  </w:num>
  <w:num w:numId="69">
    <w:abstractNumId w:val="68"/>
  </w:num>
  <w:num w:numId="70">
    <w:abstractNumId w:val="47"/>
  </w:num>
  <w:num w:numId="71">
    <w:abstractNumId w:val="4"/>
  </w:num>
  <w:num w:numId="72">
    <w:abstractNumId w:val="55"/>
  </w:num>
  <w:num w:numId="73">
    <w:abstractNumId w:val="29"/>
  </w:num>
  <w:num w:numId="74">
    <w:abstractNumId w:val="25"/>
  </w:num>
  <w:num w:numId="75">
    <w:abstractNumId w:val="12"/>
  </w:num>
  <w:num w:numId="76">
    <w:abstractNumId w:val="20"/>
  </w:num>
  <w:num w:numId="77">
    <w:abstractNumId w:val="20"/>
  </w:num>
  <w:num w:numId="78">
    <w:abstractNumId w:val="43"/>
  </w:num>
  <w:num w:numId="79">
    <w:abstractNumId w:val="3"/>
  </w:num>
  <w:num w:numId="80">
    <w:abstractNumId w:val="24"/>
  </w:num>
  <w:num w:numId="81">
    <w:abstractNumId w:val="24"/>
    <w:lvlOverride w:ilvl="0">
      <w:startOverride w:val="1"/>
    </w:lvlOverride>
  </w:num>
  <w:num w:numId="82">
    <w:abstractNumId w:val="52"/>
  </w:num>
  <w:num w:numId="83">
    <w:abstractNumId w:val="66"/>
  </w:num>
  <w:num w:numId="84">
    <w:abstractNumId w:val="65"/>
  </w:num>
  <w:num w:numId="85">
    <w:abstractNumId w:val="67"/>
  </w:num>
  <w:num w:numId="86">
    <w:abstractNumId w:val="20"/>
  </w:num>
  <w:num w:numId="87">
    <w:abstractNumId w:val="20"/>
  </w:num>
  <w:num w:numId="88">
    <w:abstractNumId w:val="36"/>
  </w:num>
  <w:num w:numId="89">
    <w:abstractNumId w:val="20"/>
  </w:num>
  <w:num w:numId="90">
    <w:abstractNumId w:val="20"/>
  </w:num>
  <w:num w:numId="91">
    <w:abstractNumId w:val="20"/>
  </w:num>
  <w:num w:numId="92">
    <w:abstractNumId w:val="20"/>
  </w:num>
  <w:num w:numId="93">
    <w:abstractNumId w:val="17"/>
  </w:num>
  <w:num w:numId="94">
    <w:abstractNumId w:val="62"/>
  </w:num>
  <w:num w:numId="95">
    <w:abstractNumId w:val="21"/>
  </w:num>
  <w:num w:numId="96">
    <w:abstractNumId w:val="51"/>
  </w:num>
  <w:num w:numId="97">
    <w:abstractNumId w:val="2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F84"/>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C9E"/>
    <w:rsid w:val="000C5188"/>
    <w:rsid w:val="000C6B3F"/>
    <w:rsid w:val="000D280F"/>
    <w:rsid w:val="000D5D2A"/>
    <w:rsid w:val="000D7E08"/>
    <w:rsid w:val="000E2551"/>
    <w:rsid w:val="000E7496"/>
    <w:rsid w:val="000F2F27"/>
    <w:rsid w:val="000F6B0C"/>
    <w:rsid w:val="000F7C08"/>
    <w:rsid w:val="001000E4"/>
    <w:rsid w:val="00102633"/>
    <w:rsid w:val="00106F0D"/>
    <w:rsid w:val="00107CC1"/>
    <w:rsid w:val="00107DC6"/>
    <w:rsid w:val="001119AA"/>
    <w:rsid w:val="00116391"/>
    <w:rsid w:val="0011641B"/>
    <w:rsid w:val="001263EB"/>
    <w:rsid w:val="0013135C"/>
    <w:rsid w:val="00137E0F"/>
    <w:rsid w:val="00140C1C"/>
    <w:rsid w:val="00140EA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17EB9"/>
    <w:rsid w:val="00220697"/>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15829"/>
    <w:rsid w:val="003239AD"/>
    <w:rsid w:val="0032456A"/>
    <w:rsid w:val="003251AC"/>
    <w:rsid w:val="0032581C"/>
    <w:rsid w:val="00333296"/>
    <w:rsid w:val="00340723"/>
    <w:rsid w:val="00343C4E"/>
    <w:rsid w:val="003457F0"/>
    <w:rsid w:val="0035022B"/>
    <w:rsid w:val="003542AC"/>
    <w:rsid w:val="00356C6A"/>
    <w:rsid w:val="00357423"/>
    <w:rsid w:val="00360988"/>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1173"/>
    <w:rsid w:val="003A64DD"/>
    <w:rsid w:val="003A66FD"/>
    <w:rsid w:val="003A7E06"/>
    <w:rsid w:val="003B7F96"/>
    <w:rsid w:val="003C13B1"/>
    <w:rsid w:val="003C450E"/>
    <w:rsid w:val="003C5C00"/>
    <w:rsid w:val="003C6942"/>
    <w:rsid w:val="003D2640"/>
    <w:rsid w:val="003D3ECC"/>
    <w:rsid w:val="003D4616"/>
    <w:rsid w:val="003E1AE6"/>
    <w:rsid w:val="003F3090"/>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3BCB"/>
    <w:rsid w:val="00476FA7"/>
    <w:rsid w:val="00480315"/>
    <w:rsid w:val="004A750C"/>
    <w:rsid w:val="004A797B"/>
    <w:rsid w:val="004B1B53"/>
    <w:rsid w:val="004B33D5"/>
    <w:rsid w:val="004B34AF"/>
    <w:rsid w:val="004B71FA"/>
    <w:rsid w:val="004B7DFE"/>
    <w:rsid w:val="004C04A8"/>
    <w:rsid w:val="004C6187"/>
    <w:rsid w:val="004D28D4"/>
    <w:rsid w:val="004D2F65"/>
    <w:rsid w:val="004D5194"/>
    <w:rsid w:val="004E3760"/>
    <w:rsid w:val="004E486D"/>
    <w:rsid w:val="00500F3D"/>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44B1B"/>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6366"/>
    <w:rsid w:val="006E1AFA"/>
    <w:rsid w:val="006E2FA9"/>
    <w:rsid w:val="006F22B6"/>
    <w:rsid w:val="006F2A2A"/>
    <w:rsid w:val="006F3FE2"/>
    <w:rsid w:val="006F4E53"/>
    <w:rsid w:val="007014B5"/>
    <w:rsid w:val="007058C6"/>
    <w:rsid w:val="00706073"/>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73C5E"/>
    <w:rsid w:val="00776316"/>
    <w:rsid w:val="007813F3"/>
    <w:rsid w:val="00781B4E"/>
    <w:rsid w:val="00782585"/>
    <w:rsid w:val="0078545B"/>
    <w:rsid w:val="007957C3"/>
    <w:rsid w:val="00796E6B"/>
    <w:rsid w:val="007A2038"/>
    <w:rsid w:val="007A271B"/>
    <w:rsid w:val="007A3254"/>
    <w:rsid w:val="007A37B5"/>
    <w:rsid w:val="007B224C"/>
    <w:rsid w:val="007B27A0"/>
    <w:rsid w:val="007B2E8B"/>
    <w:rsid w:val="007B3D8D"/>
    <w:rsid w:val="007B46DC"/>
    <w:rsid w:val="007C07D2"/>
    <w:rsid w:val="007C62E2"/>
    <w:rsid w:val="007D2360"/>
    <w:rsid w:val="007D6BA3"/>
    <w:rsid w:val="007E283F"/>
    <w:rsid w:val="007E2AFD"/>
    <w:rsid w:val="007E465F"/>
    <w:rsid w:val="007F011C"/>
    <w:rsid w:val="0080067F"/>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4131"/>
    <w:rsid w:val="008A644F"/>
    <w:rsid w:val="008B047B"/>
    <w:rsid w:val="008B175F"/>
    <w:rsid w:val="008B3A7E"/>
    <w:rsid w:val="008B3A92"/>
    <w:rsid w:val="008B455C"/>
    <w:rsid w:val="008B6C7C"/>
    <w:rsid w:val="008C3160"/>
    <w:rsid w:val="008C43F4"/>
    <w:rsid w:val="008C4FA0"/>
    <w:rsid w:val="008C65B6"/>
    <w:rsid w:val="008C6B80"/>
    <w:rsid w:val="008D0E5B"/>
    <w:rsid w:val="008D4AB4"/>
    <w:rsid w:val="008D5596"/>
    <w:rsid w:val="008D6F6D"/>
    <w:rsid w:val="008E41E3"/>
    <w:rsid w:val="008E4423"/>
    <w:rsid w:val="008E55E6"/>
    <w:rsid w:val="008F0239"/>
    <w:rsid w:val="008F2E56"/>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4169C"/>
    <w:rsid w:val="00A4492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67F45"/>
    <w:rsid w:val="00B70165"/>
    <w:rsid w:val="00B73416"/>
    <w:rsid w:val="00B75CBF"/>
    <w:rsid w:val="00B75E9B"/>
    <w:rsid w:val="00B90E42"/>
    <w:rsid w:val="00BA08A7"/>
    <w:rsid w:val="00BA36AB"/>
    <w:rsid w:val="00BA774E"/>
    <w:rsid w:val="00BB0D48"/>
    <w:rsid w:val="00BB43A4"/>
    <w:rsid w:val="00BB7BA4"/>
    <w:rsid w:val="00BC0432"/>
    <w:rsid w:val="00BC2363"/>
    <w:rsid w:val="00BC266C"/>
    <w:rsid w:val="00BC3200"/>
    <w:rsid w:val="00BD0074"/>
    <w:rsid w:val="00BD02FF"/>
    <w:rsid w:val="00BD4D15"/>
    <w:rsid w:val="00BE2F7C"/>
    <w:rsid w:val="00BE3B17"/>
    <w:rsid w:val="00BE4F04"/>
    <w:rsid w:val="00BE4F0A"/>
    <w:rsid w:val="00BE6ADF"/>
    <w:rsid w:val="00C04E48"/>
    <w:rsid w:val="00C102D4"/>
    <w:rsid w:val="00C10CBC"/>
    <w:rsid w:val="00C11482"/>
    <w:rsid w:val="00C12A0A"/>
    <w:rsid w:val="00C13596"/>
    <w:rsid w:val="00C149A0"/>
    <w:rsid w:val="00C24E00"/>
    <w:rsid w:val="00C32572"/>
    <w:rsid w:val="00C33096"/>
    <w:rsid w:val="00C40E52"/>
    <w:rsid w:val="00C436CC"/>
    <w:rsid w:val="00C469B1"/>
    <w:rsid w:val="00C46F11"/>
    <w:rsid w:val="00C51A47"/>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4B70"/>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E66C7"/>
    <w:rsid w:val="00DF2768"/>
    <w:rsid w:val="00DF4613"/>
    <w:rsid w:val="00DF4A35"/>
    <w:rsid w:val="00E00BC6"/>
    <w:rsid w:val="00E06B02"/>
    <w:rsid w:val="00E07FAD"/>
    <w:rsid w:val="00E131B1"/>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33BC"/>
    <w:rsid w:val="00EC7D80"/>
    <w:rsid w:val="00EE078E"/>
    <w:rsid w:val="00EE184F"/>
    <w:rsid w:val="00EE3481"/>
    <w:rsid w:val="00EE4FDF"/>
    <w:rsid w:val="00EE77BF"/>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4.xml>��< ? x m l   v e r s i o n = " 1 . 0 "   e n c o d i n g = " u t f - 1 6 " ? > < p r o p e r t i e s   x m l n s = " h t t p : / / w w w . i m a n a g e . c o m / w o r k / x m l s c h e m a " >  
     < d o c u m e n t i d > J U R _ S P ! 3 0 8 3 3 4 6 9 . 9 < / d o c u m e n t i d >  
     < s e n d e r i d > H S N < / s e n d e r i d >  
     < s e n d e r e m a i l > T A M B R O S A N O @ P N . C O M . B R < / s e n d e r e m a i l >  
     < l a s t m o d i f i e d > 2 0 1 8 - 0 9 - 1 9 T 2 2 : 0 2 : 0 0 . 0 0 0 0 0 0 0 - 0 3 : 0 0 < / l a s t m o d i f i e d >  
 < / p r o p e r t i e s > 
</file>

<file path=customXml/item5.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9.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2.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3.xml><?xml version="1.0" encoding="utf-8"?>
<ds:datastoreItem xmlns:ds="http://schemas.openxmlformats.org/officeDocument/2006/customXml" ds:itemID="{0FC2CF70-A104-45CC-88B1-8C94E27E56F3}">
  <ds:schemaRefs>
    <ds:schemaRef ds:uri="http://www.imanage.com/work/xmlschema"/>
  </ds:schemaRefs>
</ds:datastoreItem>
</file>

<file path=customXml/itemProps4.xml><?xml version="1.0" encoding="utf-8"?>
<ds:datastoreItem xmlns:ds="http://schemas.openxmlformats.org/officeDocument/2006/customXml" ds:itemID="{70B010B4-0953-4B6F-A986-CD74AD8E6E2E}">
  <ds:schemaRefs>
    <ds:schemaRef ds:uri="http://www.imanage.com/work/xmlschema"/>
  </ds:schemaRefs>
</ds:datastoreItem>
</file>

<file path=customXml/itemProps5.xml><?xml version="1.0" encoding="utf-8"?>
<ds:datastoreItem xmlns:ds="http://schemas.openxmlformats.org/officeDocument/2006/customXml" ds:itemID="{5AE20F11-6A2F-49EB-8DDB-E977FF72F31F}">
  <ds:schemaRefs>
    <ds:schemaRef ds:uri="http://www.imanage.com/work/xmlschema"/>
  </ds:schemaRefs>
</ds:datastoreItem>
</file>

<file path=customXml/itemProps6.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91B9A4-506A-4430-B5F2-067ED38800D6}">
  <ds:schemaRefs>
    <ds:schemaRef ds:uri="http://schemas.openxmlformats.org/officeDocument/2006/bibliography"/>
  </ds:schemaRefs>
</ds:datastoreItem>
</file>

<file path=customXml/itemProps8.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customXml/itemProps9.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2458</Words>
  <Characters>14146</Characters>
  <Application>Microsoft Office Word</Application>
  <DocSecurity>0</DocSecurity>
  <Lines>321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3</cp:revision>
  <cp:lastPrinted>2021-05-13T20:54:00Z</cp:lastPrinted>
  <dcterms:created xsi:type="dcterms:W3CDTF">2021-06-08T17:30:00Z</dcterms:created>
  <dcterms:modified xsi:type="dcterms:W3CDTF">2021-06-08T17:51:00Z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20210608095440156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