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DF62" w14:textId="77777777" w:rsidR="00261009" w:rsidRPr="00976033" w:rsidRDefault="00261009" w:rsidP="00261009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COMPANHIA SECURITIZADORA DE CRÉDITOS FINANCEIROS VERT-INMANO</w:t>
      </w:r>
    </w:p>
    <w:p w14:paraId="0332676E" w14:textId="77777777" w:rsidR="00261009" w:rsidRDefault="00261009" w:rsidP="00261009">
      <w:pPr>
        <w:pStyle w:val="OmniPage9"/>
        <w:spacing w:line="300" w:lineRule="exact"/>
        <w:rPr>
          <w:rFonts w:ascii="Verdana" w:hAnsi="Verdana" w:cs="Calibri"/>
          <w:b/>
          <w:sz w:val="20"/>
        </w:rPr>
      </w:pPr>
    </w:p>
    <w:p w14:paraId="3FB69C9C" w14:textId="77777777" w:rsidR="00261009" w:rsidRPr="00976033" w:rsidRDefault="00261009" w:rsidP="00261009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>
        <w:rPr>
          <w:rFonts w:ascii="Verdana" w:hAnsi="Verdana" w:cs="Calibri"/>
          <w:b/>
          <w:sz w:val="20"/>
        </w:rPr>
        <w:t>COMPANHIA FECHADA</w:t>
      </w:r>
    </w:p>
    <w:p w14:paraId="5BA2E89C" w14:textId="77777777" w:rsidR="00261009" w:rsidRPr="00976033" w:rsidRDefault="00261009" w:rsidP="00261009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CNPJ/ME n°</w:t>
      </w:r>
      <w:r w:rsidRPr="00976033">
        <w:rPr>
          <w:rFonts w:ascii="Verdana" w:hAnsi="Verdana"/>
          <w:b/>
          <w:caps/>
          <w:sz w:val="20"/>
        </w:rPr>
        <w:t>36.373.292/0001-55</w:t>
      </w:r>
    </w:p>
    <w:p w14:paraId="13C294A6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b/>
          <w:sz w:val="20"/>
          <w:szCs w:val="20"/>
        </w:rPr>
      </w:pPr>
      <w:r w:rsidRPr="00976033">
        <w:rPr>
          <w:rFonts w:ascii="Verdana" w:hAnsi="Verdana" w:cs="Calibri"/>
          <w:b/>
          <w:sz w:val="20"/>
          <w:szCs w:val="20"/>
        </w:rPr>
        <w:t xml:space="preserve">NIRE n° </w:t>
      </w:r>
      <w:r w:rsidRPr="00976033">
        <w:rPr>
          <w:rFonts w:ascii="Verdana" w:hAnsi="Verdana"/>
          <w:b/>
          <w:caps/>
          <w:sz w:val="20"/>
          <w:szCs w:val="20"/>
        </w:rPr>
        <w:t>35.300.549.309</w:t>
      </w:r>
    </w:p>
    <w:p w14:paraId="2ACD4DF7" w14:textId="77777777" w:rsidR="00261009" w:rsidRPr="00976033" w:rsidRDefault="00261009" w:rsidP="00261009">
      <w:pPr>
        <w:pStyle w:val="OmniPage9"/>
        <w:widowControl/>
        <w:tabs>
          <w:tab w:val="clear" w:pos="2904"/>
          <w:tab w:val="clear" w:pos="6709"/>
        </w:tabs>
        <w:spacing w:line="300" w:lineRule="exact"/>
        <w:jc w:val="both"/>
        <w:rPr>
          <w:rFonts w:ascii="Verdana" w:hAnsi="Verdana" w:cs="Calibri"/>
          <w:b/>
          <w:snapToGrid/>
          <w:sz w:val="20"/>
        </w:rPr>
      </w:pPr>
    </w:p>
    <w:p w14:paraId="2134D646" w14:textId="640957CB" w:rsidR="00261009" w:rsidRPr="00976033" w:rsidRDefault="00261009" w:rsidP="00261009">
      <w:pPr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</w:rPr>
        <w:t xml:space="preserve">ATA DA ASSEMBLEIA GERAL DE DEBENTURISTAS </w:t>
      </w:r>
      <w:r>
        <w:rPr>
          <w:rStyle w:val="Forte"/>
          <w:rFonts w:ascii="Verdana" w:hAnsi="Verdana" w:cs="Calibri"/>
          <w:sz w:val="20"/>
          <w:szCs w:val="20"/>
        </w:rPr>
        <w:t xml:space="preserve">DA 1ª SÉRIE E DA 2ª SÉRIE DA 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PRIMEIRA EMISSÃO DE DEBÊNTURES SIMPLES, NÃO CONVERSÍVEIS EM AÇÕES, DA ESPÉCIE SUBORDINADA, EM 2 (DUAS) SÉRIES, PARA COLOCAÇÃO PRIVADA, </w:t>
      </w:r>
      <w:r>
        <w:rPr>
          <w:rStyle w:val="Forte"/>
          <w:rFonts w:ascii="Verdana" w:hAnsi="Verdana" w:cs="Calibri"/>
          <w:sz w:val="20"/>
          <w:szCs w:val="20"/>
        </w:rPr>
        <w:t xml:space="preserve">DA COMPANHIA SECURITIZADORA DE CRÉDITOS FINANCEIROS VERT-INAMANO, 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REALIZADA EM </w:t>
      </w:r>
      <w:r w:rsidR="00291C7E">
        <w:rPr>
          <w:rFonts w:ascii="Verdana" w:hAnsi="Verdana" w:cs="Calibri"/>
          <w:b/>
          <w:bCs/>
          <w:sz w:val="20"/>
          <w:szCs w:val="20"/>
        </w:rPr>
        <w:t>27</w:t>
      </w:r>
      <w:r w:rsidRPr="002816AA">
        <w:rPr>
          <w:rFonts w:ascii="Verdana" w:hAnsi="Verdana" w:cs="Calibri"/>
          <w:b/>
          <w:bCs/>
          <w:sz w:val="20"/>
          <w:szCs w:val="20"/>
        </w:rPr>
        <w:t xml:space="preserve"> DE </w:t>
      </w:r>
      <w:r>
        <w:rPr>
          <w:rFonts w:ascii="Verdana" w:hAnsi="Verdana" w:cs="Calibri"/>
          <w:b/>
          <w:bCs/>
          <w:sz w:val="20"/>
          <w:szCs w:val="20"/>
        </w:rPr>
        <w:t>JULHO</w:t>
      </w:r>
      <w:r w:rsidRPr="002816AA">
        <w:rPr>
          <w:rStyle w:val="Forte"/>
          <w:rFonts w:ascii="Verdana" w:hAnsi="Verdana" w:cs="Calibri"/>
          <w:sz w:val="20"/>
          <w:szCs w:val="20"/>
        </w:rPr>
        <w:t xml:space="preserve"> 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DE </w:t>
      </w:r>
      <w:r>
        <w:rPr>
          <w:rStyle w:val="Forte"/>
          <w:rFonts w:ascii="Verdana" w:hAnsi="Verdana" w:cs="Calibri"/>
          <w:sz w:val="20"/>
          <w:szCs w:val="20"/>
        </w:rPr>
        <w:t>2022.</w:t>
      </w:r>
    </w:p>
    <w:p w14:paraId="030CF13B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228F27F2" w14:textId="03902F4C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Data, hora e local</w:t>
      </w:r>
      <w:r w:rsidRPr="00976033">
        <w:rPr>
          <w:rFonts w:ascii="Verdana" w:hAnsi="Verdana" w:cs="Calibri"/>
          <w:b/>
          <w:bCs/>
          <w:sz w:val="20"/>
          <w:szCs w:val="20"/>
        </w:rPr>
        <w:t>:</w:t>
      </w:r>
      <w:r w:rsidRPr="00976033">
        <w:rPr>
          <w:rFonts w:ascii="Verdana" w:hAnsi="Verdana" w:cs="Calibri"/>
          <w:sz w:val="20"/>
          <w:szCs w:val="20"/>
        </w:rPr>
        <w:t xml:space="preserve"> Realizada aos </w:t>
      </w:r>
      <w:r w:rsidR="00291C7E">
        <w:rPr>
          <w:rFonts w:ascii="Verdana" w:hAnsi="Verdana" w:cs="Calibri"/>
          <w:sz w:val="20"/>
          <w:szCs w:val="20"/>
        </w:rPr>
        <w:t>27</w:t>
      </w:r>
      <w:r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 xml:space="preserve">dias do mês de </w:t>
      </w:r>
      <w:r>
        <w:rPr>
          <w:rFonts w:ascii="Verdana" w:hAnsi="Verdana" w:cs="Calibri"/>
          <w:sz w:val="20"/>
          <w:szCs w:val="20"/>
        </w:rPr>
        <w:t xml:space="preserve">julho </w:t>
      </w:r>
      <w:r w:rsidRPr="00976033">
        <w:rPr>
          <w:rFonts w:ascii="Verdana" w:hAnsi="Verdana" w:cs="Calibri"/>
          <w:sz w:val="20"/>
          <w:szCs w:val="20"/>
        </w:rPr>
        <w:t xml:space="preserve">de </w:t>
      </w:r>
      <w:r>
        <w:rPr>
          <w:rFonts w:ascii="Verdana" w:hAnsi="Verdana" w:cs="Calibri"/>
          <w:sz w:val="20"/>
          <w:szCs w:val="20"/>
        </w:rPr>
        <w:t>2022</w:t>
      </w:r>
      <w:r w:rsidRPr="00976033">
        <w:rPr>
          <w:rFonts w:ascii="Verdana" w:hAnsi="Verdana" w:cs="Calibri"/>
          <w:sz w:val="20"/>
          <w:szCs w:val="20"/>
        </w:rPr>
        <w:t>, às</w:t>
      </w:r>
      <w:r>
        <w:rPr>
          <w:rFonts w:ascii="Verdana" w:hAnsi="Verdana" w:cs="Calibri"/>
          <w:sz w:val="20"/>
          <w:szCs w:val="20"/>
        </w:rPr>
        <w:t xml:space="preserve"> 1</w:t>
      </w:r>
      <w:r w:rsidR="00291C7E">
        <w:rPr>
          <w:rFonts w:ascii="Verdana" w:hAnsi="Verdana" w:cs="Calibri"/>
          <w:sz w:val="20"/>
          <w:szCs w:val="20"/>
        </w:rPr>
        <w:t>0</w:t>
      </w:r>
      <w:r>
        <w:rPr>
          <w:rFonts w:ascii="Verdana" w:hAnsi="Verdana" w:cs="Calibri"/>
          <w:sz w:val="20"/>
          <w:szCs w:val="20"/>
        </w:rPr>
        <w:t>h00</w:t>
      </w:r>
      <w:r w:rsidRPr="00976033">
        <w:rPr>
          <w:rFonts w:ascii="Verdana" w:hAnsi="Verdana" w:cs="Calibri"/>
          <w:sz w:val="20"/>
          <w:szCs w:val="20"/>
        </w:rPr>
        <w:t xml:space="preserve"> horas, na sede da </w:t>
      </w:r>
      <w:r w:rsidRPr="00976033">
        <w:rPr>
          <w:rFonts w:ascii="Verdana" w:hAnsi="Verdana" w:cs="Tahoma"/>
          <w:b/>
          <w:sz w:val="20"/>
          <w:szCs w:val="20"/>
        </w:rPr>
        <w:t>COMPANHIA SECURITIZADORA DE CRÉDITOS FINANCEIROS VERT-INMANO</w:t>
      </w:r>
      <w:r w:rsidRPr="00976033">
        <w:rPr>
          <w:rFonts w:ascii="Verdana" w:hAnsi="Verdana"/>
          <w:sz w:val="20"/>
          <w:szCs w:val="20"/>
        </w:rPr>
        <w:t xml:space="preserve">, localizada </w:t>
      </w:r>
      <w:r w:rsidRPr="00976033">
        <w:rPr>
          <w:rFonts w:ascii="Verdana" w:hAnsi="Verdana" w:cs="Tahoma"/>
          <w:sz w:val="20"/>
          <w:szCs w:val="20"/>
        </w:rPr>
        <w:t xml:space="preserve">na Rua Cardeal Arcoverde, nº 2.365, 7º andar, </w:t>
      </w:r>
      <w:r>
        <w:rPr>
          <w:rFonts w:ascii="Verdana" w:hAnsi="Verdana" w:cs="Tahoma"/>
          <w:sz w:val="20"/>
          <w:szCs w:val="20"/>
        </w:rPr>
        <w:t xml:space="preserve">Pinheiros, CEP 05407-003, </w:t>
      </w:r>
      <w:r w:rsidRPr="00976033">
        <w:rPr>
          <w:rFonts w:ascii="Verdana" w:hAnsi="Verdana" w:cs="Tahoma"/>
          <w:sz w:val="20"/>
          <w:szCs w:val="20"/>
        </w:rPr>
        <w:t xml:space="preserve">na cidade de </w:t>
      </w:r>
      <w:bookmarkStart w:id="0" w:name="OLE_LINK5"/>
      <w:bookmarkStart w:id="1" w:name="OLE_LINK6"/>
      <w:r w:rsidRPr="00976033">
        <w:rPr>
          <w:rFonts w:ascii="Verdana" w:hAnsi="Verdana" w:cs="Tahoma"/>
          <w:sz w:val="20"/>
          <w:szCs w:val="20"/>
        </w:rPr>
        <w:t xml:space="preserve">São Paulo, Estado de </w:t>
      </w:r>
      <w:bookmarkEnd w:id="0"/>
      <w:bookmarkEnd w:id="1"/>
      <w:r w:rsidRPr="00976033">
        <w:rPr>
          <w:rFonts w:ascii="Verdana" w:hAnsi="Verdana" w:cs="Tahoma"/>
          <w:sz w:val="20"/>
          <w:szCs w:val="20"/>
        </w:rPr>
        <w:t>São Paulo</w:t>
      </w:r>
      <w:r>
        <w:rPr>
          <w:rFonts w:ascii="Verdana" w:hAnsi="Verdana" w:cs="Tahoma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(“</w:t>
      </w:r>
      <w:r w:rsidRPr="00976033">
        <w:rPr>
          <w:rFonts w:ascii="Verdana" w:hAnsi="Verdana"/>
          <w:sz w:val="20"/>
          <w:szCs w:val="20"/>
          <w:u w:val="single"/>
        </w:rPr>
        <w:t>Companhia</w:t>
      </w:r>
      <w:r w:rsidRPr="00976033">
        <w:rPr>
          <w:rFonts w:ascii="Verdana" w:hAnsi="Verdana"/>
          <w:sz w:val="20"/>
          <w:szCs w:val="20"/>
        </w:rPr>
        <w:t>”).</w:t>
      </w:r>
    </w:p>
    <w:p w14:paraId="68FC3BA4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F88F36C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Convocação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color w:val="000000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 xml:space="preserve">Dispensada a </w:t>
      </w:r>
      <w:r>
        <w:rPr>
          <w:rFonts w:ascii="Verdana" w:hAnsi="Verdana"/>
          <w:sz w:val="20"/>
          <w:szCs w:val="20"/>
        </w:rPr>
        <w:t xml:space="preserve">publicação de edital de </w:t>
      </w:r>
      <w:r w:rsidRPr="00976033">
        <w:rPr>
          <w:rFonts w:ascii="Verdana" w:hAnsi="Verdana"/>
          <w:sz w:val="20"/>
          <w:szCs w:val="20"/>
        </w:rPr>
        <w:t xml:space="preserve">convocação, </w:t>
      </w:r>
      <w:r>
        <w:rPr>
          <w:rFonts w:ascii="Verdana" w:hAnsi="Verdana"/>
          <w:sz w:val="20"/>
          <w:szCs w:val="20"/>
        </w:rPr>
        <w:t xml:space="preserve">de acordo com o </w:t>
      </w:r>
      <w:r w:rsidRPr="00976033">
        <w:rPr>
          <w:rFonts w:ascii="Verdana" w:hAnsi="Verdana"/>
          <w:bCs/>
          <w:sz w:val="20"/>
          <w:szCs w:val="20"/>
        </w:rPr>
        <w:t>artigo 71, parágrafo 2º</w:t>
      </w:r>
      <w:r>
        <w:rPr>
          <w:rFonts w:ascii="Verdana" w:hAnsi="Verdana"/>
          <w:bCs/>
          <w:sz w:val="20"/>
          <w:szCs w:val="20"/>
        </w:rPr>
        <w:t xml:space="preserve">, combinado com </w:t>
      </w:r>
      <w:r w:rsidRPr="00976033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o </w:t>
      </w:r>
      <w:r w:rsidRPr="00976033">
        <w:rPr>
          <w:rFonts w:ascii="Verdana" w:hAnsi="Verdana"/>
          <w:bCs/>
          <w:sz w:val="20"/>
          <w:szCs w:val="20"/>
        </w:rPr>
        <w:t>artigo 124, parágrafo 4º, ambos da Lei nº 6.404, de 15 de dezembro de 1976, conforme alterada</w:t>
      </w:r>
      <w:r>
        <w:rPr>
          <w:rFonts w:ascii="Verdana" w:hAnsi="Verdana"/>
          <w:bCs/>
          <w:sz w:val="20"/>
          <w:szCs w:val="20"/>
        </w:rPr>
        <w:t xml:space="preserve"> (“</w:t>
      </w:r>
      <w:r>
        <w:rPr>
          <w:rFonts w:ascii="Verdana" w:hAnsi="Verdana"/>
          <w:bCs/>
          <w:sz w:val="20"/>
          <w:szCs w:val="20"/>
          <w:u w:val="single"/>
        </w:rPr>
        <w:t>Lei das S.A.</w:t>
      </w:r>
      <w:r>
        <w:rPr>
          <w:rFonts w:ascii="Verdana" w:hAnsi="Verdana"/>
          <w:bCs/>
          <w:sz w:val="20"/>
          <w:szCs w:val="20"/>
        </w:rPr>
        <w:t xml:space="preserve">”), e ainda, nos termos da Cláusula 4.3 do </w:t>
      </w:r>
      <w:r>
        <w:rPr>
          <w:rFonts w:ascii="Verdana" w:hAnsi="Verdana"/>
          <w:sz w:val="20"/>
          <w:szCs w:val="20"/>
        </w:rPr>
        <w:t>“</w:t>
      </w:r>
      <w:r w:rsidRPr="00D60205">
        <w:rPr>
          <w:rFonts w:ascii="Verdana" w:hAnsi="Verdana"/>
          <w:i/>
          <w:iCs/>
          <w:sz w:val="20"/>
          <w:szCs w:val="20"/>
        </w:rPr>
        <w:t xml:space="preserve">Instrumento Particular de Escritura </w:t>
      </w:r>
      <w:r w:rsidRPr="00D60205">
        <w:rPr>
          <w:rFonts w:ascii="Verdana" w:hAnsi="Verdana"/>
          <w:bCs/>
          <w:i/>
          <w:iCs/>
          <w:sz w:val="20"/>
          <w:szCs w:val="20"/>
        </w:rPr>
        <w:t xml:space="preserve">da </w:t>
      </w:r>
      <w:r w:rsidRPr="00D60205">
        <w:rPr>
          <w:rFonts w:ascii="Verdana" w:hAnsi="Verdana"/>
          <w:i/>
          <w:iCs/>
          <w:sz w:val="20"/>
          <w:szCs w:val="20"/>
        </w:rPr>
        <w:t>1ª (Primeira) Emissão de Debêntures Simples, não Conversíveis em Ações, da Espécie Subordinada, em 2 (duas) Séries, para Colocação Privada, da Companhia</w:t>
      </w:r>
      <w:r>
        <w:rPr>
          <w:rFonts w:ascii="Verdana" w:hAnsi="Verdana"/>
          <w:i/>
          <w:iCs/>
          <w:sz w:val="20"/>
          <w:szCs w:val="20"/>
        </w:rPr>
        <w:t>”</w:t>
      </w:r>
      <w:r w:rsidRPr="00976033">
        <w:rPr>
          <w:rFonts w:ascii="Verdana" w:hAnsi="Verdana"/>
          <w:sz w:val="20"/>
          <w:szCs w:val="20"/>
        </w:rPr>
        <w:t xml:space="preserve"> (</w:t>
      </w:r>
      <w:r w:rsidRPr="00976033">
        <w:rPr>
          <w:rFonts w:ascii="Verdana" w:hAnsi="Verdana"/>
          <w:bCs/>
          <w:sz w:val="20"/>
          <w:szCs w:val="20"/>
        </w:rPr>
        <w:t>“</w:t>
      </w:r>
      <w:r>
        <w:rPr>
          <w:rFonts w:ascii="Verdana" w:hAnsi="Verdana"/>
          <w:bCs/>
          <w:sz w:val="20"/>
          <w:szCs w:val="20"/>
          <w:u w:val="single"/>
        </w:rPr>
        <w:t xml:space="preserve">Escritura </w:t>
      </w:r>
      <w:r w:rsidRPr="00D60205">
        <w:rPr>
          <w:rFonts w:ascii="Verdana" w:hAnsi="Verdana"/>
          <w:bCs/>
          <w:sz w:val="20"/>
          <w:szCs w:val="20"/>
          <w:u w:val="single"/>
        </w:rPr>
        <w:t>de Emissão</w:t>
      </w:r>
      <w:r>
        <w:rPr>
          <w:rFonts w:ascii="Verdana" w:hAnsi="Verdana"/>
          <w:bCs/>
          <w:sz w:val="20"/>
          <w:szCs w:val="20"/>
        </w:rPr>
        <w:t xml:space="preserve">”, </w:t>
      </w:r>
      <w:r w:rsidRPr="00976033">
        <w:rPr>
          <w:rFonts w:ascii="Verdana" w:hAnsi="Verdana"/>
          <w:bCs/>
          <w:sz w:val="20"/>
          <w:szCs w:val="20"/>
        </w:rPr>
        <w:t>“</w:t>
      </w:r>
      <w:r w:rsidRPr="00976033">
        <w:rPr>
          <w:rFonts w:ascii="Verdana" w:hAnsi="Verdana"/>
          <w:bCs/>
          <w:sz w:val="20"/>
          <w:szCs w:val="20"/>
          <w:u w:val="single"/>
        </w:rPr>
        <w:t>Emissão</w:t>
      </w:r>
      <w:r w:rsidRPr="00976033"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 xml:space="preserve"> e “</w:t>
      </w:r>
      <w:r>
        <w:rPr>
          <w:rFonts w:ascii="Verdana" w:hAnsi="Verdana"/>
          <w:bCs/>
          <w:sz w:val="20"/>
          <w:szCs w:val="20"/>
          <w:u w:val="single"/>
        </w:rPr>
        <w:t>Debêntures</w:t>
      </w:r>
      <w:r>
        <w:rPr>
          <w:rFonts w:ascii="Verdana" w:hAnsi="Verdana"/>
          <w:bCs/>
          <w:sz w:val="20"/>
          <w:szCs w:val="20"/>
        </w:rPr>
        <w:t>”</w:t>
      </w:r>
      <w:r w:rsidRPr="00976033">
        <w:rPr>
          <w:rFonts w:ascii="Verdana" w:hAnsi="Verdana"/>
          <w:bCs/>
          <w:sz w:val="20"/>
          <w:szCs w:val="20"/>
        </w:rPr>
        <w:t>, respectivamente),</w:t>
      </w:r>
      <w:r w:rsidRPr="009760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 razão da totalidade dos Debenturistas (conforme abaixo definido) da Emissão</w:t>
      </w:r>
      <w:r w:rsidRPr="00976033">
        <w:rPr>
          <w:rFonts w:ascii="Verdana" w:hAnsi="Verdana"/>
          <w:bCs/>
          <w:sz w:val="20"/>
          <w:szCs w:val="20"/>
        </w:rPr>
        <w:t xml:space="preserve">. </w:t>
      </w:r>
    </w:p>
    <w:p w14:paraId="33EF3ED7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sz w:val="20"/>
          <w:szCs w:val="20"/>
        </w:rPr>
      </w:pPr>
    </w:p>
    <w:p w14:paraId="7C4A9851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Presença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Depois de cumpridas as formalidades legais, constatou-se a presença (i) de</w:t>
      </w:r>
      <w:r w:rsidRPr="00976033">
        <w:rPr>
          <w:rFonts w:ascii="Verdana" w:hAnsi="Verdana"/>
          <w:sz w:val="20"/>
          <w:szCs w:val="20"/>
        </w:rPr>
        <w:t xml:space="preserve"> 100% </w:t>
      </w:r>
      <w:r w:rsidRPr="00976033">
        <w:rPr>
          <w:rFonts w:ascii="Verdana" w:hAnsi="Verdana"/>
          <w:bCs/>
          <w:sz w:val="20"/>
          <w:szCs w:val="20"/>
        </w:rPr>
        <w:t xml:space="preserve">(cem por cento) </w:t>
      </w:r>
      <w:r>
        <w:rPr>
          <w:rFonts w:ascii="Verdana" w:hAnsi="Verdana"/>
          <w:bCs/>
          <w:sz w:val="20"/>
          <w:szCs w:val="20"/>
        </w:rPr>
        <w:t xml:space="preserve">dos titulares das </w:t>
      </w:r>
      <w:r w:rsidRPr="00976033">
        <w:rPr>
          <w:rFonts w:ascii="Verdana" w:hAnsi="Verdana"/>
          <w:bCs/>
          <w:sz w:val="20"/>
          <w:szCs w:val="20"/>
        </w:rPr>
        <w:t xml:space="preserve">Debêntures </w:t>
      </w:r>
      <w:r>
        <w:rPr>
          <w:rFonts w:ascii="Verdana" w:hAnsi="Verdana"/>
          <w:bCs/>
          <w:sz w:val="20"/>
          <w:szCs w:val="20"/>
        </w:rPr>
        <w:t>da 2ª série em circulação (“</w:t>
      </w:r>
      <w:r w:rsidRPr="00D60205">
        <w:rPr>
          <w:rFonts w:ascii="Verdana" w:hAnsi="Verdana"/>
          <w:bCs/>
          <w:sz w:val="20"/>
          <w:szCs w:val="20"/>
          <w:u w:val="single"/>
        </w:rPr>
        <w:t>Debenturistas</w:t>
      </w:r>
      <w:r>
        <w:rPr>
          <w:rFonts w:ascii="Verdana" w:hAnsi="Verdana"/>
          <w:bCs/>
          <w:sz w:val="20"/>
          <w:szCs w:val="20"/>
        </w:rPr>
        <w:t>”), uma vez que as Debêntures da 1ª série não estão em circulação</w:t>
      </w:r>
      <w:r w:rsidRPr="00976033">
        <w:rPr>
          <w:rFonts w:ascii="Verdana" w:hAnsi="Verdana"/>
          <w:sz w:val="20"/>
          <w:szCs w:val="20"/>
        </w:rPr>
        <w:t xml:space="preserve">, conforme verificou-se da assinatura da Lista de Presença dos Debenturistas. Presentes ainda os representantes da </w:t>
      </w:r>
      <w:bookmarkStart w:id="2" w:name="_Hlk41061304"/>
      <w:r w:rsidRPr="00976033">
        <w:rPr>
          <w:rFonts w:ascii="Verdana" w:hAnsi="Verdana"/>
          <w:b/>
          <w:sz w:val="20"/>
          <w:szCs w:val="20"/>
        </w:rPr>
        <w:t>SIMPLIFIC PAVARINI DISTRIBUIDORA DE TÍTULOS E VALORES MOBILIÁRIOS</w:t>
      </w:r>
      <w:bookmarkEnd w:id="2"/>
      <w:r w:rsidRPr="00976033">
        <w:rPr>
          <w:rFonts w:ascii="Verdana" w:hAnsi="Verdana"/>
          <w:sz w:val="20"/>
          <w:szCs w:val="20"/>
        </w:rPr>
        <w:t>, na qualidade de agente fiduciário da Emissão (“</w:t>
      </w:r>
      <w:r w:rsidRPr="00976033">
        <w:rPr>
          <w:rFonts w:ascii="Verdana" w:hAnsi="Verdana"/>
          <w:sz w:val="20"/>
          <w:szCs w:val="20"/>
          <w:u w:val="single"/>
        </w:rPr>
        <w:t>Agente Fiduciário</w:t>
      </w:r>
      <w:r w:rsidRPr="00976033">
        <w:rPr>
          <w:rFonts w:ascii="Verdana" w:hAnsi="Verdana"/>
          <w:sz w:val="20"/>
          <w:szCs w:val="20"/>
        </w:rPr>
        <w:t xml:space="preserve">”) e da Companhia. </w:t>
      </w:r>
    </w:p>
    <w:p w14:paraId="54C24FF0" w14:textId="77777777" w:rsidR="00261009" w:rsidRPr="00976033" w:rsidRDefault="00261009" w:rsidP="00261009">
      <w:pPr>
        <w:pStyle w:val="PargrafodaLista"/>
        <w:spacing w:line="300" w:lineRule="exact"/>
        <w:rPr>
          <w:rFonts w:ascii="Verdana" w:hAnsi="Verdana" w:cs="Calibri"/>
          <w:sz w:val="20"/>
          <w:lang w:val="pt-BR"/>
        </w:rPr>
      </w:pPr>
    </w:p>
    <w:p w14:paraId="3D819569" w14:textId="5549414A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Pr="00976033">
        <w:rPr>
          <w:rFonts w:ascii="Verdana" w:hAnsi="Verdana"/>
          <w:sz w:val="20"/>
          <w:szCs w:val="20"/>
        </w:rPr>
        <w:t xml:space="preserve">Sr. </w:t>
      </w:r>
      <w:r>
        <w:rPr>
          <w:rFonts w:ascii="Verdana" w:hAnsi="Verdana"/>
          <w:sz w:val="20"/>
          <w:szCs w:val="20"/>
        </w:rPr>
        <w:t>Carlos Pereira Martins</w:t>
      </w:r>
      <w:r w:rsidRPr="00976033">
        <w:rPr>
          <w:rFonts w:ascii="Verdana" w:hAnsi="Verdana"/>
          <w:sz w:val="20"/>
          <w:szCs w:val="20"/>
        </w:rPr>
        <w:t xml:space="preserve"> - Presidente; Sr. </w:t>
      </w:r>
      <w:r w:rsidR="002D69CC">
        <w:rPr>
          <w:rFonts w:ascii="Verdana" w:hAnsi="Verdana"/>
          <w:sz w:val="20"/>
          <w:szCs w:val="20"/>
        </w:rPr>
        <w:t>Carlos Alberto Bacha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- Secretári</w:t>
      </w:r>
      <w:r>
        <w:rPr>
          <w:rFonts w:ascii="Verdana" w:hAnsi="Verdana"/>
          <w:sz w:val="20"/>
          <w:szCs w:val="20"/>
        </w:rPr>
        <w:t>o</w:t>
      </w:r>
      <w:r w:rsidRPr="00976033">
        <w:rPr>
          <w:rFonts w:ascii="Verdana" w:hAnsi="Verdana"/>
          <w:sz w:val="20"/>
          <w:szCs w:val="20"/>
        </w:rPr>
        <w:t>.</w:t>
      </w:r>
    </w:p>
    <w:p w14:paraId="2F4DB436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3075801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  <w:u w:val="single"/>
        </w:rPr>
        <w:t>Ordem do Dia</w:t>
      </w:r>
      <w:r w:rsidRPr="00976033">
        <w:rPr>
          <w:rFonts w:ascii="Verdana" w:hAnsi="Verdana" w:cs="Calibri"/>
          <w:sz w:val="20"/>
          <w:szCs w:val="20"/>
        </w:rPr>
        <w:t xml:space="preserve">: Deliberar sobre </w:t>
      </w:r>
      <w:r w:rsidRPr="00976033">
        <w:rPr>
          <w:rFonts w:ascii="Verdana" w:hAnsi="Verdana" w:cs="Calibri"/>
          <w:b/>
          <w:bCs/>
          <w:sz w:val="20"/>
          <w:szCs w:val="20"/>
        </w:rPr>
        <w:t>(i)</w:t>
      </w:r>
      <w:r w:rsidRPr="00976033">
        <w:rPr>
          <w:rFonts w:ascii="Verdana" w:hAnsi="Verdana" w:cs="Calibri"/>
          <w:sz w:val="20"/>
          <w:szCs w:val="20"/>
        </w:rPr>
        <w:t xml:space="preserve"> altera</w:t>
      </w:r>
      <w:r>
        <w:rPr>
          <w:rFonts w:ascii="Verdana" w:hAnsi="Verdana" w:cs="Calibri"/>
          <w:sz w:val="20"/>
          <w:szCs w:val="20"/>
        </w:rPr>
        <w:t>r</w:t>
      </w:r>
      <w:r w:rsidRPr="00976033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bCs/>
          <w:sz w:val="20"/>
          <w:szCs w:val="20"/>
        </w:rPr>
        <w:t xml:space="preserve">determinados termos e condições da Emissão; e </w:t>
      </w:r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(</w:t>
      </w:r>
      <w:proofErr w:type="spellStart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)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</w:t>
      </w:r>
      <w:r>
        <w:rPr>
          <w:rFonts w:ascii="Verdana" w:hAnsi="Verdana" w:cs="Calibri"/>
          <w:color w:val="000000"/>
          <w:sz w:val="20"/>
          <w:szCs w:val="20"/>
        </w:rPr>
        <w:t>autorizar a Emissora, em conjunto com o Agente Fiduciário a praticar todos os atos necessários para a implementação das deliberações discutidas na presente assembleia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. </w:t>
      </w:r>
    </w:p>
    <w:p w14:paraId="5BC7F6C7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1531706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Deliberações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Pr="00976033">
        <w:rPr>
          <w:rFonts w:ascii="Verdana" w:hAnsi="Verdana"/>
          <w:sz w:val="20"/>
          <w:szCs w:val="20"/>
        </w:rPr>
        <w:t>Os Debenturistas deliberaram, sem quaisquer ressalvas ou restrições, por unanimidade:</w:t>
      </w:r>
    </w:p>
    <w:p w14:paraId="0BA6F5C8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F2FC0C4" w14:textId="0C55B5CD" w:rsidR="00261009" w:rsidRPr="00976033" w:rsidRDefault="00261009" w:rsidP="00261009">
      <w:pPr>
        <w:pStyle w:val="PargrafodaLista"/>
        <w:autoSpaceDE w:val="0"/>
        <w:autoSpaceDN w:val="0"/>
        <w:adjustRightInd w:val="0"/>
        <w:spacing w:line="300" w:lineRule="exact"/>
        <w:ind w:left="0" w:right="-22"/>
        <w:contextualSpacing w:val="0"/>
        <w:rPr>
          <w:rFonts w:ascii="Verdana" w:eastAsia="Calibri" w:hAnsi="Verdana"/>
          <w:sz w:val="20"/>
          <w:lang w:val="pt-BR" w:eastAsia="en-US"/>
        </w:rPr>
      </w:pPr>
      <w:r w:rsidRPr="0000504A">
        <w:rPr>
          <w:rFonts w:ascii="Verdana" w:hAnsi="Verdana" w:cs="Calibri"/>
          <w:sz w:val="20"/>
          <w:lang w:val="pt-BR"/>
        </w:rPr>
        <w:lastRenderedPageBreak/>
        <w:t>6.1.</w:t>
      </w:r>
      <w:r w:rsidRPr="0000504A">
        <w:rPr>
          <w:rFonts w:ascii="Verdana" w:hAnsi="Verdana" w:cs="Calibri"/>
          <w:sz w:val="20"/>
          <w:lang w:val="pt-BR"/>
        </w:rPr>
        <w:tab/>
      </w:r>
      <w:bookmarkStart w:id="3" w:name="_Hlk41058468"/>
      <w:r w:rsidR="00734107" w:rsidRPr="00976033">
        <w:rPr>
          <w:rFonts w:ascii="Verdana" w:hAnsi="Verdana" w:cs="Calibri"/>
          <w:sz w:val="20"/>
        </w:rPr>
        <w:t>A</w:t>
      </w:r>
      <w:r w:rsidR="00734107" w:rsidRPr="00976033">
        <w:rPr>
          <w:rFonts w:ascii="Verdana" w:eastAsia="Calibri" w:hAnsi="Verdana"/>
          <w:sz w:val="20"/>
          <w:lang w:val="pt-BR" w:eastAsia="en-US"/>
        </w:rPr>
        <w:t xml:space="preserve">provar a alteração </w:t>
      </w:r>
      <w:bookmarkStart w:id="4" w:name="_Ref497552478"/>
      <w:r w:rsidR="00734107" w:rsidRPr="00976033">
        <w:rPr>
          <w:rFonts w:ascii="Verdana" w:eastAsia="Calibri" w:hAnsi="Verdana"/>
          <w:sz w:val="20"/>
          <w:lang w:val="pt-BR" w:eastAsia="en-US"/>
        </w:rPr>
        <w:t>da Remuneração das Debêntures da Primeira Série, sendo que os juros remuneratórios passarão a corresponder a 100% (cem por cento) da Taxa DI, com base em um ano de 252 (duzentos e cinquenta e dois) Dias Úteis, no informativo diário disponível em sua página na internet (</w:t>
      </w:r>
      <w:hyperlink r:id="rId5" w:history="1">
        <w:r w:rsidR="00734107" w:rsidRPr="00976033">
          <w:rPr>
            <w:rFonts w:ascii="Verdana" w:eastAsia="Calibri" w:hAnsi="Verdana"/>
            <w:sz w:val="20"/>
            <w:lang w:val="pt-BR" w:eastAsia="en-US"/>
          </w:rPr>
          <w:t>www.b3.com.br</w:t>
        </w:r>
      </w:hyperlink>
      <w:r w:rsidR="00734107" w:rsidRPr="00976033">
        <w:rPr>
          <w:rFonts w:ascii="Verdana" w:eastAsia="Calibri" w:hAnsi="Verdana"/>
          <w:sz w:val="20"/>
          <w:lang w:val="pt-BR" w:eastAsia="en-US"/>
        </w:rPr>
        <w:t xml:space="preserve">) acrescida de spread ou sobretaxa de </w:t>
      </w:r>
      <w:r w:rsidR="002D69CC">
        <w:rPr>
          <w:rFonts w:ascii="Verdana" w:eastAsia="Calibri" w:hAnsi="Verdana"/>
          <w:sz w:val="20"/>
          <w:lang w:val="pt-BR" w:eastAsia="en-US"/>
        </w:rPr>
        <w:t>0,</w:t>
      </w:r>
      <w:r w:rsidR="00734107">
        <w:rPr>
          <w:rFonts w:ascii="Verdana" w:eastAsia="Calibri" w:hAnsi="Verdana"/>
          <w:sz w:val="20"/>
          <w:lang w:val="pt-BR" w:eastAsia="en-US"/>
        </w:rPr>
        <w:t>5</w:t>
      </w:r>
      <w:r w:rsidR="002D69CC">
        <w:rPr>
          <w:rFonts w:ascii="Verdana" w:eastAsia="Calibri" w:hAnsi="Verdana"/>
          <w:sz w:val="20"/>
          <w:lang w:val="pt-BR" w:eastAsia="en-US"/>
        </w:rPr>
        <w:t>0</w:t>
      </w:r>
      <w:r w:rsidR="00734107" w:rsidRPr="00976033">
        <w:rPr>
          <w:rFonts w:ascii="Verdana" w:eastAsia="Calibri" w:hAnsi="Verdana"/>
          <w:sz w:val="20"/>
          <w:lang w:val="pt-BR" w:eastAsia="en-US"/>
        </w:rPr>
        <w:t>% (</w:t>
      </w:r>
      <w:r w:rsidR="00734107">
        <w:rPr>
          <w:rFonts w:ascii="Verdana" w:eastAsia="Calibri" w:hAnsi="Verdana"/>
          <w:sz w:val="20"/>
          <w:lang w:val="pt-BR" w:eastAsia="en-US"/>
        </w:rPr>
        <w:t>cin</w:t>
      </w:r>
      <w:r w:rsidR="002D69CC">
        <w:rPr>
          <w:rFonts w:ascii="Verdana" w:eastAsia="Calibri" w:hAnsi="Verdana"/>
          <w:sz w:val="20"/>
          <w:lang w:val="pt-BR" w:eastAsia="en-US"/>
        </w:rPr>
        <w:t>quenta centésimos</w:t>
      </w:r>
      <w:r w:rsidR="00734107" w:rsidRPr="00976033">
        <w:rPr>
          <w:rFonts w:ascii="Verdana" w:eastAsia="Calibri" w:hAnsi="Verdana"/>
          <w:sz w:val="20"/>
          <w:lang w:val="pt-BR" w:eastAsia="en-US"/>
        </w:rPr>
        <w:t xml:space="preserve"> por cento) ao ano, base 252 (duzentos e cinquenta e dois) Dias Úteis</w:t>
      </w:r>
      <w:bookmarkEnd w:id="4"/>
      <w:r w:rsidR="002D69CC">
        <w:rPr>
          <w:rFonts w:ascii="Verdana" w:eastAsia="Calibri" w:hAnsi="Verdana"/>
          <w:sz w:val="20"/>
          <w:lang w:val="pt-BR" w:eastAsia="en-US"/>
        </w:rPr>
        <w:t>, a partir de 27 de julho de 2022, inclusive</w:t>
      </w:r>
      <w:r w:rsidR="00734107" w:rsidRPr="00976033">
        <w:rPr>
          <w:rFonts w:ascii="Verdana" w:eastAsia="Calibri" w:hAnsi="Verdana"/>
          <w:sz w:val="20"/>
          <w:lang w:val="pt-BR" w:eastAsia="en-US"/>
        </w:rPr>
        <w:t>.</w:t>
      </w:r>
    </w:p>
    <w:bookmarkEnd w:id="3"/>
    <w:p w14:paraId="0602E125" w14:textId="77777777" w:rsidR="00261009" w:rsidRPr="00976033" w:rsidRDefault="00261009" w:rsidP="00261009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3783F5EC" w14:textId="77777777" w:rsidR="00261009" w:rsidRDefault="00261009" w:rsidP="00261009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6.2.</w:t>
      </w:r>
      <w:r w:rsidRPr="00976033">
        <w:rPr>
          <w:rFonts w:ascii="Verdana" w:hAnsi="Verdana" w:cs="Calibri"/>
          <w:sz w:val="20"/>
          <w:szCs w:val="20"/>
        </w:rPr>
        <w:tab/>
        <w:t xml:space="preserve">Aprovar a </w:t>
      </w:r>
      <w:r w:rsidRPr="00976033">
        <w:rPr>
          <w:rFonts w:ascii="Verdana" w:hAnsi="Verdana" w:cs="Tahoma"/>
          <w:sz w:val="20"/>
          <w:szCs w:val="20"/>
        </w:rPr>
        <w:t xml:space="preserve">alteração </w:t>
      </w:r>
      <w:r w:rsidRPr="00976033">
        <w:rPr>
          <w:rFonts w:ascii="Verdana" w:hAnsi="Verdana" w:cs="Calibri"/>
          <w:sz w:val="20"/>
          <w:szCs w:val="20"/>
        </w:rPr>
        <w:t>nas Cláusulas 3.15.1 e 3.15.2, “</w:t>
      </w:r>
      <w:r w:rsidRPr="00976033">
        <w:rPr>
          <w:rFonts w:ascii="Verdana" w:hAnsi="Verdana" w:cs="Calibri"/>
          <w:b/>
          <w:bCs/>
          <w:i/>
          <w:iCs/>
          <w:sz w:val="20"/>
          <w:szCs w:val="20"/>
        </w:rPr>
        <w:t>Remuneração das Debêntures da Primeira Série</w:t>
      </w:r>
      <w:r w:rsidRPr="00976033">
        <w:rPr>
          <w:rFonts w:ascii="Verdana" w:hAnsi="Verdana" w:cs="Calibri"/>
          <w:sz w:val="20"/>
          <w:szCs w:val="20"/>
        </w:rPr>
        <w:t xml:space="preserve">”, da Escritura de Emissão, com objetivo de refletir a alteração da Remuneração das Debêntures da Primeira Série descrita acima. Como consequência, os Debenturistas aprovam que as Cláusulas </w:t>
      </w:r>
      <w:bookmarkStart w:id="5" w:name="_Hlk41058955"/>
      <w:r w:rsidRPr="00976033">
        <w:rPr>
          <w:rFonts w:ascii="Verdana" w:hAnsi="Verdana" w:cs="Calibri"/>
          <w:sz w:val="20"/>
          <w:szCs w:val="20"/>
        </w:rPr>
        <w:t>3.15.1 e 3.15.2</w:t>
      </w:r>
      <w:bookmarkEnd w:id="5"/>
      <w:r w:rsidRPr="00976033">
        <w:rPr>
          <w:rFonts w:ascii="Verdana" w:hAnsi="Verdana" w:cs="Calibri"/>
          <w:sz w:val="20"/>
          <w:szCs w:val="20"/>
        </w:rPr>
        <w:t xml:space="preserve">, passe a vigorar de acordo com a redação abaixo: </w:t>
      </w:r>
    </w:p>
    <w:p w14:paraId="5C7E4263" w14:textId="77777777" w:rsidR="00261009" w:rsidRPr="00976033" w:rsidRDefault="00261009" w:rsidP="00261009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0E7D619" w14:textId="77777777" w:rsidR="00651A66" w:rsidRDefault="00261009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bookmarkStart w:id="6" w:name="_Hlk41058988"/>
      <w:bookmarkStart w:id="7" w:name="_Hlk81810194"/>
      <w:r w:rsidRPr="006640D5">
        <w:rPr>
          <w:rFonts w:ascii="Verdana" w:hAnsi="Verdana"/>
          <w:i/>
          <w:sz w:val="20"/>
        </w:rPr>
        <w:t>“</w:t>
      </w:r>
      <w:bookmarkEnd w:id="6"/>
      <w:r w:rsidR="002D682F" w:rsidRPr="00814441">
        <w:rPr>
          <w:rFonts w:ascii="Verdana" w:hAnsi="Verdana" w:cs="Calibri"/>
          <w:bCs/>
          <w:i/>
          <w:sz w:val="20"/>
          <w:szCs w:val="20"/>
        </w:rPr>
        <w:t>3.15.1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ab/>
      </w:r>
      <w:r w:rsidR="002D682F" w:rsidRPr="00814441">
        <w:rPr>
          <w:rFonts w:ascii="Verdana" w:hAnsi="Verdana"/>
          <w:b/>
          <w:i/>
          <w:sz w:val="20"/>
        </w:rPr>
        <w:t>Remuneração das Debêntures da Primeira Série</w:t>
      </w:r>
      <w:r w:rsidR="002D682F" w:rsidRPr="00814441">
        <w:rPr>
          <w:rFonts w:ascii="Verdana" w:hAnsi="Verdana" w:cs="Calibri"/>
          <w:b/>
          <w:i/>
          <w:sz w:val="20"/>
          <w:szCs w:val="20"/>
        </w:rPr>
        <w:t>.</w:t>
      </w:r>
      <w:r w:rsidR="002D682F" w:rsidRPr="00814441">
        <w:rPr>
          <w:rFonts w:ascii="Verdana" w:hAnsi="Verdana"/>
          <w:i/>
          <w:sz w:val="20"/>
        </w:rPr>
        <w:t xml:space="preserve"> 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Sobre o Valor Nominal Unitário das Debêntures da Primeira Série ou saldo do Valor Nominal Unitário das Debêntures da Primeira Série incidirão, a partir da Data da 1ª Integralização da Primeira Série juros remuneratórios correspondentes aos seguintes percentuais</w:t>
      </w:r>
      <w:r w:rsidR="008F5F67">
        <w:rPr>
          <w:rFonts w:ascii="Verdana" w:hAnsi="Verdana" w:cs="Calibri"/>
          <w:bCs/>
          <w:i/>
          <w:sz w:val="20"/>
          <w:szCs w:val="20"/>
        </w:rPr>
        <w:t>:</w:t>
      </w:r>
    </w:p>
    <w:p w14:paraId="7D3B97D9" w14:textId="7CB8AEC9" w:rsidR="00651A66" w:rsidRDefault="008F5F67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 xml:space="preserve">(i) 200% (duzentos por cento), no período entre a Data da 1ª Integralização da Primeira Série, inclusive e 10 de junho de 2020, exclusive; </w:t>
      </w:r>
    </w:p>
    <w:p w14:paraId="4FA3A0F8" w14:textId="74E92CB9" w:rsidR="00651A66" w:rsidRDefault="008F5F67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(</w:t>
      </w:r>
      <w:proofErr w:type="spellStart"/>
      <w:r w:rsidR="002D682F" w:rsidRPr="00814441">
        <w:rPr>
          <w:rFonts w:ascii="Verdana" w:hAnsi="Verdana" w:cs="Calibri"/>
          <w:bCs/>
          <w:i/>
          <w:sz w:val="20"/>
          <w:szCs w:val="20"/>
        </w:rPr>
        <w:t>ii</w:t>
      </w:r>
      <w:proofErr w:type="spellEnd"/>
      <w:r w:rsidR="002D682F" w:rsidRPr="00814441">
        <w:rPr>
          <w:rFonts w:ascii="Verdana" w:hAnsi="Verdana" w:cs="Calibri"/>
          <w:bCs/>
          <w:i/>
          <w:sz w:val="20"/>
          <w:szCs w:val="20"/>
        </w:rPr>
        <w:t>) 100% (cem por cento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), no período entre 10 de junho de 2020, inclusive, e 12 de agosto de 2021, exclusive;  </w:t>
      </w:r>
    </w:p>
    <w:p w14:paraId="33B30D8A" w14:textId="51248547" w:rsidR="00651A66" w:rsidRDefault="008F5F67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br/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(</w:t>
      </w:r>
      <w:proofErr w:type="spellStart"/>
      <w:r w:rsidR="002D682F" w:rsidRPr="00260F51">
        <w:rPr>
          <w:rFonts w:ascii="Verdana" w:hAnsi="Verdana" w:cs="Calibri"/>
          <w:bCs/>
          <w:i/>
          <w:sz w:val="20"/>
          <w:szCs w:val="20"/>
        </w:rPr>
        <w:t>iii</w:t>
      </w:r>
      <w:proofErr w:type="spellEnd"/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) </w:t>
      </w:r>
      <w:r w:rsidR="002D682F" w:rsidRPr="00260F51">
        <w:rPr>
          <w:rFonts w:ascii="Verdana" w:hAnsi="Verdana"/>
          <w:i/>
          <w:sz w:val="20"/>
        </w:rPr>
        <w:t>130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% (cento e trinta por cento), </w:t>
      </w:r>
      <w:r>
        <w:rPr>
          <w:rFonts w:ascii="Verdana" w:hAnsi="Verdana" w:cs="Calibri"/>
          <w:bCs/>
          <w:i/>
          <w:sz w:val="20"/>
          <w:szCs w:val="20"/>
        </w:rPr>
        <w:t>no período entre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 12 de agosto de 2021, inclusive</w:t>
      </w:r>
      <w:r>
        <w:rPr>
          <w:rFonts w:ascii="Verdana" w:hAnsi="Verdana" w:cs="Calibri"/>
          <w:bCs/>
          <w:i/>
          <w:sz w:val="20"/>
          <w:szCs w:val="20"/>
        </w:rPr>
        <w:t xml:space="preserve">, e </w:t>
      </w:r>
      <w:r w:rsidR="00291C7E">
        <w:rPr>
          <w:rFonts w:ascii="Verdana" w:hAnsi="Verdana" w:cs="Calibri"/>
          <w:bCs/>
          <w:i/>
          <w:sz w:val="20"/>
          <w:szCs w:val="20"/>
        </w:rPr>
        <w:t xml:space="preserve">27 </w:t>
      </w:r>
      <w:r>
        <w:rPr>
          <w:rFonts w:ascii="Verdana" w:hAnsi="Verdana" w:cs="Calibri"/>
          <w:bCs/>
          <w:i/>
          <w:sz w:val="20"/>
          <w:szCs w:val="20"/>
        </w:rPr>
        <w:t>de julho de 2022, exclusive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; e</w:t>
      </w:r>
    </w:p>
    <w:p w14:paraId="22B87F83" w14:textId="4F2C435A" w:rsidR="00651A66" w:rsidRDefault="008F5F67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br/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(</w:t>
      </w:r>
      <w:proofErr w:type="spellStart"/>
      <w:r w:rsidR="002D682F" w:rsidRPr="00260F51">
        <w:rPr>
          <w:rFonts w:ascii="Verdana" w:hAnsi="Verdana" w:cs="Calibri"/>
          <w:bCs/>
          <w:i/>
          <w:sz w:val="20"/>
          <w:szCs w:val="20"/>
        </w:rPr>
        <w:t>iv</w:t>
      </w:r>
      <w:proofErr w:type="spellEnd"/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) </w:t>
      </w:r>
      <w:r w:rsidRPr="00260F51">
        <w:rPr>
          <w:rFonts w:ascii="Verdana" w:hAnsi="Verdana" w:cs="Calibri"/>
          <w:bCs/>
          <w:i/>
          <w:sz w:val="20"/>
          <w:szCs w:val="20"/>
        </w:rPr>
        <w:t>a partir d</w:t>
      </w:r>
      <w:r>
        <w:rPr>
          <w:rFonts w:ascii="Verdana" w:hAnsi="Verdana" w:cs="Calibri"/>
          <w:bCs/>
          <w:i/>
          <w:sz w:val="20"/>
          <w:szCs w:val="20"/>
        </w:rPr>
        <w:t xml:space="preserve">e </w:t>
      </w:r>
      <w:r w:rsidR="00291C7E">
        <w:rPr>
          <w:rFonts w:ascii="Verdana" w:hAnsi="Verdana" w:cs="Calibri"/>
          <w:bCs/>
          <w:i/>
          <w:sz w:val="20"/>
          <w:szCs w:val="20"/>
        </w:rPr>
        <w:t xml:space="preserve">27 </w:t>
      </w:r>
      <w:r>
        <w:rPr>
          <w:rFonts w:ascii="Verdana" w:hAnsi="Verdana" w:cs="Calibri"/>
          <w:bCs/>
          <w:i/>
          <w:sz w:val="20"/>
          <w:szCs w:val="20"/>
        </w:rPr>
        <w:t xml:space="preserve">de julho de 2022, inclusive, </w:t>
      </w:r>
      <w:r w:rsidR="002D682F" w:rsidRPr="00260F51">
        <w:rPr>
          <w:rFonts w:ascii="Verdana" w:hAnsi="Verdana"/>
          <w:i/>
          <w:sz w:val="20"/>
        </w:rPr>
        <w:t>100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% (cento por cento) da variação acumulada das taxas médias diárias dos DI – Depósitos Interfinanceiros de um dia, “over </w:t>
      </w:r>
      <w:proofErr w:type="spellStart"/>
      <w:r w:rsidR="002D682F" w:rsidRPr="00260F51">
        <w:rPr>
          <w:rFonts w:ascii="Verdana" w:hAnsi="Verdana" w:cs="Calibri"/>
          <w:bCs/>
          <w:i/>
          <w:sz w:val="20"/>
          <w:szCs w:val="20"/>
        </w:rPr>
        <w:t>extra-grupo</w:t>
      </w:r>
      <w:proofErr w:type="spellEnd"/>
      <w:r w:rsidR="002D682F" w:rsidRPr="00260F51">
        <w:rPr>
          <w:rFonts w:ascii="Verdana" w:hAnsi="Verdana" w:cs="Calibri"/>
          <w:bCs/>
          <w:i/>
          <w:sz w:val="20"/>
          <w:szCs w:val="20"/>
        </w:rPr>
        <w:t>”, expressas na forma percentual ao ano, base 252 (duzentos e cinquenta e dois) Dias Úteis, calculadas e divulgadas diariamente pela B3, no informativo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 xml:space="preserve"> diário disponível em sua página na Internet (</w:t>
      </w:r>
      <w:hyperlink r:id="rId6" w:history="1">
        <w:r w:rsidR="002D682F" w:rsidRPr="00814441">
          <w:rPr>
            <w:rFonts w:ascii="Verdana" w:hAnsi="Verdana" w:cs="Calibri"/>
            <w:bCs/>
            <w:i/>
            <w:sz w:val="20"/>
            <w:szCs w:val="20"/>
            <w:u w:val="single"/>
          </w:rPr>
          <w:t>http://</w:t>
        </w:r>
        <w:r w:rsidR="002D682F" w:rsidRPr="00814441">
          <w:rPr>
            <w:u w:val="single"/>
          </w:rPr>
          <w:t>www.b3.com.br</w:t>
        </w:r>
      </w:hyperlink>
      <w:r w:rsidR="002D682F" w:rsidRPr="00814441">
        <w:rPr>
          <w:rFonts w:ascii="Verdana" w:hAnsi="Verdana" w:cs="Calibri"/>
          <w:bCs/>
          <w:i/>
          <w:sz w:val="20"/>
          <w:szCs w:val="20"/>
        </w:rPr>
        <w:t>) (“</w:t>
      </w:r>
      <w:r w:rsidR="002D682F" w:rsidRPr="00814441">
        <w:rPr>
          <w:rFonts w:ascii="Verdana" w:hAnsi="Verdana" w:cs="Calibri"/>
          <w:bCs/>
          <w:i/>
          <w:sz w:val="20"/>
          <w:szCs w:val="20"/>
          <w:u w:val="single"/>
        </w:rPr>
        <w:t>Taxa DI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”),</w:t>
      </w:r>
    </w:p>
    <w:p w14:paraId="5CC10610" w14:textId="17EE0A44" w:rsidR="00651A66" w:rsidRDefault="008F5F67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acrescid</w:t>
      </w:r>
      <w:r>
        <w:rPr>
          <w:rFonts w:ascii="Verdana" w:hAnsi="Verdana" w:cs="Calibri"/>
          <w:bCs/>
          <w:i/>
          <w:sz w:val="20"/>
          <w:szCs w:val="20"/>
        </w:rPr>
        <w:t>os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 xml:space="preserve"> de sobretaxa de</w:t>
      </w:r>
      <w:r w:rsidR="00651A66">
        <w:rPr>
          <w:rFonts w:ascii="Verdana" w:hAnsi="Verdana" w:cs="Calibri"/>
          <w:bCs/>
          <w:i/>
          <w:sz w:val="20"/>
          <w:szCs w:val="20"/>
        </w:rPr>
        <w:t>:</w:t>
      </w:r>
    </w:p>
    <w:p w14:paraId="12DEB83D" w14:textId="77777777" w:rsidR="00651A66" w:rsidRDefault="002D682F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 w:rsidRPr="00814441">
        <w:rPr>
          <w:rFonts w:ascii="Verdana" w:hAnsi="Verdana" w:cs="Calibri"/>
          <w:bCs/>
          <w:i/>
          <w:sz w:val="20"/>
          <w:szCs w:val="20"/>
        </w:rPr>
        <w:t xml:space="preserve"> </w:t>
      </w:r>
      <w:r w:rsidR="008F5F67">
        <w:rPr>
          <w:rFonts w:ascii="Verdana" w:hAnsi="Verdana" w:cs="Calibri"/>
          <w:bCs/>
          <w:i/>
          <w:sz w:val="20"/>
          <w:szCs w:val="20"/>
        </w:rPr>
        <w:br/>
      </w:r>
      <w:r w:rsidRPr="00814441">
        <w:rPr>
          <w:rFonts w:ascii="Verdana" w:hAnsi="Verdana" w:cs="Calibri"/>
          <w:bCs/>
          <w:i/>
          <w:sz w:val="20"/>
          <w:szCs w:val="20"/>
        </w:rPr>
        <w:t>(i) 0,00% (zero por cento) ao ano, no período entre a Data da 1ª Integralização da Primeira Série, inclusive, e 10 de junho de 2020, exclusive;</w:t>
      </w:r>
    </w:p>
    <w:p w14:paraId="4815C931" w14:textId="1004D585" w:rsidR="00651A66" w:rsidRDefault="008F5F67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(</w:t>
      </w:r>
      <w:proofErr w:type="spellStart"/>
      <w:r w:rsidR="002D682F" w:rsidRPr="00814441">
        <w:rPr>
          <w:rFonts w:ascii="Verdana" w:hAnsi="Verdana" w:cs="Calibri"/>
          <w:bCs/>
          <w:i/>
          <w:sz w:val="20"/>
          <w:szCs w:val="20"/>
        </w:rPr>
        <w:t>ii</w:t>
      </w:r>
      <w:proofErr w:type="spellEnd"/>
      <w:r w:rsidR="002D682F" w:rsidRPr="00814441">
        <w:rPr>
          <w:rFonts w:ascii="Verdana" w:hAnsi="Verdana" w:cs="Calibri"/>
          <w:bCs/>
          <w:i/>
          <w:sz w:val="20"/>
          <w:szCs w:val="20"/>
        </w:rPr>
        <w:t>)  8,00% (oito por cento) ao ano, no período entre 10 de junho de 2020, inclusive, e 12 de agosto de 2021, exclusive</w:t>
      </w:r>
      <w:r w:rsidR="002D682F">
        <w:rPr>
          <w:rFonts w:ascii="Verdana" w:hAnsi="Verdana" w:cs="Calibri"/>
          <w:bCs/>
          <w:i/>
          <w:sz w:val="20"/>
          <w:szCs w:val="20"/>
        </w:rPr>
        <w:t>;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 xml:space="preserve"> </w:t>
      </w:r>
    </w:p>
    <w:p w14:paraId="039315EF" w14:textId="321CE7A7" w:rsidR="00651A66" w:rsidRDefault="000801B4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(</w:t>
      </w:r>
      <w:proofErr w:type="spellStart"/>
      <w:r w:rsidR="002D682F" w:rsidRPr="00814441">
        <w:rPr>
          <w:rFonts w:ascii="Verdana" w:hAnsi="Verdana" w:cs="Calibri"/>
          <w:bCs/>
          <w:i/>
          <w:sz w:val="20"/>
          <w:szCs w:val="20"/>
        </w:rPr>
        <w:t>iii</w:t>
      </w:r>
      <w:proofErr w:type="spellEnd"/>
      <w:r w:rsidR="002D682F" w:rsidRPr="00814441">
        <w:rPr>
          <w:rFonts w:ascii="Verdana" w:hAnsi="Verdana" w:cs="Calibri"/>
          <w:bCs/>
          <w:i/>
          <w:sz w:val="20"/>
          <w:szCs w:val="20"/>
        </w:rPr>
        <w:t>) 0,00% (zero por</w:t>
      </w:r>
      <w:r w:rsidR="002D682F">
        <w:rPr>
          <w:rFonts w:ascii="Verdana" w:hAnsi="Verdana" w:cs="Calibri"/>
          <w:bCs/>
          <w:i/>
          <w:sz w:val="20"/>
          <w:szCs w:val="20"/>
        </w:rPr>
        <w:t xml:space="preserve"> 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cento) ao ano, de 12 de agosto de 2021, inclusive</w:t>
      </w:r>
      <w:r>
        <w:rPr>
          <w:rFonts w:ascii="Verdana" w:hAnsi="Verdana" w:cs="Calibri"/>
          <w:bCs/>
          <w:i/>
          <w:sz w:val="20"/>
          <w:szCs w:val="20"/>
        </w:rPr>
        <w:t xml:space="preserve">, até </w:t>
      </w:r>
      <w:r w:rsidR="00291C7E">
        <w:rPr>
          <w:rFonts w:ascii="Verdana" w:hAnsi="Verdana" w:cs="Calibri"/>
          <w:bCs/>
          <w:i/>
          <w:sz w:val="20"/>
          <w:szCs w:val="20"/>
        </w:rPr>
        <w:t xml:space="preserve">27 </w:t>
      </w:r>
      <w:r>
        <w:rPr>
          <w:rFonts w:ascii="Verdana" w:hAnsi="Verdana" w:cs="Calibri"/>
          <w:bCs/>
          <w:i/>
          <w:sz w:val="20"/>
          <w:szCs w:val="20"/>
        </w:rPr>
        <w:t xml:space="preserve">de julho de </w:t>
      </w:r>
      <w:r w:rsidR="00F74233">
        <w:rPr>
          <w:rFonts w:ascii="Verdana" w:hAnsi="Verdana" w:cs="Calibri"/>
          <w:bCs/>
          <w:i/>
          <w:sz w:val="20"/>
          <w:szCs w:val="20"/>
        </w:rPr>
        <w:t>2022, (exclusive)</w:t>
      </w:r>
      <w:r w:rsidR="002D682F">
        <w:rPr>
          <w:rFonts w:ascii="Verdana" w:hAnsi="Verdana" w:cs="Calibri"/>
          <w:bCs/>
          <w:i/>
          <w:sz w:val="20"/>
          <w:szCs w:val="20"/>
        </w:rPr>
        <w:t xml:space="preserve">; e </w:t>
      </w:r>
    </w:p>
    <w:p w14:paraId="239E613A" w14:textId="7D7D1EB3" w:rsidR="00651A66" w:rsidRDefault="002D682F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 w:rsidRPr="00814441">
        <w:rPr>
          <w:rFonts w:ascii="Verdana" w:hAnsi="Verdana" w:cs="Calibri"/>
          <w:bCs/>
          <w:i/>
          <w:sz w:val="20"/>
          <w:szCs w:val="20"/>
        </w:rPr>
        <w:lastRenderedPageBreak/>
        <w:t>(</w:t>
      </w:r>
      <w:proofErr w:type="spellStart"/>
      <w:r w:rsidRPr="00814441">
        <w:rPr>
          <w:rFonts w:ascii="Verdana" w:hAnsi="Verdana" w:cs="Calibri"/>
          <w:bCs/>
          <w:i/>
          <w:sz w:val="20"/>
          <w:szCs w:val="20"/>
        </w:rPr>
        <w:t>i</w:t>
      </w:r>
      <w:r>
        <w:rPr>
          <w:rFonts w:ascii="Verdana" w:hAnsi="Verdana" w:cs="Calibri"/>
          <w:bCs/>
          <w:i/>
          <w:sz w:val="20"/>
          <w:szCs w:val="20"/>
        </w:rPr>
        <w:t>v</w:t>
      </w:r>
      <w:proofErr w:type="spellEnd"/>
      <w:r w:rsidRPr="00814441">
        <w:rPr>
          <w:rFonts w:ascii="Verdana" w:hAnsi="Verdana" w:cs="Calibri"/>
          <w:bCs/>
          <w:i/>
          <w:sz w:val="20"/>
          <w:szCs w:val="20"/>
        </w:rPr>
        <w:t>) 0,</w:t>
      </w:r>
      <w:r>
        <w:rPr>
          <w:rFonts w:ascii="Verdana" w:hAnsi="Verdana" w:cs="Calibri"/>
          <w:bCs/>
          <w:i/>
          <w:sz w:val="20"/>
          <w:szCs w:val="20"/>
        </w:rPr>
        <w:t>5</w:t>
      </w:r>
      <w:r w:rsidR="00651A66">
        <w:rPr>
          <w:rFonts w:ascii="Verdana" w:hAnsi="Verdana" w:cs="Calibri"/>
          <w:bCs/>
          <w:i/>
          <w:sz w:val="20"/>
          <w:szCs w:val="20"/>
        </w:rPr>
        <w:t>0</w:t>
      </w:r>
      <w:r w:rsidRPr="00814441">
        <w:rPr>
          <w:rFonts w:ascii="Verdana" w:hAnsi="Verdana" w:cs="Calibri"/>
          <w:bCs/>
          <w:i/>
          <w:sz w:val="20"/>
          <w:szCs w:val="20"/>
        </w:rPr>
        <w:t>% (</w:t>
      </w:r>
      <w:r>
        <w:rPr>
          <w:rFonts w:ascii="Verdana" w:hAnsi="Verdana" w:cs="Calibri"/>
          <w:bCs/>
          <w:i/>
          <w:sz w:val="20"/>
          <w:szCs w:val="20"/>
        </w:rPr>
        <w:t>cin</w:t>
      </w:r>
      <w:r w:rsidR="00651A66">
        <w:rPr>
          <w:rFonts w:ascii="Verdana" w:hAnsi="Verdana" w:cs="Calibri"/>
          <w:bCs/>
          <w:i/>
          <w:sz w:val="20"/>
          <w:szCs w:val="20"/>
        </w:rPr>
        <w:t>quenta centésimos</w:t>
      </w:r>
      <w:r w:rsidRPr="00814441">
        <w:rPr>
          <w:rFonts w:ascii="Verdana" w:hAnsi="Verdana" w:cs="Calibri"/>
          <w:bCs/>
          <w:i/>
          <w:sz w:val="20"/>
          <w:szCs w:val="20"/>
        </w:rPr>
        <w:t xml:space="preserve"> por</w:t>
      </w:r>
      <w:r>
        <w:rPr>
          <w:rFonts w:ascii="Verdana" w:hAnsi="Verdana" w:cs="Calibri"/>
          <w:bCs/>
          <w:i/>
          <w:sz w:val="20"/>
          <w:szCs w:val="20"/>
        </w:rPr>
        <w:t xml:space="preserve"> </w:t>
      </w:r>
      <w:r w:rsidRPr="00814441">
        <w:rPr>
          <w:rFonts w:ascii="Verdana" w:hAnsi="Verdana" w:cs="Calibri"/>
          <w:bCs/>
          <w:i/>
          <w:sz w:val="20"/>
          <w:szCs w:val="20"/>
        </w:rPr>
        <w:t xml:space="preserve">cento) </w:t>
      </w:r>
      <w:r w:rsidRPr="00260F51">
        <w:rPr>
          <w:rFonts w:ascii="Verdana" w:hAnsi="Verdana" w:cs="Calibri"/>
          <w:bCs/>
          <w:i/>
          <w:sz w:val="20"/>
          <w:szCs w:val="20"/>
        </w:rPr>
        <w:t>ao ano, a partir d</w:t>
      </w:r>
      <w:r w:rsidR="00F74233">
        <w:rPr>
          <w:rFonts w:ascii="Verdana" w:hAnsi="Verdana" w:cs="Calibri"/>
          <w:bCs/>
          <w:i/>
          <w:sz w:val="20"/>
          <w:szCs w:val="20"/>
        </w:rPr>
        <w:t xml:space="preserve">e </w:t>
      </w:r>
      <w:r w:rsidR="00291C7E">
        <w:rPr>
          <w:rFonts w:ascii="Verdana" w:hAnsi="Verdana" w:cs="Calibri"/>
          <w:bCs/>
          <w:i/>
          <w:sz w:val="20"/>
          <w:szCs w:val="20"/>
        </w:rPr>
        <w:t xml:space="preserve">27 </w:t>
      </w:r>
      <w:r w:rsidR="00F74233">
        <w:rPr>
          <w:rFonts w:ascii="Verdana" w:hAnsi="Verdana" w:cs="Calibri"/>
          <w:bCs/>
          <w:i/>
          <w:sz w:val="20"/>
          <w:szCs w:val="20"/>
        </w:rPr>
        <w:t>de julho de 2022</w:t>
      </w:r>
      <w:r w:rsidRPr="00260F51">
        <w:rPr>
          <w:rFonts w:ascii="Verdana" w:hAnsi="Verdana" w:cs="Calibri"/>
          <w:bCs/>
          <w:i/>
          <w:sz w:val="20"/>
          <w:szCs w:val="20"/>
        </w:rPr>
        <w:t>, inclusive,</w:t>
      </w:r>
    </w:p>
    <w:p w14:paraId="12683C7F" w14:textId="580AFA17" w:rsidR="002D682F" w:rsidRPr="007270E4" w:rsidRDefault="00F74233" w:rsidP="008F5F67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br/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base 252 (duzentos e cinquenta e dois) Dias Úteis (“</w:t>
      </w:r>
      <w:r w:rsidR="002D682F" w:rsidRPr="00260F51">
        <w:rPr>
          <w:rFonts w:ascii="Verdana" w:hAnsi="Verdana" w:cs="Calibri"/>
          <w:bCs/>
          <w:i/>
          <w:sz w:val="20"/>
          <w:szCs w:val="20"/>
          <w:u w:val="single"/>
        </w:rPr>
        <w:t>Sobretaxa – Debêntures Primeira Série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”, e, em conjunto com a Taxa</w:t>
      </w:r>
      <w:r w:rsidR="002D682F" w:rsidRPr="00260F51">
        <w:rPr>
          <w:rFonts w:ascii="Verdana" w:hAnsi="Verdana"/>
          <w:i/>
          <w:sz w:val="20"/>
        </w:rPr>
        <w:t xml:space="preserve"> DI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, “</w:t>
      </w:r>
      <w:r w:rsidR="002D682F" w:rsidRPr="00260F51">
        <w:rPr>
          <w:rFonts w:ascii="Verdana" w:hAnsi="Verdana" w:cs="Calibri"/>
          <w:bCs/>
          <w:i/>
          <w:sz w:val="20"/>
          <w:szCs w:val="20"/>
          <w:u w:val="single"/>
        </w:rPr>
        <w:t>Remuneração das Debêntures da Primeira Série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”), calculados de forma exponencial e cumulativa pro rata </w:t>
      </w:r>
      <w:proofErr w:type="spellStart"/>
      <w:r w:rsidR="002D682F" w:rsidRPr="00260F51">
        <w:rPr>
          <w:rFonts w:ascii="Verdana" w:hAnsi="Verdana" w:cs="Calibri"/>
          <w:bCs/>
          <w:i/>
          <w:sz w:val="20"/>
          <w:szCs w:val="20"/>
        </w:rPr>
        <w:t>temporis</w:t>
      </w:r>
      <w:proofErr w:type="spellEnd"/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 por Dias Úteis decorridos no Período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 xml:space="preserve"> de Capitalização das Debêntures (conforme abaixo definido). </w:t>
      </w:r>
    </w:p>
    <w:p w14:paraId="43E58BA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</w:p>
    <w:p w14:paraId="582B9CB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b/>
          <w:i/>
          <w:sz w:val="20"/>
        </w:rPr>
      </w:pPr>
      <w:r w:rsidRPr="00814441">
        <w:rPr>
          <w:rFonts w:ascii="Verdana" w:hAnsi="Verdana" w:cs="Calibri"/>
          <w:bCs/>
          <w:i/>
          <w:sz w:val="20"/>
          <w:szCs w:val="20"/>
        </w:rPr>
        <w:t>3.15.2</w:t>
      </w:r>
      <w:r w:rsidRPr="00814441">
        <w:rPr>
          <w:rFonts w:ascii="Verdana" w:hAnsi="Verdana" w:cs="Calibri"/>
          <w:bCs/>
          <w:i/>
          <w:sz w:val="20"/>
          <w:szCs w:val="20"/>
        </w:rPr>
        <w:tab/>
        <w:t xml:space="preserve">A </w:t>
      </w:r>
      <w:r w:rsidRPr="00814441">
        <w:rPr>
          <w:rFonts w:ascii="Verdana" w:hAnsi="Verdana"/>
          <w:i/>
          <w:sz w:val="20"/>
        </w:rPr>
        <w:t>Remuneração das Debêntures da Primeira Série será calculada de acordo com a seguinte fórmula</w:t>
      </w:r>
      <w:r w:rsidRPr="00814441">
        <w:rPr>
          <w:rFonts w:ascii="Verdana" w:hAnsi="Verdana" w:cs="Calibri"/>
          <w:bCs/>
          <w:i/>
          <w:sz w:val="20"/>
          <w:szCs w:val="20"/>
        </w:rPr>
        <w:t>:</w:t>
      </w:r>
      <w:r w:rsidRPr="00814441">
        <w:rPr>
          <w:rFonts w:ascii="Verdana" w:hAnsi="Verdana" w:cs="Calibri"/>
          <w:b/>
          <w:bCs/>
          <w:i/>
          <w:sz w:val="20"/>
          <w:szCs w:val="20"/>
        </w:rPr>
        <w:t xml:space="preserve"> </w:t>
      </w:r>
    </w:p>
    <w:p w14:paraId="1C28463E" w14:textId="77777777" w:rsidR="002D682F" w:rsidRPr="00814441" w:rsidRDefault="002D682F" w:rsidP="002D682F">
      <w:pPr>
        <w:tabs>
          <w:tab w:val="left" w:pos="709"/>
        </w:tabs>
        <w:spacing w:after="0" w:line="300" w:lineRule="exact"/>
        <w:jc w:val="both"/>
        <w:rPr>
          <w:rFonts w:ascii="Verdana" w:hAnsi="Verdana"/>
          <w:i/>
          <w:u w:val="single"/>
        </w:rPr>
      </w:pPr>
    </w:p>
    <w:p w14:paraId="501B749E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/>
          <w:bCs/>
          <w:i/>
        </w:rPr>
      </w:pPr>
      <m:oMathPara>
        <m:oMath>
          <m:r>
            <m:rPr>
              <m:sty m:val="bi"/>
            </m:rPr>
            <w:rPr>
              <w:rFonts w:ascii="Cambria Math" w:hAnsi="Cambria Math" w:cs="Calibri"/>
            </w:rPr>
            <m:t>J = VNe ×</m:t>
          </m:r>
          <m:d>
            <m:dPr>
              <m:ctrlPr>
                <w:rPr>
                  <w:rFonts w:ascii="Cambria Math" w:hAnsi="Cambria Math" w:cs="Calibri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FatorJuros – 1</m:t>
              </m:r>
            </m:e>
          </m:d>
        </m:oMath>
      </m:oMathPara>
    </w:p>
    <w:p w14:paraId="48559ECD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 w:rsidRPr="00814441">
        <w:rPr>
          <w:rFonts w:ascii="Verdana" w:hAnsi="Verdana"/>
          <w:i/>
          <w:sz w:val="20"/>
        </w:rPr>
        <w:t>onde:</w:t>
      </w:r>
    </w:p>
    <w:p w14:paraId="17B9EA4E" w14:textId="24DB4820" w:rsidR="002D682F" w:rsidRPr="00814441" w:rsidRDefault="00F74233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br/>
      </w:r>
      <w:r w:rsidR="002D682F" w:rsidRPr="00814441">
        <w:rPr>
          <w:rFonts w:ascii="Verdana" w:hAnsi="Verdana"/>
          <w:i/>
          <w:sz w:val="20"/>
        </w:rPr>
        <w:t xml:space="preserve">J = </w:t>
      </w:r>
      <w:r w:rsidR="002D682F" w:rsidRPr="00814441">
        <w:rPr>
          <w:rFonts w:ascii="Verdana" w:hAnsi="Verdana" w:cs="Calibri"/>
          <w:i/>
          <w:sz w:val="20"/>
          <w:szCs w:val="20"/>
        </w:rPr>
        <w:t>Valor</w:t>
      </w:r>
      <w:r w:rsidR="002D682F" w:rsidRPr="00814441">
        <w:rPr>
          <w:rFonts w:ascii="Verdana" w:hAnsi="Verdana"/>
          <w:i/>
          <w:sz w:val="20"/>
        </w:rPr>
        <w:t xml:space="preserve"> unitário da Remuneração das Debêntures da Primeira Série </w:t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devidos no final de </w:t>
      </w:r>
      <w:r w:rsidR="002D682F" w:rsidRPr="00814441">
        <w:rPr>
          <w:rFonts w:ascii="Verdana" w:hAnsi="Verdana"/>
          <w:i/>
          <w:sz w:val="20"/>
        </w:rPr>
        <w:t xml:space="preserve">cada </w:t>
      </w:r>
      <w:r w:rsidR="002D682F" w:rsidRPr="00814441">
        <w:rPr>
          <w:rFonts w:ascii="Verdana" w:hAnsi="Verdana" w:cs="Calibri"/>
          <w:i/>
          <w:sz w:val="20"/>
          <w:szCs w:val="20"/>
        </w:rPr>
        <w:t>Período</w:t>
      </w:r>
      <w:r w:rsidR="002D682F" w:rsidRPr="00814441">
        <w:rPr>
          <w:rFonts w:ascii="Verdana" w:hAnsi="Verdana"/>
          <w:i/>
          <w:sz w:val="20"/>
        </w:rPr>
        <w:t xml:space="preserve"> de </w:t>
      </w:r>
      <w:r w:rsidR="002D682F" w:rsidRPr="00814441">
        <w:rPr>
          <w:rFonts w:ascii="Verdana" w:hAnsi="Verdana" w:cs="Calibri"/>
          <w:i/>
          <w:sz w:val="20"/>
          <w:szCs w:val="20"/>
        </w:rPr>
        <w:t>Capitalização</w:t>
      </w:r>
      <w:r w:rsidR="002D682F" w:rsidRPr="00814441">
        <w:rPr>
          <w:rFonts w:ascii="Verdana" w:hAnsi="Verdana"/>
          <w:i/>
          <w:sz w:val="20"/>
        </w:rPr>
        <w:t xml:space="preserve"> das Debêntures, calculado com 8 (oito) casas decimais sem arredondamento;</w:t>
      </w:r>
    </w:p>
    <w:p w14:paraId="525E5EEB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 xml:space="preserve"> </w:t>
      </w:r>
    </w:p>
    <w:p w14:paraId="096C3A23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proofErr w:type="spellStart"/>
      <w:r w:rsidRPr="00814441">
        <w:rPr>
          <w:rFonts w:ascii="Verdana" w:hAnsi="Verdana" w:cs="Calibri"/>
          <w:i/>
          <w:sz w:val="20"/>
          <w:szCs w:val="20"/>
        </w:rPr>
        <w:t>Vne</w:t>
      </w:r>
      <w:proofErr w:type="spellEnd"/>
      <w:r w:rsidRPr="00814441">
        <w:rPr>
          <w:rFonts w:ascii="Verdana" w:hAnsi="Verdana"/>
          <w:i/>
          <w:sz w:val="20"/>
        </w:rPr>
        <w:t xml:space="preserve"> = Valor Nominal Unitário</w:t>
      </w:r>
      <w:r w:rsidRPr="00814441">
        <w:rPr>
          <w:rFonts w:ascii="Verdana" w:hAnsi="Verdana" w:cs="Calibri"/>
          <w:i/>
          <w:sz w:val="20"/>
          <w:szCs w:val="20"/>
        </w:rPr>
        <w:t xml:space="preserve"> das Debêntures da Primeira Série</w:t>
      </w:r>
      <w:r w:rsidRPr="00814441">
        <w:rPr>
          <w:rFonts w:ascii="Verdana" w:hAnsi="Verdana"/>
          <w:i/>
          <w:sz w:val="20"/>
        </w:rPr>
        <w:t xml:space="preserve"> ou saldo do Valor Nominal Unitário das Debêntures da Primeira Série, conforme o caso, informado/calculado com 8 (oito) casas decimais, sem arredondamento; </w:t>
      </w:r>
    </w:p>
    <w:p w14:paraId="49FC4B69" w14:textId="77777777" w:rsidR="002D69CC" w:rsidRDefault="002D69CC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17FEFF40" w14:textId="559ED91F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Fator Juros = Fator de juros composto pelo parâmetro de flutuação acrescido da Sobretaxa – Debêntures Primeira Série, calculado com 9 (nove) casas decimais, com arredondamento, apurado da seguinte forma:</w:t>
      </w:r>
    </w:p>
    <w:p w14:paraId="2C92E602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1A8EB791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/>
          <w:i/>
        </w:rPr>
      </w:pPr>
      <m:oMathPara>
        <m:oMath>
          <m:r>
            <m:rPr>
              <m:sty m:val="bi"/>
            </m:rPr>
            <w:rPr>
              <w:rFonts w:ascii="Cambria Math" w:hAnsi="Cambria Math" w:cs="Calibri"/>
            </w:rPr>
            <m:t>FatorJuros=FatorDI x FatorSpread</m:t>
          </m:r>
        </m:oMath>
      </m:oMathPara>
    </w:p>
    <w:p w14:paraId="7024EB2C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/>
          <w:bCs/>
          <w:i/>
          <w:sz w:val="20"/>
          <w:szCs w:val="20"/>
        </w:rPr>
      </w:pPr>
    </w:p>
    <w:p w14:paraId="535EEB5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proofErr w:type="spellStart"/>
      <w:r w:rsidRPr="00814441">
        <w:rPr>
          <w:rFonts w:ascii="Verdana" w:hAnsi="Verdana" w:cs="Calibri"/>
          <w:i/>
          <w:sz w:val="20"/>
          <w:szCs w:val="20"/>
        </w:rPr>
        <w:t>FatorDI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 xml:space="preserve"> = 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Produtório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 xml:space="preserve"> das Taxas DI, da data de início de cada Período de Capitalização das Debêntures, inclusive, até a data de cálculo, exclusive, calculado com 8 (oito) casas decimais, com arredondamento, apurado da seguinte forma:</w:t>
      </w:r>
    </w:p>
    <w:p w14:paraId="7B77929D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354096B5" w14:textId="77777777" w:rsidR="002D682F" w:rsidRPr="00814441" w:rsidRDefault="002D682F" w:rsidP="002D682F">
      <w:pPr>
        <w:spacing w:after="0" w:line="300" w:lineRule="atLeast"/>
        <w:ind w:left="709"/>
        <w:jc w:val="center"/>
        <w:rPr>
          <w:rFonts w:ascii="Garamond" w:hAnsi="Garamond"/>
          <w:b/>
          <w:bCs/>
          <w:i/>
          <w:spacing w:val="2"/>
        </w:rPr>
      </w:pPr>
      <m:oMathPara>
        <m:oMath>
          <m:r>
            <m:rPr>
              <m:sty m:val="bi"/>
            </m:rPr>
            <w:rPr>
              <w:rFonts w:ascii="Cambria Math" w:hAnsi="Cambria Math"/>
              <w:spacing w:val="2"/>
            </w:rPr>
            <m:t>Fator DI=</m:t>
          </m:r>
          <m:nary>
            <m:naryPr>
              <m:chr m:val="∏"/>
              <m:limLoc m:val="undOvr"/>
              <m:ctrlPr>
                <w:rPr>
                  <w:rFonts w:ascii="Cambria Math" w:hAnsi="Cambria Math" w:cs="Calibri"/>
                  <w:b/>
                  <w:bCs/>
                  <w:i/>
                  <w:spacing w:val="2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pacing w:val="2"/>
                </w:rPr>
                <m:t>k-1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2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Calibri"/>
                      <w:b/>
                      <w:bCs/>
                      <w:i/>
                      <w:spacing w:val="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2"/>
                    </w:rPr>
                    <m:t xml:space="preserve">1+ 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b/>
                          <w:bCs/>
                          <w:i/>
                          <w:spacing w:val="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pacing w:val="2"/>
                        </w:rPr>
                        <m:t>TDI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pacing w:val="2"/>
                        </w:rPr>
                        <m:t>k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Calibri"/>
                      <w:spacing w:val="2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cs="Calibri"/>
                          <w:b/>
                          <w:bCs/>
                          <w:i/>
                          <w:spacing w:val="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pacing w:val="2"/>
                        </w:rPr>
                        <m:t>p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pacing w:val="2"/>
                        </w:rPr>
                        <m:t>100</m:t>
                      </m:r>
                    </m:den>
                  </m:f>
                </m:e>
              </m:d>
            </m:e>
          </m:nary>
        </m:oMath>
      </m:oMathPara>
    </w:p>
    <w:p w14:paraId="09E27965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5057D0C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 w:rsidRPr="00814441">
        <w:rPr>
          <w:rFonts w:ascii="Verdana" w:hAnsi="Verdana"/>
          <w:i/>
          <w:sz w:val="20"/>
        </w:rPr>
        <w:t>onde:</w:t>
      </w:r>
    </w:p>
    <w:p w14:paraId="53F19898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k = Número de ordem das Taxas DI, variando de “1” até “n”;</w:t>
      </w:r>
    </w:p>
    <w:p w14:paraId="7677D66F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 w:rsidRPr="00814441">
        <w:rPr>
          <w:rFonts w:ascii="Verdana" w:hAnsi="Verdana" w:cs="Calibri"/>
          <w:i/>
          <w:sz w:val="20"/>
          <w:szCs w:val="20"/>
        </w:rPr>
        <w:t>n = corresponde ao número total de Taxas DI</w:t>
      </w:r>
      <w:r w:rsidRPr="00814441">
        <w:rPr>
          <w:rFonts w:ascii="Verdana" w:hAnsi="Verdana"/>
          <w:i/>
          <w:sz w:val="20"/>
        </w:rPr>
        <w:t xml:space="preserve"> desde a Data da 1ª Integralização ou a Data de Pagamento em que ocorreu o pagamento da Remuneração das Debêntures da Primeira Série imediatamente anterior, conforme o caso, inclusive, até a data de cálculo, </w:t>
      </w:r>
      <w:r w:rsidRPr="00814441">
        <w:rPr>
          <w:rFonts w:ascii="Verdana" w:hAnsi="Verdana" w:cs="Calibri"/>
          <w:i/>
          <w:sz w:val="20"/>
          <w:szCs w:val="20"/>
        </w:rPr>
        <w:t>sendo “n” um número inteiro;</w:t>
      </w:r>
    </w:p>
    <w:p w14:paraId="6E6A4AA5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</w:p>
    <w:p w14:paraId="3D2F5359" w14:textId="4E0BC64A" w:rsidR="00ED7D6A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lastRenderedPageBreak/>
        <w:t xml:space="preserve">p= 200 (duzentos), no período entre a Data da 1ª Integralização da Primeira Série, inclusive, e 10 de </w:t>
      </w:r>
      <w:r w:rsidRPr="00260F51">
        <w:rPr>
          <w:rFonts w:ascii="Verdana" w:hAnsi="Verdana" w:cs="Calibri"/>
          <w:i/>
          <w:sz w:val="20"/>
          <w:szCs w:val="20"/>
        </w:rPr>
        <w:t xml:space="preserve">junho de 2020, exclusive; 100 (cem), no período entre 10 de junho de 2020, inclusive, e 12 de agosto de 2021, exclusive; 130 (cento e trinta), de 12 de agosto de 2021, inclusive, </w:t>
      </w:r>
      <w:r w:rsidR="00F74233">
        <w:rPr>
          <w:rFonts w:ascii="Verdana" w:hAnsi="Verdana" w:cs="Calibri"/>
          <w:i/>
          <w:sz w:val="20"/>
          <w:szCs w:val="20"/>
        </w:rPr>
        <w:t xml:space="preserve">até </w:t>
      </w:r>
      <w:r w:rsidR="00291C7E">
        <w:rPr>
          <w:rFonts w:ascii="Verdana" w:hAnsi="Verdana" w:cs="Calibri"/>
          <w:i/>
          <w:sz w:val="20"/>
          <w:szCs w:val="20"/>
        </w:rPr>
        <w:t xml:space="preserve">27 </w:t>
      </w:r>
      <w:r w:rsidR="00F74233">
        <w:rPr>
          <w:rFonts w:ascii="Verdana" w:hAnsi="Verdana" w:cs="Calibri"/>
          <w:i/>
          <w:sz w:val="20"/>
          <w:szCs w:val="20"/>
        </w:rPr>
        <w:t xml:space="preserve">de julho de 2022, exclusive, </w:t>
      </w:r>
      <w:r w:rsidRPr="00260F51">
        <w:rPr>
          <w:rFonts w:ascii="Verdana" w:hAnsi="Verdana" w:cs="Calibri"/>
          <w:i/>
          <w:sz w:val="20"/>
          <w:szCs w:val="20"/>
        </w:rPr>
        <w:t>e 100 (cem), a partir d</w:t>
      </w:r>
      <w:r w:rsidR="00F74233">
        <w:rPr>
          <w:rFonts w:ascii="Verdana" w:hAnsi="Verdana" w:cs="Calibri"/>
          <w:i/>
          <w:sz w:val="20"/>
          <w:szCs w:val="20"/>
        </w:rPr>
        <w:t>e</w:t>
      </w:r>
      <w:r w:rsidRPr="00260F51">
        <w:rPr>
          <w:rFonts w:ascii="Verdana" w:hAnsi="Verdana" w:cs="Calibri"/>
          <w:i/>
          <w:sz w:val="20"/>
          <w:szCs w:val="20"/>
        </w:rPr>
        <w:t xml:space="preserve"> </w:t>
      </w:r>
      <w:r w:rsidR="00291C7E">
        <w:rPr>
          <w:rFonts w:ascii="Verdana" w:hAnsi="Verdana" w:cs="Calibri"/>
          <w:i/>
          <w:sz w:val="20"/>
          <w:szCs w:val="20"/>
        </w:rPr>
        <w:t xml:space="preserve">27 </w:t>
      </w:r>
      <w:r w:rsidR="00F74233">
        <w:rPr>
          <w:rFonts w:ascii="Verdana" w:hAnsi="Verdana" w:cs="Calibri"/>
          <w:i/>
          <w:sz w:val="20"/>
          <w:szCs w:val="20"/>
        </w:rPr>
        <w:t>de julho de 2022</w:t>
      </w:r>
      <w:r w:rsidRPr="00260F51">
        <w:rPr>
          <w:rFonts w:ascii="Verdana" w:hAnsi="Verdana" w:cs="Calibri"/>
          <w:i/>
          <w:sz w:val="20"/>
          <w:szCs w:val="20"/>
        </w:rPr>
        <w:t>, inclusive;</w:t>
      </w:r>
    </w:p>
    <w:p w14:paraId="7EBE928D" w14:textId="231D617F" w:rsidR="002D682F" w:rsidRPr="00260F5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700919BD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proofErr w:type="spellStart"/>
      <w:r w:rsidRPr="00260F51">
        <w:rPr>
          <w:rFonts w:ascii="Verdana" w:hAnsi="Verdana"/>
          <w:i/>
          <w:sz w:val="20"/>
        </w:rPr>
        <w:t>TDI</w:t>
      </w:r>
      <w:r w:rsidRPr="00260F51">
        <w:rPr>
          <w:rFonts w:ascii="Verdana" w:hAnsi="Verdana"/>
          <w:i/>
          <w:sz w:val="20"/>
          <w:vertAlign w:val="subscript"/>
        </w:rPr>
        <w:t>k</w:t>
      </w:r>
      <w:proofErr w:type="spellEnd"/>
      <w:r w:rsidRPr="00260F51">
        <w:rPr>
          <w:rFonts w:ascii="Verdana" w:hAnsi="Verdana" w:cs="Calibri"/>
          <w:i/>
          <w:sz w:val="20"/>
          <w:szCs w:val="20"/>
        </w:rPr>
        <w:t xml:space="preserve"> </w:t>
      </w:r>
      <w:r w:rsidRPr="00260F51">
        <w:rPr>
          <w:rFonts w:ascii="Verdana" w:hAnsi="Verdana"/>
          <w:i/>
          <w:sz w:val="20"/>
        </w:rPr>
        <w:t xml:space="preserve">= Taxa DI de ordem k, expressa ao dia, calculada com 8 (oito) casas decimais com arredondamento, </w:t>
      </w:r>
      <w:r w:rsidRPr="00260F51">
        <w:rPr>
          <w:rFonts w:ascii="Verdana" w:hAnsi="Verdana" w:cs="Calibri"/>
          <w:i/>
          <w:sz w:val="20"/>
          <w:szCs w:val="20"/>
        </w:rPr>
        <w:t>apurado</w:t>
      </w:r>
      <w:r w:rsidRPr="00260F51">
        <w:rPr>
          <w:rFonts w:ascii="Verdana" w:hAnsi="Verdana"/>
          <w:i/>
          <w:sz w:val="20"/>
        </w:rPr>
        <w:t xml:space="preserve"> da seguinte forma:</w:t>
      </w:r>
    </w:p>
    <w:p w14:paraId="282D64DE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70836034" w14:textId="77777777" w:rsidR="002D682F" w:rsidRPr="00814441" w:rsidRDefault="005C162B" w:rsidP="002D682F">
      <w:pPr>
        <w:spacing w:after="0" w:line="300" w:lineRule="atLeast"/>
        <w:ind w:left="709"/>
        <w:jc w:val="center"/>
        <w:rPr>
          <w:rFonts w:ascii="Garamond" w:hAnsi="Garamond"/>
          <w:b/>
          <w:bCs/>
          <w:i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TDI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 w:cs="Calibri"/>
                  <w:b/>
                  <w:bCs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b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b/>
                          <w:bCs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Calibri"/>
                              <w:b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DI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 w:cs="Calibr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252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/>
            </w:rPr>
            <m:t>-1</m:t>
          </m:r>
        </m:oMath>
      </m:oMathPara>
    </w:p>
    <w:p w14:paraId="7B0E96A2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</w:p>
    <w:p w14:paraId="79B5CCD8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 w:rsidRPr="00814441">
        <w:rPr>
          <w:rFonts w:ascii="Verdana" w:hAnsi="Verdana"/>
          <w:i/>
          <w:sz w:val="20"/>
        </w:rPr>
        <w:t>onde:</w:t>
      </w:r>
    </w:p>
    <w:p w14:paraId="4E806E62" w14:textId="5979DEB0" w:rsidR="002D682F" w:rsidRPr="00814441" w:rsidRDefault="00ED7D6A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br/>
      </w:r>
      <w:r w:rsidR="002D682F" w:rsidRPr="00814441">
        <w:rPr>
          <w:rFonts w:ascii="Verdana" w:hAnsi="Verdana"/>
          <w:i/>
          <w:sz w:val="20"/>
        </w:rPr>
        <w:t xml:space="preserve">k = </w:t>
      </w:r>
      <w:r w:rsidR="002D682F" w:rsidRPr="00814441">
        <w:rPr>
          <w:rFonts w:ascii="Verdana" w:hAnsi="Verdana" w:cs="Calibri"/>
          <w:i/>
          <w:sz w:val="20"/>
          <w:szCs w:val="20"/>
        </w:rPr>
        <w:tab/>
        <w:t>corresponde</w:t>
      </w:r>
      <w:r w:rsidR="002D682F" w:rsidRPr="00814441">
        <w:rPr>
          <w:rFonts w:ascii="Verdana" w:hAnsi="Verdana"/>
          <w:i/>
          <w:sz w:val="20"/>
        </w:rPr>
        <w:t xml:space="preserve"> ao número de ordem das Taxas DI, variando de 1 até n</w:t>
      </w:r>
      <w:r w:rsidR="002D682F" w:rsidRPr="00814441">
        <w:rPr>
          <w:rFonts w:ascii="Verdana" w:hAnsi="Verdana" w:cs="Calibri"/>
          <w:i/>
          <w:sz w:val="20"/>
          <w:szCs w:val="20"/>
        </w:rPr>
        <w:t>, sendo “k” um número inteiro;</w:t>
      </w:r>
    </w:p>
    <w:p w14:paraId="30177F71" w14:textId="16916F87" w:rsidR="002D682F" w:rsidRPr="00814441" w:rsidRDefault="00ED7D6A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br/>
      </w:r>
      <w:proofErr w:type="spellStart"/>
      <w:r w:rsidR="002D682F" w:rsidRPr="00814441">
        <w:rPr>
          <w:rFonts w:ascii="Verdana" w:hAnsi="Verdana"/>
          <w:i/>
          <w:sz w:val="20"/>
        </w:rPr>
        <w:t>DI</w:t>
      </w:r>
      <w:r w:rsidR="002D682F" w:rsidRPr="00814441">
        <w:rPr>
          <w:rFonts w:ascii="Verdana" w:hAnsi="Verdana"/>
          <w:i/>
          <w:sz w:val="20"/>
          <w:vertAlign w:val="subscript"/>
        </w:rPr>
        <w:t>k</w:t>
      </w:r>
      <w:proofErr w:type="spellEnd"/>
      <w:r w:rsidR="002D682F" w:rsidRPr="00814441">
        <w:rPr>
          <w:rFonts w:ascii="Verdana" w:hAnsi="Verdana"/>
          <w:i/>
          <w:sz w:val="20"/>
        </w:rPr>
        <w:t xml:space="preserve"> = </w:t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corresponde à </w:t>
      </w:r>
      <w:r w:rsidR="002D682F" w:rsidRPr="00814441">
        <w:rPr>
          <w:rFonts w:ascii="Verdana" w:hAnsi="Verdana"/>
          <w:i/>
          <w:sz w:val="20"/>
        </w:rPr>
        <w:t xml:space="preserve">Taxa DI, de ordem k, divulgada pela B3, </w:t>
      </w:r>
      <w:r w:rsidR="002D682F" w:rsidRPr="00814441">
        <w:rPr>
          <w:rFonts w:ascii="Verdana" w:hAnsi="Verdana" w:cs="Calibri"/>
          <w:i/>
          <w:sz w:val="20"/>
          <w:szCs w:val="20"/>
        </w:rPr>
        <w:t>válida por 1 (um) Dia Útil (overnight), informada</w:t>
      </w:r>
      <w:r w:rsidR="002D682F" w:rsidRPr="00814441">
        <w:rPr>
          <w:rFonts w:ascii="Verdana" w:hAnsi="Verdana"/>
          <w:i/>
          <w:sz w:val="20"/>
        </w:rPr>
        <w:t xml:space="preserve"> com 2 (duas) casas decimais</w:t>
      </w:r>
      <w:r w:rsidR="002D682F" w:rsidRPr="00814441">
        <w:rPr>
          <w:rFonts w:ascii="Verdana" w:hAnsi="Verdana" w:cs="Calibri"/>
          <w:i/>
          <w:sz w:val="20"/>
          <w:szCs w:val="20"/>
        </w:rPr>
        <w:t>;</w:t>
      </w:r>
    </w:p>
    <w:p w14:paraId="1080E3BA" w14:textId="22DD58DC" w:rsidR="002D682F" w:rsidRPr="00814441" w:rsidRDefault="00ED7D6A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proofErr w:type="spellStart"/>
      <w:r w:rsidR="002D682F" w:rsidRPr="00814441">
        <w:rPr>
          <w:rFonts w:ascii="Verdana" w:hAnsi="Verdana" w:cs="Calibri"/>
          <w:i/>
          <w:sz w:val="20"/>
          <w:szCs w:val="20"/>
        </w:rPr>
        <w:t>FatorSpread</w:t>
      </w:r>
      <w:proofErr w:type="spellEnd"/>
      <w:r w:rsidR="002D682F" w:rsidRPr="00814441">
        <w:rPr>
          <w:rFonts w:ascii="Verdana" w:hAnsi="Verdana" w:cs="Calibri"/>
          <w:i/>
          <w:sz w:val="20"/>
          <w:szCs w:val="20"/>
        </w:rPr>
        <w:t xml:space="preserve"> = Sobretaxa – Debêntures Primeira Série de juros fixos, calculada com 9 (nove) casas decimais, com arredondamento, da seguinte forma:</w:t>
      </w:r>
    </w:p>
    <w:p w14:paraId="3BAD099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785600CE" w14:textId="45136D8F" w:rsidR="002D682F" w:rsidRPr="00291C7E" w:rsidRDefault="002D682F" w:rsidP="002D682F">
      <w:pPr>
        <w:spacing w:after="0" w:line="300" w:lineRule="atLeast"/>
        <w:ind w:left="709"/>
        <w:jc w:val="center"/>
        <w:rPr>
          <w:rFonts w:ascii="Garamond" w:hAnsi="Garamond"/>
          <w:b/>
          <w:bCs/>
          <w:i/>
          <w:sz w:val="20"/>
          <w:szCs w:val="20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FatorSpread=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b/>
                    <w:bCs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spread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+1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Calibri"/>
                    <w:b/>
                    <w:bCs/>
                    <w:i/>
                    <w:sz w:val="20"/>
                    <w:szCs w:val="2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dp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252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="Calibri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b/>
                    <w:bCs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spread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+1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Calibri"/>
                    <w:b/>
                    <w:bCs/>
                    <w:i/>
                    <w:sz w:val="20"/>
                    <w:szCs w:val="2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dp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252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="Calibri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b/>
                    <w:bCs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spread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+1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Calibri"/>
                    <w:b/>
                    <w:bCs/>
                    <w:i/>
                    <w:sz w:val="20"/>
                    <w:szCs w:val="2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dp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252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="Calibri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b/>
                    <w:bCs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spread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+1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Calibri"/>
                    <w:b/>
                    <w:bCs/>
                    <w:i/>
                    <w:sz w:val="20"/>
                    <w:szCs w:val="2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dp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252</m:t>
                </m:r>
              </m:den>
            </m:f>
          </m:sup>
        </m:sSup>
      </m:oMath>
      <w:r w:rsidRPr="00291C7E">
        <w:rPr>
          <w:rFonts w:ascii="Garamond" w:hAnsi="Garamond"/>
          <w:b/>
          <w:bCs/>
          <w:i/>
          <w:sz w:val="20"/>
          <w:szCs w:val="20"/>
        </w:rPr>
        <w:t xml:space="preserve"> </w:t>
      </w:r>
    </w:p>
    <w:p w14:paraId="1669D0F4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7481ECB1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onde:</w:t>
      </w:r>
    </w:p>
    <w:p w14:paraId="37622A27" w14:textId="6521DA28" w:rsidR="002D682F" w:rsidRPr="00814441" w:rsidRDefault="00ED7D6A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spread1 = 0,0000 no período entre a Data da 1ª Integralização da Primeira Série, inclusive, e 10 de junho de 2020, exclusive; </w:t>
      </w:r>
    </w:p>
    <w:p w14:paraId="4BF7EAB7" w14:textId="5EBB239F" w:rsidR="002D682F" w:rsidRPr="00814441" w:rsidRDefault="00ED7D6A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spread2 = 8,0000, no período entre 10 de junho de 2020, inclusive e 12 de agosto de 2021, exclusive; </w:t>
      </w:r>
    </w:p>
    <w:p w14:paraId="00F45270" w14:textId="0EE7313F" w:rsidR="002D682F" w:rsidRDefault="00ED7D6A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i/>
          <w:sz w:val="20"/>
          <w:szCs w:val="20"/>
        </w:rPr>
        <w:t>spread3 = 0,0000, de 12 de agosto de 2021, inclusive</w:t>
      </w:r>
      <w:r w:rsidR="00F74233">
        <w:rPr>
          <w:rFonts w:ascii="Verdana" w:hAnsi="Verdana" w:cs="Calibri"/>
          <w:i/>
          <w:sz w:val="20"/>
          <w:szCs w:val="20"/>
        </w:rPr>
        <w:t xml:space="preserve">, até </w:t>
      </w:r>
      <w:r w:rsidR="00291C7E">
        <w:rPr>
          <w:rFonts w:ascii="Verdana" w:hAnsi="Verdana" w:cs="Calibri"/>
          <w:i/>
          <w:sz w:val="20"/>
          <w:szCs w:val="20"/>
        </w:rPr>
        <w:t xml:space="preserve">27 </w:t>
      </w:r>
      <w:r w:rsidR="00F74233">
        <w:rPr>
          <w:rFonts w:ascii="Verdana" w:hAnsi="Verdana" w:cs="Calibri"/>
          <w:i/>
          <w:sz w:val="20"/>
          <w:szCs w:val="20"/>
        </w:rPr>
        <w:t>de julho de 2022, exclusive, e</w:t>
      </w:r>
      <w:r w:rsidR="002D682F" w:rsidRPr="00814441">
        <w:rPr>
          <w:rFonts w:ascii="Verdana" w:hAnsi="Verdana" w:cs="Calibri"/>
          <w:i/>
          <w:sz w:val="20"/>
          <w:szCs w:val="20"/>
        </w:rPr>
        <w:t>;</w:t>
      </w:r>
    </w:p>
    <w:p w14:paraId="380B5201" w14:textId="6F560208" w:rsidR="002D682F" w:rsidRPr="00814441" w:rsidRDefault="00ED7D6A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r w:rsidR="002D682F">
        <w:rPr>
          <w:rFonts w:ascii="Verdana" w:hAnsi="Verdana" w:cs="Calibri"/>
          <w:i/>
          <w:sz w:val="20"/>
          <w:szCs w:val="20"/>
        </w:rPr>
        <w:t>spread4 = 0,5</w:t>
      </w:r>
      <w:r>
        <w:rPr>
          <w:rFonts w:ascii="Verdana" w:hAnsi="Verdana" w:cs="Calibri"/>
          <w:i/>
          <w:sz w:val="20"/>
          <w:szCs w:val="20"/>
        </w:rPr>
        <w:t>000</w:t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, a partir </w:t>
      </w:r>
      <w:r w:rsidR="002D682F">
        <w:rPr>
          <w:rFonts w:ascii="Verdana" w:hAnsi="Verdana" w:cs="Calibri"/>
          <w:i/>
          <w:sz w:val="20"/>
          <w:szCs w:val="20"/>
        </w:rPr>
        <w:t>d</w:t>
      </w:r>
      <w:r w:rsidR="00F74233">
        <w:rPr>
          <w:rFonts w:ascii="Verdana" w:hAnsi="Verdana" w:cs="Calibri"/>
          <w:i/>
          <w:sz w:val="20"/>
          <w:szCs w:val="20"/>
        </w:rPr>
        <w:t xml:space="preserve">e </w:t>
      </w:r>
      <w:r w:rsidR="00291C7E">
        <w:rPr>
          <w:rFonts w:ascii="Verdana" w:hAnsi="Verdana" w:cs="Calibri"/>
          <w:i/>
          <w:sz w:val="20"/>
          <w:szCs w:val="20"/>
        </w:rPr>
        <w:t xml:space="preserve">27 </w:t>
      </w:r>
      <w:r w:rsidR="00F74233">
        <w:rPr>
          <w:rFonts w:ascii="Verdana" w:hAnsi="Verdana" w:cs="Calibri"/>
          <w:i/>
          <w:sz w:val="20"/>
          <w:szCs w:val="20"/>
        </w:rPr>
        <w:t>de julho de 2022</w:t>
      </w:r>
      <w:r w:rsidR="002D682F" w:rsidRPr="00814441">
        <w:rPr>
          <w:rFonts w:ascii="Verdana" w:hAnsi="Verdana" w:cs="Calibri"/>
          <w:i/>
          <w:sz w:val="20"/>
          <w:szCs w:val="20"/>
        </w:rPr>
        <w:t>, inclusive;</w:t>
      </w:r>
    </w:p>
    <w:p w14:paraId="2555B680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64470C0A" w14:textId="2A308AFF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dp1 = no período entre a Data da 1ª Integralização da Primeira Série, inclusive, e 10 de junho de 2020, exclusive, é o número de Dias Úteis entre a Data da 1ª Integralização das Debêntures da Primeira Série ou a Data de Pagamento dos Juros Remuneratórios das Debêntures da Primeira Série imediatamente anterior (inclusive) e a data de cálculo (exclusive), sendo “dp</w:t>
      </w:r>
      <w:r w:rsidR="00B425B3">
        <w:rPr>
          <w:rFonts w:ascii="Verdana" w:hAnsi="Verdana" w:cs="Calibri"/>
          <w:i/>
          <w:sz w:val="20"/>
          <w:szCs w:val="20"/>
        </w:rPr>
        <w:t>1</w:t>
      </w:r>
      <w:r w:rsidRPr="00814441">
        <w:rPr>
          <w:rFonts w:ascii="Verdana" w:hAnsi="Verdana" w:cs="Calibri"/>
          <w:i/>
          <w:sz w:val="20"/>
          <w:szCs w:val="20"/>
        </w:rPr>
        <w:t>” um número inteiro;</w:t>
      </w:r>
    </w:p>
    <w:p w14:paraId="14A5B6AC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345DB290" w14:textId="6CC5972A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dp2 = no período entre 10 de junho de 2020, inclusive e 12 de agosto de 2021, exclusive, é o número de Dias Úteis entre 10 de junho de 2020, inclusive, ou a Data de Pagamento dos Juros Remuneratórios das Debêntures da Primeira Série imediatamente anterior (inclusive) e a data de cálculo (exclusive), sendo “dp</w:t>
      </w:r>
      <w:r w:rsidR="00B425B3">
        <w:rPr>
          <w:rFonts w:ascii="Verdana" w:hAnsi="Verdana" w:cs="Calibri"/>
          <w:i/>
          <w:sz w:val="20"/>
          <w:szCs w:val="20"/>
        </w:rPr>
        <w:t>2</w:t>
      </w:r>
      <w:r w:rsidRPr="00814441">
        <w:rPr>
          <w:rFonts w:ascii="Verdana" w:hAnsi="Verdana" w:cs="Calibri"/>
          <w:i/>
          <w:sz w:val="20"/>
          <w:szCs w:val="20"/>
        </w:rPr>
        <w:t>” um número inteiro;</w:t>
      </w:r>
    </w:p>
    <w:p w14:paraId="0997FC22" w14:textId="44D047D5" w:rsidR="002D682F" w:rsidRDefault="00ED7D6A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dp3 = </w:t>
      </w:r>
      <w:r w:rsidR="00F74233">
        <w:rPr>
          <w:rFonts w:ascii="Verdana" w:hAnsi="Verdana" w:cs="Calibri"/>
          <w:i/>
          <w:sz w:val="20"/>
          <w:szCs w:val="20"/>
        </w:rPr>
        <w:t>no período entre</w:t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 12 de agosto de 2021, inclusive,</w:t>
      </w:r>
      <w:r w:rsidR="00F74233">
        <w:rPr>
          <w:rFonts w:ascii="Verdana" w:hAnsi="Verdana" w:cs="Calibri"/>
          <w:i/>
          <w:sz w:val="20"/>
          <w:szCs w:val="20"/>
        </w:rPr>
        <w:t xml:space="preserve"> e </w:t>
      </w:r>
      <w:r w:rsidR="00291C7E">
        <w:rPr>
          <w:rFonts w:ascii="Verdana" w:hAnsi="Verdana" w:cs="Calibri"/>
          <w:i/>
          <w:sz w:val="20"/>
          <w:szCs w:val="20"/>
        </w:rPr>
        <w:t xml:space="preserve">27 </w:t>
      </w:r>
      <w:r w:rsidR="00F74233">
        <w:rPr>
          <w:rFonts w:ascii="Verdana" w:hAnsi="Verdana" w:cs="Calibri"/>
          <w:i/>
          <w:sz w:val="20"/>
          <w:szCs w:val="20"/>
        </w:rPr>
        <w:t>de julho de 2022, exclusive,</w:t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 é o número de Dias Úteis entre 12 de agosto de 2021, inclusive, ou a Data de Pagamento dos Juros Remuneratórios das Debêntures da Primeira Série imediatamente anterior (inclusive) e a data de cálculo (exclusive), sendo “dp</w:t>
      </w:r>
      <w:r w:rsidR="00B425B3">
        <w:rPr>
          <w:rFonts w:ascii="Verdana" w:hAnsi="Verdana" w:cs="Calibri"/>
          <w:i/>
          <w:sz w:val="20"/>
          <w:szCs w:val="20"/>
        </w:rPr>
        <w:t>3</w:t>
      </w:r>
      <w:r w:rsidR="002D682F" w:rsidRPr="00814441">
        <w:rPr>
          <w:rFonts w:ascii="Verdana" w:hAnsi="Verdana" w:cs="Calibri"/>
          <w:i/>
          <w:sz w:val="20"/>
          <w:szCs w:val="20"/>
        </w:rPr>
        <w:t>” um número inteiro;</w:t>
      </w:r>
    </w:p>
    <w:p w14:paraId="26B05236" w14:textId="17E7CC79" w:rsidR="002D682F" w:rsidRPr="00814441" w:rsidRDefault="00B425B3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i/>
          <w:sz w:val="20"/>
          <w:szCs w:val="20"/>
        </w:rPr>
        <w:t>dp</w:t>
      </w:r>
      <w:r w:rsidR="002D682F">
        <w:rPr>
          <w:rFonts w:ascii="Verdana" w:hAnsi="Verdana" w:cs="Calibri"/>
          <w:i/>
          <w:sz w:val="20"/>
          <w:szCs w:val="20"/>
        </w:rPr>
        <w:t>4</w:t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 = a partir </w:t>
      </w:r>
      <w:r w:rsidR="002D682F">
        <w:rPr>
          <w:rFonts w:ascii="Verdana" w:hAnsi="Verdana" w:cs="Calibri"/>
          <w:i/>
          <w:sz w:val="20"/>
          <w:szCs w:val="20"/>
        </w:rPr>
        <w:t>d</w:t>
      </w:r>
      <w:r>
        <w:rPr>
          <w:rFonts w:ascii="Verdana" w:hAnsi="Verdana" w:cs="Calibri"/>
          <w:i/>
          <w:sz w:val="20"/>
          <w:szCs w:val="20"/>
        </w:rPr>
        <w:t>e</w:t>
      </w:r>
      <w:r w:rsidR="002D682F">
        <w:rPr>
          <w:rFonts w:ascii="Verdana" w:hAnsi="Verdana" w:cs="Calibri"/>
          <w:i/>
          <w:sz w:val="20"/>
          <w:szCs w:val="20"/>
        </w:rPr>
        <w:t xml:space="preserve"> </w:t>
      </w:r>
      <w:r w:rsidR="00291C7E">
        <w:rPr>
          <w:rFonts w:ascii="Verdana" w:hAnsi="Verdana" w:cs="Calibri"/>
          <w:i/>
          <w:sz w:val="20"/>
          <w:szCs w:val="20"/>
        </w:rPr>
        <w:t xml:space="preserve">27 </w:t>
      </w:r>
      <w:r>
        <w:rPr>
          <w:rFonts w:ascii="Verdana" w:hAnsi="Verdana" w:cs="Calibri"/>
          <w:i/>
          <w:sz w:val="20"/>
          <w:szCs w:val="20"/>
        </w:rPr>
        <w:t>de julho de 2022</w:t>
      </w:r>
      <w:r w:rsidR="002D682F" w:rsidRPr="00814441">
        <w:rPr>
          <w:rFonts w:ascii="Verdana" w:hAnsi="Verdana" w:cs="Calibri"/>
          <w:i/>
          <w:sz w:val="20"/>
          <w:szCs w:val="20"/>
        </w:rPr>
        <w:t xml:space="preserve">, inclusive, é o número de Dias Úteis entre </w:t>
      </w:r>
      <w:r w:rsidR="00291C7E">
        <w:rPr>
          <w:rFonts w:ascii="Verdana" w:hAnsi="Verdana" w:cs="Calibri"/>
          <w:i/>
          <w:sz w:val="20"/>
          <w:szCs w:val="20"/>
        </w:rPr>
        <w:t xml:space="preserve">27 </w:t>
      </w:r>
      <w:r>
        <w:rPr>
          <w:rFonts w:ascii="Verdana" w:hAnsi="Verdana" w:cs="Calibri"/>
          <w:i/>
          <w:sz w:val="20"/>
          <w:szCs w:val="20"/>
        </w:rPr>
        <w:t>de julho de 2022</w:t>
      </w:r>
      <w:r w:rsidR="002D682F" w:rsidRPr="00814441">
        <w:rPr>
          <w:rFonts w:ascii="Verdana" w:hAnsi="Verdana" w:cs="Calibri"/>
          <w:i/>
          <w:sz w:val="20"/>
          <w:szCs w:val="20"/>
        </w:rPr>
        <w:t>, inclusive, ou a Data de Pagamento dos Juros Remuneratórios das Debêntures da Primeira Série imediatamente anterior (inclusive) e a data de cálculo (exclusive), sendo “dp</w:t>
      </w:r>
      <w:r>
        <w:rPr>
          <w:rFonts w:ascii="Verdana" w:hAnsi="Verdana" w:cs="Calibri"/>
          <w:i/>
          <w:sz w:val="20"/>
          <w:szCs w:val="20"/>
        </w:rPr>
        <w:t>4</w:t>
      </w:r>
      <w:r w:rsidR="002D682F" w:rsidRPr="00814441">
        <w:rPr>
          <w:rFonts w:ascii="Verdana" w:hAnsi="Verdana" w:cs="Calibri"/>
          <w:i/>
          <w:sz w:val="20"/>
          <w:szCs w:val="20"/>
        </w:rPr>
        <w:t>” um número inteiro;</w:t>
      </w:r>
    </w:p>
    <w:p w14:paraId="554E9B63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43AC0087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Observações aplicáveis ao cálculo da Remuneração das Debêntures da Primeira Série:</w:t>
      </w:r>
    </w:p>
    <w:p w14:paraId="389D138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7D033619" w14:textId="77777777" w:rsidR="002D682F" w:rsidRPr="00814441" w:rsidRDefault="002D682F" w:rsidP="002D682F">
      <w:pPr>
        <w:numPr>
          <w:ilvl w:val="4"/>
          <w:numId w:val="2"/>
        </w:numPr>
        <w:tabs>
          <w:tab w:val="left" w:pos="709"/>
        </w:tabs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A Taxa DI deverá ser utilizada considerando idêntico número de casas decimais divulgada pela B3;</w:t>
      </w:r>
    </w:p>
    <w:p w14:paraId="7F3F5A49" w14:textId="77777777" w:rsidR="002D682F" w:rsidRPr="00814441" w:rsidRDefault="002D682F" w:rsidP="002D682F">
      <w:pPr>
        <w:numPr>
          <w:ilvl w:val="4"/>
          <w:numId w:val="2"/>
        </w:numPr>
        <w:tabs>
          <w:tab w:val="left" w:pos="709"/>
        </w:tabs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 xml:space="preserve">Efetua-se o 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produtório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 xml:space="preserve"> dos fatores diários (1 + 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TDI</w:t>
      </w:r>
      <w:r w:rsidRPr="00814441">
        <w:rPr>
          <w:rFonts w:ascii="Verdana" w:hAnsi="Verdana" w:cs="Calibri"/>
          <w:i/>
          <w:sz w:val="20"/>
          <w:szCs w:val="20"/>
          <w:vertAlign w:val="subscript"/>
        </w:rPr>
        <w:t>k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>), sendo que a cada fator diário acumulado, trunca-se o resultado com 16 (dezesseis) casas decimais, aplicando-se o próximo fator diário, e assim por diante até o último considerado;</w:t>
      </w:r>
    </w:p>
    <w:p w14:paraId="3C779071" w14:textId="77777777" w:rsidR="002D682F" w:rsidRPr="00814441" w:rsidRDefault="002D682F" w:rsidP="002D682F">
      <w:pPr>
        <w:numPr>
          <w:ilvl w:val="4"/>
          <w:numId w:val="2"/>
        </w:numPr>
        <w:tabs>
          <w:tab w:val="left" w:pos="709"/>
        </w:tabs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Uma vez os fatores estando acumulados, considera-se o fator resultante “Fator DI” com 8 (oito) casas decimais, com arredondamento;</w:t>
      </w:r>
    </w:p>
    <w:p w14:paraId="51ED0482" w14:textId="77777777" w:rsidR="002D682F" w:rsidRDefault="002D682F" w:rsidP="002D682F">
      <w:pPr>
        <w:numPr>
          <w:ilvl w:val="4"/>
          <w:numId w:val="2"/>
        </w:numPr>
        <w:tabs>
          <w:tab w:val="left" w:pos="709"/>
        </w:tabs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O fator resultante da expressão (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FatorDI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 xml:space="preserve"> x 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FatorSpread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>) é considerado com 9 (nove) casas decimais, com arredondamento; e</w:t>
      </w:r>
    </w:p>
    <w:p w14:paraId="601ECA02" w14:textId="0041CCB5" w:rsidR="00261009" w:rsidRPr="00307FC9" w:rsidRDefault="00651A66" w:rsidP="002D682F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br/>
      </w:r>
      <w:r w:rsidR="002D682F" w:rsidRPr="00814441">
        <w:rPr>
          <w:rFonts w:ascii="Verdana" w:hAnsi="Verdana" w:cs="Calibri"/>
          <w:i/>
          <w:sz w:val="20"/>
          <w:szCs w:val="20"/>
        </w:rPr>
        <w:t>Para o 1º (primeiro) “Período de Capitalização”, considerar-se-á o intervalo de tempo que se inicia na respectiva Data da 1ª Integralização (inclusive) e termina na 1ª (primeira) Data de Pagamento em que ocorrer pagamento da  Remuneração das Debêntures da Primeira Série (exclusive); e para os demais “Períodos de Capitalização”, considerar-se-á o intervalo de tempo que se inicia na Data de Pagamento em que ocorrer o pagamento da Remuneração das Debêntures da Primeira Série</w:t>
      </w:r>
      <w:r w:rsidR="002D682F" w:rsidRPr="00814441" w:rsidDel="00282CAC">
        <w:rPr>
          <w:rFonts w:ascii="Verdana" w:hAnsi="Verdana" w:cs="Calibri"/>
          <w:i/>
          <w:sz w:val="20"/>
          <w:szCs w:val="20"/>
        </w:rPr>
        <w:t xml:space="preserve"> </w:t>
      </w:r>
      <w:r w:rsidR="002D682F" w:rsidRPr="00814441">
        <w:rPr>
          <w:rFonts w:ascii="Verdana" w:hAnsi="Verdana" w:cs="Calibri"/>
          <w:i/>
          <w:sz w:val="20"/>
          <w:szCs w:val="20"/>
        </w:rPr>
        <w:t>imediatamente anterior (inclusive) e termina na Data de Pagamento em que ocorrer o próximo pagamento da Remuneração das Debêntures da Primeira Série, para o período em questão (exclusive), sendo certo que cada Período de Capitalização sucede o anterior sem solução de continuidade, até a Data de Vencimento ou a data de vencimento antecipado das Debêntures da Primeira Série, conforme o caso</w:t>
      </w:r>
      <w:r w:rsidR="002D682F">
        <w:rPr>
          <w:rFonts w:ascii="Verdana" w:hAnsi="Verdana" w:cs="Calibri"/>
          <w:i/>
          <w:sz w:val="20"/>
          <w:szCs w:val="20"/>
        </w:rPr>
        <w:t>.</w:t>
      </w:r>
      <w:r w:rsidR="00261009" w:rsidRPr="00307FC9">
        <w:rPr>
          <w:rFonts w:ascii="Verdana" w:hAnsi="Verdana" w:cs="Calibri"/>
          <w:i/>
          <w:sz w:val="20"/>
          <w:szCs w:val="20"/>
        </w:rPr>
        <w:t>”</w:t>
      </w:r>
    </w:p>
    <w:bookmarkEnd w:id="7"/>
    <w:p w14:paraId="183898FA" w14:textId="77777777" w:rsidR="00261009" w:rsidRPr="006640D5" w:rsidRDefault="00261009" w:rsidP="002D682F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i/>
          <w:sz w:val="20"/>
        </w:rPr>
      </w:pPr>
    </w:p>
    <w:p w14:paraId="00A10E77" w14:textId="72A18B7D" w:rsidR="00261009" w:rsidRPr="003E501D" w:rsidRDefault="00261009" w:rsidP="00261009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 w:rsidRPr="00D60205">
        <w:rPr>
          <w:rFonts w:ascii="Verdana" w:hAnsi="Verdana"/>
          <w:iCs/>
          <w:sz w:val="20"/>
        </w:rPr>
        <w:lastRenderedPageBreak/>
        <w:t>6.3.</w:t>
      </w:r>
      <w:r w:rsidRPr="00D60205">
        <w:rPr>
          <w:rFonts w:ascii="Verdana" w:hAnsi="Verdana"/>
          <w:iCs/>
          <w:sz w:val="20"/>
        </w:rPr>
        <w:tab/>
      </w:r>
      <w:bookmarkStart w:id="8" w:name="_Hlk79674139"/>
      <w:r>
        <w:rPr>
          <w:rFonts w:ascii="Verdana" w:hAnsi="Verdana"/>
          <w:sz w:val="20"/>
        </w:rPr>
        <w:t>Autorizar a Emissora em conjunto com o Agente Fiduciário a praticar todos os atos necessários para implementação das deliberações discutidas na presente assembleia.</w:t>
      </w:r>
    </w:p>
    <w:bookmarkEnd w:id="8"/>
    <w:p w14:paraId="3DB49557" w14:textId="77777777" w:rsidR="00261009" w:rsidRPr="00976033" w:rsidRDefault="00261009" w:rsidP="00261009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3D20797" w14:textId="77777777" w:rsidR="00261009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  <w:u w:val="single"/>
        </w:rPr>
        <w:t>Considerações</w:t>
      </w:r>
      <w:r w:rsidRPr="00976033">
        <w:rPr>
          <w:rFonts w:ascii="Verdana" w:hAnsi="Verdana" w:cs="Calibri"/>
          <w:sz w:val="20"/>
          <w:szCs w:val="20"/>
        </w:rPr>
        <w:t>: As deliberações e aprovações acima referidas não poderão (i) ser interpretadas como uma renúncia dos Debenturistas quanto ao cumprimento, pela Companhia, de suas obrigações previstas na Escritura de Emissão, ou (</w:t>
      </w:r>
      <w:proofErr w:type="spellStart"/>
      <w:r w:rsidRPr="00976033">
        <w:rPr>
          <w:rFonts w:ascii="Verdana" w:hAnsi="Verdana" w:cs="Calibri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sz w:val="20"/>
          <w:szCs w:val="20"/>
        </w:rPr>
        <w:t>) impedir, restringir e/ou limitar o exercício, pelos Debenturistas, de qualquer direito, obrigação, recurso, poder ou privilégio pactuado na Escritura de Emissão.</w:t>
      </w:r>
    </w:p>
    <w:p w14:paraId="3B7A211E" w14:textId="77777777" w:rsidR="00261009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57556000" w14:textId="77777777" w:rsidR="00261009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7.1.</w:t>
      </w:r>
      <w:r>
        <w:rPr>
          <w:rFonts w:ascii="Verdana" w:hAnsi="Verdana" w:cs="Calibri"/>
          <w:sz w:val="20"/>
          <w:szCs w:val="20"/>
        </w:rPr>
        <w:tab/>
        <w:t>Em virtude das deliberações acima e independentemente de quaisquer outras disposições nos Documentos da Operação, os Debenturistas, neste ato, eximem a Emissora e o Agente Fiduciário de qualquer responsabilidade em relação às deliberações da presente assembleia.</w:t>
      </w:r>
    </w:p>
    <w:p w14:paraId="0150D39E" w14:textId="77777777" w:rsidR="00261009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4D3124B" w14:textId="77777777" w:rsidR="00261009" w:rsidRPr="008B1E1F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7.2.</w:t>
      </w:r>
      <w:r>
        <w:rPr>
          <w:rFonts w:ascii="Verdana" w:hAnsi="Verdana" w:cs="Calibri"/>
          <w:sz w:val="20"/>
          <w:szCs w:val="20"/>
        </w:rPr>
        <w:tab/>
        <w:t xml:space="preserve">Por fim, os Debenturistas autorizam o Agente Fiduciário e a Emissora a publicarem onde for e disponibilizarem em suas páginas na rede mundial de computadores, a presente ata em forma sumária, com a omissão da qualificação e assinatura dos Debenturistas. </w:t>
      </w:r>
    </w:p>
    <w:p w14:paraId="00717C13" w14:textId="77777777" w:rsidR="00261009" w:rsidRPr="00976033" w:rsidRDefault="00261009" w:rsidP="00261009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CB1A60E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Termos</w:t>
      </w:r>
      <w:r w:rsidRPr="00976033">
        <w:rPr>
          <w:rFonts w:ascii="Verdana" w:hAnsi="Verdana" w:cs="Calibri"/>
          <w:sz w:val="20"/>
          <w:szCs w:val="20"/>
        </w:rPr>
        <w:t>: Os termos iniciados em maiúsculas utilizados, mas não definidos nesta ata de Assembleia, terão o significado a eles atribuído na Escritura de Emissão.</w:t>
      </w:r>
    </w:p>
    <w:p w14:paraId="663C2B4F" w14:textId="77777777" w:rsidR="00261009" w:rsidRPr="00976033" w:rsidRDefault="00261009" w:rsidP="00261009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D565695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bCs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Encerramento</w:t>
      </w:r>
      <w:r w:rsidRPr="00976033">
        <w:rPr>
          <w:rFonts w:ascii="Verdana" w:hAnsi="Verdana" w:cs="Calibri"/>
          <w:sz w:val="20"/>
          <w:szCs w:val="20"/>
        </w:rPr>
        <w:t xml:space="preserve">: Nada mais havendo a ser tratado, foi declarada encerrada a Assembleia, </w:t>
      </w:r>
      <w:r w:rsidRPr="00976033">
        <w:rPr>
          <w:rFonts w:ascii="Verdana" w:hAnsi="Verdana" w:cs="Calibri"/>
          <w:bCs/>
          <w:sz w:val="20"/>
          <w:szCs w:val="20"/>
        </w:rPr>
        <w:t xml:space="preserve">da qual se lavrou a presente ata que, lida e achada conforme, foi por todos assinada. </w:t>
      </w:r>
      <w:r>
        <w:rPr>
          <w:rFonts w:ascii="Verdana" w:hAnsi="Verdana" w:cs="Calibri"/>
          <w:bCs/>
          <w:sz w:val="20"/>
          <w:szCs w:val="20"/>
        </w:rPr>
        <w:t>Autorizada a lavratura da presente ata na forma de sumário e sua publicação com omissão das assinaturas dos Debenturistas, nos termos do artigo 130, parágrafos 1º e 2º da Lei das S/A.</w:t>
      </w:r>
    </w:p>
    <w:p w14:paraId="644466A5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  <w:u w:val="single"/>
        </w:rPr>
      </w:pPr>
    </w:p>
    <w:p w14:paraId="2F22C3F3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bCs/>
          <w:sz w:val="20"/>
          <w:szCs w:val="20"/>
        </w:rPr>
      </w:pPr>
    </w:p>
    <w:p w14:paraId="63C40C5B" w14:textId="4E1CBC5C" w:rsidR="00261009" w:rsidRDefault="00261009" w:rsidP="00261009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bCs/>
          <w:sz w:val="20"/>
          <w:szCs w:val="20"/>
        </w:rPr>
      </w:pPr>
      <w:r w:rsidRPr="00976033">
        <w:rPr>
          <w:rFonts w:ascii="Verdana" w:hAnsi="Verdana" w:cs="Calibri"/>
          <w:bCs/>
          <w:sz w:val="20"/>
          <w:szCs w:val="20"/>
        </w:rPr>
        <w:t xml:space="preserve">São Paulo, </w:t>
      </w:r>
      <w:r w:rsidR="00432F83">
        <w:rPr>
          <w:rFonts w:ascii="Verdana" w:hAnsi="Verdana" w:cs="Calibri"/>
          <w:bCs/>
          <w:sz w:val="20"/>
          <w:szCs w:val="20"/>
        </w:rPr>
        <w:t>27</w:t>
      </w:r>
      <w:r>
        <w:rPr>
          <w:rFonts w:ascii="Verdana" w:hAnsi="Verdana" w:cs="Calibri"/>
          <w:sz w:val="20"/>
          <w:szCs w:val="20"/>
        </w:rPr>
        <w:t xml:space="preserve"> de </w:t>
      </w:r>
      <w:r w:rsidR="007C5DE7">
        <w:rPr>
          <w:rFonts w:ascii="Verdana" w:hAnsi="Verdana" w:cs="Calibri"/>
          <w:sz w:val="20"/>
          <w:szCs w:val="20"/>
        </w:rPr>
        <w:t>julho</w:t>
      </w:r>
      <w:r>
        <w:rPr>
          <w:rFonts w:ascii="Verdana" w:hAnsi="Verdana" w:cs="Calibri"/>
          <w:sz w:val="20"/>
          <w:szCs w:val="20"/>
        </w:rPr>
        <w:t xml:space="preserve"> de </w:t>
      </w:r>
      <w:r w:rsidR="007C5DE7">
        <w:rPr>
          <w:rFonts w:ascii="Verdana" w:hAnsi="Verdana" w:cs="Calibri"/>
          <w:sz w:val="20"/>
          <w:szCs w:val="20"/>
        </w:rPr>
        <w:t>2022</w:t>
      </w:r>
      <w:r w:rsidRPr="00976033">
        <w:rPr>
          <w:rFonts w:ascii="Verdana" w:hAnsi="Verdana" w:cs="Calibri"/>
          <w:bCs/>
          <w:sz w:val="20"/>
          <w:szCs w:val="20"/>
        </w:rPr>
        <w:t>.</w:t>
      </w:r>
    </w:p>
    <w:p w14:paraId="42559D2F" w14:textId="0B244A2A" w:rsidR="002D682F" w:rsidRDefault="002D682F" w:rsidP="00261009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6684DC01" w14:textId="51762976" w:rsidR="003669DD" w:rsidRDefault="003669DD" w:rsidP="003669DD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[</w:t>
      </w:r>
      <w:r w:rsidRPr="005C162B">
        <w:rPr>
          <w:rFonts w:ascii="Verdana" w:hAnsi="Verdana" w:cs="Calibri"/>
          <w:i/>
          <w:iCs/>
          <w:sz w:val="20"/>
          <w:szCs w:val="20"/>
        </w:rPr>
        <w:t>O restante da página</w:t>
      </w:r>
      <w:r>
        <w:rPr>
          <w:rFonts w:ascii="Verdana" w:hAnsi="Verdana" w:cs="Calibri"/>
          <w:sz w:val="20"/>
          <w:szCs w:val="20"/>
        </w:rPr>
        <w:t xml:space="preserve"> </w:t>
      </w:r>
      <w:r w:rsidRPr="005C162B">
        <w:rPr>
          <w:rFonts w:ascii="Verdana" w:hAnsi="Verdana" w:cs="Calibri"/>
          <w:i/>
          <w:iCs/>
          <w:sz w:val="20"/>
          <w:szCs w:val="20"/>
        </w:rPr>
        <w:t>foi intencionalmente deixado em branco</w:t>
      </w:r>
      <w:r>
        <w:rPr>
          <w:rFonts w:ascii="Verdana" w:hAnsi="Verdana" w:cs="Calibri"/>
          <w:sz w:val="20"/>
          <w:szCs w:val="20"/>
        </w:rPr>
        <w:t>]</w:t>
      </w:r>
    </w:p>
    <w:p w14:paraId="2F776AC7" w14:textId="22DB1530" w:rsidR="003669DD" w:rsidRPr="00976033" w:rsidRDefault="003669DD" w:rsidP="00261009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[</w:t>
      </w:r>
      <w:r w:rsidRPr="005C162B">
        <w:rPr>
          <w:rFonts w:ascii="Verdana" w:hAnsi="Verdana" w:cs="Calibri"/>
          <w:i/>
          <w:iCs/>
          <w:sz w:val="20"/>
          <w:szCs w:val="20"/>
        </w:rPr>
        <w:t>As assinaturas seguem na página seguinte</w:t>
      </w:r>
      <w:r>
        <w:rPr>
          <w:rFonts w:ascii="Verdana" w:hAnsi="Verdana" w:cs="Calibri"/>
          <w:sz w:val="20"/>
          <w:szCs w:val="20"/>
        </w:rPr>
        <w:t>]</w:t>
      </w:r>
    </w:p>
    <w:p w14:paraId="6625B17C" w14:textId="77777777" w:rsidR="003669DD" w:rsidRDefault="003669DD">
      <w:pPr>
        <w:spacing w:after="160" w:line="259" w:lineRule="auto"/>
        <w:rPr>
          <w:rFonts w:ascii="Verdana" w:hAnsi="Verdana" w:cs="Calibri"/>
          <w:b/>
          <w:bCs/>
          <w:sz w:val="20"/>
          <w:szCs w:val="20"/>
          <w:u w:val="single"/>
        </w:rPr>
      </w:pPr>
      <w:r>
        <w:rPr>
          <w:rFonts w:ascii="Verdana" w:hAnsi="Verdana" w:cs="Calibri"/>
          <w:b/>
          <w:bCs/>
          <w:sz w:val="20"/>
          <w:szCs w:val="20"/>
          <w:u w:val="single"/>
        </w:rPr>
        <w:br w:type="page"/>
      </w:r>
    </w:p>
    <w:p w14:paraId="0B88E98C" w14:textId="2E329006" w:rsidR="003669DD" w:rsidRPr="00976033" w:rsidRDefault="003669DD" w:rsidP="003669DD">
      <w:pPr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lastRenderedPageBreak/>
        <w:t>Página de assinaturas da</w:t>
      </w:r>
      <w:r w:rsidRPr="00976033">
        <w:rPr>
          <w:rFonts w:ascii="Verdana" w:hAnsi="Verdana" w:cs="Calibri"/>
          <w:i/>
          <w:iCs/>
          <w:sz w:val="20"/>
          <w:szCs w:val="20"/>
        </w:rPr>
        <w:t xml:space="preserve"> Ata de Assembleia Geral de Debenturistas da</w:t>
      </w:r>
      <w:r>
        <w:rPr>
          <w:rFonts w:ascii="Verdana" w:hAnsi="Verdana" w:cs="Calibri"/>
          <w:i/>
          <w:iCs/>
          <w:sz w:val="20"/>
          <w:szCs w:val="20"/>
        </w:rPr>
        <w:t xml:space="preserve"> 1ª Série e da 2ª Série da </w:t>
      </w:r>
      <w:r w:rsidRPr="00976033">
        <w:rPr>
          <w:rFonts w:ascii="Verdana" w:hAnsi="Verdana" w:cs="Calibri"/>
          <w:i/>
          <w:iCs/>
          <w:sz w:val="20"/>
          <w:szCs w:val="20"/>
        </w:rPr>
        <w:t xml:space="preserve">Primeira Emissão de Debêntures Simples, Não Conversíveis em Ações, da Espécie Subordinada, em 2 (Duas) Séries, Para Colocação Privada, da Companhia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</w:rPr>
        <w:t>Securitizadora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</w:rPr>
        <w:t xml:space="preserve"> de Créditos Financeiros VERT-INMANO, realizada em primeira convocação em</w:t>
      </w:r>
      <w:r>
        <w:rPr>
          <w:rFonts w:ascii="Verdana" w:hAnsi="Verdana" w:cs="Calibri"/>
          <w:i/>
          <w:iCs/>
          <w:sz w:val="20"/>
          <w:szCs w:val="20"/>
        </w:rPr>
        <w:t xml:space="preserve"> 27 de julho de 2022</w:t>
      </w:r>
      <w:r w:rsidR="005C162B">
        <w:rPr>
          <w:rFonts w:ascii="Verdana" w:hAnsi="Verdana" w:cs="Calibri"/>
          <w:i/>
          <w:iCs/>
          <w:sz w:val="20"/>
          <w:szCs w:val="20"/>
        </w:rPr>
        <w:t>.</w:t>
      </w:r>
    </w:p>
    <w:p w14:paraId="25C7EA31" w14:textId="77777777" w:rsidR="003669DD" w:rsidRDefault="003669DD" w:rsidP="00261009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44EBD7DD" w14:textId="77777777" w:rsidR="003669DD" w:rsidRDefault="003669DD" w:rsidP="00261009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731AD90B" w14:textId="47B6A52F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Mesa:</w:t>
      </w:r>
      <w:r w:rsidRPr="00976033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680580F7" w14:textId="77777777" w:rsidR="00261009" w:rsidRPr="00976033" w:rsidRDefault="00261009" w:rsidP="00261009">
      <w:pPr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36317B3E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2351C880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4412"/>
      </w:tblGrid>
      <w:tr w:rsidR="00261009" w:rsidRPr="008A2E59" w14:paraId="0F822522" w14:textId="77777777" w:rsidTr="003F303F">
        <w:trPr>
          <w:trHeight w:val="631"/>
          <w:jc w:val="center"/>
        </w:trPr>
        <w:tc>
          <w:tcPr>
            <w:tcW w:w="4360" w:type="dxa"/>
            <w:shd w:val="clear" w:color="auto" w:fill="auto"/>
          </w:tcPr>
          <w:p w14:paraId="13859B36" w14:textId="77777777" w:rsidR="00261009" w:rsidRPr="00976033" w:rsidRDefault="00261009" w:rsidP="003F303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</w:t>
            </w:r>
          </w:p>
          <w:p w14:paraId="07A02FC0" w14:textId="77777777" w:rsidR="00261009" w:rsidRPr="00976033" w:rsidRDefault="00261009" w:rsidP="003F303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>
              <w:rPr>
                <w:rFonts w:ascii="Verdana" w:hAnsi="Verdana" w:cs="Calibri"/>
                <w:sz w:val="20"/>
                <w:szCs w:val="20"/>
                <w:lang w:val="fr-FR"/>
              </w:rPr>
              <w:t>Carlos Pereira Martins</w:t>
            </w:r>
          </w:p>
          <w:p w14:paraId="27549704" w14:textId="77777777" w:rsidR="00261009" w:rsidRPr="00976033" w:rsidRDefault="00261009" w:rsidP="003F303F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ind w:left="1416"/>
              <w:jc w:val="lef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Presidente</w:t>
            </w:r>
          </w:p>
        </w:tc>
        <w:tc>
          <w:tcPr>
            <w:tcW w:w="4360" w:type="dxa"/>
            <w:shd w:val="clear" w:color="auto" w:fill="auto"/>
          </w:tcPr>
          <w:p w14:paraId="73324C1E" w14:textId="77777777" w:rsidR="00261009" w:rsidRPr="00976033" w:rsidRDefault="00261009" w:rsidP="003F303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_________________________________</w:t>
            </w:r>
          </w:p>
          <w:p w14:paraId="6B9F08AB" w14:textId="3C7C1620" w:rsidR="00261009" w:rsidRPr="00976033" w:rsidRDefault="002D69CC" w:rsidP="003F303F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Cs/>
                <w:sz w:val="20"/>
              </w:rPr>
            </w:pPr>
            <w:r w:rsidRPr="00B642BC">
              <w:rPr>
                <w:rFonts w:ascii="Verdana" w:hAnsi="Verdana" w:cs="Calibri"/>
                <w:bCs/>
                <w:sz w:val="20"/>
              </w:rPr>
              <w:t>Carlos Alberto Bacha</w:t>
            </w:r>
          </w:p>
          <w:p w14:paraId="4F1C6601" w14:textId="77777777" w:rsidR="00261009" w:rsidRPr="00976033" w:rsidRDefault="00261009" w:rsidP="003F303F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Secretári</w:t>
            </w:r>
            <w:r>
              <w:rPr>
                <w:rFonts w:ascii="Verdana" w:hAnsi="Verdana" w:cs="Calibri"/>
                <w:b/>
                <w:sz w:val="20"/>
              </w:rPr>
              <w:t>o</w:t>
            </w:r>
          </w:p>
        </w:tc>
      </w:tr>
    </w:tbl>
    <w:p w14:paraId="0ED74AFE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7464AA3E" w14:textId="77777777" w:rsidR="00261009" w:rsidRPr="006640D5" w:rsidRDefault="00261009" w:rsidP="00261009">
      <w:pPr>
        <w:spacing w:after="0" w:line="300" w:lineRule="exact"/>
        <w:rPr>
          <w:rFonts w:ascii="Verdana" w:hAnsi="Verdana"/>
          <w:sz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Companhia:</w:t>
      </w:r>
    </w:p>
    <w:p w14:paraId="54E400A9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9FA4237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20CB0442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276F2E5F" w14:textId="77777777" w:rsidR="00261009" w:rsidRPr="00976033" w:rsidRDefault="00261009" w:rsidP="00261009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 xml:space="preserve">COMPANHIA SECURITIZADORA DE CRÉDITOS </w:t>
      </w:r>
    </w:p>
    <w:p w14:paraId="6F52B68B" w14:textId="77777777" w:rsidR="00261009" w:rsidRPr="00976033" w:rsidRDefault="00261009" w:rsidP="00261009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>FINANCEIROS VERT-INMANO</w:t>
      </w:r>
    </w:p>
    <w:p w14:paraId="5331F000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3DD1136E" w14:textId="77777777" w:rsidR="00261009" w:rsidRPr="00976033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Agente Fiduciário:</w:t>
      </w:r>
    </w:p>
    <w:p w14:paraId="18E33E3A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60D6F3B0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314F7EC1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51BE8775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155F6913" w14:textId="77777777" w:rsidR="00261009" w:rsidRPr="00976033" w:rsidRDefault="00261009" w:rsidP="00261009">
      <w:pPr>
        <w:tabs>
          <w:tab w:val="left" w:pos="709"/>
        </w:tabs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>SIMPLIFIC PAVARINI DISTRIBUIDORA DE TÍTULOS</w:t>
      </w:r>
    </w:p>
    <w:p w14:paraId="084EC204" w14:textId="77777777" w:rsidR="00261009" w:rsidRDefault="00261009" w:rsidP="00261009">
      <w:pPr>
        <w:tabs>
          <w:tab w:val="left" w:pos="709"/>
        </w:tabs>
        <w:spacing w:after="0" w:line="300" w:lineRule="exact"/>
        <w:jc w:val="center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 xml:space="preserve"> E VALORES MOBILIÁRIOS LTDA.</w:t>
      </w:r>
      <w:r w:rsidRPr="00976033">
        <w:rPr>
          <w:rFonts w:ascii="Verdana" w:hAnsi="Verdana" w:cs="Calibri"/>
          <w:i/>
          <w:iCs/>
          <w:sz w:val="20"/>
          <w:szCs w:val="20"/>
        </w:rPr>
        <w:br w:type="page"/>
      </w:r>
      <w:r>
        <w:rPr>
          <w:rFonts w:ascii="Verdana" w:hAnsi="Verdana" w:cs="Calibri"/>
          <w:i/>
          <w:iCs/>
          <w:sz w:val="20"/>
          <w:szCs w:val="20"/>
        </w:rPr>
        <w:lastRenderedPageBreak/>
        <w:t xml:space="preserve"> </w:t>
      </w:r>
    </w:p>
    <w:p w14:paraId="5075CB33" w14:textId="1B8E8662" w:rsidR="00261009" w:rsidRPr="00976033" w:rsidRDefault="00261009" w:rsidP="00261009">
      <w:pPr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 w:cs="Calibri"/>
          <w:i/>
          <w:iCs/>
          <w:sz w:val="20"/>
          <w:szCs w:val="20"/>
        </w:rPr>
        <w:t>Lista de Presença dos Debenturistas da Ata de Assembleia Geral de Debenturistas da</w:t>
      </w:r>
      <w:r>
        <w:rPr>
          <w:rFonts w:ascii="Verdana" w:hAnsi="Verdana" w:cs="Calibri"/>
          <w:i/>
          <w:iCs/>
          <w:sz w:val="20"/>
          <w:szCs w:val="20"/>
        </w:rPr>
        <w:t xml:space="preserve"> 1ª Série e da 2ª Série da </w:t>
      </w:r>
      <w:r w:rsidRPr="00976033">
        <w:rPr>
          <w:rFonts w:ascii="Verdana" w:hAnsi="Verdana" w:cs="Calibri"/>
          <w:i/>
          <w:iCs/>
          <w:sz w:val="20"/>
          <w:szCs w:val="20"/>
        </w:rPr>
        <w:t xml:space="preserve">Primeira Emissão de Debêntures Simples, Não Conversíveis em Ações, da Espécie Subordinada, em 2 (Duas) Séries, Para Colocação Privada, da Companhia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</w:rPr>
        <w:t>Securitizadora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</w:rPr>
        <w:t xml:space="preserve"> de Créditos Financeiros VERT-INMANO, realizada em primeira convocação em</w:t>
      </w:r>
      <w:r>
        <w:rPr>
          <w:rFonts w:ascii="Verdana" w:hAnsi="Verdana" w:cs="Calibri"/>
          <w:i/>
          <w:iCs/>
          <w:sz w:val="20"/>
          <w:szCs w:val="20"/>
        </w:rPr>
        <w:t xml:space="preserve"> </w:t>
      </w:r>
      <w:r w:rsidR="00432F83">
        <w:rPr>
          <w:rFonts w:ascii="Verdana" w:hAnsi="Verdana" w:cs="Calibri"/>
          <w:i/>
          <w:iCs/>
          <w:sz w:val="20"/>
          <w:szCs w:val="20"/>
        </w:rPr>
        <w:t>27</w:t>
      </w:r>
      <w:r>
        <w:rPr>
          <w:rFonts w:ascii="Verdana" w:hAnsi="Verdana" w:cs="Calibri"/>
          <w:i/>
          <w:iCs/>
          <w:sz w:val="20"/>
          <w:szCs w:val="20"/>
        </w:rPr>
        <w:t xml:space="preserve"> de </w:t>
      </w:r>
      <w:r w:rsidR="007C5DE7">
        <w:rPr>
          <w:rFonts w:ascii="Verdana" w:hAnsi="Verdana" w:cs="Calibri"/>
          <w:i/>
          <w:iCs/>
          <w:sz w:val="20"/>
          <w:szCs w:val="20"/>
        </w:rPr>
        <w:t>julho</w:t>
      </w:r>
      <w:r>
        <w:rPr>
          <w:rFonts w:ascii="Verdana" w:hAnsi="Verdana" w:cs="Calibri"/>
          <w:i/>
          <w:iCs/>
          <w:sz w:val="20"/>
          <w:szCs w:val="20"/>
        </w:rPr>
        <w:t xml:space="preserve"> de </w:t>
      </w:r>
      <w:r w:rsidR="007C5DE7">
        <w:rPr>
          <w:rFonts w:ascii="Verdana" w:hAnsi="Verdana" w:cs="Calibri"/>
          <w:i/>
          <w:iCs/>
          <w:sz w:val="20"/>
          <w:szCs w:val="20"/>
        </w:rPr>
        <w:t>2022</w:t>
      </w:r>
      <w:r w:rsidRPr="00976033">
        <w:rPr>
          <w:rFonts w:ascii="Verdana" w:hAnsi="Verdana" w:cs="Calibri"/>
          <w:i/>
          <w:iCs/>
          <w:sz w:val="20"/>
          <w:szCs w:val="20"/>
        </w:rPr>
        <w:t>.</w:t>
      </w:r>
    </w:p>
    <w:p w14:paraId="520142C3" w14:textId="77777777" w:rsidR="00261009" w:rsidRPr="00976033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56B0783" w14:textId="77777777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460BE9CE" w14:textId="5C33B37E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Debenturistas</w:t>
      </w:r>
      <w:r w:rsidR="007C5DE7">
        <w:rPr>
          <w:rFonts w:ascii="Verdana" w:hAnsi="Verdana" w:cs="Calibri"/>
          <w:b/>
          <w:bCs/>
          <w:sz w:val="20"/>
          <w:szCs w:val="20"/>
          <w:u w:val="single"/>
        </w:rPr>
        <w:t>:</w:t>
      </w:r>
    </w:p>
    <w:p w14:paraId="52156D09" w14:textId="77777777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B04CD03" w14:textId="77777777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2399E4B" w14:textId="77777777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77A718D" w14:textId="77777777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4F62DA94" w14:textId="77777777" w:rsidR="00261009" w:rsidRPr="00976033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E684DFD" w14:textId="77777777" w:rsidR="00261009" w:rsidRPr="00976033" w:rsidRDefault="00261009" w:rsidP="00261009">
      <w:pPr>
        <w:pBdr>
          <w:bottom w:val="single" w:sz="12" w:space="1" w:color="auto"/>
        </w:pBd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22849DCE" w14:textId="77777777" w:rsidR="00261009" w:rsidRDefault="00261009" w:rsidP="00261009">
      <w:pPr>
        <w:jc w:val="both"/>
      </w:pPr>
      <w:r>
        <w:rPr>
          <w:rFonts w:ascii="Verdana" w:hAnsi="Verdana" w:cs="Calibri"/>
          <w:sz w:val="20"/>
          <w:szCs w:val="20"/>
        </w:rPr>
        <w:t>INMANO SOLUÇÕES FINANCEIRAS LTDA., inscrita no CNPJ/ME sob o nº 35.718.994/0001-60, neste ato representada na forma do seu Contrato Social por Leonardo Vigolo, inscrito no CPF/ME sob o nº 029.716.631-08.</w:t>
      </w:r>
    </w:p>
    <w:p w14:paraId="54A6B8D5" w14:textId="77777777" w:rsidR="00C413C7" w:rsidRDefault="00C413C7"/>
    <w:sectPr w:rsidR="00C41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AC0"/>
    <w:multiLevelType w:val="hybridMultilevel"/>
    <w:tmpl w:val="CED2DE00"/>
    <w:lvl w:ilvl="0" w:tplc="9640B2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347B1"/>
    <w:multiLevelType w:val="multilevel"/>
    <w:tmpl w:val="430E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946285"/>
    <w:multiLevelType w:val="multilevel"/>
    <w:tmpl w:val="6658BCB0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 w:val="0"/>
        <w:i w:val="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0" w:firstLine="0"/>
      </w:pPr>
      <w:rPr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247"/>
        </w:tabs>
        <w:ind w:left="737" w:firstLine="0"/>
      </w:pPr>
      <w:rPr>
        <w:rFonts w:ascii="Verdana" w:hAnsi="Verdana" w:cs="Tahoma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425"/>
        </w:tabs>
        <w:ind w:left="425" w:hanging="283"/>
      </w:pPr>
      <w:rPr>
        <w:b w:val="0"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upperRoman"/>
      <w:lvlText w:val="%7."/>
      <w:lvlJc w:val="left"/>
      <w:pPr>
        <w:ind w:left="2835" w:hanging="454"/>
      </w:pPr>
      <w:rPr>
        <w:b w:val="0"/>
        <w:i w:val="0"/>
        <w:sz w:val="22"/>
        <w:szCs w:val="22"/>
      </w:rPr>
    </w:lvl>
    <w:lvl w:ilvl="7">
      <w:start w:val="1"/>
      <w:numFmt w:val="lowerLetter"/>
      <w:lvlText w:val="%8."/>
      <w:lvlJc w:val="right"/>
      <w:pPr>
        <w:tabs>
          <w:tab w:val="num" w:pos="2948"/>
        </w:tabs>
        <w:ind w:left="2722" w:firstLine="226"/>
      </w:pPr>
      <w:rPr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z w:val="26"/>
      </w:rPr>
    </w:lvl>
  </w:abstractNum>
  <w:abstractNum w:abstractNumId="3" w15:restartNumberingAfterBreak="0">
    <w:nsid w:val="5F503D08"/>
    <w:multiLevelType w:val="multilevel"/>
    <w:tmpl w:val="56E4DCF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91367923">
    <w:abstractNumId w:val="1"/>
  </w:num>
  <w:num w:numId="2" w16cid:durableId="1639535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9484395">
    <w:abstractNumId w:val="3"/>
  </w:num>
  <w:num w:numId="4" w16cid:durableId="136729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09"/>
    <w:rsid w:val="00030CE2"/>
    <w:rsid w:val="000801B4"/>
    <w:rsid w:val="001504B8"/>
    <w:rsid w:val="00261009"/>
    <w:rsid w:val="00291C7E"/>
    <w:rsid w:val="002D682F"/>
    <w:rsid w:val="002D69CC"/>
    <w:rsid w:val="00316D31"/>
    <w:rsid w:val="003669DD"/>
    <w:rsid w:val="003E501D"/>
    <w:rsid w:val="00423B40"/>
    <w:rsid w:val="00432F83"/>
    <w:rsid w:val="005C162B"/>
    <w:rsid w:val="00651A66"/>
    <w:rsid w:val="0072422C"/>
    <w:rsid w:val="00734107"/>
    <w:rsid w:val="007C5DE7"/>
    <w:rsid w:val="008F5F67"/>
    <w:rsid w:val="009D6B69"/>
    <w:rsid w:val="00B425B3"/>
    <w:rsid w:val="00B642BC"/>
    <w:rsid w:val="00C413C7"/>
    <w:rsid w:val="00ED7D6A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8458"/>
  <w15:chartTrackingRefBased/>
  <w15:docId w15:val="{4D75A33E-2007-42EB-9E98-13D9E88E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0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261009"/>
    <w:pPr>
      <w:spacing w:after="0" w:line="240" w:lineRule="auto"/>
      <w:ind w:left="720"/>
      <w:contextualSpacing/>
      <w:jc w:val="both"/>
    </w:pPr>
    <w:rPr>
      <w:rFonts w:ascii="Arial" w:eastAsia="Times New Roman" w:hAnsi="Arial"/>
      <w:szCs w:val="20"/>
      <w:lang w:val="en-US" w:eastAsia="pt-BR"/>
    </w:rPr>
  </w:style>
  <w:style w:type="paragraph" w:customStyle="1" w:styleId="OmniPage9">
    <w:name w:val="OmniPage #9"/>
    <w:basedOn w:val="Normal"/>
    <w:rsid w:val="00261009"/>
    <w:pPr>
      <w:widowControl w:val="0"/>
      <w:tabs>
        <w:tab w:val="left" w:pos="2904"/>
        <w:tab w:val="right" w:pos="6709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6"/>
      <w:szCs w:val="20"/>
      <w:lang w:eastAsia="pt-BR"/>
    </w:rPr>
  </w:style>
  <w:style w:type="character" w:styleId="Forte">
    <w:name w:val="Strong"/>
    <w:uiPriority w:val="22"/>
    <w:qFormat/>
    <w:rsid w:val="00261009"/>
    <w:rPr>
      <w:b/>
      <w:bCs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261009"/>
    <w:rPr>
      <w:rFonts w:ascii="Arial" w:eastAsia="Times New Roman" w:hAnsi="Arial" w:cs="Times New Roman"/>
      <w:szCs w:val="20"/>
      <w:lang w:val="en-US" w:eastAsia="pt-BR"/>
    </w:rPr>
  </w:style>
  <w:style w:type="character" w:styleId="Hyperlink">
    <w:name w:val="Hyperlink"/>
    <w:basedOn w:val="Fontepargpadro"/>
    <w:unhideWhenUsed/>
    <w:rsid w:val="00261009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8F5F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3.com.br" TargetMode="External"/><Relationship Id="rId5" Type="http://schemas.openxmlformats.org/officeDocument/2006/relationships/hyperlink" Target="http://www.b3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2220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3</cp:revision>
  <dcterms:created xsi:type="dcterms:W3CDTF">2022-07-27T18:27:00Z</dcterms:created>
  <dcterms:modified xsi:type="dcterms:W3CDTF">2022-07-27T18:49:00Z</dcterms:modified>
</cp:coreProperties>
</file>