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86B2" w14:textId="5EA6D6CE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bCs/>
          <w:sz w:val="20"/>
          <w:szCs w:val="20"/>
        </w:rPr>
        <w:t xml:space="preserve">INSTRUMENTO PARTICULAR DE </w:t>
      </w:r>
      <w:r>
        <w:rPr>
          <w:rFonts w:ascii="Verdana" w:hAnsi="Verdana" w:cs="Tahoma"/>
          <w:b/>
          <w:bCs/>
          <w:sz w:val="20"/>
          <w:szCs w:val="20"/>
        </w:rPr>
        <w:t>TERCEIRO</w:t>
      </w:r>
      <w:r w:rsidRPr="0028797A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28797A">
        <w:rPr>
          <w:rFonts w:ascii="Verdana" w:hAnsi="Verdana" w:cs="Tahoma"/>
          <w:b/>
          <w:smallCaps/>
          <w:sz w:val="20"/>
          <w:szCs w:val="20"/>
        </w:rPr>
        <w:t xml:space="preserve">INSTRUMENTO PARTICULAR DE ESCRITURA DA 1ª (PRIMEIRA) EMISSÃO DE DEBÊNTURES SIMPLES, NÃO CONVERSÍVEIS EM AÇÕES, DA ESPÉCIE </w:t>
      </w:r>
      <w:r>
        <w:rPr>
          <w:rFonts w:ascii="Verdana" w:hAnsi="Verdana" w:cs="Tahoma"/>
          <w:b/>
          <w:smallCaps/>
          <w:sz w:val="20"/>
          <w:szCs w:val="20"/>
        </w:rPr>
        <w:t>QUIROGRAFÁRIA</w:t>
      </w:r>
      <w:r w:rsidRPr="0028797A">
        <w:rPr>
          <w:rFonts w:ascii="Verdana" w:hAnsi="Verdana" w:cs="Tahoma"/>
          <w:b/>
          <w:smallCaps/>
          <w:sz w:val="20"/>
          <w:szCs w:val="20"/>
        </w:rPr>
        <w:t xml:space="preserve">, EM 2 (DUAS) SÉRIES, PARA </w:t>
      </w:r>
      <w:r>
        <w:rPr>
          <w:rFonts w:ascii="Verdana" w:hAnsi="Verdana" w:cs="Tahoma"/>
          <w:b/>
          <w:smallCaps/>
          <w:sz w:val="20"/>
          <w:szCs w:val="20"/>
        </w:rPr>
        <w:t>COLOCAÇÃO PRIVADA</w:t>
      </w:r>
      <w:r w:rsidRPr="0028797A">
        <w:rPr>
          <w:rFonts w:ascii="Verdana" w:hAnsi="Verdana" w:cs="Tahoma"/>
          <w:b/>
          <w:smallCaps/>
          <w:sz w:val="20"/>
          <w:szCs w:val="20"/>
        </w:rPr>
        <w:t>, DA COMPANHIA SECURITIZADORA DE CRÉDITOS FINANCEIROS VERT-</w:t>
      </w:r>
      <w:r>
        <w:rPr>
          <w:rFonts w:ascii="Verdana" w:hAnsi="Verdana" w:cs="Tahoma"/>
          <w:b/>
          <w:smallCaps/>
          <w:sz w:val="20"/>
          <w:szCs w:val="20"/>
        </w:rPr>
        <w:t>PARCELEX</w:t>
      </w:r>
    </w:p>
    <w:p w14:paraId="2E243E9F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3F831914" w14:textId="7778BF5C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 xml:space="preserve">Pelo presente instrumento particular de </w:t>
      </w:r>
      <w:r>
        <w:rPr>
          <w:rFonts w:ascii="Verdana" w:hAnsi="Verdana" w:cs="Tahoma"/>
          <w:sz w:val="20"/>
          <w:szCs w:val="20"/>
        </w:rPr>
        <w:t xml:space="preserve">terceiro </w:t>
      </w:r>
      <w:r w:rsidRPr="0028797A">
        <w:rPr>
          <w:rFonts w:ascii="Verdana" w:hAnsi="Verdana" w:cs="Tahoma"/>
          <w:sz w:val="20"/>
          <w:szCs w:val="20"/>
        </w:rPr>
        <w:t>aditamento, e na melhor forma de direito, as partes abaixo qualificadas:</w:t>
      </w:r>
    </w:p>
    <w:p w14:paraId="2365DA67" w14:textId="77777777" w:rsidR="00305602" w:rsidRPr="0028797A" w:rsidRDefault="00305602" w:rsidP="00305602">
      <w:pPr>
        <w:tabs>
          <w:tab w:val="left" w:pos="4678"/>
        </w:tabs>
        <w:spacing w:line="340" w:lineRule="exact"/>
        <w:contextualSpacing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578557F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C73163">
        <w:rPr>
          <w:rFonts w:ascii="Verdana" w:hAnsi="Verdana"/>
          <w:b/>
          <w:bCs/>
          <w:sz w:val="20"/>
          <w:szCs w:val="20"/>
        </w:rPr>
        <w:t>COMPANHIA SECURITIZADORA DE CRÉDITOS FINANCEIROS VERT-PARCELEX</w:t>
      </w:r>
      <w:r w:rsidRPr="00C73163">
        <w:rPr>
          <w:rFonts w:ascii="Verdana" w:hAnsi="Verdana"/>
          <w:sz w:val="20"/>
          <w:szCs w:val="20"/>
        </w:rPr>
        <w:t>, sociedade por ações, sem registro de companhia aberta na Comissão de Valores Mobiliários (“</w:t>
      </w:r>
      <w:r w:rsidRPr="00305602">
        <w:rPr>
          <w:rFonts w:ascii="Verdana" w:hAnsi="Verdana"/>
          <w:sz w:val="20"/>
          <w:szCs w:val="20"/>
          <w:u w:val="single"/>
        </w:rPr>
        <w:t>CVM</w:t>
      </w:r>
      <w:r w:rsidRPr="00C73163">
        <w:rPr>
          <w:rFonts w:ascii="Verdana" w:hAnsi="Verdana"/>
          <w:sz w:val="20"/>
          <w:szCs w:val="20"/>
        </w:rPr>
        <w:t>”), com sede na cidade de São Paulo, Estado de São Paulo, na Rua Cardeal Arcoverde, nº 2.365, 7º andar, Pinheiros, CEP 05407-003, inscrita no CNPJ/ME sob o nº 35.522.391/0001-99</w:t>
      </w:r>
      <w:r>
        <w:rPr>
          <w:rFonts w:ascii="Verdana" w:hAnsi="Verdana"/>
          <w:sz w:val="20"/>
          <w:szCs w:val="20"/>
        </w:rPr>
        <w:t>,</w:t>
      </w:r>
      <w:r w:rsidRPr="00C73163">
        <w:rPr>
          <w:rFonts w:ascii="Verdana" w:hAnsi="Verdana"/>
          <w:sz w:val="20"/>
          <w:szCs w:val="20"/>
        </w:rPr>
        <w:t xml:space="preserve"> neste ato representada na forma de seu Estatuto Social (“</w:t>
      </w:r>
      <w:r w:rsidRPr="00305602">
        <w:rPr>
          <w:rFonts w:ascii="Verdana" w:hAnsi="Verdana"/>
          <w:sz w:val="20"/>
          <w:szCs w:val="20"/>
          <w:u w:val="single"/>
        </w:rPr>
        <w:t>Emissora</w:t>
      </w:r>
      <w:r w:rsidRPr="00C73163">
        <w:rPr>
          <w:rFonts w:ascii="Verdana" w:hAnsi="Verdana"/>
          <w:sz w:val="20"/>
          <w:szCs w:val="20"/>
        </w:rPr>
        <w:t xml:space="preserve">”); </w:t>
      </w:r>
      <w:r>
        <w:rPr>
          <w:rFonts w:ascii="Verdana" w:hAnsi="Verdana"/>
          <w:sz w:val="20"/>
          <w:szCs w:val="20"/>
        </w:rPr>
        <w:t>e</w:t>
      </w:r>
    </w:p>
    <w:p w14:paraId="4474A5D4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4A0A94CD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AE6FBC">
        <w:rPr>
          <w:rFonts w:ascii="Verdana" w:hAnsi="Verdana"/>
          <w:b/>
          <w:sz w:val="20"/>
          <w:szCs w:val="20"/>
        </w:rPr>
        <w:t>SIMPLIFIC PAVARINI DISTRIBUIDORA DE TÍTULOS E VALORES MOBILIÁRIOS LTDA.</w:t>
      </w:r>
      <w:r w:rsidRPr="00AE6FBC">
        <w:rPr>
          <w:rFonts w:ascii="Verdana" w:hAnsi="Verdan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Pr="0028797A">
        <w:rPr>
          <w:rFonts w:ascii="Verdana" w:hAnsi="Verdana" w:cs="Tahoma"/>
          <w:sz w:val="20"/>
          <w:szCs w:val="20"/>
        </w:rPr>
        <w:t>, neste ato representada na forma de seu estatuto social</w:t>
      </w:r>
      <w:r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(“</w:t>
      </w:r>
      <w:r w:rsidRPr="0028797A">
        <w:rPr>
          <w:rFonts w:ascii="Verdana" w:hAnsi="Verdana" w:cs="Tahoma"/>
          <w:sz w:val="20"/>
          <w:szCs w:val="20"/>
          <w:u w:val="single"/>
        </w:rPr>
        <w:t>Agente Fiduciário</w:t>
      </w:r>
      <w:r w:rsidRPr="0028797A">
        <w:rPr>
          <w:rFonts w:ascii="Verdana" w:hAnsi="Verdana" w:cs="Tahoma"/>
          <w:sz w:val="20"/>
          <w:szCs w:val="20"/>
        </w:rPr>
        <w:t>”);</w:t>
      </w:r>
    </w:p>
    <w:p w14:paraId="12FB4DB3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</w:p>
    <w:p w14:paraId="4DE07B9B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eastAsia="Batang" w:hAnsi="Verdana" w:cs="Tahoma"/>
          <w:snapToGrid w:val="0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(sendo a Emissora e o Agente Fiduciário doravante designados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, conjuntamente,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Partes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 e, individual e indistintamente, “</w:t>
      </w:r>
      <w:r w:rsidRPr="0028797A">
        <w:rPr>
          <w:rFonts w:ascii="Verdana" w:hAnsi="Verdana" w:cs="Tahoma"/>
          <w:sz w:val="20"/>
          <w:szCs w:val="20"/>
          <w:u w:val="single"/>
        </w:rPr>
        <w:t>Parte</w:t>
      </w:r>
      <w:r w:rsidRPr="0028797A">
        <w:rPr>
          <w:rFonts w:ascii="Verdana" w:eastAsia="Batang" w:hAnsi="Verdana" w:cs="Tahoma"/>
          <w:snapToGrid w:val="0"/>
          <w:sz w:val="20"/>
          <w:szCs w:val="20"/>
        </w:rPr>
        <w:t>”).</w:t>
      </w:r>
    </w:p>
    <w:p w14:paraId="37F2D043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  <w:u w:val="single"/>
        </w:rPr>
      </w:pPr>
      <w:bookmarkStart w:id="0" w:name="_DV_M416"/>
      <w:bookmarkEnd w:id="0"/>
    </w:p>
    <w:p w14:paraId="792C63D7" w14:textId="77777777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CONSIDERANDO QUE:</w:t>
      </w:r>
    </w:p>
    <w:p w14:paraId="36FF3694" w14:textId="77777777" w:rsidR="00305602" w:rsidRPr="0028797A" w:rsidRDefault="00305602" w:rsidP="00305602">
      <w:pPr>
        <w:pStyle w:val="PargrafodaLista"/>
        <w:autoSpaceDE/>
        <w:adjustRightInd/>
        <w:spacing w:line="340" w:lineRule="exact"/>
        <w:ind w:left="0"/>
        <w:contextualSpacing/>
        <w:jc w:val="both"/>
        <w:rPr>
          <w:rFonts w:ascii="Verdana" w:hAnsi="Verdana" w:cs="Tahoma"/>
          <w:sz w:val="20"/>
          <w:szCs w:val="20"/>
        </w:rPr>
      </w:pPr>
    </w:p>
    <w:p w14:paraId="77DD8ED3" w14:textId="77777777" w:rsidR="00305602" w:rsidRPr="0028797A" w:rsidRDefault="00305602" w:rsidP="00305602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sz w:val="20"/>
          <w:szCs w:val="20"/>
        </w:rPr>
        <w:t>a Emissora e o Agente Fiduciário celebraram o “</w:t>
      </w:r>
      <w:r w:rsidRPr="0028797A">
        <w:rPr>
          <w:rFonts w:ascii="Verdana" w:hAnsi="Verdana" w:cs="Tahoma"/>
          <w:i/>
          <w:sz w:val="20"/>
          <w:szCs w:val="20"/>
        </w:rPr>
        <w:t xml:space="preserve">Instrumento Particular de Escritura da 1ª 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 xml:space="preserve">, da 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Companhia </w:t>
      </w:r>
      <w:proofErr w:type="spellStart"/>
      <w:r w:rsidRPr="0028797A">
        <w:rPr>
          <w:rFonts w:ascii="Verdana" w:hAnsi="Verdana" w:cs="Tahoma"/>
          <w:bCs/>
          <w:i/>
          <w:sz w:val="20"/>
          <w:szCs w:val="20"/>
        </w:rPr>
        <w:t>Securitizadora</w:t>
      </w:r>
      <w:proofErr w:type="spellEnd"/>
      <w:r w:rsidRPr="0028797A">
        <w:rPr>
          <w:rFonts w:ascii="Verdana" w:hAnsi="Verdana" w:cs="Tahoma"/>
          <w:bCs/>
          <w:i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Tahoma"/>
          <w:bCs/>
          <w:i/>
          <w:sz w:val="20"/>
          <w:szCs w:val="20"/>
        </w:rPr>
        <w:t>Parcelex</w:t>
      </w:r>
      <w:proofErr w:type="spellEnd"/>
      <w:r w:rsidRPr="0028797A">
        <w:rPr>
          <w:rFonts w:ascii="Verdana" w:hAnsi="Verdana" w:cs="Tahoma"/>
          <w:sz w:val="20"/>
          <w:szCs w:val="20"/>
        </w:rPr>
        <w:t>” (“</w:t>
      </w:r>
      <w:r w:rsidRPr="0028797A">
        <w:rPr>
          <w:rFonts w:ascii="Verdana" w:eastAsia="Times New Roman" w:hAnsi="Verdana" w:cs="Tahoma"/>
          <w:sz w:val="20"/>
          <w:szCs w:val="20"/>
          <w:u w:val="single"/>
        </w:rPr>
        <w:t>Escritura</w:t>
      </w:r>
      <w:r>
        <w:rPr>
          <w:rFonts w:ascii="Verdana" w:eastAsia="Times New Roman" w:hAnsi="Verdana" w:cs="Tahoma"/>
          <w:sz w:val="20"/>
          <w:szCs w:val="20"/>
          <w:u w:val="single"/>
        </w:rPr>
        <w:t xml:space="preserve"> de Emissão</w:t>
      </w:r>
      <w:r w:rsidRPr="0028797A">
        <w:rPr>
          <w:rFonts w:ascii="Verdana" w:hAnsi="Verdana" w:cs="Tahoma"/>
          <w:sz w:val="20"/>
          <w:szCs w:val="20"/>
        </w:rPr>
        <w:t xml:space="preserve">”) em </w:t>
      </w:r>
      <w:r>
        <w:rPr>
          <w:rFonts w:ascii="Verdana" w:hAnsi="Verdana" w:cs="Tahoma"/>
          <w:sz w:val="20"/>
          <w:szCs w:val="20"/>
        </w:rPr>
        <w:t>21 de novembro de 2019</w:t>
      </w:r>
      <w:r w:rsidRPr="0028797A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 xml:space="preserve">a qual foi registrada na JUCESP em </w:t>
      </w:r>
      <w:r>
        <w:rPr>
          <w:rFonts w:ascii="Verdana" w:hAnsi="Verdana" w:cs="Tahoma"/>
          <w:sz w:val="20"/>
          <w:szCs w:val="20"/>
        </w:rPr>
        <w:t>09 de dezembro de 2019</w:t>
      </w:r>
      <w:r w:rsidRPr="0028797A">
        <w:rPr>
          <w:rFonts w:ascii="Verdana" w:hAnsi="Verdana" w:cs="Tahoma"/>
          <w:sz w:val="20"/>
          <w:szCs w:val="20"/>
        </w:rPr>
        <w:t xml:space="preserve">, sob o nº </w:t>
      </w:r>
      <w:r>
        <w:rPr>
          <w:rFonts w:ascii="Verdana" w:hAnsi="Verdana" w:cs="Tahoma"/>
          <w:sz w:val="20"/>
          <w:szCs w:val="20"/>
        </w:rPr>
        <w:t>003208-6/000</w:t>
      </w:r>
      <w:r w:rsidRPr="0028797A">
        <w:rPr>
          <w:rFonts w:ascii="Verdana" w:hAnsi="Verdana" w:cs="Tahoma"/>
          <w:sz w:val="20"/>
          <w:szCs w:val="20"/>
        </w:rPr>
        <w:t>; e</w:t>
      </w:r>
    </w:p>
    <w:p w14:paraId="09BD244D" w14:textId="77777777" w:rsidR="00305602" w:rsidRPr="0028797A" w:rsidRDefault="00305602" w:rsidP="00305602">
      <w:pPr>
        <w:pStyle w:val="PargrafodaLista"/>
        <w:spacing w:line="340" w:lineRule="exact"/>
        <w:contextualSpacing/>
        <w:rPr>
          <w:rFonts w:ascii="Verdana" w:hAnsi="Verdana" w:cs="Tahoma"/>
          <w:sz w:val="20"/>
          <w:szCs w:val="20"/>
        </w:rPr>
      </w:pPr>
    </w:p>
    <w:p w14:paraId="382643F6" w14:textId="6CB901E9" w:rsidR="00305602" w:rsidRPr="0028797A" w:rsidRDefault="00305602" w:rsidP="00305602">
      <w:pPr>
        <w:pStyle w:val="PargrafodaLista"/>
        <w:numPr>
          <w:ilvl w:val="0"/>
          <w:numId w:val="3"/>
        </w:numPr>
        <w:autoSpaceDE/>
        <w:adjustRightInd/>
        <w:spacing w:line="340" w:lineRule="exact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Com o objetivo de refletir as deliberações da Assembleia Geral Extraordinária dos Debenturistas da Emissão, realizada em </w:t>
      </w:r>
      <w:r w:rsidRPr="00305602">
        <w:rPr>
          <w:rFonts w:ascii="Verdana" w:hAnsi="Verdana" w:cs="Tahoma"/>
          <w:sz w:val="20"/>
          <w:szCs w:val="20"/>
          <w:highlight w:val="yellow"/>
        </w:rPr>
        <w:t>[=]</w:t>
      </w:r>
      <w:r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novembro</w:t>
      </w:r>
      <w:r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2022</w:t>
      </w:r>
      <w:r>
        <w:rPr>
          <w:rFonts w:ascii="Verdana" w:hAnsi="Verdana" w:cs="Tahoma"/>
          <w:sz w:val="20"/>
          <w:szCs w:val="20"/>
        </w:rPr>
        <w:t xml:space="preserve"> (“</w:t>
      </w:r>
      <w:r w:rsidRPr="00E846EE">
        <w:rPr>
          <w:rFonts w:ascii="Verdana" w:hAnsi="Verdana" w:cs="Tahoma"/>
          <w:sz w:val="20"/>
          <w:szCs w:val="20"/>
          <w:u w:val="single"/>
        </w:rPr>
        <w:t>AGD</w:t>
      </w:r>
      <w:r>
        <w:rPr>
          <w:rFonts w:ascii="Verdana" w:hAnsi="Verdana" w:cs="Tahoma"/>
          <w:sz w:val="20"/>
          <w:szCs w:val="20"/>
        </w:rPr>
        <w:t xml:space="preserve">”), as partes pretendem </w:t>
      </w:r>
      <w:r>
        <w:rPr>
          <w:rFonts w:ascii="Verdana" w:hAnsi="Verdana" w:cs="Tahoma"/>
          <w:sz w:val="20"/>
          <w:szCs w:val="20"/>
        </w:rPr>
        <w:t>prorrogar</w:t>
      </w:r>
      <w:r>
        <w:rPr>
          <w:rFonts w:ascii="Verdana" w:hAnsi="Verdana" w:cs="Tahoma"/>
          <w:sz w:val="20"/>
          <w:szCs w:val="20"/>
        </w:rPr>
        <w:t xml:space="preserve"> o </w:t>
      </w:r>
      <w:r>
        <w:rPr>
          <w:rFonts w:ascii="Verdana" w:hAnsi="Verdana" w:cs="Tahoma"/>
          <w:sz w:val="20"/>
          <w:szCs w:val="20"/>
        </w:rPr>
        <w:t xml:space="preserve">Prazo e a Data de Vencimento </w:t>
      </w:r>
      <w:r w:rsidRPr="00305602">
        <w:rPr>
          <w:rFonts w:ascii="Verdana" w:hAnsi="Verdana" w:cs="Tahoma"/>
          <w:sz w:val="20"/>
          <w:szCs w:val="20"/>
        </w:rPr>
        <w:t>das Debêntures</w:t>
      </w:r>
      <w:r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e consequentemente, alterar a cláusula 3.</w:t>
      </w:r>
      <w:r>
        <w:rPr>
          <w:rFonts w:ascii="Verdana" w:hAnsi="Verdana" w:cs="Tahoma"/>
          <w:sz w:val="20"/>
          <w:szCs w:val="20"/>
        </w:rPr>
        <w:t>3.</w:t>
      </w:r>
      <w:r>
        <w:rPr>
          <w:rFonts w:ascii="Verdana" w:hAnsi="Verdana" w:cs="Tahoma"/>
          <w:sz w:val="20"/>
          <w:szCs w:val="20"/>
        </w:rPr>
        <w:t xml:space="preserve"> da Escritura de Emissão.</w:t>
      </w:r>
    </w:p>
    <w:p w14:paraId="2F0A11BB" w14:textId="77777777" w:rsidR="00305602" w:rsidRPr="0028797A" w:rsidRDefault="00305602" w:rsidP="00305602">
      <w:pPr>
        <w:pStyle w:val="PargrafodaLista"/>
        <w:autoSpaceDE/>
        <w:adjustRightInd/>
        <w:spacing w:line="340" w:lineRule="exact"/>
        <w:ind w:left="0"/>
        <w:contextualSpacing/>
        <w:jc w:val="both"/>
        <w:outlineLvl w:val="1"/>
        <w:rPr>
          <w:rFonts w:ascii="Verdana" w:hAnsi="Verdana" w:cs="Tahoma"/>
          <w:sz w:val="20"/>
          <w:szCs w:val="20"/>
        </w:rPr>
      </w:pPr>
    </w:p>
    <w:p w14:paraId="3056F2D9" w14:textId="62D687BF" w:rsidR="00305602" w:rsidRPr="0028797A" w:rsidRDefault="00305602" w:rsidP="00305602">
      <w:pPr>
        <w:spacing w:line="340" w:lineRule="exact"/>
        <w:contextualSpacing/>
        <w:jc w:val="both"/>
        <w:rPr>
          <w:rFonts w:ascii="Verdana" w:hAnsi="Verdana" w:cs="Tahoma"/>
          <w:sz w:val="20"/>
          <w:szCs w:val="20"/>
        </w:rPr>
      </w:pPr>
      <w:r w:rsidRPr="0028797A">
        <w:rPr>
          <w:rFonts w:ascii="Verdana" w:hAnsi="Verdana" w:cs="Tahoma"/>
          <w:b/>
          <w:sz w:val="20"/>
          <w:szCs w:val="20"/>
        </w:rPr>
        <w:t>RESOLVEM</w:t>
      </w:r>
      <w:r w:rsidRPr="0028797A">
        <w:rPr>
          <w:rFonts w:ascii="Verdana" w:hAnsi="Verdana" w:cs="Tahoma"/>
          <w:sz w:val="20"/>
          <w:szCs w:val="20"/>
        </w:rPr>
        <w:t xml:space="preserve"> a Emissora e o Agente Fiduciário, na melhor forma de direito, firmar o presente “</w:t>
      </w:r>
      <w:r w:rsidRPr="0028797A">
        <w:rPr>
          <w:rFonts w:ascii="Verdana" w:hAnsi="Verdana" w:cs="Tahoma"/>
          <w:i/>
          <w:sz w:val="20"/>
          <w:szCs w:val="20"/>
        </w:rPr>
        <w:t>Instrumento Particular de</w:t>
      </w:r>
      <w:r>
        <w:rPr>
          <w:rFonts w:ascii="Verdana" w:hAnsi="Verdana" w:cs="Tahoma"/>
          <w:i/>
          <w:sz w:val="20"/>
          <w:szCs w:val="20"/>
        </w:rPr>
        <w:t xml:space="preserve"> </w:t>
      </w:r>
      <w:r>
        <w:rPr>
          <w:rFonts w:ascii="Verdana" w:hAnsi="Verdana" w:cs="Tahoma"/>
          <w:i/>
          <w:sz w:val="20"/>
          <w:szCs w:val="20"/>
        </w:rPr>
        <w:t>Terceiro</w:t>
      </w:r>
      <w:r w:rsidRPr="0028797A">
        <w:rPr>
          <w:rFonts w:ascii="Verdana" w:hAnsi="Verdana" w:cs="Tahoma"/>
          <w:i/>
          <w:sz w:val="20"/>
          <w:szCs w:val="20"/>
        </w:rPr>
        <w:t xml:space="preserve"> Aditamento ao Instrumento Particular </w:t>
      </w:r>
      <w:r w:rsidRPr="0028797A">
        <w:rPr>
          <w:rFonts w:ascii="Verdana" w:hAnsi="Verdana" w:cs="Tahoma"/>
          <w:i/>
          <w:sz w:val="20"/>
          <w:szCs w:val="20"/>
        </w:rPr>
        <w:lastRenderedPageBreak/>
        <w:t xml:space="preserve">de Escritura da 1ª 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 xml:space="preserve">, da Companhia </w:t>
      </w:r>
      <w:proofErr w:type="spellStart"/>
      <w:r w:rsidRPr="0028797A">
        <w:rPr>
          <w:rFonts w:ascii="Verdana" w:hAnsi="Verdana" w:cs="Tahoma"/>
          <w:i/>
          <w:sz w:val="20"/>
          <w:szCs w:val="20"/>
        </w:rPr>
        <w:t>Securitizadora</w:t>
      </w:r>
      <w:proofErr w:type="spellEnd"/>
      <w:r w:rsidRPr="0028797A">
        <w:rPr>
          <w:rFonts w:ascii="Verdana" w:hAnsi="Verdana" w:cs="Tahoma"/>
          <w:i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Tahoma"/>
          <w:i/>
          <w:sz w:val="20"/>
          <w:szCs w:val="20"/>
        </w:rPr>
        <w:t>Parcelex</w:t>
      </w:r>
      <w:proofErr w:type="spellEnd"/>
      <w:r w:rsidRPr="0028797A">
        <w:rPr>
          <w:rFonts w:ascii="Verdana" w:hAnsi="Verdana" w:cs="Tahoma"/>
          <w:sz w:val="20"/>
          <w:szCs w:val="20"/>
        </w:rPr>
        <w:t>”</w:t>
      </w:r>
      <w:r w:rsidRPr="0028797A">
        <w:rPr>
          <w:rFonts w:ascii="Verdana" w:hAnsi="Verdana" w:cs="Tahoma"/>
          <w:i/>
          <w:sz w:val="20"/>
          <w:szCs w:val="20"/>
        </w:rPr>
        <w:t xml:space="preserve"> </w:t>
      </w:r>
      <w:r w:rsidRPr="0028797A">
        <w:rPr>
          <w:rFonts w:ascii="Verdana" w:hAnsi="Verdana" w:cs="Tahoma"/>
          <w:sz w:val="20"/>
          <w:szCs w:val="20"/>
        </w:rPr>
        <w:t>(“</w:t>
      </w:r>
      <w:r w:rsidRPr="0028797A">
        <w:rPr>
          <w:rFonts w:ascii="Verdana" w:hAnsi="Verdana" w:cs="Tahoma"/>
          <w:sz w:val="20"/>
          <w:szCs w:val="20"/>
          <w:u w:val="single"/>
        </w:rPr>
        <w:t>Aditamento</w:t>
      </w:r>
      <w:r w:rsidRPr="0028797A">
        <w:rPr>
          <w:rFonts w:ascii="Verdana" w:hAnsi="Verdana" w:cs="Tahoma"/>
          <w:sz w:val="20"/>
          <w:szCs w:val="20"/>
        </w:rPr>
        <w:t>”), mediante as seguintes cláusulas e condições.</w:t>
      </w:r>
    </w:p>
    <w:p w14:paraId="12AF465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692AA42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1.</w:t>
      </w:r>
      <w:r w:rsidRPr="0028797A">
        <w:rPr>
          <w:rFonts w:ascii="Verdana" w:hAnsi="Verdana" w:cs="Tahoma"/>
          <w:b/>
          <w:szCs w:val="20"/>
        </w:rPr>
        <w:tab/>
        <w:t>DA AUTORIZAÇÃO E REQUISITOS</w:t>
      </w:r>
    </w:p>
    <w:p w14:paraId="23E8C550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33E650AD" w14:textId="4894BF4E" w:rsidR="00305602" w:rsidRPr="0028797A" w:rsidRDefault="00305602" w:rsidP="00305602">
      <w:pPr>
        <w:pStyle w:val="Level2"/>
        <w:numPr>
          <w:ilvl w:val="1"/>
          <w:numId w:val="2"/>
        </w:numPr>
        <w:tabs>
          <w:tab w:val="num" w:pos="1134"/>
        </w:tabs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 xml:space="preserve">O presente Aditamento é celebrado com base </w:t>
      </w:r>
      <w:r w:rsidRPr="0028797A">
        <w:rPr>
          <w:rFonts w:ascii="Verdana" w:hAnsi="Verdana" w:cs="Tahoma"/>
          <w:szCs w:val="20"/>
          <w:lang w:val="pt-BR"/>
        </w:rPr>
        <w:t xml:space="preserve">nas decisões tomadas na AGD de </w:t>
      </w:r>
      <w:r w:rsidRPr="00305602">
        <w:rPr>
          <w:rFonts w:ascii="Verdana" w:hAnsi="Verdana" w:cs="Tahoma"/>
          <w:szCs w:val="20"/>
          <w:highlight w:val="yellow"/>
          <w:lang w:val="pt-BR"/>
        </w:rPr>
        <w:t>[=]</w:t>
      </w:r>
      <w:r>
        <w:rPr>
          <w:rFonts w:ascii="Verdana" w:hAnsi="Verdana" w:cs="Tahoma"/>
          <w:szCs w:val="20"/>
          <w:lang w:val="pt-BR"/>
        </w:rPr>
        <w:t xml:space="preserve"> de </w:t>
      </w:r>
      <w:r>
        <w:rPr>
          <w:rFonts w:ascii="Verdana" w:hAnsi="Verdana" w:cs="Tahoma"/>
          <w:szCs w:val="20"/>
          <w:lang w:val="pt-BR"/>
        </w:rPr>
        <w:t>novembro</w:t>
      </w:r>
      <w:r>
        <w:rPr>
          <w:rFonts w:ascii="Verdana" w:hAnsi="Verdana" w:cs="Tahoma"/>
          <w:szCs w:val="20"/>
          <w:lang w:val="pt-BR"/>
        </w:rPr>
        <w:t xml:space="preserve"> </w:t>
      </w:r>
      <w:r w:rsidRPr="0028797A">
        <w:rPr>
          <w:rFonts w:ascii="Verdana" w:hAnsi="Verdana" w:cs="Tahoma"/>
          <w:szCs w:val="20"/>
          <w:lang w:val="pt-BR"/>
        </w:rPr>
        <w:t xml:space="preserve">de </w:t>
      </w:r>
      <w:r>
        <w:rPr>
          <w:rFonts w:ascii="Verdana" w:hAnsi="Verdana" w:cs="Tahoma"/>
          <w:szCs w:val="20"/>
          <w:lang w:val="pt-BR"/>
        </w:rPr>
        <w:t>2022</w:t>
      </w:r>
      <w:r w:rsidRPr="0028797A">
        <w:rPr>
          <w:rFonts w:ascii="Verdana" w:hAnsi="Verdana" w:cs="Tahoma"/>
          <w:szCs w:val="20"/>
          <w:lang w:val="pt-BR"/>
        </w:rPr>
        <w:t>.</w:t>
      </w:r>
    </w:p>
    <w:p w14:paraId="25B1C2AF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2F867224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DEFINIÇÕES</w:t>
      </w:r>
    </w:p>
    <w:p w14:paraId="53D59C4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44D846E6" w14:textId="57D8D20A" w:rsidR="00305602" w:rsidRPr="0028797A" w:rsidRDefault="00305602" w:rsidP="00305602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r w:rsidRPr="0028797A">
        <w:rPr>
          <w:rFonts w:ascii="Verdana" w:hAnsi="Verdana" w:cs="Tahoma"/>
          <w:szCs w:val="20"/>
        </w:rPr>
        <w:t>Os termos utilizados neste Aditamento, iniciados em letras maiúsculas (estejam no singular ou no plural), terão o significado que lhes é atribuído na Escritura</w:t>
      </w:r>
      <w:r>
        <w:rPr>
          <w:rFonts w:ascii="Verdana" w:hAnsi="Verdana" w:cs="Tahoma"/>
          <w:szCs w:val="20"/>
        </w:rPr>
        <w:t xml:space="preserve"> de Emissão</w:t>
      </w:r>
      <w:r w:rsidRPr="0028797A">
        <w:rPr>
          <w:rFonts w:ascii="Verdana" w:hAnsi="Verdana" w:cs="Tahoma"/>
          <w:szCs w:val="20"/>
        </w:rPr>
        <w:t>.</w:t>
      </w:r>
    </w:p>
    <w:p w14:paraId="3824C4DD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75A12DEB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ALTERAÇÕES DA ESCRITURA</w:t>
      </w:r>
    </w:p>
    <w:p w14:paraId="436B963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16DBF87" w14:textId="088D8968" w:rsidR="00305602" w:rsidRPr="0028797A" w:rsidRDefault="00305602" w:rsidP="00305602">
      <w:pPr>
        <w:pStyle w:val="Level1"/>
        <w:keepNext/>
        <w:numPr>
          <w:ilvl w:val="1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szCs w:val="20"/>
        </w:rPr>
      </w:pPr>
      <w:bookmarkStart w:id="1" w:name="_Ref426535439"/>
      <w:r w:rsidRPr="0028797A">
        <w:rPr>
          <w:rFonts w:ascii="Verdana" w:hAnsi="Verdana" w:cs="Tahoma"/>
          <w:szCs w:val="20"/>
        </w:rPr>
        <w:t xml:space="preserve">Pelo presente Aditamento, resolvem as Partes, de comum acordo, </w:t>
      </w:r>
      <w:bookmarkEnd w:id="1"/>
      <w:r>
        <w:rPr>
          <w:rFonts w:ascii="Verdana" w:hAnsi="Verdana" w:cs="Tahoma"/>
          <w:szCs w:val="20"/>
        </w:rPr>
        <w:t xml:space="preserve">prorrogar o Prazo e a Data de Vencimento </w:t>
      </w:r>
      <w:r w:rsidRPr="00305602">
        <w:rPr>
          <w:rFonts w:ascii="Verdana" w:hAnsi="Verdana" w:cs="Tahoma"/>
          <w:szCs w:val="20"/>
        </w:rPr>
        <w:t>das Debêntures</w:t>
      </w:r>
      <w:r>
        <w:rPr>
          <w:rFonts w:ascii="Verdana" w:hAnsi="Verdana" w:cs="Tahoma"/>
          <w:szCs w:val="20"/>
        </w:rPr>
        <w:t>, e consequentemente, alterar a cláusula 3.3. da Escritura de Emissão</w:t>
      </w:r>
      <w:r>
        <w:rPr>
          <w:rFonts w:ascii="Verdana" w:hAnsi="Verdana" w:cs="Tahoma"/>
          <w:szCs w:val="20"/>
        </w:rPr>
        <w:t>, que passará a viger com a seguinte nova redação</w:t>
      </w:r>
      <w:r w:rsidRPr="0028797A">
        <w:rPr>
          <w:rFonts w:ascii="Verdana" w:hAnsi="Verdana" w:cs="Tahoma"/>
          <w:szCs w:val="20"/>
        </w:rPr>
        <w:t>:</w:t>
      </w:r>
    </w:p>
    <w:p w14:paraId="3A595CD5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szCs w:val="20"/>
        </w:rPr>
      </w:pPr>
    </w:p>
    <w:p w14:paraId="29FD1696" w14:textId="6B6BAB2A" w:rsidR="00305602" w:rsidRDefault="00305602" w:rsidP="00305602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3 (três) anos</w:t>
      </w:r>
      <w:r>
        <w:rPr>
          <w:rFonts w:ascii="Verdana" w:hAnsi="Verdana"/>
          <w:i/>
          <w:iCs/>
          <w:sz w:val="20"/>
          <w:szCs w:val="20"/>
        </w:rPr>
        <w:t xml:space="preserve"> e 1 (um) mês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>
        <w:rPr>
          <w:rFonts w:ascii="Verdana" w:hAnsi="Verdana"/>
          <w:i/>
          <w:iCs/>
          <w:sz w:val="20"/>
          <w:szCs w:val="20"/>
        </w:rPr>
        <w:t>30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>
        <w:rPr>
          <w:rFonts w:ascii="Verdana" w:hAnsi="Verdana"/>
          <w:i/>
          <w:iCs/>
          <w:sz w:val="20"/>
          <w:szCs w:val="20"/>
        </w:rPr>
        <w:t>dezembro</w:t>
      </w:r>
      <w:r w:rsidRPr="00502207">
        <w:rPr>
          <w:rFonts w:ascii="Verdana" w:hAnsi="Verdana"/>
          <w:i/>
          <w:iCs/>
          <w:sz w:val="20"/>
          <w:szCs w:val="20"/>
        </w:rPr>
        <w:t xml:space="preserve"> de 2022 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114B3977" w14:textId="6D583050" w:rsidR="00305602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ind w:left="708" w:hanging="708"/>
        <w:contextualSpacing/>
        <w:outlineLvl w:val="0"/>
        <w:rPr>
          <w:rFonts w:ascii="Verdana" w:hAnsi="Verdana" w:cs="Calibri Light"/>
          <w:i/>
          <w:iCs/>
          <w:szCs w:val="20"/>
        </w:rPr>
      </w:pPr>
    </w:p>
    <w:p w14:paraId="0DE834CB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03E09D1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993" w:hanging="993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ARQUIVAMENTO DO ADITAMENTO</w:t>
      </w:r>
    </w:p>
    <w:p w14:paraId="070B6801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5BA19001" w14:textId="05539A5D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O presente Aditamento, bem como as posteriores alterações da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 xml:space="preserve">, serão registrados na JUCESP, de acordo com o artigo 62, inciso II, da </w:t>
      </w:r>
      <w:r w:rsidRPr="0028797A">
        <w:rPr>
          <w:rFonts w:ascii="Verdana" w:eastAsia="MS Mincho" w:hAnsi="Verdana" w:cs="Tahoma"/>
          <w:szCs w:val="20"/>
          <w:lang w:val="pt-BR"/>
        </w:rPr>
        <w:t>Lei nº 6.404, de 15 de dezembro de 1976, conforme alterada (“</w:t>
      </w:r>
      <w:r w:rsidRPr="00305602">
        <w:rPr>
          <w:rFonts w:ascii="Verdana" w:eastAsia="MS Mincho" w:hAnsi="Verdana" w:cs="Tahoma"/>
          <w:bCs/>
          <w:szCs w:val="20"/>
          <w:u w:val="single"/>
          <w:lang w:val="pt-BR"/>
        </w:rPr>
        <w:t>Lei das Sociedades por Ações</w:t>
      </w:r>
      <w:r w:rsidRPr="0028797A">
        <w:rPr>
          <w:rFonts w:ascii="Verdana" w:eastAsia="MS Mincho" w:hAnsi="Verdana" w:cs="Tahoma"/>
          <w:szCs w:val="20"/>
          <w:lang w:val="pt-BR"/>
        </w:rPr>
        <w:t>”)</w:t>
      </w:r>
      <w:r w:rsidRPr="0028797A">
        <w:rPr>
          <w:rFonts w:ascii="Verdana" w:hAnsi="Verdana" w:cs="Tahoma"/>
          <w:szCs w:val="20"/>
          <w:lang w:val="pt-BR"/>
        </w:rPr>
        <w:t xml:space="preserve"> e nos termos da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>.</w:t>
      </w:r>
    </w:p>
    <w:p w14:paraId="601E658E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092AE7B5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DAS RATIFICAÇÕES</w:t>
      </w:r>
    </w:p>
    <w:p w14:paraId="4E07CC8A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1C3EB668" w14:textId="73559243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Ratificam-se, neste ato, todos os termos, cláusulas e condições estabelecidos na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28797A">
        <w:rPr>
          <w:rFonts w:ascii="Verdana" w:hAnsi="Verdana" w:cs="Tahoma"/>
          <w:szCs w:val="20"/>
          <w:lang w:val="pt-BR"/>
        </w:rPr>
        <w:t>, da qual os Debenturistas declaram-se plenamente cientes e de acordo, que não tenham sido expressamente alterados por este Aditamento.</w:t>
      </w:r>
    </w:p>
    <w:p w14:paraId="2CE87951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D82E17A" w14:textId="34D90230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lastRenderedPageBreak/>
        <w:t>Caso qualquer das disposições deste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14:paraId="51110958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15A050E9" w14:textId="0435AA02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Este Aditamento é celebrado em caráter irrevogável e irretratável, obrigando-se a Emissora e os Debenturistas ao seu fiel, pontual e integral cumprimento por si e por seus sucessores e cessionários, a qualquer título.</w:t>
      </w:r>
    </w:p>
    <w:p w14:paraId="424CA940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1205D558" w14:textId="77777777" w:rsidR="00305602" w:rsidRPr="0028797A" w:rsidRDefault="00305602" w:rsidP="00305602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340" w:lineRule="exact"/>
        <w:ind w:left="0" w:firstLine="0"/>
        <w:contextualSpacing/>
        <w:outlineLvl w:val="0"/>
        <w:rPr>
          <w:rFonts w:ascii="Verdana" w:hAnsi="Verdana" w:cs="Tahoma"/>
          <w:b/>
          <w:szCs w:val="20"/>
        </w:rPr>
      </w:pPr>
      <w:r w:rsidRPr="0028797A">
        <w:rPr>
          <w:rFonts w:ascii="Verdana" w:hAnsi="Verdana" w:cs="Tahoma"/>
          <w:b/>
          <w:szCs w:val="20"/>
        </w:rPr>
        <w:t>DO FORO</w:t>
      </w:r>
    </w:p>
    <w:p w14:paraId="04D64353" w14:textId="77777777" w:rsidR="00305602" w:rsidRPr="0028797A" w:rsidRDefault="00305602" w:rsidP="00305602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340" w:lineRule="exact"/>
        <w:contextualSpacing/>
        <w:outlineLvl w:val="0"/>
        <w:rPr>
          <w:rFonts w:ascii="Verdana" w:hAnsi="Verdana" w:cs="Tahoma"/>
          <w:b/>
          <w:szCs w:val="20"/>
        </w:rPr>
      </w:pPr>
    </w:p>
    <w:p w14:paraId="2AE17D07" w14:textId="1D8C4C6C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Este Aditamento é regido pelas Leis da República Federativa do Brasil.</w:t>
      </w:r>
    </w:p>
    <w:p w14:paraId="27864006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452EEC9" w14:textId="2A5C842E" w:rsidR="00305602" w:rsidRPr="0028797A" w:rsidRDefault="00305602" w:rsidP="00305602">
      <w:pPr>
        <w:pStyle w:val="Level2"/>
        <w:numPr>
          <w:ilvl w:val="1"/>
          <w:numId w:val="2"/>
        </w:numPr>
        <w:spacing w:after="0" w:line="340" w:lineRule="exact"/>
        <w:ind w:left="0" w:firstLine="0"/>
        <w:contextualSpacing/>
        <w:outlineLvl w:val="1"/>
        <w:rPr>
          <w:rFonts w:ascii="Verdana" w:hAnsi="Verdana" w:cs="Tahoma"/>
          <w:szCs w:val="20"/>
          <w:lang w:val="pt-BR"/>
        </w:rPr>
      </w:pPr>
      <w:r w:rsidRPr="0028797A">
        <w:rPr>
          <w:rFonts w:ascii="Verdana" w:hAnsi="Verdana" w:cs="Tahoma"/>
          <w:szCs w:val="20"/>
          <w:lang w:val="pt-BR"/>
        </w:rPr>
        <w:t>Fica eleito o foro da Cidade de São Paulo, Estado de São Paulo, para dirimir quaisquer dúvidas ou controvérsias oriundas deste Aditamento, com renúncia a qualquer outro por mais privilegiado que seja.</w:t>
      </w:r>
    </w:p>
    <w:p w14:paraId="5C9F6F3B" w14:textId="77777777" w:rsidR="00305602" w:rsidRPr="0028797A" w:rsidRDefault="00305602" w:rsidP="00305602">
      <w:pPr>
        <w:pStyle w:val="Level2"/>
        <w:numPr>
          <w:ilvl w:val="0"/>
          <w:numId w:val="0"/>
        </w:numPr>
        <w:spacing w:after="0" w:line="340" w:lineRule="exact"/>
        <w:contextualSpacing/>
        <w:outlineLvl w:val="1"/>
        <w:rPr>
          <w:rFonts w:ascii="Verdana" w:hAnsi="Verdana" w:cs="Tahoma"/>
          <w:szCs w:val="20"/>
          <w:lang w:val="pt-BR"/>
        </w:rPr>
      </w:pPr>
    </w:p>
    <w:p w14:paraId="6B7B1EF2" w14:textId="77777777" w:rsidR="00305602" w:rsidRPr="00312FBE" w:rsidRDefault="00305602" w:rsidP="00305602">
      <w:pPr>
        <w:spacing w:line="340" w:lineRule="exact"/>
        <w:contextualSpacing/>
        <w:jc w:val="both"/>
        <w:rPr>
          <w:rFonts w:ascii="Verdana" w:hAnsi="Verdana" w:cs="Tahoma"/>
          <w:kern w:val="20"/>
          <w:sz w:val="20"/>
          <w:szCs w:val="20"/>
          <w:lang w:eastAsia="x-none"/>
        </w:rPr>
      </w:pPr>
    </w:p>
    <w:p w14:paraId="6D5F150F" w14:textId="0C787329" w:rsidR="00305602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  <w:r w:rsidRPr="0028797A"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Pr="00305602">
        <w:rPr>
          <w:rFonts w:ascii="Verdana" w:eastAsia="Arial Unicode MS" w:hAnsi="Verdana" w:cs="Tahoma"/>
          <w:sz w:val="20"/>
          <w:szCs w:val="20"/>
          <w:highlight w:val="yellow"/>
        </w:rPr>
        <w:t>[=]</w:t>
      </w:r>
      <w:r>
        <w:rPr>
          <w:rFonts w:ascii="Verdana" w:eastAsia="Arial Unicode MS" w:hAnsi="Verdana" w:cs="Tahoma"/>
          <w:sz w:val="20"/>
          <w:szCs w:val="20"/>
        </w:rPr>
        <w:t xml:space="preserve"> de </w:t>
      </w:r>
      <w:r>
        <w:rPr>
          <w:rFonts w:ascii="Verdana" w:eastAsia="Arial Unicode MS" w:hAnsi="Verdana" w:cs="Tahoma"/>
          <w:sz w:val="20"/>
          <w:szCs w:val="20"/>
        </w:rPr>
        <w:t>novembro</w:t>
      </w:r>
      <w:r>
        <w:rPr>
          <w:rFonts w:ascii="Verdana" w:eastAsia="Arial Unicode MS" w:hAnsi="Verdana" w:cs="Tahoma"/>
          <w:sz w:val="20"/>
          <w:szCs w:val="20"/>
        </w:rPr>
        <w:t xml:space="preserve"> </w:t>
      </w:r>
      <w:r w:rsidRPr="0028797A">
        <w:rPr>
          <w:rFonts w:ascii="Verdana" w:eastAsia="Arial Unicode MS" w:hAnsi="Verdana" w:cs="Tahoma"/>
          <w:sz w:val="20"/>
          <w:szCs w:val="20"/>
        </w:rPr>
        <w:t xml:space="preserve">de </w:t>
      </w:r>
      <w:r>
        <w:rPr>
          <w:rFonts w:ascii="Verdana" w:eastAsia="Arial Unicode MS" w:hAnsi="Verdana" w:cs="Tahoma"/>
          <w:sz w:val="20"/>
          <w:szCs w:val="20"/>
        </w:rPr>
        <w:t>2022</w:t>
      </w:r>
      <w:r w:rsidRPr="0028797A">
        <w:rPr>
          <w:rFonts w:ascii="Verdana" w:eastAsia="Arial Unicode MS" w:hAnsi="Verdana" w:cs="Tahoma"/>
          <w:sz w:val="20"/>
          <w:szCs w:val="20"/>
        </w:rPr>
        <w:t>.</w:t>
      </w:r>
    </w:p>
    <w:p w14:paraId="73B7D70F" w14:textId="77777777" w:rsidR="00305602" w:rsidRPr="0028797A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sz w:val="20"/>
          <w:szCs w:val="20"/>
        </w:rPr>
      </w:pPr>
    </w:p>
    <w:p w14:paraId="6EC248F7" w14:textId="77777777" w:rsidR="00305602" w:rsidRPr="0028797A" w:rsidRDefault="00305602" w:rsidP="00305602">
      <w:pPr>
        <w:spacing w:line="340" w:lineRule="exact"/>
        <w:contextualSpacing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28797A">
        <w:rPr>
          <w:rFonts w:ascii="Verdana" w:hAnsi="Verdana" w:cs="Tahoma"/>
          <w:i/>
          <w:sz w:val="20"/>
          <w:szCs w:val="20"/>
        </w:rPr>
        <w:t>[</w:t>
      </w:r>
      <w:r w:rsidRPr="0028797A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2E7628F0" w14:textId="1D285FCF" w:rsidR="00305602" w:rsidRPr="0028797A" w:rsidRDefault="00305602" w:rsidP="00305602">
      <w:pPr>
        <w:autoSpaceDE/>
        <w:autoSpaceDN/>
        <w:adjustRightInd/>
        <w:spacing w:after="160" w:line="340" w:lineRule="exact"/>
        <w:contextualSpacing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eastAsia="Arial Unicode MS" w:hAnsi="Verdana" w:cs="Tahoma"/>
          <w:i/>
          <w:sz w:val="20"/>
          <w:szCs w:val="20"/>
        </w:rPr>
        <w:br w:type="page"/>
      </w:r>
      <w:r>
        <w:rPr>
          <w:rFonts w:ascii="Verdana" w:eastAsia="Arial Unicode MS" w:hAnsi="Verdana" w:cs="Tahoma"/>
          <w:i/>
          <w:sz w:val="20"/>
          <w:szCs w:val="20"/>
        </w:rPr>
        <w:lastRenderedPageBreak/>
        <w:t>[</w:t>
      </w:r>
      <w:r w:rsidRPr="0028797A">
        <w:rPr>
          <w:rFonts w:ascii="Verdana" w:hAnsi="Verdana" w:cs="Tahoma"/>
          <w:i/>
          <w:sz w:val="20"/>
          <w:szCs w:val="20"/>
        </w:rPr>
        <w:t>Página de Assinaturas do “I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nstrumento Particular de </w:t>
      </w:r>
      <w:r>
        <w:rPr>
          <w:rFonts w:ascii="Verdana" w:hAnsi="Verdana" w:cs="Tahoma"/>
          <w:bCs/>
          <w:i/>
          <w:sz w:val="20"/>
          <w:szCs w:val="20"/>
        </w:rPr>
        <w:t>Terceiro</w:t>
      </w:r>
      <w:r w:rsidRPr="0028797A">
        <w:rPr>
          <w:rFonts w:ascii="Verdana" w:hAnsi="Verdana" w:cs="Tahoma"/>
          <w:bCs/>
          <w:i/>
          <w:sz w:val="20"/>
          <w:szCs w:val="20"/>
        </w:rPr>
        <w:t xml:space="preserve"> Aditamento</w:t>
      </w:r>
      <w:r w:rsidRPr="0028797A">
        <w:rPr>
          <w:rFonts w:ascii="Verdana" w:hAnsi="Verdana" w:cs="Tahoma"/>
          <w:i/>
          <w:sz w:val="20"/>
          <w:szCs w:val="20"/>
        </w:rPr>
        <w:t xml:space="preserve"> ao Instrumento Particular de Escritura da 1ª (Primeira) Emissão de Debêntures Simples, não Conversíveis em Ações, da Espécie </w:t>
      </w:r>
      <w:r>
        <w:rPr>
          <w:rFonts w:ascii="Verdana" w:hAnsi="Verdana" w:cs="Tahoma"/>
          <w:i/>
          <w:sz w:val="20"/>
          <w:szCs w:val="20"/>
        </w:rPr>
        <w:t>Quirografária</w:t>
      </w:r>
      <w:r w:rsidRPr="0028797A">
        <w:rPr>
          <w:rFonts w:ascii="Verdana" w:hAnsi="Verdana" w:cs="Tahoma"/>
          <w:i/>
          <w:sz w:val="20"/>
          <w:szCs w:val="20"/>
        </w:rPr>
        <w:t xml:space="preserve">, em 2 (duas) Séries, para </w:t>
      </w:r>
      <w:r>
        <w:rPr>
          <w:rFonts w:ascii="Verdana" w:hAnsi="Verdana" w:cs="Tahoma"/>
          <w:i/>
          <w:sz w:val="20"/>
          <w:szCs w:val="20"/>
        </w:rPr>
        <w:t>Colocação Privada</w:t>
      </w:r>
      <w:r w:rsidRPr="0028797A">
        <w:rPr>
          <w:rFonts w:ascii="Verdana" w:hAnsi="Verdana" w:cs="Tahoma"/>
          <w:i/>
          <w:sz w:val="20"/>
          <w:szCs w:val="20"/>
        </w:rPr>
        <w:t xml:space="preserve">, da Companhia </w:t>
      </w:r>
      <w:proofErr w:type="spellStart"/>
      <w:r w:rsidRPr="0028797A">
        <w:rPr>
          <w:rFonts w:ascii="Verdana" w:hAnsi="Verdana" w:cs="Tahoma"/>
          <w:i/>
          <w:sz w:val="20"/>
          <w:szCs w:val="20"/>
        </w:rPr>
        <w:t>Securitizadora</w:t>
      </w:r>
      <w:proofErr w:type="spellEnd"/>
      <w:r w:rsidRPr="0028797A">
        <w:rPr>
          <w:rFonts w:ascii="Verdana" w:hAnsi="Verdana" w:cs="Tahoma"/>
          <w:i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Tahoma"/>
          <w:i/>
          <w:sz w:val="20"/>
          <w:szCs w:val="20"/>
        </w:rPr>
        <w:t>Parcelex</w:t>
      </w:r>
      <w:proofErr w:type="spellEnd"/>
      <w:r w:rsidRPr="0028797A">
        <w:rPr>
          <w:rFonts w:ascii="Verdana" w:hAnsi="Verdana" w:cs="Tahoma"/>
          <w:i/>
          <w:sz w:val="20"/>
          <w:szCs w:val="20"/>
        </w:rPr>
        <w:t>”</w:t>
      </w:r>
      <w:r>
        <w:rPr>
          <w:rFonts w:ascii="Verdana" w:hAnsi="Verdana" w:cs="Tahoma"/>
          <w:i/>
          <w:sz w:val="20"/>
          <w:szCs w:val="20"/>
        </w:rPr>
        <w:t>]</w:t>
      </w:r>
      <w:r w:rsidRPr="0028797A">
        <w:rPr>
          <w:rFonts w:ascii="Verdana" w:hAnsi="Verdana" w:cs="Tahoma"/>
          <w:i/>
          <w:sz w:val="20"/>
          <w:szCs w:val="20"/>
        </w:rPr>
        <w:t>.</w:t>
      </w:r>
    </w:p>
    <w:p w14:paraId="060D46BF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465FD2C5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6525B10C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7205FF42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05602" w:rsidRPr="0028797A" w14:paraId="0D62BF64" w14:textId="77777777" w:rsidTr="00152267">
        <w:trPr>
          <w:jc w:val="center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E8860" w14:textId="77777777" w:rsidR="00305602" w:rsidRPr="0028797A" w:rsidRDefault="00305602" w:rsidP="00152267">
            <w:pPr>
              <w:spacing w:before="120" w:after="120" w:line="280" w:lineRule="exact"/>
              <w:jc w:val="center"/>
              <w:rPr>
                <w:rFonts w:ascii="Verdana" w:eastAsia="MS Mincho" w:hAnsi="Verdana" w:cs="Tahoma"/>
                <w:b/>
                <w:w w:val="0"/>
                <w:sz w:val="20"/>
                <w:szCs w:val="20"/>
                <w:u w:val="single"/>
                <w:lang w:eastAsia="ja-JP"/>
              </w:rPr>
            </w:pPr>
            <w:r w:rsidRPr="0028797A">
              <w:rPr>
                <w:rFonts w:ascii="Verdana" w:hAnsi="Verdana" w:cs="Tahoma"/>
                <w:b/>
                <w:sz w:val="20"/>
                <w:szCs w:val="20"/>
              </w:rPr>
              <w:t>COMPANHIA SECURITIZADORA DE CRÉDITOS FINANCEIROS VERT-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PARCELEX</w:t>
            </w:r>
          </w:p>
        </w:tc>
      </w:tr>
    </w:tbl>
    <w:p w14:paraId="20552431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7D5A1C80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05045D41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137A38BE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p w14:paraId="52DF985B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05602" w:rsidRPr="0028797A" w14:paraId="6E89B266" w14:textId="77777777" w:rsidTr="00152267">
        <w:trPr>
          <w:jc w:val="center"/>
        </w:trPr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14:paraId="66E4B1E6" w14:textId="77777777" w:rsidR="00305602" w:rsidRPr="0028797A" w:rsidRDefault="00305602" w:rsidP="00152267">
            <w:pPr>
              <w:ind w:left="-108" w:right="-250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mallCaps/>
                <w:sz w:val="20"/>
                <w:szCs w:val="20"/>
              </w:rPr>
              <w:t>SIMPLIFIC PAVARINI DISTRIBUIDORA DE TÍTULOS E VALORES MOBILIÁRIOS LTDA.</w:t>
            </w:r>
          </w:p>
        </w:tc>
      </w:tr>
    </w:tbl>
    <w:p w14:paraId="338DD7D6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b/>
          <w:sz w:val="20"/>
          <w:szCs w:val="20"/>
        </w:rPr>
      </w:pPr>
    </w:p>
    <w:p w14:paraId="639DEC0E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3C75C195" w14:textId="77777777" w:rsidR="00305602" w:rsidRPr="00305602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b/>
          <w:bCs/>
          <w:sz w:val="20"/>
          <w:szCs w:val="20"/>
        </w:rPr>
      </w:pPr>
      <w:r w:rsidRPr="00305602">
        <w:rPr>
          <w:rFonts w:ascii="Verdana" w:hAnsi="Verdana" w:cs="Tahoma"/>
          <w:b/>
          <w:bCs/>
          <w:sz w:val="20"/>
          <w:szCs w:val="20"/>
        </w:rPr>
        <w:t>Testemunhas:</w:t>
      </w:r>
    </w:p>
    <w:p w14:paraId="0C904B92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16AFDCBC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p w14:paraId="73B3D0B7" w14:textId="77777777" w:rsidR="00305602" w:rsidRPr="0028797A" w:rsidRDefault="00305602" w:rsidP="00305602">
      <w:pPr>
        <w:tabs>
          <w:tab w:val="left" w:pos="0"/>
          <w:tab w:val="left" w:pos="709"/>
        </w:tabs>
        <w:spacing w:before="120" w:after="120" w:line="280" w:lineRule="exact"/>
        <w:rPr>
          <w:rFonts w:ascii="Verdana" w:hAnsi="Verdana" w:cs="Tahoma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338"/>
        <w:gridCol w:w="4084"/>
      </w:tblGrid>
      <w:tr w:rsidR="00305602" w:rsidRPr="0028797A" w14:paraId="7FD91A8C" w14:textId="77777777" w:rsidTr="00152267">
        <w:trPr>
          <w:trHeight w:val="494"/>
          <w:jc w:val="center"/>
        </w:trPr>
        <w:tc>
          <w:tcPr>
            <w:tcW w:w="2400" w:type="pct"/>
            <w:tcBorders>
              <w:top w:val="single" w:sz="4" w:space="0" w:color="auto"/>
            </w:tcBorders>
          </w:tcPr>
          <w:p w14:paraId="545AF411" w14:textId="77777777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Gabriel Soana </w:t>
            </w:r>
            <w:proofErr w:type="spellStart"/>
            <w:r>
              <w:rPr>
                <w:rFonts w:ascii="Verdana" w:hAnsi="Verdana" w:cs="Tahoma"/>
                <w:sz w:val="20"/>
                <w:szCs w:val="20"/>
              </w:rPr>
              <w:t>Alamino</w:t>
            </w:r>
            <w:proofErr w:type="spellEnd"/>
          </w:p>
          <w:p w14:paraId="25C193DA" w14:textId="77777777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  <w:r>
              <w:rPr>
                <w:rFonts w:ascii="Verdana" w:hAnsi="Verdana" w:cs="Tahoma"/>
                <w:sz w:val="20"/>
                <w:szCs w:val="20"/>
              </w:rPr>
              <w:t>: 419.270.038-73</w:t>
            </w:r>
          </w:p>
        </w:tc>
        <w:tc>
          <w:tcPr>
            <w:tcW w:w="199" w:type="pct"/>
          </w:tcPr>
          <w:p w14:paraId="0E51DBB4" w14:textId="77777777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1" w:type="pct"/>
            <w:tcBorders>
              <w:top w:val="single" w:sz="4" w:space="0" w:color="auto"/>
            </w:tcBorders>
          </w:tcPr>
          <w:p w14:paraId="75664322" w14:textId="3B7DEAC2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Nome: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>Larissa do Nascimento Gomes</w:t>
            </w:r>
          </w:p>
          <w:p w14:paraId="78F9D07D" w14:textId="12F084A8" w:rsidR="00305602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8797A">
              <w:rPr>
                <w:rFonts w:ascii="Verdana" w:hAnsi="Verdana" w:cs="Tahoma"/>
                <w:sz w:val="20"/>
                <w:szCs w:val="20"/>
              </w:rPr>
              <w:t>CPF nº</w:t>
            </w:r>
            <w:r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>
              <w:rPr>
                <w:rFonts w:ascii="Verdana" w:hAnsi="Verdana" w:cs="Tahoma"/>
                <w:sz w:val="20"/>
                <w:szCs w:val="20"/>
              </w:rPr>
              <w:t>376.063.578-46</w:t>
            </w:r>
          </w:p>
          <w:p w14:paraId="469C93A6" w14:textId="0C9CDDE8" w:rsidR="00305602" w:rsidRPr="0028797A" w:rsidRDefault="00305602" w:rsidP="00152267">
            <w:pPr>
              <w:tabs>
                <w:tab w:val="left" w:pos="0"/>
                <w:tab w:val="left" w:pos="709"/>
              </w:tabs>
              <w:spacing w:before="120" w:after="120" w:line="280" w:lineRule="exact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46DC657E" w14:textId="77777777" w:rsidR="00305602" w:rsidRPr="0028797A" w:rsidRDefault="00305602" w:rsidP="00305602">
      <w:pPr>
        <w:spacing w:line="340" w:lineRule="exact"/>
        <w:rPr>
          <w:rFonts w:ascii="Verdana" w:hAnsi="Verdana" w:cs="Tahoma"/>
          <w:sz w:val="20"/>
          <w:szCs w:val="20"/>
        </w:rPr>
      </w:pPr>
    </w:p>
    <w:p w14:paraId="102E7DB3" w14:textId="44C57EC8" w:rsidR="00F12107" w:rsidRDefault="00F12107">
      <w:pPr>
        <w:autoSpaceDE/>
        <w:autoSpaceDN/>
        <w:adjustRightInd/>
        <w:spacing w:after="160" w:line="259" w:lineRule="auto"/>
      </w:pPr>
      <w:r>
        <w:br w:type="page"/>
      </w:r>
    </w:p>
    <w:p w14:paraId="240CD084" w14:textId="512920ED" w:rsidR="00F12107" w:rsidRPr="0018058F" w:rsidRDefault="00F12107" w:rsidP="00F12107">
      <w:pPr>
        <w:spacing w:line="300" w:lineRule="exact"/>
        <w:ind w:right="261"/>
        <w:jc w:val="both"/>
        <w:rPr>
          <w:rFonts w:ascii="Trebuchet MS" w:hAnsi="Trebuchet MS" w:cs="Tahoma"/>
          <w:b/>
          <w:sz w:val="22"/>
          <w:szCs w:val="22"/>
          <w:u w:val="single"/>
        </w:rPr>
      </w:pPr>
      <w:r w:rsidRPr="0018058F">
        <w:rPr>
          <w:rFonts w:ascii="Trebuchet MS" w:hAnsi="Trebuchet MS" w:cs="Tahoma"/>
          <w:b/>
          <w:sz w:val="22"/>
          <w:szCs w:val="22"/>
        </w:rPr>
        <w:lastRenderedPageBreak/>
        <w:t xml:space="preserve">ANEXO I AO </w:t>
      </w:r>
      <w:r>
        <w:rPr>
          <w:rFonts w:ascii="Trebuchet MS" w:hAnsi="Trebuchet MS" w:cs="Tahoma"/>
          <w:b/>
          <w:sz w:val="22"/>
          <w:szCs w:val="22"/>
        </w:rPr>
        <w:t xml:space="preserve">TERCEIRO ADITAMENTO AO </w:t>
      </w:r>
      <w:r w:rsidRPr="0018058F">
        <w:rPr>
          <w:rFonts w:ascii="Trebuchet MS" w:hAnsi="Trebuchet MS"/>
          <w:b/>
          <w:smallCaps/>
          <w:sz w:val="22"/>
          <w:szCs w:val="22"/>
        </w:rPr>
        <w:t>INSTRUMENTO PARTICULAR DE ESCRITURA DA 1ª (PRIMEIRA) EMISSÃO DE DEBÊNTURES SIMPLES, NÃO CONVERSÍVEIS EM AÇÕES, DA ESPÉCIE QUIROGRAFÁRIA, EM 2 (DUAS) SÉRIES, PARA COLOCAÇÃO PRIVADA, DA COMPANHIA SECURITIZADORA DE CRÉDITOS FINANCEIROS VERT-P</w:t>
      </w:r>
      <w:r>
        <w:rPr>
          <w:rFonts w:ascii="Trebuchet MS" w:hAnsi="Trebuchet MS"/>
          <w:b/>
          <w:smallCaps/>
          <w:sz w:val="22"/>
          <w:szCs w:val="22"/>
        </w:rPr>
        <w:t>ARCELEX</w:t>
      </w:r>
    </w:p>
    <w:p w14:paraId="1AA82E7F" w14:textId="77777777" w:rsidR="00F12107" w:rsidRPr="0018058F" w:rsidRDefault="00F12107" w:rsidP="00F12107">
      <w:pPr>
        <w:spacing w:line="300" w:lineRule="exact"/>
        <w:ind w:right="261"/>
        <w:jc w:val="both"/>
        <w:rPr>
          <w:rFonts w:ascii="Trebuchet MS" w:hAnsi="Trebuchet MS" w:cs="Tahoma"/>
          <w:b/>
          <w:sz w:val="22"/>
          <w:szCs w:val="22"/>
          <w:u w:val="single"/>
        </w:rPr>
      </w:pPr>
    </w:p>
    <w:p w14:paraId="410C901C" w14:textId="77777777" w:rsidR="00F12107" w:rsidRPr="0018058F" w:rsidRDefault="00F12107" w:rsidP="00F12107">
      <w:pPr>
        <w:spacing w:line="300" w:lineRule="exact"/>
        <w:ind w:right="261"/>
        <w:jc w:val="both"/>
        <w:rPr>
          <w:rFonts w:ascii="Trebuchet MS" w:hAnsi="Trebuchet MS" w:cs="Tahoma"/>
          <w:b/>
          <w:sz w:val="22"/>
          <w:szCs w:val="22"/>
          <w:u w:val="single"/>
        </w:rPr>
      </w:pPr>
    </w:p>
    <w:p w14:paraId="1A015113" w14:textId="77777777" w:rsidR="00F12107" w:rsidRPr="0018058F" w:rsidRDefault="00F12107" w:rsidP="00F12107">
      <w:pPr>
        <w:pStyle w:val="Lista2"/>
        <w:spacing w:line="300" w:lineRule="exact"/>
        <w:ind w:left="0" w:right="261" w:firstLine="0"/>
        <w:jc w:val="center"/>
        <w:rPr>
          <w:rFonts w:ascii="Trebuchet MS" w:hAnsi="Trebuchet MS" w:cs="Tahoma"/>
          <w:b/>
          <w:sz w:val="22"/>
          <w:szCs w:val="22"/>
        </w:rPr>
      </w:pPr>
      <w:r w:rsidRPr="0018058F">
        <w:rPr>
          <w:rFonts w:ascii="Trebuchet MS" w:hAnsi="Trebuchet MS" w:cs="Tahoma"/>
          <w:b/>
          <w:sz w:val="22"/>
          <w:szCs w:val="22"/>
        </w:rPr>
        <w:t>CRONOGRAMA DE DATAS DE PAGAMENTO</w:t>
      </w:r>
    </w:p>
    <w:p w14:paraId="3F9003A5" w14:textId="77777777" w:rsidR="00F12107" w:rsidRPr="0018058F" w:rsidRDefault="00F12107" w:rsidP="00F12107">
      <w:pPr>
        <w:pStyle w:val="Lista2"/>
        <w:spacing w:line="300" w:lineRule="exact"/>
        <w:ind w:left="0" w:right="261" w:firstLine="0"/>
        <w:jc w:val="center"/>
        <w:rPr>
          <w:rFonts w:ascii="Trebuchet MS" w:hAnsi="Trebuchet MS" w:cs="Tahoma"/>
          <w:b/>
          <w:sz w:val="22"/>
          <w:szCs w:val="22"/>
        </w:rPr>
      </w:pPr>
    </w:p>
    <w:p w14:paraId="12E89E3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08/01/2019</w:t>
      </w:r>
    </w:p>
    <w:p w14:paraId="0109A20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07/02/2019</w:t>
      </w:r>
    </w:p>
    <w:p w14:paraId="699ACE45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11/03/2019</w:t>
      </w:r>
    </w:p>
    <w:p w14:paraId="72E82F7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05/04/2019</w:t>
      </w:r>
    </w:p>
    <w:p w14:paraId="5070E97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08/05/2019</w:t>
      </w:r>
    </w:p>
    <w:p w14:paraId="16B8D418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07/06/2019</w:t>
      </w:r>
    </w:p>
    <w:p w14:paraId="4BAD651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05/07/2019</w:t>
      </w:r>
    </w:p>
    <w:p w14:paraId="560C5BC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07/08/2019</w:t>
      </w:r>
    </w:p>
    <w:p w14:paraId="3328D5A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06/09/2019</w:t>
      </w:r>
    </w:p>
    <w:p w14:paraId="40984526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07/10/2019</w:t>
      </w:r>
    </w:p>
    <w:p w14:paraId="2CA19D78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07/11/2019</w:t>
      </w:r>
    </w:p>
    <w:p w14:paraId="4F22D63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06/12/2019</w:t>
      </w:r>
    </w:p>
    <w:p w14:paraId="067FE83A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08/01/2020</w:t>
      </w:r>
    </w:p>
    <w:p w14:paraId="73FCA50D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07/02/2020</w:t>
      </w:r>
    </w:p>
    <w:p w14:paraId="3E54D577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06/03/2020</w:t>
      </w:r>
    </w:p>
    <w:p w14:paraId="578E05E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07/04/2020</w:t>
      </w:r>
    </w:p>
    <w:p w14:paraId="7E8465CC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08/05/2020</w:t>
      </w:r>
    </w:p>
    <w:p w14:paraId="384233E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05/06/2020</w:t>
      </w:r>
    </w:p>
    <w:p w14:paraId="5ECD007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07/07/2020</w:t>
      </w:r>
    </w:p>
    <w:p w14:paraId="7997211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07/08/2020</w:t>
      </w:r>
    </w:p>
    <w:p w14:paraId="35DCEC4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08/09/2020</w:t>
      </w:r>
    </w:p>
    <w:p w14:paraId="77617546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07/10/2020</w:t>
      </w:r>
    </w:p>
    <w:p w14:paraId="70DCE69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09/11/2020</w:t>
      </w:r>
    </w:p>
    <w:p w14:paraId="6586A82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07/12/2020</w:t>
      </w:r>
    </w:p>
    <w:p w14:paraId="79EF0CFB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08/01/2021</w:t>
      </w:r>
    </w:p>
    <w:p w14:paraId="62D1E75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05/02/2021</w:t>
      </w:r>
    </w:p>
    <w:p w14:paraId="29A45BF5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05/03/2021</w:t>
      </w:r>
    </w:p>
    <w:p w14:paraId="216882B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08/04/2021</w:t>
      </w:r>
    </w:p>
    <w:p w14:paraId="416AC573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07/05/2021</w:t>
      </w:r>
    </w:p>
    <w:p w14:paraId="38259E00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08/06/2021</w:t>
      </w:r>
    </w:p>
    <w:p w14:paraId="162B3BF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07/07/2021</w:t>
      </w:r>
    </w:p>
    <w:p w14:paraId="13A77381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06/08/2021</w:t>
      </w:r>
    </w:p>
    <w:p w14:paraId="1A06E55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08/09/2021</w:t>
      </w:r>
    </w:p>
    <w:p w14:paraId="159A284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07/10/2021</w:t>
      </w:r>
    </w:p>
    <w:p w14:paraId="56072F0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08/11/2021</w:t>
      </w:r>
    </w:p>
    <w:p w14:paraId="6CA45BE9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07/12/2021</w:t>
      </w:r>
    </w:p>
    <w:p w14:paraId="7866EC35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07/01/2022</w:t>
      </w:r>
    </w:p>
    <w:p w14:paraId="1F80A31E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lastRenderedPageBreak/>
        <w:t>07/02/2022</w:t>
      </w:r>
    </w:p>
    <w:p w14:paraId="24FE851A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08/03/2022</w:t>
      </w:r>
    </w:p>
    <w:p w14:paraId="5344E9B2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07/04/2022</w:t>
      </w:r>
    </w:p>
    <w:p w14:paraId="15C634CC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06/05/2022</w:t>
      </w:r>
    </w:p>
    <w:p w14:paraId="6FE4357F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07/06/2022</w:t>
      </w:r>
    </w:p>
    <w:p w14:paraId="20E53C9A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07/07/2022</w:t>
      </w:r>
    </w:p>
    <w:p w14:paraId="1552B657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05/08/2022</w:t>
      </w:r>
    </w:p>
    <w:p w14:paraId="2129EBA4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08/09/2022</w:t>
      </w:r>
    </w:p>
    <w:p w14:paraId="6041C9B8" w14:textId="77777777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 w:rsidRPr="004615CE">
        <w:rPr>
          <w:rFonts w:ascii="Trebuchet MS" w:hAnsi="Trebuchet MS"/>
          <w:bCs/>
          <w:sz w:val="22"/>
          <w:szCs w:val="22"/>
        </w:rPr>
        <w:t>07/10/2022</w:t>
      </w:r>
    </w:p>
    <w:p w14:paraId="56E47B33" w14:textId="068FFC57" w:rsidR="00F12107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25</w:t>
      </w:r>
      <w:r w:rsidRPr="004615CE">
        <w:rPr>
          <w:rFonts w:ascii="Trebuchet MS" w:hAnsi="Trebuchet MS"/>
          <w:bCs/>
          <w:sz w:val="22"/>
          <w:szCs w:val="22"/>
        </w:rPr>
        <w:t>/11/2022</w:t>
      </w:r>
    </w:p>
    <w:p w14:paraId="5CD05C6A" w14:textId="63D56AB1" w:rsidR="00F12107" w:rsidRPr="004615CE" w:rsidRDefault="00F12107" w:rsidP="00F12107">
      <w:pPr>
        <w:spacing w:line="300" w:lineRule="exact"/>
        <w:ind w:right="26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30/12/2022</w:t>
      </w:r>
    </w:p>
    <w:p w14:paraId="679D993E" w14:textId="77777777" w:rsidR="007F525E" w:rsidRDefault="007F525E"/>
    <w:sectPr w:rsidR="007F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1647469">
    <w:abstractNumId w:val="1"/>
  </w:num>
  <w:num w:numId="2" w16cid:durableId="1259212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2"/>
    <w:rsid w:val="00305602"/>
    <w:rsid w:val="006B1163"/>
    <w:rsid w:val="007F525E"/>
    <w:rsid w:val="00F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76D"/>
  <w15:chartTrackingRefBased/>
  <w15:docId w15:val="{1EC495C2-B7F3-49A9-A9C7-3F6FCA1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rsid w:val="00305602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305602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305602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305602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305602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305602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305602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305602"/>
    <w:pPr>
      <w:ind w:left="708"/>
    </w:pPr>
    <w:rPr>
      <w:rFonts w:eastAsia="MS Mincho"/>
    </w:rPr>
  </w:style>
  <w:style w:type="character" w:customStyle="1" w:styleId="PargrafodaListaChar">
    <w:name w:val="Parágrafo da Lista Char"/>
    <w:link w:val="PargrafodaLista"/>
    <w:uiPriority w:val="34"/>
    <w:locked/>
    <w:rsid w:val="0030560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Lista2">
    <w:name w:val="List 2"/>
    <w:basedOn w:val="Normal"/>
    <w:rsid w:val="00F12107"/>
    <w:pPr>
      <w:suppressAutoHyphens/>
      <w:autoSpaceDE/>
      <w:autoSpaceDN/>
      <w:adjustRightInd/>
      <w:ind w:left="566" w:hanging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982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2</cp:revision>
  <dcterms:created xsi:type="dcterms:W3CDTF">2022-11-01T21:13:00Z</dcterms:created>
  <dcterms:modified xsi:type="dcterms:W3CDTF">2022-11-01T21:29:00Z</dcterms:modified>
</cp:coreProperties>
</file>