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13A24B75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0A2BB7"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17A8A">
        <w:rPr>
          <w:rFonts w:ascii="Verdana" w:hAnsi="Verdana" w:cs="Calibri Light"/>
          <w:b/>
          <w:sz w:val="20"/>
          <w:szCs w:val="20"/>
        </w:rPr>
        <w:t xml:space="preserve">PARCELEX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B437DA">
        <w:rPr>
          <w:rFonts w:ascii="Verdana" w:hAnsi="Verdana" w:cs="Calibri Light"/>
          <w:b/>
          <w:sz w:val="20"/>
          <w:szCs w:val="20"/>
        </w:rPr>
        <w:t>18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B437DA">
        <w:rPr>
          <w:rFonts w:ascii="Verdana" w:hAnsi="Verdana" w:cs="Calibri Light"/>
          <w:b/>
          <w:sz w:val="20"/>
          <w:szCs w:val="20"/>
        </w:rPr>
        <w:t>OUTUBRO</w:t>
      </w:r>
      <w:r w:rsidR="00822C78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</w:t>
      </w:r>
      <w:r w:rsidR="00822C78">
        <w:rPr>
          <w:rFonts w:ascii="Verdana" w:hAnsi="Verdana" w:cs="Calibri Light"/>
          <w:b/>
          <w:sz w:val="20"/>
          <w:szCs w:val="20"/>
        </w:rPr>
        <w:t>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4EF126EE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B437DA">
        <w:rPr>
          <w:rFonts w:ascii="Verdana" w:hAnsi="Verdana" w:cs="Calibri Light"/>
          <w:sz w:val="20"/>
          <w:szCs w:val="20"/>
        </w:rPr>
        <w:t>18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B437DA">
        <w:rPr>
          <w:rFonts w:ascii="Verdana" w:hAnsi="Verdana" w:cs="Calibri Light"/>
          <w:sz w:val="20"/>
          <w:szCs w:val="20"/>
        </w:rPr>
        <w:t>outubro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822C78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26BC963E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>Sr</w:t>
      </w:r>
      <w:r w:rsidR="00024DAD">
        <w:rPr>
          <w:rFonts w:ascii="Verdana" w:hAnsi="Verdana" w:cs="Calibri Light"/>
          <w:sz w:val="20"/>
          <w:szCs w:val="20"/>
        </w:rPr>
        <w:t>a</w:t>
      </w:r>
      <w:r w:rsidR="0042749B">
        <w:rPr>
          <w:rFonts w:ascii="Verdana" w:hAnsi="Verdana" w:cs="Calibri Light"/>
          <w:sz w:val="20"/>
          <w:szCs w:val="20"/>
        </w:rPr>
        <w:t xml:space="preserve">. </w:t>
      </w:r>
      <w:r w:rsidR="00024DAD">
        <w:rPr>
          <w:rFonts w:ascii="Verdana" w:hAnsi="Verdana" w:cs="Calibri Light"/>
          <w:sz w:val="20"/>
          <w:szCs w:val="20"/>
        </w:rPr>
        <w:t>Victoria de Sá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917A8A">
        <w:rPr>
          <w:rFonts w:ascii="Verdana" w:hAnsi="Verdana" w:cs="Calibri Light"/>
          <w:sz w:val="20"/>
          <w:szCs w:val="20"/>
        </w:rPr>
        <w:t>[</w:t>
      </w:r>
      <w:r w:rsidR="00917A8A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917A8A">
        <w:rPr>
          <w:rFonts w:ascii="Verdana" w:hAnsi="Verdana" w:cs="Calibri Light"/>
          <w:sz w:val="20"/>
          <w:szCs w:val="20"/>
        </w:rPr>
        <w:t>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AFDDF4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>a 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11BD75BD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>d</w:t>
      </w:r>
      <w:r w:rsidR="007F479F">
        <w:rPr>
          <w:rFonts w:ascii="Verdana" w:hAnsi="Verdana" w:cs="Calibri Light"/>
          <w:sz w:val="20"/>
          <w:szCs w:val="20"/>
        </w:rPr>
        <w:t>o</w:t>
      </w:r>
      <w:r w:rsidR="00A46B7B" w:rsidRPr="00711CC0">
        <w:rPr>
          <w:rFonts w:ascii="Verdana" w:hAnsi="Verdana" w:cs="Calibri Light"/>
          <w:sz w:val="20"/>
          <w:szCs w:val="20"/>
        </w:rPr>
        <w:t xml:space="preserve">s </w:t>
      </w:r>
      <w:r w:rsidR="007F479F">
        <w:rPr>
          <w:rFonts w:ascii="Verdana" w:hAnsi="Verdana" w:cs="Calibri Light"/>
          <w:sz w:val="20"/>
          <w:szCs w:val="20"/>
        </w:rPr>
        <w:t xml:space="preserve">titulares das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Debêntures </w:t>
      </w:r>
      <w:r w:rsidR="000A2BB7">
        <w:rPr>
          <w:rFonts w:ascii="Verdana" w:hAnsi="Verdana" w:cs="Calibri Light"/>
          <w:sz w:val="20"/>
          <w:szCs w:val="20"/>
        </w:rPr>
        <w:t>da 1ª série e</w:t>
      </w:r>
      <w:r w:rsidR="007F479F">
        <w:rPr>
          <w:rFonts w:ascii="Verdana" w:hAnsi="Verdana" w:cs="Calibri Light"/>
          <w:sz w:val="20"/>
          <w:szCs w:val="20"/>
        </w:rPr>
        <w:t>m circulação (“</w:t>
      </w:r>
      <w:r w:rsidR="007F479F">
        <w:rPr>
          <w:rFonts w:ascii="Verdana" w:hAnsi="Verdana" w:cs="Calibri Light"/>
          <w:sz w:val="20"/>
          <w:szCs w:val="20"/>
          <w:u w:val="single"/>
        </w:rPr>
        <w:t>Debenturistas</w:t>
      </w:r>
      <w:r w:rsidR="007F479F">
        <w:rPr>
          <w:rFonts w:ascii="Verdana" w:hAnsi="Verdana" w:cs="Calibri Light"/>
          <w:sz w:val="20"/>
          <w:szCs w:val="20"/>
        </w:rPr>
        <w:t xml:space="preserve">”), uma vez que as Debêntures </w:t>
      </w:r>
      <w:r w:rsidR="000A2BB7">
        <w:rPr>
          <w:rFonts w:ascii="Verdana" w:hAnsi="Verdana" w:cs="Calibri Light"/>
          <w:sz w:val="20"/>
          <w:szCs w:val="20"/>
        </w:rPr>
        <w:t xml:space="preserve">da 2ª série </w:t>
      </w:r>
      <w:r w:rsidR="007F479F">
        <w:rPr>
          <w:rFonts w:ascii="Verdana" w:hAnsi="Verdana" w:cs="Calibri Light"/>
          <w:sz w:val="20"/>
          <w:szCs w:val="20"/>
        </w:rPr>
        <w:t xml:space="preserve">não estão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</w:t>
      </w:r>
      <w:r w:rsidR="007F479F">
        <w:rPr>
          <w:rFonts w:ascii="Verdana" w:hAnsi="Verdana" w:cs="Calibri Light"/>
          <w:sz w:val="20"/>
          <w:szCs w:val="20"/>
        </w:rPr>
        <w:t xml:space="preserve">verificou-se das </w:t>
      </w:r>
      <w:r w:rsidR="00822C78">
        <w:rPr>
          <w:rFonts w:ascii="Verdana" w:hAnsi="Verdana" w:cs="Calibri Light"/>
          <w:sz w:val="20"/>
          <w:szCs w:val="20"/>
        </w:rPr>
        <w:t xml:space="preserve">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 w:rsidR="001C7509"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 xml:space="preserve">(ii)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6462F27F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(i)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822C78">
        <w:rPr>
          <w:rFonts w:ascii="Verdana" w:hAnsi="Verdana" w:cs="Calibri Light"/>
          <w:sz w:val="20"/>
          <w:szCs w:val="20"/>
        </w:rPr>
        <w:t xml:space="preserve">o encerramento do Período de </w:t>
      </w:r>
      <w:r w:rsidR="00050A52">
        <w:rPr>
          <w:rFonts w:ascii="Verdana" w:hAnsi="Verdana" w:cs="Calibri Light"/>
          <w:sz w:val="20"/>
          <w:szCs w:val="20"/>
        </w:rPr>
        <w:t>Alocação</w:t>
      </w:r>
      <w:r w:rsidR="00822C78">
        <w:rPr>
          <w:rFonts w:ascii="Verdana" w:hAnsi="Verdana" w:cs="Calibri Light"/>
          <w:sz w:val="20"/>
          <w:szCs w:val="20"/>
        </w:rPr>
        <w:t xml:space="preserve">, </w:t>
      </w:r>
      <w:bookmarkEnd w:id="2"/>
      <w:r w:rsidR="00153701">
        <w:rPr>
          <w:rFonts w:ascii="Verdana" w:hAnsi="Verdana" w:cs="Calibri Light"/>
          <w:sz w:val="20"/>
          <w:szCs w:val="20"/>
        </w:rPr>
        <w:t>previsto e definido n</w:t>
      </w:r>
      <w:r w:rsidR="00917A8A">
        <w:rPr>
          <w:rFonts w:ascii="Verdana" w:hAnsi="Verdana" w:cs="Calibri Light"/>
          <w:sz w:val="20"/>
          <w:szCs w:val="20"/>
        </w:rPr>
        <w:t xml:space="preserve">a cláusula 3.8.2.1 </w:t>
      </w:r>
      <w:r w:rsidR="00153701">
        <w:rPr>
          <w:rFonts w:ascii="Verdana" w:hAnsi="Verdana" w:cs="Calibri Light"/>
          <w:sz w:val="20"/>
          <w:szCs w:val="20"/>
        </w:rPr>
        <w:t>da Escritura de Emissão</w:t>
      </w:r>
      <w:r w:rsidR="00EE5AE8">
        <w:rPr>
          <w:rFonts w:ascii="Verdana" w:hAnsi="Verdana" w:cs="Calibri Light"/>
          <w:sz w:val="20"/>
          <w:szCs w:val="20"/>
        </w:rPr>
        <w:t xml:space="preserve">; </w:t>
      </w:r>
      <w:r w:rsidR="0040682F">
        <w:rPr>
          <w:rFonts w:ascii="Verdana" w:hAnsi="Verdana" w:cs="Calibri Light"/>
          <w:b/>
          <w:bCs/>
          <w:sz w:val="20"/>
          <w:szCs w:val="20"/>
        </w:rPr>
        <w:t>(ii)</w:t>
      </w:r>
      <w:r w:rsidR="009906C7">
        <w:rPr>
          <w:rFonts w:ascii="Verdana" w:hAnsi="Verdana" w:cs="Calibri Light"/>
          <w:sz w:val="20"/>
          <w:szCs w:val="20"/>
        </w:rPr>
        <w:t xml:space="preserve"> após o encerramento do</w:t>
      </w:r>
      <w:r w:rsidR="006B7430">
        <w:rPr>
          <w:rFonts w:ascii="Verdana" w:hAnsi="Verdana" w:cs="Calibri Light"/>
          <w:sz w:val="20"/>
          <w:szCs w:val="20"/>
        </w:rPr>
        <w:t xml:space="preserve"> Período de Alocação, </w:t>
      </w:r>
      <w:r w:rsidR="009906C7">
        <w:rPr>
          <w:rFonts w:ascii="Verdana" w:hAnsi="Verdana" w:cs="Calibri Light"/>
          <w:sz w:val="20"/>
          <w:szCs w:val="20"/>
        </w:rPr>
        <w:t>autorizar o início dos pagamentos, conforme previsto na cláusula 3.14 da Escritura de Emissão</w:t>
      </w:r>
      <w:r w:rsidR="006B7430">
        <w:rPr>
          <w:rFonts w:ascii="Verdana" w:hAnsi="Verdana" w:cs="Calibri Light"/>
          <w:sz w:val="20"/>
          <w:szCs w:val="20"/>
        </w:rPr>
        <w:t xml:space="preserve">; e </w:t>
      </w:r>
      <w:r w:rsidR="006B7430">
        <w:rPr>
          <w:rFonts w:ascii="Verdana" w:hAnsi="Verdana" w:cs="Calibri Light"/>
          <w:b/>
          <w:bCs/>
          <w:sz w:val="20"/>
          <w:szCs w:val="20"/>
        </w:rPr>
        <w:t>(iii)</w:t>
      </w:r>
      <w:r w:rsidR="006B7430">
        <w:rPr>
          <w:rFonts w:ascii="Verdana" w:hAnsi="Verdana" w:cs="Calibri Light"/>
          <w:sz w:val="20"/>
          <w:szCs w:val="20"/>
        </w:rPr>
        <w:t xml:space="preserve"> </w:t>
      </w:r>
      <w:r w:rsidR="009906C7">
        <w:rPr>
          <w:rFonts w:ascii="Verdana" w:hAnsi="Verdana" w:cs="Calibri Light"/>
          <w:sz w:val="20"/>
          <w:szCs w:val="20"/>
        </w:rPr>
        <w:t xml:space="preserve">a </w:t>
      </w:r>
      <w:r w:rsidR="0040682F">
        <w:rPr>
          <w:rFonts w:ascii="Verdana" w:hAnsi="Verdana" w:cs="Calibri Light"/>
          <w:sz w:val="20"/>
          <w:szCs w:val="20"/>
        </w:rPr>
        <w:t>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8CCE96E" w14:textId="72865AB1" w:rsidR="001955D0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822C78">
        <w:rPr>
          <w:rFonts w:ascii="Verdana" w:hAnsi="Verdana" w:cs="Calibri Light"/>
          <w:sz w:val="20"/>
          <w:szCs w:val="20"/>
        </w:rPr>
        <w:t xml:space="preserve">o encerramento do Período de Alocação, na data de </w:t>
      </w:r>
      <w:r w:rsidR="00B437DA">
        <w:rPr>
          <w:rFonts w:ascii="Verdana" w:hAnsi="Verdana" w:cs="Calibri Light"/>
          <w:sz w:val="20"/>
          <w:szCs w:val="20"/>
        </w:rPr>
        <w:t>18</w:t>
      </w:r>
      <w:r w:rsidR="00822C78">
        <w:rPr>
          <w:rFonts w:ascii="Verdana" w:hAnsi="Verdana" w:cs="Calibri Light"/>
          <w:sz w:val="20"/>
          <w:szCs w:val="20"/>
        </w:rPr>
        <w:t xml:space="preserve"> de </w:t>
      </w:r>
      <w:r w:rsidR="00B437DA">
        <w:rPr>
          <w:rFonts w:ascii="Verdana" w:hAnsi="Verdana" w:cs="Calibri Light"/>
          <w:sz w:val="20"/>
          <w:szCs w:val="20"/>
        </w:rPr>
        <w:t>outubro</w:t>
      </w:r>
      <w:r w:rsidR="00822C78">
        <w:rPr>
          <w:rFonts w:ascii="Verdana" w:hAnsi="Verdana" w:cs="Calibri Light"/>
          <w:sz w:val="20"/>
          <w:szCs w:val="20"/>
        </w:rPr>
        <w:t xml:space="preserve"> de 2021, de forma</w:t>
      </w:r>
      <w:r w:rsidR="00463DB2">
        <w:rPr>
          <w:rFonts w:ascii="Verdana" w:hAnsi="Verdana" w:cs="Calibri Light"/>
          <w:sz w:val="20"/>
          <w:szCs w:val="20"/>
        </w:rPr>
        <w:t xml:space="preserve"> que </w:t>
      </w:r>
      <w:r w:rsidR="00917A8A">
        <w:rPr>
          <w:rFonts w:ascii="Verdana" w:hAnsi="Verdana" w:cs="Calibri Light"/>
          <w:sz w:val="20"/>
          <w:szCs w:val="20"/>
        </w:rPr>
        <w:t>a cláusula</w:t>
      </w:r>
      <w:r w:rsidR="00463DB2">
        <w:rPr>
          <w:rFonts w:ascii="Verdana" w:hAnsi="Verdana" w:cs="Calibri Light"/>
          <w:sz w:val="20"/>
          <w:szCs w:val="20"/>
        </w:rPr>
        <w:t xml:space="preserve"> 3.</w:t>
      </w:r>
      <w:r w:rsidR="00917A8A">
        <w:rPr>
          <w:rFonts w:ascii="Verdana" w:hAnsi="Verdana" w:cs="Calibri Light"/>
          <w:sz w:val="20"/>
          <w:szCs w:val="20"/>
        </w:rPr>
        <w:t>8.2.1</w:t>
      </w:r>
      <w:r w:rsidR="00463DB2">
        <w:rPr>
          <w:rFonts w:ascii="Verdana" w:hAnsi="Verdana" w:cs="Calibri Light"/>
          <w:sz w:val="20"/>
          <w:szCs w:val="20"/>
        </w:rPr>
        <w:t xml:space="preserve"> da Escritura de Emissão passará a viger com a seguinte e nova redação:</w:t>
      </w:r>
    </w:p>
    <w:p w14:paraId="796E8AF4" w14:textId="77777777" w:rsidR="0044377E" w:rsidRDefault="0044377E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0CD0BC" w14:textId="43FC2016" w:rsidR="00463DB2" w:rsidRDefault="005D1927" w:rsidP="00EA7FB3">
      <w:pPr>
        <w:autoSpaceDE w:val="0"/>
        <w:autoSpaceDN w:val="0"/>
        <w:adjustRightInd w:val="0"/>
        <w:spacing w:after="240"/>
        <w:ind w:left="1416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“</w:t>
      </w:r>
      <w:r w:rsidR="00917A8A">
        <w:rPr>
          <w:rFonts w:ascii="Verdana" w:hAnsi="Verdana"/>
          <w:i/>
          <w:iCs/>
          <w:sz w:val="20"/>
          <w:szCs w:val="20"/>
        </w:rPr>
        <w:t>3.8.2.1.</w:t>
      </w:r>
      <w:r w:rsidR="00917A8A">
        <w:rPr>
          <w:rFonts w:ascii="Verdana" w:hAnsi="Verdana"/>
          <w:i/>
          <w:iCs/>
          <w:sz w:val="20"/>
          <w:szCs w:val="20"/>
        </w:rPr>
        <w:tab/>
        <w:t xml:space="preserve">No período compreendido entre a Data da 1ª Integralização (inclusive) e o que ocorrer primeiro entre (i) </w:t>
      </w:r>
      <w:r w:rsidR="001C7509">
        <w:rPr>
          <w:rFonts w:ascii="Verdana" w:hAnsi="Verdana"/>
          <w:i/>
          <w:iCs/>
          <w:sz w:val="20"/>
          <w:szCs w:val="20"/>
        </w:rPr>
        <w:t xml:space="preserve">a data de </w:t>
      </w:r>
      <w:r w:rsidR="00B437DA">
        <w:rPr>
          <w:rFonts w:ascii="Verdana" w:hAnsi="Verdana"/>
          <w:i/>
          <w:iCs/>
          <w:sz w:val="20"/>
          <w:szCs w:val="20"/>
        </w:rPr>
        <w:t>18</w:t>
      </w:r>
      <w:r w:rsidR="001C7509">
        <w:rPr>
          <w:rFonts w:ascii="Verdana" w:hAnsi="Verdana"/>
          <w:i/>
          <w:iCs/>
          <w:sz w:val="20"/>
          <w:szCs w:val="20"/>
        </w:rPr>
        <w:t xml:space="preserve"> de </w:t>
      </w:r>
      <w:r w:rsidR="00B437DA">
        <w:rPr>
          <w:rFonts w:ascii="Verdana" w:hAnsi="Verdana"/>
          <w:i/>
          <w:iCs/>
          <w:sz w:val="20"/>
          <w:szCs w:val="20"/>
        </w:rPr>
        <w:t>outubro</w:t>
      </w:r>
      <w:r w:rsidR="001C7509">
        <w:rPr>
          <w:rFonts w:ascii="Verdana" w:hAnsi="Verdana"/>
          <w:i/>
          <w:iCs/>
          <w:sz w:val="20"/>
          <w:szCs w:val="20"/>
        </w:rPr>
        <w:t xml:space="preserve"> de 2021</w:t>
      </w:r>
      <w:r w:rsidR="00917A8A">
        <w:rPr>
          <w:rFonts w:ascii="Verdana" w:hAnsi="Verdana"/>
          <w:i/>
          <w:iCs/>
          <w:sz w:val="20"/>
          <w:szCs w:val="20"/>
        </w:rPr>
        <w:t>, ou (ii) o dia em que ocorrer um Evento de Aceleração de Pagamento (“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Período de Alocação</w:t>
      </w:r>
      <w:r w:rsidR="00917A8A">
        <w:rPr>
          <w:rFonts w:ascii="Verdana" w:hAnsi="Verdana"/>
          <w:i/>
          <w:iCs/>
          <w:sz w:val="20"/>
          <w:szCs w:val="20"/>
        </w:rPr>
        <w:t>”), a Emissora deverá alocar tais recursos na aquisição de CCBs, sendo vedada a aquisição de novas CCBs após o término do Período de Alocação (“</w:t>
      </w:r>
      <w:r w:rsidR="00917A8A">
        <w:rPr>
          <w:rFonts w:ascii="Verdana" w:hAnsi="Verdana"/>
          <w:i/>
          <w:iCs/>
          <w:sz w:val="20"/>
          <w:szCs w:val="20"/>
          <w:u w:val="single"/>
        </w:rPr>
        <w:t xml:space="preserve">Limitador para Aquisição de 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CCBs</w:t>
      </w:r>
      <w:r w:rsidR="00917A8A">
        <w:rPr>
          <w:rFonts w:ascii="Verdana" w:hAnsi="Verdana"/>
          <w:i/>
          <w:iCs/>
          <w:sz w:val="20"/>
          <w:szCs w:val="20"/>
        </w:rPr>
        <w:t>”) observado, ainda Ordem de Alocação de Recursos (conforme abaixo definido).”</w:t>
      </w:r>
    </w:p>
    <w:p w14:paraId="2191D8F0" w14:textId="20326841" w:rsidR="009906C7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(i</w:t>
      </w:r>
      <w:r>
        <w:rPr>
          <w:rFonts w:ascii="Verdana" w:hAnsi="Verdana"/>
          <w:b/>
          <w:bCs/>
          <w:sz w:val="20"/>
          <w:szCs w:val="20"/>
        </w:rPr>
        <w:t>i</w:t>
      </w:r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906C7">
        <w:rPr>
          <w:rFonts w:ascii="Verdana" w:hAnsi="Verdana"/>
          <w:sz w:val="20"/>
          <w:szCs w:val="20"/>
        </w:rPr>
        <w:t>autorizar, após o encerramento do Período de Alocação, o início dos pagamentos, conforme previsto na cláusula 3.14 da Escritura de Emissão</w:t>
      </w:r>
      <w:r w:rsidR="009906C7">
        <w:rPr>
          <w:rFonts w:ascii="Verdana" w:hAnsi="Verdana"/>
          <w:b/>
          <w:bCs/>
          <w:sz w:val="20"/>
          <w:szCs w:val="20"/>
        </w:rPr>
        <w:t>.</w:t>
      </w:r>
    </w:p>
    <w:p w14:paraId="3F3CE30A" w14:textId="2B09B0D4" w:rsidR="0040682F" w:rsidRPr="00EE5AE8" w:rsidRDefault="009906C7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(iii)</w:t>
      </w:r>
      <w:r>
        <w:rPr>
          <w:rFonts w:ascii="Verdana" w:hAnsi="Verdana"/>
          <w:sz w:val="20"/>
          <w:szCs w:val="20"/>
        </w:rPr>
        <w:t xml:space="preserve"> </w:t>
      </w:r>
      <w:r w:rsidR="0040682F" w:rsidRPr="0028652C">
        <w:rPr>
          <w:rFonts w:ascii="Verdana" w:hAnsi="Verdana"/>
          <w:sz w:val="20"/>
          <w:szCs w:val="20"/>
        </w:rPr>
        <w:t>a</w:t>
      </w:r>
      <w:r w:rsidR="0040682F" w:rsidRPr="0040682F">
        <w:rPr>
          <w:rFonts w:ascii="Verdana" w:hAnsi="Verdana" w:cs="Calibri Light"/>
          <w:sz w:val="20"/>
          <w:szCs w:val="20"/>
        </w:rPr>
        <w:t>utorizar 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40682F"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60D47C6F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024DAD">
        <w:rPr>
          <w:rFonts w:ascii="Verdana" w:hAnsi="Verdana" w:cs="Calibri Light"/>
          <w:sz w:val="20"/>
          <w:szCs w:val="20"/>
        </w:rPr>
        <w:t>Victoria de Sá</w:t>
      </w:r>
      <w:r w:rsidR="00573F3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573F30">
        <w:rPr>
          <w:rFonts w:ascii="Verdana" w:hAnsi="Verdana" w:cs="Calibri Light"/>
          <w:sz w:val="20"/>
          <w:szCs w:val="20"/>
        </w:rPr>
        <w:t>[</w:t>
      </w:r>
      <w:r w:rsidR="00573F30" w:rsidRPr="00573F30">
        <w:rPr>
          <w:rFonts w:ascii="Verdana" w:hAnsi="Verdana" w:cs="Calibri Light"/>
          <w:sz w:val="20"/>
          <w:szCs w:val="20"/>
          <w:highlight w:val="yellow"/>
        </w:rPr>
        <w:t>•</w:t>
      </w:r>
      <w:r w:rsidR="00573F30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48B1A9D1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B437DA">
        <w:rPr>
          <w:rFonts w:ascii="Verdana" w:hAnsi="Verdana" w:cs="Calibri Light"/>
          <w:sz w:val="20"/>
          <w:szCs w:val="20"/>
        </w:rPr>
        <w:t>18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B437DA">
        <w:rPr>
          <w:rFonts w:ascii="Verdana" w:hAnsi="Verdana" w:cs="Calibri Light"/>
          <w:sz w:val="20"/>
          <w:szCs w:val="20"/>
        </w:rPr>
        <w:t xml:space="preserve">outubro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1C7509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7AED6DB2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0A2BB7"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B437DA">
        <w:rPr>
          <w:rFonts w:ascii="Verdana" w:hAnsi="Verdana" w:cs="Calibri Light"/>
          <w:i/>
          <w:iCs/>
          <w:sz w:val="20"/>
          <w:szCs w:val="20"/>
        </w:rPr>
        <w:t>18</w:t>
      </w:r>
      <w:r w:rsidR="00573F30" w:rsidRPr="00573F30">
        <w:rPr>
          <w:rFonts w:ascii="Verdana" w:hAnsi="Verdana" w:cs="Calibri Light"/>
          <w:i/>
          <w:iCs/>
          <w:sz w:val="20"/>
          <w:szCs w:val="20"/>
        </w:rPr>
        <w:t xml:space="preserve"> de </w:t>
      </w:r>
      <w:r w:rsidR="00B437DA">
        <w:rPr>
          <w:rFonts w:ascii="Verdana" w:hAnsi="Verdana" w:cs="Calibri Light"/>
          <w:i/>
          <w:iCs/>
          <w:sz w:val="20"/>
          <w:szCs w:val="20"/>
        </w:rPr>
        <w:t xml:space="preserve">outubro </w:t>
      </w:r>
      <w:r w:rsidR="000A2BB7">
        <w:rPr>
          <w:rFonts w:ascii="Verdana" w:hAnsi="Verdana" w:cs="Calibri Light"/>
          <w:i/>
          <w:iCs/>
          <w:sz w:val="20"/>
          <w:szCs w:val="20"/>
        </w:rPr>
        <w:t>de 2021</w:t>
      </w:r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69F8AB6F" w:rsidR="00573F30" w:rsidRDefault="00024DAD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Victoria de Sá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77777777" w:rsidR="00573F30" w:rsidRDefault="00573F30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573F30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4D7529FD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2D8A382" w14:textId="6C056879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685D747" w14:textId="77777777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A0993A" w:rsidR="00032A34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7234F7D" w14:textId="50AD4D58" w:rsidR="00C21495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37D0821" w14:textId="77777777" w:rsidR="00C21495" w:rsidRPr="00711CC0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2D7B8866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série e da 2ª série da 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da Companhia Securitizadora de Créditos Financeiros VERT-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em </w:t>
            </w:r>
            <w:r w:rsidR="00B437DA">
              <w:rPr>
                <w:rFonts w:ascii="Verdana" w:hAnsi="Verdana" w:cs="Calibri Light"/>
                <w:i/>
                <w:iCs/>
                <w:sz w:val="20"/>
                <w:szCs w:val="20"/>
              </w:rPr>
              <w:t>18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</w:t>
            </w:r>
            <w:r w:rsidR="00B437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outubro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>de 2021</w:t>
            </w:r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0"/>
              <w:gridCol w:w="2780"/>
              <w:gridCol w:w="2738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5A91E8C9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3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  <w:r w:rsidR="000A2BB7"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da 1ª série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0680E7B7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 Jorge dos Santos</w:t>
                  </w:r>
                </w:p>
                <w:p w14:paraId="1A460E2E" w14:textId="0C9AC51E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888D18A" w14:textId="77777777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602A989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4FD9842F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Conrado Engel</w:t>
                  </w:r>
                </w:p>
                <w:p w14:paraId="66B0E3C7" w14:textId="2B1F27EE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54B98BF" w14:textId="77777777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828BA1D" w14:textId="5D78D01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D2D45E" w14:textId="792A233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094F12E" w14:textId="5A7766F1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PORTOCRED S.A., Crédito, Financiamento e Investimento</w:t>
                  </w:r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7232BA32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1F1DF9D1" w14:textId="5C057EE5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9E20B54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9A01871" w14:textId="1883C71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202FB593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6155883D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0100096" w14:textId="70F342CC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F5670D0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E692E8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2E8241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DD6774C" w14:textId="64F0D74F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01.800.019/0001-85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3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77777777" w:rsidR="00094154" w:rsidRPr="00711CC0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4E97" w14:textId="77777777" w:rsidR="00A352A8" w:rsidRDefault="00A352A8" w:rsidP="00591152">
      <w:pPr>
        <w:spacing w:after="0" w:line="240" w:lineRule="auto"/>
      </w:pPr>
      <w:r>
        <w:separator/>
      </w:r>
    </w:p>
  </w:endnote>
  <w:endnote w:type="continuationSeparator" w:id="0">
    <w:p w14:paraId="2D668269" w14:textId="77777777" w:rsidR="00A352A8" w:rsidRDefault="00A352A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DC3" w14:textId="77777777" w:rsidR="00A352A8" w:rsidRDefault="00A352A8" w:rsidP="00591152">
      <w:pPr>
        <w:spacing w:after="0" w:line="240" w:lineRule="auto"/>
      </w:pPr>
      <w:r>
        <w:separator/>
      </w:r>
    </w:p>
  </w:footnote>
  <w:footnote w:type="continuationSeparator" w:id="0">
    <w:p w14:paraId="5787670F" w14:textId="77777777" w:rsidR="00A352A8" w:rsidRDefault="00A352A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4DAD"/>
    <w:rsid w:val="0002641D"/>
    <w:rsid w:val="00027ECF"/>
    <w:rsid w:val="00031B63"/>
    <w:rsid w:val="00032A34"/>
    <w:rsid w:val="0003397D"/>
    <w:rsid w:val="00040DC2"/>
    <w:rsid w:val="00050655"/>
    <w:rsid w:val="00050A52"/>
    <w:rsid w:val="000552E9"/>
    <w:rsid w:val="00062CC5"/>
    <w:rsid w:val="00063DC7"/>
    <w:rsid w:val="00072567"/>
    <w:rsid w:val="0007577F"/>
    <w:rsid w:val="00094154"/>
    <w:rsid w:val="00094510"/>
    <w:rsid w:val="000A2BB7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C7509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5ABA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3086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4F5271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B7430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7F479F"/>
    <w:rsid w:val="008171C0"/>
    <w:rsid w:val="00822C78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83DFA"/>
    <w:rsid w:val="009906C7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352A8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437DA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1495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67F99"/>
    <w:rsid w:val="00F7073F"/>
    <w:rsid w:val="00F70BC0"/>
    <w:rsid w:val="00F865D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4</cp:revision>
  <cp:lastPrinted>2020-10-29T17:18:00Z</cp:lastPrinted>
  <dcterms:created xsi:type="dcterms:W3CDTF">2021-10-06T14:40:00Z</dcterms:created>
  <dcterms:modified xsi:type="dcterms:W3CDTF">2021-10-18T19:03:00Z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