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C0DC" w14:textId="77777777" w:rsidR="001C41C2" w:rsidRPr="00B10C63" w:rsidRDefault="001C41C2" w:rsidP="001C41C2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0ADB82DB" w14:textId="77777777" w:rsidR="001C41C2" w:rsidRPr="00B10C63" w:rsidRDefault="001C41C2" w:rsidP="001C41C2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2237B140" w14:textId="77777777" w:rsidR="001C41C2" w:rsidRPr="00B10C63" w:rsidRDefault="001C41C2" w:rsidP="001C41C2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C63">
        <w:rPr>
          <w:rFonts w:asciiTheme="minorHAnsi" w:hAnsiTheme="minorHAnsi" w:cstheme="minorHAnsi"/>
          <w:b/>
          <w:bCs/>
          <w:sz w:val="22"/>
          <w:szCs w:val="22"/>
        </w:rPr>
        <w:t>CNPJ/ME nº 34.469.625/0001-19</w:t>
      </w:r>
    </w:p>
    <w:p w14:paraId="4D97A5BD" w14:textId="77777777" w:rsidR="001C41C2" w:rsidRPr="00B10C63" w:rsidRDefault="001C41C2" w:rsidP="001C41C2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E140F" w14:textId="1CD82FD0" w:rsidR="001C41C2" w:rsidRPr="00B10C63" w:rsidRDefault="001C41C2" w:rsidP="001C41C2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>DOS DEBENTURISTAS DA 1</w:t>
      </w:r>
      <w:r w:rsidRPr="00B10C63">
        <w:rPr>
          <w:rFonts w:cstheme="minorHAnsi"/>
          <w:b/>
          <w:smallCaps/>
        </w:rPr>
        <w:t xml:space="preserve">ª (PRIMEIRA) EMISSÃO DE DEBÊNTURES </w:t>
      </w:r>
      <w:r w:rsidRPr="00B10C63">
        <w:rPr>
          <w:rFonts w:cstheme="minorHAnsi"/>
          <w:b/>
        </w:rPr>
        <w:t xml:space="preserve">SIMPLES, </w:t>
      </w:r>
      <w:r w:rsidRPr="00B10C63">
        <w:rPr>
          <w:rFonts w:cstheme="minorHAnsi"/>
          <w:b/>
          <w:smallCaps/>
        </w:rPr>
        <w:t>NÃO CONVERSÍVEIS EM AÇÕES,</w:t>
      </w:r>
      <w:r w:rsidRPr="00B10C63">
        <w:rPr>
          <w:rFonts w:cstheme="minorHAnsi"/>
          <w:b/>
        </w:rPr>
        <w:t xml:space="preserve"> DA ESPÉCIE SUBORDINADA</w:t>
      </w:r>
      <w:r w:rsidRPr="00B10C63">
        <w:rPr>
          <w:rFonts w:cstheme="minorHAnsi"/>
          <w:b/>
          <w:smallCaps/>
        </w:rPr>
        <w:t xml:space="preserve">, EM </w:t>
      </w:r>
      <w:r w:rsidRPr="00B10C63">
        <w:rPr>
          <w:rFonts w:cstheme="minorHAnsi"/>
          <w:b/>
        </w:rPr>
        <w:t xml:space="preserve">2 (DUAS) SÉRIES </w:t>
      </w:r>
      <w:r w:rsidRPr="00B10C63">
        <w:rPr>
          <w:rFonts w:cstheme="minorHAnsi"/>
          <w:b/>
          <w:smallCaps/>
        </w:rPr>
        <w:t xml:space="preserve">PARA </w:t>
      </w:r>
      <w:r w:rsidRPr="00B10C63">
        <w:rPr>
          <w:rFonts w:cstheme="minorHAnsi"/>
          <w:b/>
        </w:rPr>
        <w:t>COLOCAÇÃO PRIVADA</w:t>
      </w:r>
      <w:r w:rsidRPr="00B10C63">
        <w:rPr>
          <w:rFonts w:cstheme="minorHAnsi"/>
          <w:b/>
          <w:smallCaps/>
        </w:rPr>
        <w:t>, DA COMPANHIA SECURITIZADORA DE CRÉDITOS FINANCEIROS VERT-PROVI</w:t>
      </w:r>
      <w:r>
        <w:rPr>
          <w:rFonts w:cstheme="minorHAnsi"/>
          <w:b/>
          <w:smallCaps/>
        </w:rPr>
        <w:t>,</w:t>
      </w:r>
      <w:r w:rsidRPr="00B10C63">
        <w:rPr>
          <w:rFonts w:cstheme="minorHAnsi"/>
          <w:b/>
        </w:rPr>
        <w:t xml:space="preserve"> REALIZADA EM </w:t>
      </w:r>
      <w:r>
        <w:rPr>
          <w:rFonts w:cstheme="minorHAnsi"/>
          <w:b/>
        </w:rPr>
        <w:t>22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MARÇO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1014597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77B91826" w14:textId="2AE04EC2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</w:t>
      </w:r>
      <w:r>
        <w:t>Reaberta da Assembleia Geral dos Debenturistas da 1ª Emissão da Emissora (abaixo definida), conforme instalada e suspensa no dia 06 de março de 2023, a</w:t>
      </w:r>
      <w:r w:rsidRPr="00B10C63">
        <w:rPr>
          <w:rFonts w:cstheme="minorHAnsi"/>
        </w:rPr>
        <w:t xml:space="preserve">os </w:t>
      </w:r>
      <w:r>
        <w:rPr>
          <w:rFonts w:cstheme="minorHAnsi"/>
        </w:rPr>
        <w:t>22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, às 1</w:t>
      </w:r>
      <w:r w:rsidR="00875D86">
        <w:rPr>
          <w:rFonts w:cstheme="minorHAnsi"/>
        </w:rPr>
        <w:t>1</w:t>
      </w:r>
      <w:r w:rsidRPr="00B10C63">
        <w:rPr>
          <w:rFonts w:cstheme="minorHAnsi"/>
        </w:rPr>
        <w:t>h</w:t>
      </w:r>
      <w:r w:rsidR="00875D86">
        <w:rPr>
          <w:rFonts w:cstheme="minorHAnsi"/>
        </w:rPr>
        <w:t>0</w:t>
      </w:r>
      <w:r w:rsidRPr="00B10C63">
        <w:rPr>
          <w:rFonts w:cstheme="minorHAnsi"/>
        </w:rPr>
        <w:t xml:space="preserve">0, de forma exclusivamente digital, coordenada pela Companhia </w:t>
      </w:r>
      <w:proofErr w:type="spellStart"/>
      <w:r w:rsidRPr="00B10C63">
        <w:rPr>
          <w:rFonts w:cstheme="minorHAnsi"/>
        </w:rPr>
        <w:t>Securitizadora</w:t>
      </w:r>
      <w:proofErr w:type="spellEnd"/>
      <w:r w:rsidRPr="00B10C63">
        <w:rPr>
          <w:rFonts w:cstheme="minorHAnsi"/>
        </w:rPr>
        <w:t xml:space="preserve">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12E0558E" w14:textId="77777777" w:rsidR="001C41C2" w:rsidRPr="00B10C63" w:rsidRDefault="001C41C2" w:rsidP="001C41C2">
      <w:pPr>
        <w:spacing w:after="0"/>
        <w:jc w:val="both"/>
        <w:rPr>
          <w:rFonts w:cstheme="minorHAnsi"/>
          <w:b/>
        </w:rPr>
      </w:pPr>
    </w:p>
    <w:p w14:paraId="433EE3DB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>
        <w:rPr>
          <w:rFonts w:cstheme="minorHAnsi"/>
        </w:rPr>
        <w:t>Ulisses Figueiredo</w:t>
      </w:r>
      <w:r w:rsidRPr="00B10C63">
        <w:rPr>
          <w:rFonts w:cstheme="minorHAnsi"/>
        </w:rPr>
        <w:t xml:space="preserve">; Secretário: </w:t>
      </w:r>
      <w:r>
        <w:rPr>
          <w:rFonts w:cstheme="minorHAnsi"/>
        </w:rPr>
        <w:t>Carlos Pereira Martins</w:t>
      </w:r>
      <w:r w:rsidRPr="000D444F">
        <w:rPr>
          <w:rFonts w:cstheme="minorHAnsi"/>
        </w:rPr>
        <w:t>.</w:t>
      </w:r>
    </w:p>
    <w:p w14:paraId="5EB8160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57322A10" w14:textId="77777777" w:rsidR="001C41C2" w:rsidRPr="00B10C63" w:rsidRDefault="001C41C2" w:rsidP="001C41C2">
      <w:pPr>
        <w:spacing w:after="0"/>
        <w:jc w:val="both"/>
        <w:rPr>
          <w:rFonts w:cstheme="minorHAnsi"/>
          <w:bCs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2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 xml:space="preserve">, em atenção aos </w:t>
      </w:r>
      <w:proofErr w:type="spellStart"/>
      <w:r w:rsidRPr="00B10C63">
        <w:rPr>
          <w:rFonts w:cstheme="minorHAnsi"/>
          <w:bCs/>
        </w:rPr>
        <w:t>arts</w:t>
      </w:r>
      <w:proofErr w:type="spellEnd"/>
      <w:r w:rsidRPr="00B10C63">
        <w:rPr>
          <w:rFonts w:cstheme="minorHAnsi"/>
          <w:bCs/>
        </w:rPr>
        <w:t>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2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>Instrumento Particular de Escritura da 1ª (primeira) Emissão de Debêntures Simples, Não Conversíveis em Ações, da Espécie Subordinada</w:t>
      </w:r>
      <w:r w:rsidRPr="00B10C63">
        <w:rPr>
          <w:rFonts w:cstheme="minorHAnsi"/>
          <w:smallCaps/>
        </w:rPr>
        <w:t xml:space="preserve">, </w:t>
      </w:r>
      <w:r w:rsidRPr="00B10C63">
        <w:rPr>
          <w:rFonts w:cstheme="minorHAnsi"/>
        </w:rPr>
        <w:t>em 2 (duas) Séries, para Colocação Privada,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 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3A849D00" w14:textId="77777777" w:rsidR="001C41C2" w:rsidRPr="00B10C63" w:rsidRDefault="001C41C2" w:rsidP="001C41C2">
      <w:pPr>
        <w:spacing w:after="0"/>
        <w:jc w:val="both"/>
        <w:rPr>
          <w:rFonts w:cstheme="minorHAnsi"/>
          <w:b/>
        </w:rPr>
      </w:pPr>
    </w:p>
    <w:p w14:paraId="0C87E624" w14:textId="3C40E883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3" w:name="_Hlk85699397"/>
      <w:r w:rsidRPr="00B10C63">
        <w:rPr>
          <w:rFonts w:cstheme="minorHAnsi"/>
          <w:bCs/>
        </w:rPr>
        <w:t xml:space="preserve">Depois de cumpridas as formalidades legais, constatou-se a presença de </w:t>
      </w:r>
      <w:bookmarkStart w:id="4" w:name="_Hlk126838591"/>
      <w:r w:rsidRPr="00D42CC9">
        <w:rPr>
          <w:rFonts w:cstheme="minorHAnsi"/>
        </w:rPr>
        <w:t>82,21</w:t>
      </w:r>
      <w:r w:rsidRPr="00D42CC9">
        <w:rPr>
          <w:rStyle w:val="ui-provider"/>
        </w:rPr>
        <w:t>% (</w:t>
      </w:r>
      <w:r w:rsidR="00B84E94">
        <w:rPr>
          <w:rFonts w:cstheme="minorHAnsi"/>
        </w:rPr>
        <w:t>oitenta e dois virgula vinte e um por cento</w:t>
      </w:r>
      <w:r>
        <w:rPr>
          <w:rStyle w:val="ui-provider"/>
        </w:rPr>
        <w:t xml:space="preserve">) </w:t>
      </w:r>
      <w:r>
        <w:rPr>
          <w:rFonts w:cstheme="minorHAnsi"/>
          <w:bCs/>
        </w:rPr>
        <w:t>das Debentures em circulação</w:t>
      </w:r>
      <w:bookmarkEnd w:id="4"/>
      <w:r w:rsidRPr="00B10C63">
        <w:rPr>
          <w:rFonts w:cstheme="minorHAnsi"/>
          <w:bCs/>
        </w:rPr>
        <w:t>, conforme verificado na lista de presença dos Debenturistas</w:t>
      </w:r>
      <w:bookmarkEnd w:id="3"/>
      <w:r>
        <w:rPr>
          <w:rFonts w:cstheme="minorHAnsi"/>
          <w:bCs/>
        </w:rPr>
        <w:t xml:space="preserve"> </w:t>
      </w:r>
      <w:r w:rsidRPr="00D027A7">
        <w:rPr>
          <w:rFonts w:cstheme="minorHAnsi"/>
          <w:bCs/>
        </w:rPr>
        <w:t>constante do Anexo I desta ata</w:t>
      </w:r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54949E16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648195DF" w14:textId="3EA7A9A1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>: (i) representantes da Emissora;</w:t>
      </w:r>
      <w:r w:rsidR="00C7282B">
        <w:rPr>
          <w:rFonts w:cstheme="minorHAnsi"/>
          <w:bCs/>
        </w:rPr>
        <w:t xml:space="preserve"> </w:t>
      </w:r>
      <w:r w:rsidRPr="00B10C63">
        <w:rPr>
          <w:rFonts w:cstheme="minorHAnsi"/>
          <w:bCs/>
        </w:rPr>
        <w:t>(</w:t>
      </w:r>
      <w:proofErr w:type="spellStart"/>
      <w:r w:rsidRPr="00B10C63">
        <w:rPr>
          <w:rFonts w:cstheme="minorHAnsi"/>
          <w:bCs/>
        </w:rPr>
        <w:t>ii</w:t>
      </w:r>
      <w:proofErr w:type="spellEnd"/>
      <w:r w:rsidRPr="00B10C63">
        <w:rPr>
          <w:rFonts w:cstheme="minorHAnsi"/>
          <w:bCs/>
        </w:rPr>
        <w:t xml:space="preserve">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</w:t>
      </w:r>
      <w:r>
        <w:rPr>
          <w:rFonts w:cstheme="minorHAnsi"/>
          <w:bCs/>
        </w:rPr>
        <w:t>; e a (</w:t>
      </w:r>
      <w:proofErr w:type="spellStart"/>
      <w:r>
        <w:rPr>
          <w:rFonts w:cstheme="minorHAnsi"/>
          <w:bCs/>
        </w:rPr>
        <w:t>iii</w:t>
      </w:r>
      <w:proofErr w:type="spellEnd"/>
      <w:r>
        <w:rPr>
          <w:rFonts w:cstheme="minorHAnsi"/>
          <w:bCs/>
        </w:rPr>
        <w:t>) Provi Soluções e Serviços Ltda, inscrita no CNPJ sob o nº 32.390.384/0001-92 (“</w:t>
      </w:r>
      <w:r>
        <w:rPr>
          <w:rFonts w:cstheme="minorHAnsi"/>
          <w:bCs/>
          <w:u w:val="single"/>
        </w:rPr>
        <w:t>Provi</w:t>
      </w:r>
      <w:r>
        <w:rPr>
          <w:rFonts w:cstheme="minorHAnsi"/>
          <w:bCs/>
        </w:rPr>
        <w:t>”).</w:t>
      </w:r>
    </w:p>
    <w:p w14:paraId="5A5F6AB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198E0577" w14:textId="77777777" w:rsidR="001C41C2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</w:t>
      </w:r>
      <w:r>
        <w:rPr>
          <w:rFonts w:cstheme="minorHAnsi"/>
        </w:rPr>
        <w:t xml:space="preserve"> </w:t>
      </w:r>
      <w:r w:rsidRPr="00B10C63">
        <w:rPr>
          <w:rFonts w:cstheme="minorHAnsi"/>
        </w:rPr>
        <w:t xml:space="preserve">sobre: </w:t>
      </w:r>
    </w:p>
    <w:p w14:paraId="787459EE" w14:textId="77777777" w:rsidR="001C41C2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2AAE60A" w14:textId="77777777" w:rsidR="001C41C2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5" w:name="_Hlk46838219"/>
      <w:r w:rsidRPr="003955BD">
        <w:rPr>
          <w:rFonts w:cstheme="minorHAnsi"/>
        </w:rPr>
        <w:t xml:space="preserve">diante do descumprimento da obrigação de repasse à Emissora, pela Provi, de valores decorrentes das </w:t>
      </w:r>
      <w:proofErr w:type="spellStart"/>
      <w:r w:rsidRPr="003955BD">
        <w:rPr>
          <w:rFonts w:cstheme="minorHAnsi"/>
        </w:rPr>
        <w:t>CCBs</w:t>
      </w:r>
      <w:proofErr w:type="spellEnd"/>
      <w:r w:rsidRPr="003955BD">
        <w:rPr>
          <w:rFonts w:cstheme="minorHAnsi"/>
        </w:rPr>
        <w:t xml:space="preserve"> recebidos indevidamente, conforme previsto no “</w:t>
      </w:r>
      <w:r w:rsidRPr="003955BD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3955BD">
        <w:rPr>
          <w:rFonts w:cstheme="minorHAnsi"/>
        </w:rPr>
        <w:t>”, celebrado em 12 de fevereiro de 2020, avaliar e aprovar, ou não, a proposta de pagamento a ser apresentada pela Provi em Assembleia, a qual deverá conter os respectivos valores e quantidades exatas, bem como evidenciar as informações adicionais solicitadas pelos 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1147DABD" w14:textId="77777777" w:rsidR="001C41C2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0C9F349E" w14:textId="77777777" w:rsidR="001C41C2" w:rsidRPr="00B10C63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lastRenderedPageBreak/>
        <w:t>(</w:t>
      </w:r>
      <w:proofErr w:type="spellStart"/>
      <w:r w:rsidRPr="00B10C63">
        <w:rPr>
          <w:rFonts w:cstheme="minorHAnsi"/>
          <w:b/>
          <w:bCs/>
        </w:rPr>
        <w:t>ii</w:t>
      </w:r>
      <w:proofErr w:type="spellEnd"/>
      <w:r w:rsidRPr="00B10C63">
        <w:rPr>
          <w:rFonts w:cstheme="minorHAnsi"/>
          <w:b/>
          <w:bCs/>
        </w:rPr>
        <w:t>)</w:t>
      </w:r>
      <w:r w:rsidRPr="00B10C63">
        <w:rPr>
          <w:rFonts w:cstheme="minorHAnsi"/>
        </w:rPr>
        <w:t xml:space="preserve"> </w:t>
      </w:r>
      <w:bookmarkStart w:id="6" w:name="_Hlk11095507"/>
      <w:bookmarkEnd w:id="5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6"/>
    </w:p>
    <w:p w14:paraId="52B24E77" w14:textId="77777777" w:rsidR="001C41C2" w:rsidRPr="00B10C63" w:rsidRDefault="001C41C2" w:rsidP="001C41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D79067F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</w:p>
    <w:p w14:paraId="46FAF2C1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243FADEE" w14:textId="65DE5E28" w:rsidR="001C41C2" w:rsidRDefault="001C41C2" w:rsidP="00C12605">
      <w:pPr>
        <w:spacing w:after="0"/>
        <w:jc w:val="both"/>
        <w:rPr>
          <w:rStyle w:val="ui-provider"/>
        </w:rPr>
      </w:pPr>
      <w:r>
        <w:rPr>
          <w:rStyle w:val="ui-provider"/>
        </w:rPr>
        <w:t xml:space="preserve">Examinadas e debatidas as matérias constantes da Ordem do </w:t>
      </w:r>
      <w:r w:rsidRPr="00B84E94">
        <w:rPr>
          <w:rStyle w:val="ui-provider"/>
        </w:rPr>
        <w:t xml:space="preserve">Dia, </w:t>
      </w:r>
      <w:r w:rsidRPr="00B84E94">
        <w:rPr>
          <w:rFonts w:cstheme="minorHAnsi"/>
        </w:rPr>
        <w:t>82,21</w:t>
      </w:r>
      <w:r w:rsidRPr="00B84E94">
        <w:rPr>
          <w:rStyle w:val="ui-provider"/>
        </w:rPr>
        <w:t>% (</w:t>
      </w:r>
      <w:r w:rsidR="00B84E94">
        <w:rPr>
          <w:rFonts w:cstheme="minorHAnsi"/>
        </w:rPr>
        <w:t>oitenta e dois virgula vinte e um por cento</w:t>
      </w:r>
      <w:r>
        <w:rPr>
          <w:rStyle w:val="ui-provider"/>
        </w:rPr>
        <w:t xml:space="preserve">) dos Debenturistas decidiram </w:t>
      </w:r>
      <w:r w:rsidR="0053292E">
        <w:rPr>
          <w:rStyle w:val="ui-provider"/>
        </w:rPr>
        <w:t xml:space="preserve">por </w:t>
      </w:r>
      <w:r>
        <w:rPr>
          <w:rStyle w:val="ui-provider"/>
        </w:rPr>
        <w:t>suspender a Assembleia</w:t>
      </w:r>
      <w:r w:rsidR="0053292E">
        <w:rPr>
          <w:rStyle w:val="ui-provider"/>
        </w:rPr>
        <w:t xml:space="preserve">, </w:t>
      </w:r>
      <w:r>
        <w:rPr>
          <w:rStyle w:val="ui-provider"/>
        </w:rPr>
        <w:t xml:space="preserve">com nova data de reabertura para o dia </w:t>
      </w:r>
      <w:r w:rsidR="0053292E">
        <w:rPr>
          <w:rStyle w:val="ui-provider"/>
        </w:rPr>
        <w:t>29 de março</w:t>
      </w:r>
      <w:r>
        <w:rPr>
          <w:rStyle w:val="ui-provider"/>
        </w:rPr>
        <w:t xml:space="preserve">, às </w:t>
      </w:r>
      <w:r w:rsidR="0053292E">
        <w:rPr>
          <w:rStyle w:val="ui-provider"/>
        </w:rPr>
        <w:t>11h30</w:t>
      </w:r>
      <w:r>
        <w:rPr>
          <w:rStyle w:val="ui-provider"/>
        </w:rPr>
        <w:t xml:space="preserve">, para que </w:t>
      </w:r>
      <w:r w:rsidR="00C12605">
        <w:rPr>
          <w:rStyle w:val="ui-provider"/>
        </w:rPr>
        <w:t xml:space="preserve">sejam consolidadas as informações apresentadas ao longo desta assembleia e reaberturas, com a apresentação do inteiro teor das eventuais deliberações até o momento. </w:t>
      </w:r>
    </w:p>
    <w:p w14:paraId="70278BB6" w14:textId="77777777" w:rsidR="0053292E" w:rsidRPr="00B10C63" w:rsidRDefault="0053292E" w:rsidP="001C41C2">
      <w:pPr>
        <w:spacing w:after="0"/>
        <w:jc w:val="both"/>
        <w:rPr>
          <w:rFonts w:cstheme="minorHAnsi"/>
        </w:rPr>
      </w:pPr>
    </w:p>
    <w:p w14:paraId="3A5BAC68" w14:textId="77777777" w:rsidR="001C41C2" w:rsidRDefault="001C41C2" w:rsidP="001C41C2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  <w:t xml:space="preserve">DISPOSIÇÕES GERAIS:  </w:t>
      </w:r>
    </w:p>
    <w:p w14:paraId="69F1D5E4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7DA769EF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10C63">
        <w:rPr>
          <w:rFonts w:cstheme="minorHAnsi"/>
        </w:rPr>
        <w:t xml:space="preserve">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</w:t>
      </w:r>
      <w:r>
        <w:rPr>
          <w:rFonts w:cstheme="minorHAnsi"/>
        </w:rPr>
        <w:t>n</w:t>
      </w:r>
      <w:r w:rsidRPr="00B10C63">
        <w:rPr>
          <w:rFonts w:cstheme="minorHAnsi"/>
        </w:rPr>
        <w:t>o artigo 115 § 1º da Lei 6404/76, e outras hipóteses previstas em lei, conforme aplicável, sendo informados por todos os presentes que tais hipóteses inexistem.</w:t>
      </w:r>
    </w:p>
    <w:p w14:paraId="1A97FB6D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539532FA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A</w:t>
      </w:r>
      <w:r>
        <w:rPr>
          <w:rFonts w:cstheme="minorHAnsi"/>
        </w:rPr>
        <w:t xml:space="preserve">s </w:t>
      </w:r>
      <w:r w:rsidRPr="00B10C63">
        <w:rPr>
          <w:rFonts w:cstheme="minorHAnsi"/>
        </w:rPr>
        <w:t xml:space="preserve">deliberações da presente assembleia são tomadas por mera liberalidade dos Debenturistas, portanto (i) não poderão ser interpretadas como renúncia dos Debenturistas quanto ao cumprimento pela Emissora das obrigações assumidas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; ou (</w:t>
      </w:r>
      <w:proofErr w:type="spellStart"/>
      <w:r w:rsidRPr="00B10C63">
        <w:rPr>
          <w:rFonts w:cstheme="minorHAnsi"/>
        </w:rPr>
        <w:t>ii</w:t>
      </w:r>
      <w:proofErr w:type="spellEnd"/>
      <w:r w:rsidRPr="00B10C63">
        <w:rPr>
          <w:rFonts w:cstheme="minorHAnsi"/>
        </w:rPr>
        <w:t xml:space="preserve">) não poderão impedir, restringir e/ou limitar o exercício, pelos Debenturistas, de quaisquer direitos pactuados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, bem como não importam em quaisquer formas de novação ou extinção das garantias prestadas às Debêntures, observando o disposto nos artigos 360 a 367 e 838 da Lei nº 10.406, de 10 de janeiro de 2002, conforme alterada (“</w:t>
      </w:r>
      <w:r w:rsidRPr="00B10C63">
        <w:rPr>
          <w:rFonts w:cstheme="minorHAnsi"/>
          <w:u w:val="single"/>
        </w:rPr>
        <w:t>Código Civil Brasileiro</w:t>
      </w:r>
      <w:r w:rsidRPr="00B10C63">
        <w:rPr>
          <w:rFonts w:cstheme="minorHAnsi"/>
        </w:rPr>
        <w:t>”).</w:t>
      </w:r>
    </w:p>
    <w:p w14:paraId="1DD18B5F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0ADC7A3B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Em virtude </w:t>
      </w:r>
      <w:r>
        <w:rPr>
          <w:rFonts w:cstheme="minorHAnsi"/>
        </w:rPr>
        <w:t>das</w:t>
      </w:r>
      <w:r w:rsidRPr="00B10C63">
        <w:rPr>
          <w:rFonts w:cstheme="minorHAnsi"/>
        </w:rPr>
        <w:t xml:space="preserve"> deliberações acima e independentemente de quaisquer outras disposições nos Documentos da Operação, os Debenturistas, neste ato, eximem a Emissora e o Agente Fiduciário de qualquer responsabilidade em relação às deliberações desta assembleia.</w:t>
      </w:r>
    </w:p>
    <w:p w14:paraId="4749DE2F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77DD861D" w14:textId="77777777" w:rsidR="001C41C2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O Agente Fiduciário informa aos Debenturistas que </w:t>
      </w:r>
      <w:r>
        <w:rPr>
          <w:rFonts w:cstheme="minorHAnsi"/>
        </w:rPr>
        <w:t>as</w:t>
      </w:r>
      <w:r w:rsidRPr="00B10C63">
        <w:rPr>
          <w:rFonts w:cstheme="minorHAnsi"/>
        </w:rPr>
        <w:t xml:space="preserve"> deliberações da presente Assembleia pode</w:t>
      </w:r>
      <w:r>
        <w:rPr>
          <w:rFonts w:cstheme="minorHAnsi"/>
        </w:rPr>
        <w:t>m</w:t>
      </w:r>
      <w:r w:rsidRPr="00B10C63">
        <w:rPr>
          <w:rFonts w:cstheme="minorHAnsi"/>
        </w:rPr>
        <w:t xml:space="preserve"> ensejar riscos não mensuráveis no presente momento </w:t>
      </w:r>
      <w:r>
        <w:rPr>
          <w:rFonts w:cstheme="minorHAnsi"/>
        </w:rPr>
        <w:t>à</w:t>
      </w:r>
      <w:r w:rsidRPr="00B10C63">
        <w:rPr>
          <w:rFonts w:cstheme="minorHAnsi"/>
        </w:rPr>
        <w:t xml:space="preserve">s Debentures. </w:t>
      </w:r>
    </w:p>
    <w:p w14:paraId="086F0CF6" w14:textId="77777777" w:rsidR="001C41C2" w:rsidRDefault="001C41C2" w:rsidP="001C41C2">
      <w:pPr>
        <w:spacing w:after="0"/>
        <w:jc w:val="both"/>
        <w:rPr>
          <w:rFonts w:cstheme="minorHAnsi"/>
        </w:rPr>
      </w:pPr>
    </w:p>
    <w:p w14:paraId="2750E7C0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 Agente Fiduciário consigna, ainda,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65D774EF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15ADD9E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Conforme disposto no artigo 76, §2º da Resolução 81, a presente assembleia será assinada e formalizada eletronicamente, via sistema </w:t>
      </w:r>
      <w:proofErr w:type="spellStart"/>
      <w:r w:rsidRPr="00B10C63">
        <w:rPr>
          <w:rFonts w:cstheme="minorHAnsi"/>
        </w:rPr>
        <w:t>DocuSign</w:t>
      </w:r>
      <w:proofErr w:type="spellEnd"/>
      <w:r w:rsidRPr="00B10C63">
        <w:rPr>
          <w:rFonts w:cstheme="minorHAnsi"/>
        </w:rPr>
        <w:t>, com certificação digital.</w:t>
      </w:r>
    </w:p>
    <w:p w14:paraId="498D4E0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4CF75DF3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lastRenderedPageBreak/>
        <w:t xml:space="preserve">Por fim, os Debenturistas autorizam o Agente Fiduciário e a Emissora a disponibilizarem em suas páginas na rede mundial de computadores, a presente ata em forma sumária, com a omissão da qualificação e assinatura dos Debenturistas. </w:t>
      </w:r>
    </w:p>
    <w:p w14:paraId="48DC1356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3DDE9ED6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2080545B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7630EE03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D93646">
        <w:rPr>
          <w:rFonts w:cstheme="minorHAnsi"/>
        </w:rPr>
        <w:t>Ulisses Figueiredo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>
        <w:rPr>
          <w:rFonts w:cstheme="minorHAnsi"/>
        </w:rPr>
        <w:t>Carlos Pereira Martins</w:t>
      </w:r>
      <w:r w:rsidRPr="00B10C63">
        <w:rPr>
          <w:rFonts w:cstheme="minorHAnsi"/>
        </w:rPr>
        <w:t xml:space="preserve">. </w:t>
      </w:r>
    </w:p>
    <w:p w14:paraId="4E27E9D1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6C41D329" w14:textId="76FC51D3" w:rsidR="001C41C2" w:rsidRPr="00B10C63" w:rsidRDefault="001C41C2" w:rsidP="001C41C2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22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344EBCBD" w14:textId="77777777" w:rsidR="001C41C2" w:rsidRDefault="001C41C2" w:rsidP="001C41C2">
      <w:pPr>
        <w:spacing w:after="0"/>
        <w:jc w:val="center"/>
        <w:rPr>
          <w:rFonts w:cstheme="minorHAnsi"/>
        </w:rPr>
      </w:pPr>
    </w:p>
    <w:p w14:paraId="4BAB676A" w14:textId="77777777" w:rsidR="001C41C2" w:rsidRPr="00B10C63" w:rsidRDefault="001C41C2" w:rsidP="001C41C2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09AB35A9" w14:textId="77777777" w:rsidR="001C41C2" w:rsidRPr="00B10C63" w:rsidRDefault="001C41C2" w:rsidP="001C41C2">
      <w:pPr>
        <w:spacing w:after="0"/>
        <w:jc w:val="center"/>
        <w:rPr>
          <w:rFonts w:cstheme="minorHAnsi"/>
        </w:rPr>
      </w:pPr>
    </w:p>
    <w:p w14:paraId="08365A4E" w14:textId="77777777" w:rsidR="001C41C2" w:rsidRDefault="001C41C2" w:rsidP="001C41C2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283327DF" w14:textId="151DF966" w:rsidR="001C41C2" w:rsidRPr="00B10C63" w:rsidRDefault="001C41C2" w:rsidP="001C41C2">
      <w:pPr>
        <w:spacing w:after="0"/>
        <w:jc w:val="both"/>
        <w:rPr>
          <w:rFonts w:cstheme="minorHAnsi"/>
          <w:i/>
          <w:iCs/>
        </w:rPr>
      </w:pPr>
      <w:r w:rsidRPr="00B10C63">
        <w:rPr>
          <w:rFonts w:cstheme="minorHAnsi"/>
          <w:i/>
          <w:iCs/>
        </w:rPr>
        <w:lastRenderedPageBreak/>
        <w:t>Página de Assinaturas da Ata da Assembleia Geral dos Debenturistas da 1ª (primeira) Emissão de Debêntures Simples, Não Conversíveis em Ações, da Espécie Subordinada</w:t>
      </w:r>
      <w:r w:rsidRPr="00B10C63">
        <w:rPr>
          <w:rFonts w:cstheme="minorHAnsi"/>
          <w:i/>
          <w:iCs/>
          <w:smallCaps/>
        </w:rPr>
        <w:t xml:space="preserve">, </w:t>
      </w:r>
      <w:r w:rsidRPr="00B10C63">
        <w:rPr>
          <w:rFonts w:cstheme="minorHAnsi"/>
          <w:i/>
          <w:iCs/>
        </w:rPr>
        <w:t xml:space="preserve">em 2 (duas) Séries para Colocação Privada, da Companhia </w:t>
      </w:r>
      <w:proofErr w:type="spellStart"/>
      <w:r w:rsidRPr="00B10C63">
        <w:rPr>
          <w:rFonts w:cstheme="minorHAnsi"/>
          <w:i/>
          <w:iCs/>
        </w:rPr>
        <w:t>Securitizadora</w:t>
      </w:r>
      <w:proofErr w:type="spellEnd"/>
      <w:r w:rsidRPr="00B10C63">
        <w:rPr>
          <w:rFonts w:cstheme="minorHAnsi"/>
          <w:i/>
          <w:iCs/>
        </w:rPr>
        <w:t xml:space="preserve"> de Créditos Financeiros VERT-Provi, realizada em </w:t>
      </w:r>
      <w:r>
        <w:rPr>
          <w:rFonts w:cstheme="minorHAnsi"/>
          <w:i/>
          <w:iCs/>
        </w:rPr>
        <w:t>22</w:t>
      </w:r>
      <w:r>
        <w:rPr>
          <w:rFonts w:cstheme="minorHAnsi"/>
        </w:rPr>
        <w:t xml:space="preserve"> </w:t>
      </w:r>
      <w:r w:rsidRPr="00B10C63">
        <w:rPr>
          <w:rFonts w:cstheme="minorHAnsi"/>
          <w:i/>
          <w:iCs/>
        </w:rPr>
        <w:t xml:space="preserve">de </w:t>
      </w:r>
      <w:r>
        <w:rPr>
          <w:rFonts w:cstheme="minorHAnsi"/>
          <w:i/>
          <w:iCs/>
        </w:rPr>
        <w:t>março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4D8D5F11" w14:textId="77777777" w:rsidR="001C41C2" w:rsidRPr="00B10C63" w:rsidRDefault="001C41C2" w:rsidP="001C41C2">
      <w:pPr>
        <w:spacing w:after="0"/>
        <w:jc w:val="both"/>
        <w:rPr>
          <w:rFonts w:cstheme="minorHAnsi"/>
          <w:bCs/>
          <w:i/>
          <w:iCs/>
        </w:rPr>
      </w:pPr>
    </w:p>
    <w:p w14:paraId="4384ECD6" w14:textId="77777777" w:rsidR="001C41C2" w:rsidRPr="00B10C63" w:rsidRDefault="001C41C2" w:rsidP="001C41C2">
      <w:pPr>
        <w:spacing w:after="0"/>
        <w:jc w:val="both"/>
        <w:rPr>
          <w:rFonts w:cstheme="minorHAnsi"/>
          <w:bCs/>
          <w:i/>
          <w:iCs/>
        </w:rPr>
      </w:pPr>
    </w:p>
    <w:p w14:paraId="5D7EA987" w14:textId="77777777" w:rsidR="001C41C2" w:rsidRPr="00B10C63" w:rsidRDefault="001C41C2" w:rsidP="001C41C2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1C41C2" w:rsidRPr="00B10C63" w14:paraId="3CF07BCB" w14:textId="77777777" w:rsidTr="002E37B0">
        <w:trPr>
          <w:jc w:val="center"/>
        </w:trPr>
        <w:tc>
          <w:tcPr>
            <w:tcW w:w="4207" w:type="dxa"/>
          </w:tcPr>
          <w:p w14:paraId="5F3A8D70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6450E304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0E220EC9" w14:textId="77777777" w:rsidR="001C41C2" w:rsidRDefault="001C41C2" w:rsidP="002E37B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Ulisses Figueiredo</w:t>
            </w:r>
          </w:p>
          <w:p w14:paraId="4B9DF1F0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05575184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01DEF9D1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622277A1" w14:textId="77777777" w:rsidR="001C41C2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</w:rPr>
              <w:t xml:space="preserve">Carlos Pereira Martins </w:t>
            </w:r>
          </w:p>
          <w:p w14:paraId="5F5437E0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70C9F867" w14:textId="77777777" w:rsidR="001C41C2" w:rsidRPr="00B10C63" w:rsidRDefault="001C41C2" w:rsidP="001C41C2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C41C2" w:rsidRPr="00B10C63" w14:paraId="4B28AE9B" w14:textId="77777777" w:rsidTr="002E37B0">
        <w:trPr>
          <w:jc w:val="center"/>
        </w:trPr>
        <w:tc>
          <w:tcPr>
            <w:tcW w:w="8504" w:type="dxa"/>
          </w:tcPr>
          <w:p w14:paraId="0F4B8992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5FE96D25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190D0CBF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24AEA8DF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5B91304D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6BF6EA23" w14:textId="77777777" w:rsidR="001C41C2" w:rsidRPr="00B10C63" w:rsidRDefault="001C41C2" w:rsidP="002E37B0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7A813DB1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72BF3B29" w14:textId="77777777" w:rsidR="001C41C2" w:rsidRDefault="001C41C2" w:rsidP="001C41C2"/>
    <w:p w14:paraId="2D4D7F58" w14:textId="77777777" w:rsidR="001C41C2" w:rsidRPr="00B10C63" w:rsidRDefault="001C41C2" w:rsidP="001C41C2">
      <w:pPr>
        <w:spacing w:after="0"/>
        <w:jc w:val="both"/>
        <w:rPr>
          <w:rFonts w:cstheme="minorHAnsi"/>
        </w:rPr>
      </w:pPr>
    </w:p>
    <w:p w14:paraId="111B18BB" w14:textId="77777777" w:rsidR="001C41C2" w:rsidRPr="00B10C63" w:rsidRDefault="001C41C2" w:rsidP="001C41C2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57907587" w14:textId="77777777" w:rsidR="001C41C2" w:rsidRPr="00B10C63" w:rsidRDefault="001C41C2" w:rsidP="001C41C2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5BF9B3B4" w14:textId="77777777" w:rsidR="001C41C2" w:rsidRPr="00B10C63" w:rsidRDefault="001C41C2" w:rsidP="001C41C2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156FDD4E" w14:textId="77777777" w:rsidR="001C41C2" w:rsidRPr="00B10C63" w:rsidRDefault="001C41C2" w:rsidP="001C41C2">
      <w:pPr>
        <w:spacing w:after="0"/>
        <w:rPr>
          <w:rFonts w:cstheme="minorHAnsi"/>
        </w:rPr>
      </w:pPr>
    </w:p>
    <w:p w14:paraId="7F89B5CD" w14:textId="77777777" w:rsidR="001C41C2" w:rsidRDefault="001C41C2" w:rsidP="001C41C2"/>
    <w:p w14:paraId="611069B7" w14:textId="77777777" w:rsidR="001C41C2" w:rsidRDefault="001C41C2" w:rsidP="001C41C2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C41C2" w:rsidRPr="00B10C63" w14:paraId="1B8E5CA7" w14:textId="77777777" w:rsidTr="002E37B0">
        <w:trPr>
          <w:jc w:val="center"/>
        </w:trPr>
        <w:tc>
          <w:tcPr>
            <w:tcW w:w="8504" w:type="dxa"/>
          </w:tcPr>
          <w:p w14:paraId="4DB46F37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1E1B73BD" w14:textId="77777777" w:rsidR="001C41C2" w:rsidRPr="00B10C63" w:rsidRDefault="001C41C2" w:rsidP="002E37B0">
            <w:pPr>
              <w:spacing w:after="0"/>
              <w:jc w:val="center"/>
              <w:rPr>
                <w:rFonts w:cstheme="minorHAnsi"/>
              </w:rPr>
            </w:pPr>
          </w:p>
          <w:p w14:paraId="1E33DC93" w14:textId="0DB1B483" w:rsidR="001C41C2" w:rsidRDefault="001C41C2" w:rsidP="002E37B0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>Página de Assinaturas – Lista de Presença da Assembleia Geral dos Debenturistas da 1ª (primeira) Emissão de Debêntures Simples, Não Conversíveis em Ações, da Espécie Subordinada</w:t>
            </w:r>
            <w:r w:rsidRPr="00B10C63">
              <w:rPr>
                <w:rFonts w:cstheme="minorHAnsi"/>
                <w:i/>
                <w:iCs/>
                <w:smallCaps/>
              </w:rPr>
              <w:t xml:space="preserve">, </w:t>
            </w:r>
            <w:r w:rsidRPr="00B10C63">
              <w:rPr>
                <w:rFonts w:cstheme="minorHAnsi"/>
                <w:i/>
                <w:iCs/>
              </w:rPr>
              <w:t xml:space="preserve">em 2 (duas) Séries para Colocação Privada, da Companhia </w:t>
            </w:r>
            <w:proofErr w:type="spellStart"/>
            <w:r w:rsidRPr="00B10C63">
              <w:rPr>
                <w:rFonts w:cstheme="minorHAnsi"/>
                <w:i/>
                <w:iCs/>
              </w:rPr>
              <w:t>Securitizadora</w:t>
            </w:r>
            <w:proofErr w:type="spellEnd"/>
            <w:r w:rsidRPr="00B10C63">
              <w:rPr>
                <w:rFonts w:cstheme="minorHAnsi"/>
                <w:i/>
                <w:iCs/>
              </w:rPr>
              <w:t xml:space="preserve"> de Créditos Financeiros VERT-Provi, realizada em </w:t>
            </w:r>
            <w:r>
              <w:rPr>
                <w:rFonts w:cstheme="minorHAnsi"/>
                <w:i/>
                <w:iCs/>
              </w:rPr>
              <w:t>22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março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46A1AEBF" w14:textId="77777777" w:rsidR="001C41C2" w:rsidRPr="00B10C63" w:rsidRDefault="001C41C2" w:rsidP="002E37B0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43B9A9D5" w14:textId="77777777" w:rsidR="001C41C2" w:rsidRPr="00B10C63" w:rsidRDefault="001C41C2" w:rsidP="002E37B0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54" w:type="dxa"/>
              <w:tblLook w:val="04A0" w:firstRow="1" w:lastRow="0" w:firstColumn="1" w:lastColumn="0" w:noHBand="0" w:noVBand="1"/>
            </w:tblPr>
            <w:tblGrid>
              <w:gridCol w:w="5135"/>
              <w:gridCol w:w="3119"/>
            </w:tblGrid>
            <w:tr w:rsidR="001C41C2" w:rsidRPr="00B10C63" w14:paraId="710A6922" w14:textId="77777777" w:rsidTr="002E37B0">
              <w:trPr>
                <w:trHeight w:val="822"/>
              </w:trPr>
              <w:tc>
                <w:tcPr>
                  <w:tcW w:w="5135" w:type="dxa"/>
                  <w:vAlign w:val="center"/>
                </w:tcPr>
                <w:p w14:paraId="44B51F0E" w14:textId="77777777" w:rsidR="001C41C2" w:rsidRPr="00B10C63" w:rsidRDefault="001C41C2" w:rsidP="002E37B0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3119" w:type="dxa"/>
                  <w:vAlign w:val="center"/>
                </w:tcPr>
                <w:p w14:paraId="73752B48" w14:textId="77777777" w:rsidR="001C41C2" w:rsidRPr="00B10C63" w:rsidRDefault="001C41C2" w:rsidP="002E37B0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</w:tr>
            <w:tr w:rsidR="001C41C2" w:rsidRPr="00B10C63" w14:paraId="4AA319A9" w14:textId="77777777" w:rsidTr="002E37B0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3770207C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FLOW 300 FUNDO DE INVESTIMENTO MULTIMERCADO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639AF482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17.040.401/0001-78</w:t>
                  </w:r>
                </w:p>
              </w:tc>
            </w:tr>
            <w:tr w:rsidR="001C41C2" w:rsidRPr="00B10C63" w14:paraId="4DA0A923" w14:textId="77777777" w:rsidTr="002E37B0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6E1C3A97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JGA CAPITAL FUNDO DE INVESTIMENTO MULTIMERCADO -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4C0096A9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31.608.448/0001-16</w:t>
                  </w:r>
                </w:p>
              </w:tc>
            </w:tr>
            <w:tr w:rsidR="001C41C2" w:rsidRPr="00B10C63" w14:paraId="7632AE17" w14:textId="77777777" w:rsidTr="002E37B0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27857217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MILENIO LW 180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 FUNDO DE INVESTIMENTO MULTIMERCADO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4576B60B" w14:textId="77777777" w:rsidR="001C41C2" w:rsidRPr="008A60BC" w:rsidRDefault="001C41C2" w:rsidP="002E37B0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26.718.267/0001-02</w:t>
                  </w:r>
                </w:p>
              </w:tc>
            </w:tr>
          </w:tbl>
          <w:p w14:paraId="114DB05A" w14:textId="77777777" w:rsidR="001C41C2" w:rsidRPr="00B10C63" w:rsidRDefault="001C41C2" w:rsidP="002E37B0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6C733A3E" w14:textId="77777777" w:rsidR="001C41C2" w:rsidRPr="00B10C63" w:rsidRDefault="001C41C2" w:rsidP="002E37B0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3F853D86" w14:textId="77777777" w:rsidR="001C41C2" w:rsidRPr="00B10C63" w:rsidRDefault="001C41C2" w:rsidP="001C41C2">
      <w:pPr>
        <w:spacing w:after="0"/>
        <w:rPr>
          <w:rFonts w:cstheme="minorHAnsi"/>
        </w:rPr>
      </w:pPr>
    </w:p>
    <w:p w14:paraId="759602C3" w14:textId="77777777" w:rsidR="001C41C2" w:rsidRPr="00B10C63" w:rsidRDefault="001C41C2" w:rsidP="001C41C2">
      <w:pPr>
        <w:spacing w:after="0"/>
        <w:rPr>
          <w:rFonts w:cstheme="minorHAnsi"/>
        </w:rPr>
      </w:pPr>
    </w:p>
    <w:p w14:paraId="16F4DED0" w14:textId="77777777" w:rsidR="001C41C2" w:rsidRPr="00B10C63" w:rsidRDefault="001C41C2" w:rsidP="001C41C2">
      <w:pPr>
        <w:spacing w:after="0"/>
        <w:rPr>
          <w:rFonts w:cstheme="minorHAnsi"/>
        </w:rPr>
      </w:pPr>
    </w:p>
    <w:p w14:paraId="4B14A1A9" w14:textId="77777777" w:rsidR="001C41C2" w:rsidRDefault="001C41C2" w:rsidP="001C41C2"/>
    <w:p w14:paraId="718AB0E6" w14:textId="77777777" w:rsidR="001C41C2" w:rsidRDefault="001C41C2" w:rsidP="001C41C2"/>
    <w:p w14:paraId="70B165F5" w14:textId="77777777" w:rsidR="001C41C2" w:rsidRDefault="001C41C2" w:rsidP="001C41C2"/>
    <w:p w14:paraId="60A15253" w14:textId="77777777" w:rsidR="001C41C2" w:rsidRDefault="001C41C2" w:rsidP="001C41C2"/>
    <w:p w14:paraId="27E030C4" w14:textId="77777777" w:rsidR="001C41C2" w:rsidRDefault="001C41C2" w:rsidP="001C41C2"/>
    <w:p w14:paraId="5EBB9748" w14:textId="77777777" w:rsidR="007F525E" w:rsidRDefault="007F525E"/>
    <w:sectPr w:rsidR="007F525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2"/>
    <w:rsid w:val="001C41C2"/>
    <w:rsid w:val="0053292E"/>
    <w:rsid w:val="00634616"/>
    <w:rsid w:val="006B1163"/>
    <w:rsid w:val="007F525E"/>
    <w:rsid w:val="00875D86"/>
    <w:rsid w:val="00B84E94"/>
    <w:rsid w:val="00C12605"/>
    <w:rsid w:val="00C7282B"/>
    <w:rsid w:val="00D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E1C"/>
  <w15:chartTrackingRefBased/>
  <w15:docId w15:val="{88395B9A-73AA-41D4-A1F5-632969A5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C2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C41C2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1C41C2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ui-provider">
    <w:name w:val="ui-provider"/>
    <w:basedOn w:val="Fontepargpadro"/>
    <w:rsid w:val="001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6</cp:revision>
  <dcterms:created xsi:type="dcterms:W3CDTF">2023-03-22T12:37:00Z</dcterms:created>
  <dcterms:modified xsi:type="dcterms:W3CDTF">2023-03-22T15:32:00Z</dcterms:modified>
</cp:coreProperties>
</file>