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5CF7477E"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1D363B"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1D363B">
        <w:rPr>
          <w:rFonts w:ascii="Trebuchet MS" w:eastAsia="MS Mincho" w:hAnsi="Trebuchet MS" w:cs="Tahoma"/>
          <w:sz w:val="22"/>
          <w:szCs w:val="22"/>
        </w:rPr>
        <w:t>outubro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33FEAFB0"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1D363B">
        <w:rPr>
          <w:rFonts w:ascii="Trebuchet MS" w:hAnsi="Trebuchet MS"/>
          <w:bCs/>
          <w:sz w:val="22"/>
          <w:szCs w:val="22"/>
        </w:rPr>
        <w:t>outubro</w:t>
      </w:r>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354748C3"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0"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1D363B">
        <w:rPr>
          <w:rFonts w:ascii="Trebuchet MS" w:hAnsi="Trebuchet MS"/>
          <w:bCs/>
          <w:sz w:val="22"/>
          <w:szCs w:val="22"/>
        </w:rPr>
        <w:t>outubro</w:t>
      </w:r>
      <w:r w:rsidR="001D363B"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0"/>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w:t>
      </w:r>
      <w:r w:rsidRPr="00831E74">
        <w:rPr>
          <w:rFonts w:ascii="Trebuchet MS" w:eastAsia="Times New Roman" w:hAnsi="Trebuchet MS" w:cs="Tahoma"/>
          <w:sz w:val="22"/>
          <w:szCs w:val="22"/>
        </w:rPr>
        <w:lastRenderedPageBreak/>
        <w:t>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5"/>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lastRenderedPageBreak/>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3499932D"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 xml:space="preserve">conta bancária e/ou de investimento de titularidade da Emissora, exclusivamente associada a esta Emissão, qual seja: conta corrente nº [•], mantida na agência </w:t>
      </w:r>
      <w:bookmarkStart w:id="38" w:name="_GoBack"/>
      <w:r w:rsidR="00550BAC" w:rsidRPr="0018058F">
        <w:rPr>
          <w:rFonts w:ascii="Trebuchet MS" w:hAnsi="Trebuchet MS" w:cs="Tahoma"/>
          <w:sz w:val="22"/>
          <w:szCs w:val="22"/>
        </w:rPr>
        <w:t>[•] do [</w:t>
      </w:r>
      <w:r w:rsidR="00F33642">
        <w:rPr>
          <w:rFonts w:ascii="Trebuchet MS" w:hAnsi="Trebuchet MS" w:cs="Tahoma"/>
          <w:sz w:val="22"/>
          <w:szCs w:val="22"/>
        </w:rPr>
        <w:t>Banco</w:t>
      </w:r>
      <w:r w:rsidR="00550BAC" w:rsidRPr="0018058F">
        <w:rPr>
          <w:rFonts w:ascii="Trebuchet MS" w:hAnsi="Trebuchet MS" w:cs="Tahoma"/>
          <w:sz w:val="22"/>
          <w:szCs w:val="22"/>
        </w:rPr>
        <w:t xml:space="preserve">] </w:t>
      </w:r>
      <w:bookmarkEnd w:id="38"/>
      <w:r w:rsidR="00550BAC" w:rsidRPr="0018058F">
        <w:rPr>
          <w:rFonts w:ascii="Trebuchet MS" w:hAnsi="Trebuchet MS" w:cs="Tahoma"/>
          <w:sz w:val="22"/>
          <w:szCs w:val="22"/>
        </w:rPr>
        <w:t>(“</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w:t>
      </w:r>
      <w:r w:rsidRPr="0018058F">
        <w:rPr>
          <w:rFonts w:ascii="Trebuchet MS" w:hAnsi="Trebuchet MS" w:cs="Tahoma"/>
          <w:sz w:val="22"/>
          <w:szCs w:val="22"/>
        </w:rPr>
        <w:lastRenderedPageBreak/>
        <w:t xml:space="preserve">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02E2B7B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r w:rsidR="0020140E">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(ii)</w:t>
      </w:r>
      <w:r w:rsidR="00E65396">
        <w:rPr>
          <w:rFonts w:ascii="Trebuchet MS" w:hAnsi="Trebuchet MS" w:cs="Tahoma"/>
          <w:sz w:val="22"/>
          <w:szCs w:val="22"/>
        </w:rPr>
        <w:t xml:space="preserve"> na hipótese de desistência ou vedação do Tomador em seguir com as obrigações das CCBs</w:t>
      </w:r>
      <w:r w:rsidR="006558A7" w:rsidRPr="0018058F">
        <w:rPr>
          <w:rFonts w:ascii="Trebuchet MS" w:hAnsi="Trebuchet MS" w:cs="Tahoma"/>
          <w:sz w:val="22"/>
          <w:szCs w:val="22"/>
        </w:rPr>
        <w:t>. Nesse caso, quaisquer valores recebidos pela Emissora em contrapartida à alienação destas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9"/>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50"/>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0266DFD0"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xml:space="preserve">, observada a eventual ocorrência de um Evento de </w:t>
      </w:r>
      <w:r w:rsidR="00C80844">
        <w:rPr>
          <w:rFonts w:ascii="Trebuchet MS" w:hAnsi="Trebuchet MS" w:cs="Arial"/>
          <w:color w:val="000000"/>
          <w:sz w:val="22"/>
          <w:szCs w:val="22"/>
        </w:rPr>
        <w:lastRenderedPageBreak/>
        <w:t>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w:t>
      </w:r>
      <w:r w:rsidR="001420F6">
        <w:rPr>
          <w:rFonts w:ascii="Trebuchet MS" w:eastAsia="Arial Unicode MS" w:hAnsi="Trebuchet MS" w:cs="Tahoma"/>
          <w:sz w:val="22"/>
          <w:szCs w:val="22"/>
        </w:rPr>
        <w:t>à</w:t>
      </w:r>
      <w:r w:rsidR="001420F6">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w:t>
      </w:r>
      <w:r w:rsidR="00937935" w:rsidRPr="0018058F">
        <w:rPr>
          <w:rFonts w:ascii="Trebuchet MS" w:hAnsi="Trebuchet MS" w:cs="Tahoma"/>
          <w:sz w:val="22"/>
          <w:szCs w:val="22"/>
        </w:rPr>
        <w:lastRenderedPageBreak/>
        <w:t xml:space="preserve">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ao ano, base 252 (duzentos e cinquenta e dois) Dias Úteis, calculada e divulgada diariamente pela B3, no informativo diário disponível em sua página na internet</w:t>
      </w:r>
      <w:r w:rsidR="0076013E" w:rsidRPr="0076013E">
        <w:rPr>
          <w:rFonts w:ascii="Trebuchet MS" w:hAnsi="Trebuchet MS" w:cs="Tahoma"/>
          <w:sz w:val="22"/>
          <w:szCs w:val="22"/>
        </w:rPr>
        <w:t xml:space="preserve">, </w:t>
      </w:r>
      <w:r w:rsidR="0076013E" w:rsidRPr="0006391C">
        <w:rPr>
          <w:rFonts w:ascii="Verdana" w:hAnsi="Verdana"/>
          <w:sz w:val="20"/>
          <w:szCs w:val="20"/>
        </w:rPr>
        <w:t xml:space="preserve">acrescida de </w:t>
      </w:r>
      <w:r w:rsidR="0076013E" w:rsidRPr="0006391C">
        <w:rPr>
          <w:rFonts w:ascii="Verdana" w:hAnsi="Verdana"/>
          <w:i/>
          <w:iCs/>
          <w:sz w:val="20"/>
          <w:szCs w:val="20"/>
        </w:rPr>
        <w:t xml:space="preserve">spread </w:t>
      </w:r>
      <w:r w:rsidR="0076013E" w:rsidRPr="0006391C">
        <w:rPr>
          <w:rFonts w:ascii="Verdana" w:hAnsi="Verdana"/>
          <w:iCs/>
          <w:sz w:val="20"/>
          <w:szCs w:val="20"/>
        </w:rPr>
        <w:t xml:space="preserve">ou sobretaxa </w:t>
      </w:r>
      <w:r w:rsidR="0076013E" w:rsidRPr="0006391C">
        <w:rPr>
          <w:rFonts w:ascii="Verdana" w:hAnsi="Verdana"/>
          <w:sz w:val="20"/>
          <w:szCs w:val="20"/>
        </w:rPr>
        <w:t>de 5,</w:t>
      </w:r>
      <w:r w:rsidR="0076013E">
        <w:rPr>
          <w:rFonts w:ascii="Verdana" w:hAnsi="Verdana"/>
          <w:sz w:val="20"/>
          <w:szCs w:val="20"/>
        </w:rPr>
        <w:t>00</w:t>
      </w:r>
      <w:r w:rsidR="0076013E" w:rsidRPr="0006391C">
        <w:rPr>
          <w:rFonts w:ascii="Verdana" w:hAnsi="Verdana"/>
          <w:sz w:val="20"/>
          <w:szCs w:val="20"/>
        </w:rPr>
        <w:t>%</w:t>
      </w:r>
      <w:r w:rsidR="0076013E">
        <w:rPr>
          <w:rFonts w:ascii="Verdana" w:hAnsi="Verdana"/>
          <w:sz w:val="20"/>
          <w:szCs w:val="20"/>
        </w:rPr>
        <w:t xml:space="preserve">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4" w:name="_Ref497551838"/>
      <w:bookmarkStart w:id="65" w:name="_Ref476845774"/>
      <w:bookmarkStart w:id="6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 xml:space="preserve">Série imediatamente anterior, </w:t>
      </w:r>
      <w:r w:rsidRPr="005E7686">
        <w:rPr>
          <w:rFonts w:ascii="Trebuchet MS" w:hAnsi="Trebuchet MS" w:cs="Arial"/>
          <w:color w:val="000000"/>
          <w:sz w:val="22"/>
          <w:szCs w:val="22"/>
        </w:rPr>
        <w:lastRenderedPageBreak/>
        <w:t>conforme o caso, inclusive, até a data de cálculo, exclusive, calculado com 8 (oito) casas decimais, com arredondamento, apurado da seguinte forma:</w:t>
      </w:r>
    </w:p>
    <w:p w14:paraId="5E5A997E" w14:textId="77777777" w:rsidR="005731AA" w:rsidRPr="0018058F" w:rsidRDefault="00AE535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0" w:dyaOrig="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1539394"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AE535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0" w:dyaOrig="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1539395"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AE535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0" w:dyaOrig="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1539396"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 xml:space="preserve">Remuneração das Debêntures </w:t>
      </w:r>
      <w:r w:rsidRPr="0018058F">
        <w:rPr>
          <w:rFonts w:ascii="Trebuchet MS" w:hAnsi="Trebuchet MS"/>
          <w:sz w:val="22"/>
          <w:szCs w:val="22"/>
        </w:rPr>
        <w:lastRenderedPageBreak/>
        <w:t>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lastRenderedPageBreak/>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 xml:space="preserve">Prêmio </w:t>
      </w:r>
      <w:bookmarkStart w:id="78" w:name="_Ref517600371"/>
      <w:bookmarkEnd w:id="7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 xml:space="preserve">equivalente à receita residual dos Direitos </w:t>
      </w:r>
      <w:r w:rsidR="001D363B">
        <w:rPr>
          <w:rFonts w:ascii="Trebuchet MS" w:hAnsi="Trebuchet MS" w:cs="Tahoma"/>
          <w:sz w:val="22"/>
          <w:szCs w:val="22"/>
        </w:rPr>
        <w:lastRenderedPageBreak/>
        <w:t>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xml:space="preserve">”), sendo que os valores referentes às Debêntures </w:t>
      </w:r>
      <w:r w:rsidRPr="0018058F">
        <w:rPr>
          <w:rFonts w:ascii="Trebuchet MS" w:hAnsi="Trebuchet MS" w:cs="Tahoma"/>
          <w:sz w:val="22"/>
          <w:szCs w:val="22"/>
        </w:rPr>
        <w:lastRenderedPageBreak/>
        <w:t>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após a ocorrência de um Evento de </w:t>
      </w:r>
      <w:r w:rsidR="0011566C">
        <w:rPr>
          <w:rFonts w:ascii="Trebuchet MS" w:hAnsi="Trebuchet MS" w:cs="Arial"/>
          <w:color w:val="000000"/>
          <w:sz w:val="22"/>
          <w:szCs w:val="22"/>
        </w:rPr>
        <w:lastRenderedPageBreak/>
        <w:t>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6" w:name="_Ref495594053"/>
      <w:r w:rsidRPr="0018058F">
        <w:rPr>
          <w:rFonts w:ascii="Trebuchet MS" w:hAnsi="Trebuchet MS" w:cs="Tahoma"/>
          <w:sz w:val="22"/>
          <w:szCs w:val="22"/>
        </w:rPr>
        <w:t xml:space="preserve"> e o Agente Fiduciário assim decidam, não restando qualquer relação entre </w:t>
      </w:r>
      <w:bookmarkEnd w:id="9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w:t>
      </w:r>
      <w:r w:rsidRPr="0018058F">
        <w:rPr>
          <w:rFonts w:ascii="Trebuchet MS" w:hAnsi="Trebuchet MS" w:cs="Tahoma"/>
          <w:sz w:val="22"/>
          <w:szCs w:val="22"/>
        </w:rPr>
        <w:lastRenderedPageBreak/>
        <w:t>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w:t>
      </w:r>
      <w:r w:rsidRPr="0018058F">
        <w:rPr>
          <w:rFonts w:ascii="Trebuchet MS" w:hAnsi="Trebuchet MS" w:cs="Tahoma"/>
          <w:sz w:val="22"/>
          <w:szCs w:val="22"/>
        </w:rPr>
        <w:lastRenderedPageBreak/>
        <w:t xml:space="preserve">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lastRenderedPageBreak/>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bookmarkEnd w:id="119"/>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0ECD1D18"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AE5351"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(ii), </w:t>
      </w:r>
      <w:r w:rsidR="000E7105" w:rsidRPr="008361D2">
        <w:rPr>
          <w:rFonts w:ascii="Trebuchet MS" w:hAnsi="Trebuchet MS" w:cs="Tahoma"/>
          <w:sz w:val="22"/>
          <w:szCs w:val="22"/>
        </w:rPr>
        <w:t>(v)</w:t>
      </w:r>
      <w:r w:rsidR="008361D2" w:rsidRPr="008361D2">
        <w:rPr>
          <w:rFonts w:ascii="Trebuchet MS" w:hAnsi="Trebuchet MS" w:cs="Tahoma"/>
          <w:sz w:val="22"/>
          <w:szCs w:val="22"/>
        </w:rPr>
        <w:t>, (vii),</w:t>
      </w:r>
      <w:r w:rsidR="008361D2">
        <w:rPr>
          <w:rFonts w:ascii="Trebuchet MS" w:hAnsi="Trebuchet MS" w:cs="Tahoma"/>
          <w:sz w:val="22"/>
          <w:szCs w:val="22"/>
        </w:rPr>
        <w:t xml:space="preserve"> (viii) e (xv)</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5"/>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lastRenderedPageBreak/>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w:t>
      </w:r>
      <w:r w:rsidRPr="0018058F">
        <w:rPr>
          <w:rFonts w:ascii="Trebuchet MS" w:hAnsi="Trebuchet MS" w:cs="Tahoma"/>
          <w:sz w:val="22"/>
          <w:szCs w:val="22"/>
        </w:rPr>
        <w:lastRenderedPageBreak/>
        <w:t>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lastRenderedPageBreak/>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0A050DBD"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1C544A" w:rsidRPr="0006391C">
        <w:rPr>
          <w:rFonts w:ascii="Trebuchet MS" w:hAnsi="Trebuchet MS" w:cs="Tahoma"/>
          <w:b/>
          <w:bCs/>
        </w:rPr>
        <w:t>(a)</w:t>
      </w:r>
      <w:r w:rsidR="001C544A" w:rsidRPr="0006391C">
        <w:rPr>
          <w:rFonts w:ascii="Trebuchet MS" w:hAnsi="Trebuchet MS" w:cs="Tahoma"/>
        </w:rPr>
        <w:t xml:space="preserve"> </w:t>
      </w:r>
      <w:r w:rsidR="0043387A" w:rsidRPr="0006391C">
        <w:rPr>
          <w:rFonts w:ascii="Trebuchet MS" w:hAnsi="Trebuchet MS" w:cs="Tahoma"/>
        </w:rPr>
        <w:t xml:space="preserve">tenham prazos superiores </w:t>
      </w:r>
      <w:r w:rsidR="00D24FC1" w:rsidRPr="0006391C">
        <w:rPr>
          <w:rFonts w:ascii="Trebuchet MS" w:hAnsi="Trebuchet MS" w:cs="Tahoma"/>
        </w:rPr>
        <w:t>à</w:t>
      </w:r>
      <w:r w:rsidR="0043387A" w:rsidRPr="0006391C">
        <w:rPr>
          <w:rFonts w:ascii="Trebuchet MS" w:hAnsi="Trebuchet MS" w:cs="Tahoma"/>
        </w:rPr>
        <w:t xml:space="preserve"> </w:t>
      </w:r>
      <w:r w:rsidR="00250110" w:rsidRPr="0006391C">
        <w:rPr>
          <w:rFonts w:ascii="Trebuchet MS" w:hAnsi="Trebuchet MS" w:cs="Tahoma"/>
        </w:rPr>
        <w:t>Data de Vencimento das Debêntures;</w:t>
      </w:r>
      <w:r w:rsidR="001C544A" w:rsidRPr="0006391C">
        <w:rPr>
          <w:rFonts w:ascii="Trebuchet MS" w:hAnsi="Trebuchet MS" w:cs="Tahoma"/>
        </w:rPr>
        <w:t xml:space="preserve"> </w:t>
      </w:r>
      <w:r w:rsidR="001C544A" w:rsidRPr="0006391C">
        <w:rPr>
          <w:rFonts w:ascii="Trebuchet MS" w:hAnsi="Trebuchet MS" w:cs="Tahoma"/>
          <w:b/>
          <w:bCs/>
        </w:rPr>
        <w:t xml:space="preserve">(b) </w:t>
      </w:r>
      <w:r w:rsidR="001C544A" w:rsidRPr="0006391C">
        <w:rPr>
          <w:rFonts w:ascii="Trebuchet MS" w:hAnsi="Trebuchet MS" w:cs="Tahoma"/>
        </w:rPr>
        <w:t xml:space="preserve">tenham taxa de retorno de investimento (TIR) inferior a 5% da </w:t>
      </w:r>
      <w:r w:rsidR="001C544A" w:rsidRPr="0006391C">
        <w:rPr>
          <w:rFonts w:ascii="Trebuchet MS" w:hAnsi="Trebuchet MS" w:cs="Tahoma"/>
        </w:rPr>
        <w:lastRenderedPageBreak/>
        <w:t>Taxa DI</w:t>
      </w:r>
      <w:r w:rsidR="00E340A0" w:rsidRPr="0006391C">
        <w:rPr>
          <w:rFonts w:ascii="Trebuchet MS" w:hAnsi="Trebuchet MS" w:cs="Tahoma"/>
        </w:rPr>
        <w:t>, no momento de sua aquisição pela Emissora</w:t>
      </w:r>
      <w:r w:rsidR="001C544A" w:rsidRPr="0006391C">
        <w:rPr>
          <w:rFonts w:ascii="Trebuchet MS" w:hAnsi="Trebuchet MS" w:cs="Tahoma"/>
        </w:rPr>
        <w:t xml:space="preserve">; </w:t>
      </w:r>
      <w:r w:rsidR="00136C69">
        <w:rPr>
          <w:rFonts w:ascii="Trebuchet MS" w:hAnsi="Trebuchet MS" w:cs="Tahoma"/>
        </w:rPr>
        <w:t xml:space="preserve">e </w:t>
      </w:r>
      <w:r w:rsidR="001C544A" w:rsidRPr="0006391C">
        <w:rPr>
          <w:rFonts w:ascii="Trebuchet MS" w:hAnsi="Trebuchet MS" w:cs="Tahoma"/>
          <w:b/>
          <w:bCs/>
        </w:rPr>
        <w:t xml:space="preserve">(c) </w:t>
      </w:r>
      <w:r w:rsidR="001C544A" w:rsidRPr="0006391C">
        <w:rPr>
          <w:rFonts w:ascii="Trebuchet MS" w:hAnsi="Trebuchet MS" w:cs="Tahoma"/>
        </w:rPr>
        <w:t>tenham valor nominal superior a R$80.000,00 (oitenta mil reais) por CCB;</w:t>
      </w:r>
      <w:r w:rsidR="001C0E44">
        <w:rPr>
          <w:rFonts w:ascii="Trebuchet MS" w:hAnsi="Trebuchet MS" w:cs="Tahoma"/>
        </w:rPr>
        <w:t xml:space="preserve"> </w:t>
      </w:r>
    </w:p>
    <w:p w14:paraId="66DAEA34" w14:textId="77777777" w:rsidR="00E340A0" w:rsidRDefault="00E340A0" w:rsidP="0006391C">
      <w:pPr>
        <w:pStyle w:val="PargrafodaLista"/>
        <w:rPr>
          <w:rFonts w:ascii="Trebuchet MS" w:hAnsi="Trebuchet MS" w:cs="Tahoma"/>
        </w:rPr>
      </w:pPr>
    </w:p>
    <w:p w14:paraId="4A101AA4" w14:textId="5EF3741B" w:rsidR="00E340A0" w:rsidRPr="0006391C" w:rsidRDefault="00380F9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após o encerramento do 12 (decimo segundo) mês</w:t>
      </w:r>
      <w:r w:rsidR="00136C69">
        <w:rPr>
          <w:rFonts w:ascii="Trebuchet MS" w:hAnsi="Trebuchet MS" w:cs="Tahoma"/>
        </w:rPr>
        <w:t xml:space="preserve"> contado a parti</w:t>
      </w:r>
      <w:r w:rsidR="00AD3147">
        <w:rPr>
          <w:rFonts w:ascii="Trebuchet MS" w:hAnsi="Trebuchet MS" w:cs="Tahoma"/>
        </w:rPr>
        <w:t>r</w:t>
      </w:r>
      <w:r w:rsidR="00136C69">
        <w:rPr>
          <w:rFonts w:ascii="Trebuchet MS" w:hAnsi="Trebuchet MS" w:cs="Tahoma"/>
        </w:rPr>
        <w:t xml:space="preserve"> da Data de Emissão</w:t>
      </w:r>
      <w:r>
        <w:rPr>
          <w:rFonts w:ascii="Trebuchet MS" w:hAnsi="Trebuchet MS" w:cs="Tahoma"/>
        </w:rPr>
        <w:t xml:space="preserve">, </w:t>
      </w:r>
      <w:r w:rsidR="001C0E44">
        <w:rPr>
          <w:rFonts w:ascii="Trebuchet MS" w:hAnsi="Trebuchet MS" w:cs="Tahoma"/>
        </w:rPr>
        <w:t xml:space="preserve">o valor total de CCBs emitidas no âmbito de </w:t>
      </w:r>
      <w:r>
        <w:rPr>
          <w:rFonts w:ascii="Trebuchet MS" w:hAnsi="Trebuchet MS" w:cs="Tahoma"/>
        </w:rPr>
        <w:t>uma</w:t>
      </w:r>
      <w:r w:rsidR="001C0E44">
        <w:rPr>
          <w:rFonts w:ascii="Trebuchet MS" w:hAnsi="Trebuchet MS" w:cs="Tahoma"/>
        </w:rPr>
        <w:t xml:space="preserve"> </w:t>
      </w:r>
      <w:r>
        <w:rPr>
          <w:rFonts w:ascii="Trebuchet MS" w:hAnsi="Trebuchet MS" w:cs="Tahoma"/>
        </w:rPr>
        <w:t>mesma</w:t>
      </w:r>
      <w:r w:rsidR="001C0E44">
        <w:rPr>
          <w:rFonts w:ascii="Trebuchet MS" w:hAnsi="Trebuchet MS" w:cs="Tahoma"/>
        </w:rPr>
        <w:t xml:space="preserve"> finalidade</w:t>
      </w:r>
      <w:r>
        <w:rPr>
          <w:rFonts w:ascii="Trebuchet MS" w:hAnsi="Trebuchet MS" w:cs="Tahoma"/>
        </w:rPr>
        <w:t xml:space="preserve"> de financiamento</w:t>
      </w:r>
      <w:r w:rsidR="00AD3147">
        <w:rPr>
          <w:rFonts w:ascii="Trebuchet MS" w:hAnsi="Trebuchet MS" w:cs="Tahoma"/>
        </w:rPr>
        <w:t xml:space="preserve">, considerando </w:t>
      </w:r>
      <w:r w:rsidR="00AD3147" w:rsidRPr="0006391C">
        <w:rPr>
          <w:rFonts w:ascii="Trebuchet MS" w:hAnsi="Trebuchet MS" w:cs="Tahoma"/>
          <w:i/>
          <w:iCs/>
        </w:rPr>
        <w:t>pro forma</w:t>
      </w:r>
      <w:r w:rsidR="00AD3147">
        <w:rPr>
          <w:rFonts w:ascii="Trebuchet MS" w:hAnsi="Trebuchet MS" w:cs="Tahoma"/>
        </w:rPr>
        <w:t xml:space="preserve"> sua aquisição,</w:t>
      </w:r>
      <w:r>
        <w:rPr>
          <w:rFonts w:ascii="Trebuchet MS" w:hAnsi="Trebuchet MS" w:cs="Tahoma"/>
        </w:rPr>
        <w:t xml:space="preserve"> não poderá ultrapassar </w:t>
      </w:r>
      <w:r w:rsidR="00AD3147">
        <w:rPr>
          <w:rFonts w:ascii="Trebuchet MS" w:hAnsi="Trebuchet MS" w:cs="Tahoma"/>
        </w:rPr>
        <w:t xml:space="preserve">50% (cinquenta por cento) do valor total dos Direitos </w:t>
      </w:r>
      <w:r w:rsidR="00872CFB">
        <w:rPr>
          <w:rFonts w:ascii="Trebuchet MS" w:hAnsi="Trebuchet MS" w:cs="Tahoma"/>
        </w:rPr>
        <w:t>Creditórios</w:t>
      </w:r>
      <w:r w:rsidR="00AD3147">
        <w:rPr>
          <w:rFonts w:ascii="Trebuchet MS" w:hAnsi="Trebuchet MS" w:cs="Tahoma"/>
        </w:rPr>
        <w:t xml:space="preserve"> Vinculados;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taxa de juros das CCB</w:t>
      </w:r>
      <w:r w:rsidR="0018058F">
        <w:rPr>
          <w:rFonts w:ascii="Trebuchet MS" w:hAnsi="Trebuchet MS" w:cs="Tahoma"/>
        </w:rPr>
        <w:t>s</w:t>
      </w:r>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2AAD5FA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lastRenderedPageBreak/>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 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lastRenderedPageBreak/>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lastRenderedPageBreak/>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w:t>
      </w:r>
      <w:r w:rsidRPr="0018058F">
        <w:rPr>
          <w:rFonts w:ascii="Trebuchet MS" w:hAnsi="Trebuchet MS" w:cs="Tahoma"/>
          <w:sz w:val="22"/>
          <w:szCs w:val="22"/>
        </w:rPr>
        <w:lastRenderedPageBreak/>
        <w:t xml:space="preserve">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lastRenderedPageBreak/>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w:t>
      </w:r>
      <w:r w:rsidRPr="00D16011">
        <w:rPr>
          <w:rFonts w:ascii="Trebuchet MS" w:hAnsi="Trebuchet MS" w:cs="Tahoma"/>
          <w:sz w:val="22"/>
          <w:szCs w:val="22"/>
        </w:rPr>
        <w:lastRenderedPageBreak/>
        <w:t xml:space="preserve">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creditórios.Assim, caso seja necessária a venda dos Direitos Creditórios Vinculados adquiridos pela Emissora, poderá não haver demanda suficiente ou o preço de negociação dos créditos financeiros pode </w:t>
      </w:r>
      <w:r w:rsidRPr="00D16011">
        <w:rPr>
          <w:rFonts w:ascii="Trebuchet MS" w:hAnsi="Trebuchet MS" w:cs="Tahoma"/>
          <w:sz w:val="22"/>
          <w:szCs w:val="22"/>
        </w:rPr>
        <w:lastRenderedPageBreak/>
        <w:t>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036D2">
        <w:rPr>
          <w:rFonts w:ascii="Trebuchet MS" w:hAnsi="Trebuchet MS" w:cs="Tahoma"/>
          <w:b/>
          <w:bCs/>
          <w:sz w:val="22"/>
          <w:szCs w:val="22"/>
        </w:rPr>
        <w:t>Atuacao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65766C78"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D363B">
        <w:rPr>
          <w:rFonts w:ascii="Trebuchet MS" w:eastAsia="Arial Unicode MS" w:hAnsi="Trebuchet MS"/>
          <w:sz w:val="22"/>
          <w:szCs w:val="22"/>
        </w:rPr>
        <w:t>outubro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0244" w14:textId="77777777" w:rsidR="00AE5351" w:rsidRDefault="00AE5351">
      <w:r>
        <w:separator/>
      </w:r>
    </w:p>
  </w:endnote>
  <w:endnote w:type="continuationSeparator" w:id="0">
    <w:p w14:paraId="62459EF8" w14:textId="77777777" w:rsidR="00AE5351" w:rsidRDefault="00AE5351">
      <w:r>
        <w:continuationSeparator/>
      </w:r>
    </w:p>
  </w:endnote>
  <w:endnote w:type="continuationNotice" w:id="1">
    <w:p w14:paraId="59E5FE71" w14:textId="77777777" w:rsidR="00AE5351" w:rsidRDefault="00AE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9D75" w14:textId="77777777" w:rsidR="00AE5351" w:rsidRDefault="00AE5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217FF4" w:rsidRDefault="00217FF4"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64349D52" w:rsidR="00AE5351" w:rsidRPr="00217FF4" w:rsidRDefault="00217FF4" w:rsidP="00217FF4">
    <w:pPr>
      <w:pStyle w:val="Rodap"/>
      <w:jc w:val="right"/>
      <w:rPr>
        <w:rFonts w:ascii="Trebuchet MS" w:hAnsi="Trebuchet MS"/>
        <w:sz w:val="16"/>
      </w:rPr>
    </w:pPr>
    <w:r>
      <w:rPr>
        <w:rFonts w:ascii="Trebuchet MS" w:hAnsi="Trebuchet MS"/>
        <w:sz w:val="16"/>
      </w:rPr>
      <w:t xml:space="preserve">SP - 2409425v1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AE5351" w:rsidRPr="004517B5" w:rsidRDefault="00AE5351" w:rsidP="004517B5">
    <w:pPr>
      <w:pStyle w:val="Rodap"/>
      <w:jc w:val="right"/>
      <w:rPr>
        <w:rFonts w:ascii="Trebuchet MS" w:hAnsi="Trebuchet M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AE5351" w:rsidRPr="00217FF4" w:rsidRDefault="00AE5351"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8028" w14:textId="77777777" w:rsidR="00AE5351" w:rsidRDefault="00AE5351">
      <w:r>
        <w:separator/>
      </w:r>
    </w:p>
  </w:footnote>
  <w:footnote w:type="continuationSeparator" w:id="0">
    <w:p w14:paraId="0066678E" w14:textId="77777777" w:rsidR="00AE5351" w:rsidRDefault="00AE5351">
      <w:r>
        <w:continuationSeparator/>
      </w:r>
    </w:p>
  </w:footnote>
  <w:footnote w:type="continuationNotice" w:id="1">
    <w:p w14:paraId="43665925" w14:textId="77777777" w:rsidR="00AE5351" w:rsidRDefault="00AE5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6793" w14:textId="77777777" w:rsidR="00AE5351" w:rsidRDefault="00AE5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BF70" w14:textId="77777777" w:rsidR="00AE5351" w:rsidRDefault="00AE5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1A51" w14:textId="77777777" w:rsidR="00AE5351" w:rsidRDefault="00AE5351">
    <w:pPr>
      <w:pStyle w:val="Cabealho"/>
      <w:jc w:val="right"/>
      <w:rPr>
        <w:rFonts w:ascii="Trebuchet MS" w:hAnsi="Trebuchet MS"/>
        <w:b/>
        <w:sz w:val="22"/>
        <w:szCs w:val="22"/>
      </w:rPr>
    </w:pPr>
    <w:r>
      <w:rPr>
        <w:rFonts w:ascii="Trebuchet MS" w:hAnsi="Trebuchet MS"/>
        <w:b/>
        <w:sz w:val="22"/>
        <w:szCs w:val="22"/>
      </w:rPr>
      <w:t>Minuta</w:t>
    </w:r>
  </w:p>
  <w:p w14:paraId="74621132" w14:textId="618B336D" w:rsidR="00AE5351" w:rsidRPr="00AB79DE" w:rsidRDefault="00AE5351">
    <w:pPr>
      <w:pStyle w:val="Cabealho"/>
      <w:jc w:val="right"/>
      <w:rPr>
        <w:rFonts w:ascii="Trebuchet MS" w:hAnsi="Trebuchet MS"/>
        <w:b/>
        <w:sz w:val="22"/>
        <w:szCs w:val="22"/>
      </w:rPr>
    </w:pPr>
    <w:r>
      <w:rPr>
        <w:rFonts w:ascii="Trebuchet MS" w:hAnsi="Trebuchet MS"/>
        <w:b/>
        <w:sz w:val="22"/>
        <w:szCs w:val="22"/>
      </w:rPr>
      <w:t>02.10.2019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0"/>
  </w:num>
  <w:num w:numId="3">
    <w:abstractNumId w:val="19"/>
  </w:num>
  <w:num w:numId="4">
    <w:abstractNumId w:val="11"/>
  </w:num>
  <w:num w:numId="5">
    <w:abstractNumId w:val="41"/>
  </w:num>
  <w:num w:numId="6">
    <w:abstractNumId w:val="49"/>
  </w:num>
  <w:num w:numId="7">
    <w:abstractNumId w:val="10"/>
  </w:num>
  <w:num w:numId="8">
    <w:abstractNumId w:val="13"/>
  </w:num>
  <w:num w:numId="9">
    <w:abstractNumId w:val="48"/>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6"/>
  </w:num>
  <w:num w:numId="15">
    <w:abstractNumId w:val="23"/>
  </w:num>
  <w:num w:numId="16">
    <w:abstractNumId w:val="18"/>
  </w:num>
  <w:num w:numId="17">
    <w:abstractNumId w:val="46"/>
  </w:num>
  <w:num w:numId="18">
    <w:abstractNumId w:val="37"/>
  </w:num>
  <w:num w:numId="19">
    <w:abstractNumId w:val="55"/>
  </w:num>
  <w:num w:numId="20">
    <w:abstractNumId w:val="53"/>
  </w:num>
  <w:num w:numId="21">
    <w:abstractNumId w:val="17"/>
  </w:num>
  <w:num w:numId="22">
    <w:abstractNumId w:val="38"/>
  </w:num>
  <w:num w:numId="23">
    <w:abstractNumId w:val="2"/>
  </w:num>
  <w:num w:numId="24">
    <w:abstractNumId w:val="4"/>
  </w:num>
  <w:num w:numId="25">
    <w:abstractNumId w:val="5"/>
  </w:num>
  <w:num w:numId="26">
    <w:abstractNumId w:val="1"/>
  </w:num>
  <w:num w:numId="27">
    <w:abstractNumId w:val="8"/>
  </w:num>
  <w:num w:numId="28">
    <w:abstractNumId w:val="20"/>
  </w:num>
  <w:num w:numId="29">
    <w:abstractNumId w:val="44"/>
  </w:num>
  <w:num w:numId="30">
    <w:abstractNumId w:val="29"/>
  </w:num>
  <w:num w:numId="31">
    <w:abstractNumId w:val="26"/>
  </w:num>
  <w:num w:numId="32">
    <w:abstractNumId w:val="25"/>
  </w:num>
  <w:num w:numId="33">
    <w:abstractNumId w:val="22"/>
  </w:num>
  <w:num w:numId="34">
    <w:abstractNumId w:val="52"/>
  </w:num>
  <w:num w:numId="35">
    <w:abstractNumId w:val="45"/>
  </w:num>
  <w:num w:numId="36">
    <w:abstractNumId w:val="40"/>
  </w:num>
  <w:num w:numId="37">
    <w:abstractNumId w:val="27"/>
  </w:num>
  <w:num w:numId="38">
    <w:abstractNumId w:val="47"/>
  </w:num>
  <w:num w:numId="39">
    <w:abstractNumId w:val="32"/>
  </w:num>
  <w:num w:numId="40">
    <w:abstractNumId w:val="54"/>
  </w:num>
  <w:num w:numId="41">
    <w:abstractNumId w:val="15"/>
  </w:num>
  <w:num w:numId="42">
    <w:abstractNumId w:val="12"/>
  </w:num>
  <w:num w:numId="43">
    <w:abstractNumId w:val="31"/>
  </w:num>
  <w:num w:numId="44">
    <w:abstractNumId w:val="21"/>
  </w:num>
  <w:num w:numId="45">
    <w:abstractNumId w:val="28"/>
  </w:num>
  <w:num w:numId="46">
    <w:abstractNumId w:val="14"/>
  </w:num>
  <w:num w:numId="47">
    <w:abstractNumId w:val="34"/>
  </w:num>
  <w:num w:numId="48">
    <w:abstractNumId w:val="35"/>
  </w:num>
  <w:num w:numId="49">
    <w:abstractNumId w:val="33"/>
  </w:num>
  <w:num w:numId="50">
    <w:abstractNumId w:val="51"/>
  </w:num>
  <w:num w:numId="51">
    <w:abstractNumId w:val="36"/>
  </w:num>
  <w:num w:numId="52">
    <w:abstractNumId w:val="24"/>
  </w:num>
  <w:num w:numId="53">
    <w:abstractNumId w:val="39"/>
  </w:num>
  <w:num w:numId="54">
    <w:abstractNumId w:val="3"/>
  </w:num>
  <w:num w:numId="55">
    <w:abstractNumId w:val="43"/>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23057"/>
    <w:rsid w:val="00730FAD"/>
    <w:rsid w:val="007374E3"/>
    <w:rsid w:val="00751E2C"/>
    <w:rsid w:val="0075275C"/>
    <w:rsid w:val="00757FBA"/>
    <w:rsid w:val="0076013E"/>
    <w:rsid w:val="0076076B"/>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2CFB"/>
    <w:rsid w:val="0087476D"/>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16377"/>
    <w:rsid w:val="00E21214"/>
    <w:rsid w:val="00E32535"/>
    <w:rsid w:val="00E340A0"/>
    <w:rsid w:val="00E52484"/>
    <w:rsid w:val="00E60EEA"/>
    <w:rsid w:val="00E65396"/>
    <w:rsid w:val="00E74253"/>
    <w:rsid w:val="00E87D4D"/>
    <w:rsid w:val="00E94520"/>
    <w:rsid w:val="00EA08B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6E6-8CB3-48E6-8172-E27594ED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22402</Words>
  <Characters>127696</Characters>
  <Application>Microsoft Office Word</Application>
  <DocSecurity>0</DocSecurity>
  <Lines>1064</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2019-10-02T19:37:00Z</dcterms:created>
  <dcterms:modified xsi:type="dcterms:W3CDTF">2019-10-02T19:37:00Z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