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PARA COLOCAÇÃO PRIVADA, DA COMPANHIA SECURITIZADORA DE CRÉDITOS FINANCEIROS VERT-PROVI</w:t>
      </w:r>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045745A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00F8061A">
        <w:rPr>
          <w:rFonts w:ascii="Trebuchet MS" w:hAnsi="Trebuchet MS" w:cs="Tahoma"/>
          <w:sz w:val="22"/>
          <w:szCs w:val="22"/>
          <w:u w:val="single"/>
        </w:rPr>
        <w:t xml:space="preserve"> de Emissão</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lastRenderedPageBreak/>
        <w:t>JUCESP</w:t>
      </w:r>
      <w:r w:rsidRPr="00AD5EBA">
        <w:rPr>
          <w:rFonts w:ascii="Trebuchet MS" w:hAnsi="Trebuchet MS" w:cs="Tahoma"/>
          <w:sz w:val="22"/>
          <w:szCs w:val="22"/>
        </w:rPr>
        <w:t xml:space="preserve">, em </w:t>
      </w:r>
      <w:r>
        <w:rPr>
          <w:rFonts w:ascii="Trebuchet MS" w:hAnsi="Trebuchet MS" w:cs="Tahoma"/>
          <w:sz w:val="22"/>
          <w:szCs w:val="22"/>
        </w:rPr>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76049BC1" w:rsidR="00BB6A61" w:rsidRPr="00AA7600" w:rsidRDefault="00BB6A61" w:rsidP="00AA7600">
      <w:pPr>
        <w:numPr>
          <w:ilvl w:val="0"/>
          <w:numId w:val="61"/>
        </w:numPr>
        <w:tabs>
          <w:tab w:val="left" w:pos="720"/>
        </w:tabs>
        <w:suppressAutoHyphens/>
        <w:autoSpaceDE/>
        <w:autoSpaceDN/>
        <w:adjustRightInd/>
        <w:ind w:left="0" w:right="-22" w:firstLine="0"/>
        <w:jc w:val="both"/>
        <w:rPr>
          <w:rFonts w:ascii="Trebuchet MS" w:hAnsi="Trebuchet MS" w:cs="Calibri"/>
          <w:sz w:val="22"/>
          <w:szCs w:val="22"/>
        </w:rPr>
      </w:pPr>
      <w:r w:rsidRPr="007B4ED7">
        <w:rPr>
          <w:rFonts w:ascii="Trebuchet MS" w:hAnsi="Trebuchet MS" w:cs="Tahoma"/>
          <w:sz w:val="22"/>
          <w:szCs w:val="22"/>
        </w:rPr>
        <w:t>As Partes desejam aditar a Escritura</w:t>
      </w:r>
      <w:r w:rsidR="00F8061A">
        <w:rPr>
          <w:rFonts w:ascii="Trebuchet MS" w:hAnsi="Trebuchet MS" w:cs="Tahoma"/>
          <w:sz w:val="22"/>
          <w:szCs w:val="22"/>
        </w:rPr>
        <w:t xml:space="preserve"> de Emissão</w:t>
      </w:r>
      <w:r w:rsidRPr="007B4ED7">
        <w:rPr>
          <w:rFonts w:ascii="Trebuchet MS" w:hAnsi="Trebuchet MS" w:cs="Tahoma"/>
          <w:sz w:val="22"/>
          <w:szCs w:val="22"/>
        </w:rPr>
        <w:t xml:space="preserve"> para</w:t>
      </w:r>
      <w:r w:rsidR="001D14C2" w:rsidRPr="007B4ED7">
        <w:rPr>
          <w:rFonts w:ascii="Trebuchet MS" w:hAnsi="Trebuchet MS" w:cs="Tahoma"/>
          <w:sz w:val="22"/>
          <w:szCs w:val="22"/>
        </w:rPr>
        <w:t xml:space="preserve"> que </w:t>
      </w:r>
      <w:r w:rsidR="007B4ED7" w:rsidRPr="007B4ED7">
        <w:rPr>
          <w:rFonts w:ascii="Trebuchet MS" w:hAnsi="Trebuchet MS" w:cs="Tahoma"/>
          <w:sz w:val="22"/>
          <w:szCs w:val="22"/>
        </w:rPr>
        <w:t>(i)</w:t>
      </w:r>
      <w:r w:rsidR="006333D5" w:rsidRPr="007B4ED7">
        <w:rPr>
          <w:rFonts w:ascii="Trebuchet MS" w:hAnsi="Trebuchet MS" w:cs="Tahoma"/>
          <w:sz w:val="22"/>
          <w:szCs w:val="22"/>
        </w:rPr>
        <w:t xml:space="preserve"> </w:t>
      </w:r>
      <w:r w:rsidR="00BD4D9D" w:rsidRPr="007B4ED7">
        <w:rPr>
          <w:rFonts w:ascii="Trebuchet MS" w:hAnsi="Trebuchet MS" w:cs="Tahoma"/>
          <w:sz w:val="22"/>
          <w:szCs w:val="22"/>
        </w:rPr>
        <w:t xml:space="preserve">seja </w:t>
      </w:r>
      <w:r w:rsidR="00BD4D9D" w:rsidRPr="007B4ED7">
        <w:rPr>
          <w:rFonts w:ascii="Trebuchet MS" w:hAnsi="Trebuchet MS" w:cs="Calibri"/>
          <w:sz w:val="22"/>
          <w:szCs w:val="22"/>
        </w:rPr>
        <w:t>alterada</w:t>
      </w:r>
      <w:r w:rsidR="00BD4D9D">
        <w:rPr>
          <w:rFonts w:ascii="Trebuchet MS" w:hAnsi="Trebuchet MS" w:cs="Calibri"/>
          <w:sz w:val="22"/>
          <w:szCs w:val="22"/>
        </w:rPr>
        <w:t>, na Cláusula 3.10.4.2.,</w:t>
      </w:r>
      <w:r w:rsidR="00BD4D9D" w:rsidRPr="007B4ED7">
        <w:rPr>
          <w:rFonts w:ascii="Trebuchet MS" w:hAnsi="Trebuchet MS" w:cs="Calibri"/>
          <w:sz w:val="22"/>
          <w:szCs w:val="22"/>
        </w:rPr>
        <w:t xml:space="preserve"> a remuneração </w:t>
      </w:r>
      <w:r w:rsidR="00BD4D9D" w:rsidRPr="007B4ED7">
        <w:rPr>
          <w:rFonts w:ascii="Trebuchet MS" w:hAnsi="Trebuchet MS" w:cs="Tahoma"/>
          <w:sz w:val="22"/>
          <w:szCs w:val="22"/>
        </w:rPr>
        <w:t>do Agente de Cobrança</w:t>
      </w:r>
      <w:r w:rsidR="00BD4D9D" w:rsidRPr="007B4ED7">
        <w:rPr>
          <w:rFonts w:ascii="Trebuchet MS" w:hAnsi="Trebuchet MS" w:cs="Calibri"/>
          <w:sz w:val="22"/>
          <w:szCs w:val="22"/>
        </w:rPr>
        <w:t xml:space="preserve"> (conforme definido na Escritura</w:t>
      </w:r>
      <w:r w:rsidR="00BD4D9D">
        <w:rPr>
          <w:rFonts w:ascii="Trebuchet MS" w:hAnsi="Trebuchet MS" w:cs="Calibri"/>
          <w:sz w:val="22"/>
          <w:szCs w:val="22"/>
        </w:rPr>
        <w:t xml:space="preserve"> de Emissão</w:t>
      </w:r>
      <w:r w:rsidR="00BD4D9D" w:rsidRPr="007B4ED7">
        <w:rPr>
          <w:rFonts w:ascii="Trebuchet MS" w:hAnsi="Trebuchet MS" w:cs="Calibri"/>
          <w:sz w:val="22"/>
          <w:szCs w:val="22"/>
        </w:rPr>
        <w:t>), a qual contará com a adição de um valor de 2,5</w:t>
      </w:r>
      <w:r w:rsidR="00BD4D9D">
        <w:rPr>
          <w:rFonts w:ascii="Trebuchet MS" w:hAnsi="Trebuchet MS" w:cs="Calibri"/>
          <w:sz w:val="22"/>
          <w:szCs w:val="22"/>
        </w:rPr>
        <w:t>0</w:t>
      </w:r>
      <w:r w:rsidR="00BD4D9D" w:rsidRPr="007B4ED7">
        <w:rPr>
          <w:rFonts w:ascii="Trebuchet MS" w:hAnsi="Trebuchet MS" w:cs="Calibri"/>
          <w:sz w:val="22"/>
          <w:szCs w:val="22"/>
        </w:rPr>
        <w:t xml:space="preserve">% (dois inteiros e </w:t>
      </w:r>
      <w:r w:rsidR="00BD4D9D">
        <w:rPr>
          <w:rFonts w:ascii="Trebuchet MS" w:hAnsi="Trebuchet MS" w:cs="Calibri"/>
          <w:sz w:val="22"/>
          <w:szCs w:val="22"/>
        </w:rPr>
        <w:t>cinquenta centésimos</w:t>
      </w:r>
      <w:r w:rsidR="00BD4D9D" w:rsidRPr="007B4ED7">
        <w:rPr>
          <w:rFonts w:ascii="Trebuchet MS" w:hAnsi="Trebuchet MS" w:cs="Calibri"/>
          <w:sz w:val="22"/>
          <w:szCs w:val="22"/>
        </w:rPr>
        <w:t xml:space="preserve"> por cento) referente a somatória dos novos créditos originados dos Direitos Creditórios Vinculados e a alteração do valor referente a somatória dos recebimentos dos Direitos Creditórios Vinculados, que passará de 5</w:t>
      </w:r>
      <w:r w:rsidR="00BD4D9D">
        <w:rPr>
          <w:rFonts w:ascii="Trebuchet MS" w:hAnsi="Trebuchet MS" w:cs="Calibri"/>
          <w:sz w:val="22"/>
          <w:szCs w:val="22"/>
        </w:rPr>
        <w:t>,00</w:t>
      </w:r>
      <w:r w:rsidR="00BD4D9D" w:rsidRPr="007B4ED7">
        <w:rPr>
          <w:rFonts w:ascii="Trebuchet MS" w:hAnsi="Trebuchet MS" w:cs="Calibri"/>
          <w:sz w:val="22"/>
          <w:szCs w:val="22"/>
        </w:rPr>
        <w:t xml:space="preserve">% (cinco </w:t>
      </w:r>
      <w:r w:rsidR="00BD4D9D">
        <w:rPr>
          <w:rFonts w:ascii="Trebuchet MS" w:hAnsi="Trebuchet MS" w:cs="Calibri"/>
          <w:sz w:val="22"/>
          <w:szCs w:val="22"/>
        </w:rPr>
        <w:t xml:space="preserve">inteiros </w:t>
      </w:r>
      <w:r w:rsidR="00BD4D9D" w:rsidRPr="007B4ED7">
        <w:rPr>
          <w:rFonts w:ascii="Trebuchet MS" w:hAnsi="Trebuchet MS" w:cs="Calibri"/>
          <w:sz w:val="22"/>
          <w:szCs w:val="22"/>
        </w:rPr>
        <w:t>por cento) para 2,5</w:t>
      </w:r>
      <w:r w:rsidR="00BD4D9D">
        <w:rPr>
          <w:rFonts w:ascii="Trebuchet MS" w:hAnsi="Trebuchet MS" w:cs="Calibri"/>
          <w:sz w:val="22"/>
          <w:szCs w:val="22"/>
        </w:rPr>
        <w:t>0</w:t>
      </w:r>
      <w:r w:rsidR="00BD4D9D" w:rsidRPr="007B4ED7">
        <w:rPr>
          <w:rFonts w:ascii="Trebuchet MS" w:hAnsi="Trebuchet MS" w:cs="Calibri"/>
          <w:sz w:val="22"/>
          <w:szCs w:val="22"/>
        </w:rPr>
        <w:t xml:space="preserve">% (dois inteiros e </w:t>
      </w:r>
      <w:r w:rsidR="00BD4D9D">
        <w:rPr>
          <w:rFonts w:ascii="Trebuchet MS" w:hAnsi="Trebuchet MS" w:cs="Calibri"/>
          <w:sz w:val="22"/>
          <w:szCs w:val="22"/>
        </w:rPr>
        <w:t xml:space="preserve">cinquenta centésimos </w:t>
      </w:r>
      <w:r w:rsidR="00BD4D9D" w:rsidRPr="007B4ED7">
        <w:rPr>
          <w:rFonts w:ascii="Trebuchet MS" w:hAnsi="Trebuchet MS" w:cs="Calibri"/>
          <w:sz w:val="22"/>
          <w:szCs w:val="22"/>
        </w:rPr>
        <w:t>por cento</w:t>
      </w:r>
      <w:r w:rsidR="006333D5" w:rsidRPr="007B4ED7">
        <w:rPr>
          <w:rFonts w:ascii="Trebuchet MS" w:hAnsi="Trebuchet MS" w:cs="Calibri"/>
          <w:sz w:val="22"/>
          <w:szCs w:val="22"/>
        </w:rPr>
        <w:t>)</w:t>
      </w:r>
      <w:r w:rsidR="006333D5">
        <w:rPr>
          <w:rFonts w:ascii="Trebuchet MS" w:hAnsi="Trebuchet MS" w:cs="Calibri"/>
          <w:sz w:val="22"/>
          <w:szCs w:val="22"/>
        </w:rPr>
        <w:t xml:space="preserve">; </w:t>
      </w:r>
      <w:r w:rsidR="00AA7600">
        <w:rPr>
          <w:rFonts w:ascii="Trebuchet MS" w:hAnsi="Trebuchet MS" w:cs="Calibri"/>
          <w:sz w:val="22"/>
          <w:szCs w:val="22"/>
        </w:rPr>
        <w:t>(</w:t>
      </w:r>
      <w:proofErr w:type="spellStart"/>
      <w:r w:rsidR="00AA7600">
        <w:rPr>
          <w:rFonts w:ascii="Trebuchet MS" w:hAnsi="Trebuchet MS" w:cs="Calibri"/>
          <w:sz w:val="22"/>
          <w:szCs w:val="22"/>
        </w:rPr>
        <w:t>ii</w:t>
      </w:r>
      <w:proofErr w:type="spellEnd"/>
      <w:r w:rsidR="00AA7600">
        <w:rPr>
          <w:rFonts w:ascii="Trebuchet MS" w:hAnsi="Trebuchet MS" w:cs="Calibri"/>
          <w:sz w:val="22"/>
          <w:szCs w:val="22"/>
        </w:rPr>
        <w:t>) seja incluíd</w:t>
      </w:r>
      <w:r w:rsidR="00BD4D9D">
        <w:rPr>
          <w:rFonts w:ascii="Trebuchet MS" w:hAnsi="Trebuchet MS" w:cs="Calibri"/>
          <w:sz w:val="22"/>
          <w:szCs w:val="22"/>
        </w:rPr>
        <w:t>o</w:t>
      </w:r>
      <w:r w:rsidR="00AA7600">
        <w:rPr>
          <w:rFonts w:ascii="Trebuchet MS" w:hAnsi="Trebuchet MS" w:cs="Calibri"/>
          <w:sz w:val="22"/>
          <w:szCs w:val="22"/>
        </w:rPr>
        <w:t>, na Cláusula 3.17., “</w:t>
      </w:r>
      <w:r w:rsidR="00AA7600" w:rsidRPr="00AA7600">
        <w:rPr>
          <w:rFonts w:ascii="Trebuchet MS" w:hAnsi="Trebuchet MS" w:cs="Calibri"/>
          <w:i/>
          <w:iCs/>
          <w:sz w:val="22"/>
          <w:szCs w:val="22"/>
        </w:rPr>
        <w:t>Prazo, Preço e Forma de Subscrição e Integralização</w:t>
      </w:r>
      <w:r w:rsidR="00AA7600">
        <w:rPr>
          <w:rFonts w:ascii="Trebuchet MS" w:hAnsi="Trebuchet MS" w:cs="Calibri"/>
          <w:sz w:val="22"/>
          <w:szCs w:val="22"/>
        </w:rPr>
        <w:t>”, que a</w:t>
      </w:r>
      <w:r w:rsidR="00AA7600" w:rsidRPr="00AA7600">
        <w:rPr>
          <w:rFonts w:ascii="Trebuchet MS" w:hAnsi="Trebuchet MS" w:cs="Calibri"/>
          <w:sz w:val="22"/>
          <w:szCs w:val="22"/>
        </w:rPr>
        <w:t xml:space="preserve"> Provi </w:t>
      </w:r>
      <w:r w:rsidR="00AA7600" w:rsidRPr="007B4ED7">
        <w:rPr>
          <w:rFonts w:ascii="Trebuchet MS" w:hAnsi="Trebuchet MS" w:cs="Calibri"/>
          <w:sz w:val="22"/>
          <w:szCs w:val="22"/>
        </w:rPr>
        <w:t>(conforme definido na Escritura</w:t>
      </w:r>
      <w:r w:rsidR="00AA7600">
        <w:rPr>
          <w:rFonts w:ascii="Trebuchet MS" w:hAnsi="Trebuchet MS" w:cs="Calibri"/>
          <w:sz w:val="22"/>
          <w:szCs w:val="22"/>
        </w:rPr>
        <w:t xml:space="preserve"> de Emissão</w:t>
      </w:r>
      <w:r w:rsidR="00AA7600" w:rsidRPr="007B4ED7">
        <w:rPr>
          <w:rFonts w:ascii="Trebuchet MS" w:hAnsi="Trebuchet MS" w:cs="Calibri"/>
          <w:sz w:val="22"/>
          <w:szCs w:val="22"/>
        </w:rPr>
        <w:t>)</w:t>
      </w:r>
      <w:r w:rsidR="00AA7600">
        <w:rPr>
          <w:rFonts w:ascii="Trebuchet MS" w:hAnsi="Trebuchet MS" w:cs="Calibri"/>
          <w:sz w:val="22"/>
          <w:szCs w:val="22"/>
        </w:rPr>
        <w:t xml:space="preserve"> </w:t>
      </w:r>
      <w:r w:rsidR="00AA7600" w:rsidRPr="00AA7600">
        <w:rPr>
          <w:rFonts w:ascii="Trebuchet MS" w:hAnsi="Trebuchet MS" w:cs="Calibri"/>
          <w:sz w:val="22"/>
          <w:szCs w:val="22"/>
        </w:rPr>
        <w:t xml:space="preserve">poderá realizar a integralização de Debêntures por meio de </w:t>
      </w:r>
      <w:proofErr w:type="spellStart"/>
      <w:r w:rsidR="00AA7600" w:rsidRPr="00AA7600">
        <w:rPr>
          <w:rFonts w:ascii="Trebuchet MS" w:hAnsi="Trebuchet MS" w:cs="Calibri"/>
          <w:sz w:val="22"/>
          <w:szCs w:val="22"/>
        </w:rPr>
        <w:t>CCBs</w:t>
      </w:r>
      <w:proofErr w:type="spellEnd"/>
      <w:r w:rsidR="00AA7600" w:rsidRPr="00AA7600">
        <w:rPr>
          <w:rFonts w:ascii="Trebuchet MS" w:hAnsi="Trebuchet MS" w:cs="Calibri"/>
          <w:sz w:val="22"/>
          <w:szCs w:val="22"/>
        </w:rPr>
        <w:t>, desde que observados os Critérios de Exigibilidade</w:t>
      </w:r>
      <w:r w:rsidR="00AA7600">
        <w:rPr>
          <w:rFonts w:ascii="Trebuchet MS" w:hAnsi="Trebuchet MS" w:cs="Calibri"/>
          <w:sz w:val="22"/>
          <w:szCs w:val="22"/>
        </w:rPr>
        <w:t>; e</w:t>
      </w:r>
      <w:r w:rsidR="006333D5" w:rsidRPr="00AA7600">
        <w:rPr>
          <w:rFonts w:ascii="Trebuchet MS" w:hAnsi="Trebuchet MS" w:cs="Calibri"/>
          <w:sz w:val="22"/>
          <w:szCs w:val="22"/>
        </w:rPr>
        <w:t xml:space="preserve"> (</w:t>
      </w:r>
      <w:proofErr w:type="spellStart"/>
      <w:r w:rsidR="006333D5" w:rsidRPr="00AA7600">
        <w:rPr>
          <w:rFonts w:ascii="Trebuchet MS" w:hAnsi="Trebuchet MS" w:cs="Calibri"/>
          <w:sz w:val="22"/>
          <w:szCs w:val="22"/>
        </w:rPr>
        <w:t>ii</w:t>
      </w:r>
      <w:r w:rsidR="00AA7600">
        <w:rPr>
          <w:rFonts w:ascii="Trebuchet MS" w:hAnsi="Trebuchet MS" w:cs="Calibri"/>
          <w:sz w:val="22"/>
          <w:szCs w:val="22"/>
        </w:rPr>
        <w:t>i</w:t>
      </w:r>
      <w:proofErr w:type="spellEnd"/>
      <w:r w:rsidR="006333D5" w:rsidRPr="00AA7600">
        <w:rPr>
          <w:rFonts w:ascii="Trebuchet MS" w:hAnsi="Trebuchet MS" w:cs="Calibri"/>
          <w:sz w:val="22"/>
          <w:szCs w:val="22"/>
        </w:rPr>
        <w:t xml:space="preserve">) </w:t>
      </w:r>
      <w:r w:rsidR="001D14C2" w:rsidRPr="00AA7600">
        <w:rPr>
          <w:rFonts w:ascii="Trebuchet MS" w:hAnsi="Trebuchet MS" w:cs="Tahoma"/>
          <w:sz w:val="22"/>
          <w:szCs w:val="22"/>
        </w:rPr>
        <w:t>seja</w:t>
      </w:r>
      <w:r w:rsidRPr="00AA7600">
        <w:rPr>
          <w:rFonts w:ascii="Trebuchet MS" w:hAnsi="Trebuchet MS" w:cs="Tahoma"/>
          <w:sz w:val="22"/>
          <w:szCs w:val="22"/>
        </w:rPr>
        <w:t xml:space="preserve"> </w:t>
      </w:r>
      <w:r w:rsidR="001D14C2" w:rsidRPr="00AA7600">
        <w:rPr>
          <w:rFonts w:ascii="Trebuchet MS" w:hAnsi="Trebuchet MS" w:cs="Tahoma"/>
          <w:sz w:val="22"/>
          <w:szCs w:val="22"/>
        </w:rPr>
        <w:t>incluído</w:t>
      </w:r>
      <w:r w:rsidRPr="00AA7600">
        <w:rPr>
          <w:rFonts w:ascii="Trebuchet MS" w:hAnsi="Trebuchet MS" w:cs="Tahoma"/>
          <w:sz w:val="22"/>
          <w:szCs w:val="22"/>
        </w:rPr>
        <w:t>, na Cláusula 6</w:t>
      </w:r>
      <w:r w:rsidR="005C0FBB" w:rsidRPr="00AA7600">
        <w:rPr>
          <w:rFonts w:ascii="Trebuchet MS" w:hAnsi="Trebuchet MS" w:cs="Tahoma"/>
          <w:sz w:val="22"/>
          <w:szCs w:val="22"/>
        </w:rPr>
        <w:t>.1</w:t>
      </w:r>
      <w:r w:rsidR="002B2241" w:rsidRPr="00AA7600">
        <w:rPr>
          <w:rFonts w:ascii="Trebuchet MS" w:hAnsi="Trebuchet MS" w:cs="Tahoma"/>
          <w:sz w:val="22"/>
          <w:szCs w:val="22"/>
        </w:rPr>
        <w:t>.</w:t>
      </w:r>
      <w:r w:rsidR="005C0FBB" w:rsidRPr="00AA7600">
        <w:rPr>
          <w:rFonts w:ascii="Trebuchet MS" w:hAnsi="Trebuchet MS" w:cs="Tahoma"/>
          <w:sz w:val="22"/>
          <w:szCs w:val="22"/>
        </w:rPr>
        <w:t>,</w:t>
      </w:r>
      <w:r w:rsidRPr="00AA7600">
        <w:rPr>
          <w:rFonts w:ascii="Trebuchet MS" w:hAnsi="Trebuchet MS" w:cs="Tahoma"/>
          <w:sz w:val="22"/>
          <w:szCs w:val="22"/>
        </w:rPr>
        <w:t xml:space="preserve"> “</w:t>
      </w:r>
      <w:r w:rsidR="001D14C2" w:rsidRPr="00AA7600">
        <w:rPr>
          <w:rFonts w:ascii="Trebuchet MS" w:hAnsi="Trebuchet MS" w:cs="Tahoma"/>
          <w:i/>
          <w:iCs/>
          <w:sz w:val="22"/>
          <w:szCs w:val="22"/>
        </w:rPr>
        <w:t>Das Obrigações Adicionais da Emissora</w:t>
      </w:r>
      <w:r w:rsidRPr="00AA7600">
        <w:rPr>
          <w:rFonts w:ascii="Trebuchet MS" w:hAnsi="Trebuchet MS" w:cs="Tahoma"/>
          <w:sz w:val="22"/>
          <w:szCs w:val="22"/>
        </w:rPr>
        <w:t xml:space="preserve">”, a obrigação da Emissora de manter </w:t>
      </w:r>
      <w:r w:rsidR="001D14C2" w:rsidRPr="00AA7600">
        <w:rPr>
          <w:rFonts w:ascii="Trebuchet MS" w:hAnsi="Trebuchet MS" w:cs="Tahoma"/>
          <w:sz w:val="22"/>
          <w:szCs w:val="22"/>
        </w:rPr>
        <w:t>contratado,</w:t>
      </w:r>
      <w:r w:rsidRPr="00AA7600">
        <w:rPr>
          <w:rFonts w:ascii="Trebuchet MS" w:hAnsi="Trebuchet MS" w:cs="Tahoma"/>
          <w:sz w:val="22"/>
          <w:szCs w:val="22"/>
        </w:rPr>
        <w:t xml:space="preserve"> no âmbito da Emissão, </w:t>
      </w:r>
      <w:r w:rsidR="004A6332" w:rsidRPr="00AA7600">
        <w:rPr>
          <w:rFonts w:ascii="Trebuchet MS" w:hAnsi="Trebuchet MS" w:cs="Tahoma"/>
          <w:sz w:val="22"/>
          <w:szCs w:val="22"/>
        </w:rPr>
        <w:t>empresa de auditoria</w:t>
      </w:r>
      <w:r w:rsidRPr="00AA7600">
        <w:rPr>
          <w:rFonts w:ascii="Trebuchet MS" w:hAnsi="Trebuchet MS" w:cs="Tahoma"/>
          <w:sz w:val="22"/>
          <w:szCs w:val="22"/>
        </w:rPr>
        <w:t xml:space="preserve"> para </w:t>
      </w:r>
      <w:r w:rsidR="001D14C2" w:rsidRPr="00AA7600">
        <w:rPr>
          <w:rFonts w:ascii="Trebuchet MS" w:hAnsi="Trebuchet MS" w:cs="Tahoma"/>
          <w:sz w:val="22"/>
          <w:szCs w:val="22"/>
        </w:rPr>
        <w:t>realizar</w:t>
      </w:r>
      <w:r w:rsidRPr="00AA7600">
        <w:rPr>
          <w:rFonts w:ascii="Trebuchet MS" w:hAnsi="Trebuchet MS" w:cs="Tahoma"/>
          <w:sz w:val="22"/>
          <w:szCs w:val="22"/>
        </w:rPr>
        <w:t xml:space="preserve"> a emissão de suas demonstrações financeiras anuais</w:t>
      </w:r>
      <w:r w:rsidR="00BD4D9D">
        <w:rPr>
          <w:rFonts w:ascii="Trebuchet MS" w:hAnsi="Trebuchet MS" w:cs="Tahoma"/>
          <w:sz w:val="22"/>
          <w:szCs w:val="22"/>
        </w:rPr>
        <w:t xml:space="preserve">, conforme aprovado pelos Debenturistas reunidos na Assembleia Geral </w:t>
      </w:r>
      <w:bookmarkStart w:id="1" w:name="_GoBack"/>
      <w:bookmarkEnd w:id="1"/>
      <w:r w:rsidR="00BD4D9D">
        <w:rPr>
          <w:rFonts w:ascii="Trebuchet MS" w:hAnsi="Trebuchet MS" w:cs="Tahoma"/>
          <w:sz w:val="22"/>
          <w:szCs w:val="22"/>
        </w:rPr>
        <w:t xml:space="preserve">realizada </w:t>
      </w:r>
      <w:r w:rsidR="00BD4D9D" w:rsidRPr="00BD4D9D">
        <w:rPr>
          <w:rFonts w:ascii="Trebuchet MS" w:hAnsi="Trebuchet MS" w:cs="Tahoma"/>
          <w:sz w:val="22"/>
          <w:szCs w:val="22"/>
        </w:rPr>
        <w:t xml:space="preserve">em [●] de </w:t>
      </w:r>
      <w:r w:rsidR="00BD4D9D">
        <w:rPr>
          <w:rFonts w:ascii="Trebuchet MS" w:hAnsi="Trebuchet MS" w:cs="Tahoma"/>
          <w:sz w:val="22"/>
          <w:szCs w:val="22"/>
        </w:rPr>
        <w:t>abril</w:t>
      </w:r>
      <w:r w:rsidR="00BD4D9D" w:rsidRPr="00BD4D9D">
        <w:rPr>
          <w:rFonts w:ascii="Trebuchet MS" w:hAnsi="Trebuchet MS" w:cs="Tahoma"/>
          <w:sz w:val="22"/>
          <w:szCs w:val="22"/>
        </w:rPr>
        <w:t xml:space="preserve"> de</w:t>
      </w:r>
      <w:r w:rsidR="00BD4D9D">
        <w:rPr>
          <w:rFonts w:ascii="Trebuchet MS" w:hAnsi="Trebuchet MS" w:cs="Tahoma"/>
          <w:sz w:val="22"/>
          <w:szCs w:val="22"/>
        </w:rPr>
        <w:t xml:space="preserve"> 2020</w:t>
      </w:r>
      <w:r w:rsidR="007B4ED7" w:rsidRPr="00AA7600">
        <w:rPr>
          <w:rFonts w:ascii="Trebuchet MS" w:hAnsi="Trebuchet MS" w:cs="Tahoma"/>
          <w:sz w:val="22"/>
          <w:szCs w:val="22"/>
        </w:rPr>
        <w:t xml:space="preserve">; </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1A7217BF" w:rsidR="00BB6A61" w:rsidRPr="0018058F" w:rsidRDefault="002E50D1" w:rsidP="007B3E0D">
      <w:pPr>
        <w:spacing w:line="300" w:lineRule="exact"/>
        <w:ind w:right="-22"/>
        <w:jc w:val="both"/>
        <w:rPr>
          <w:rFonts w:ascii="Trebuchet MS" w:hAnsi="Trebuchet MS"/>
          <w:sz w:val="22"/>
          <w:szCs w:val="22"/>
        </w:rPr>
      </w:pPr>
      <w:r w:rsidRPr="002E50D1">
        <w:rPr>
          <w:rFonts w:ascii="Trebuchet MS" w:hAnsi="Trebuchet MS"/>
          <w:b/>
          <w:bCs/>
          <w:sz w:val="22"/>
          <w:szCs w:val="22"/>
        </w:rPr>
        <w:t>RESOLVEM</w:t>
      </w:r>
      <w:r w:rsidR="00BB6A61" w:rsidRPr="0018058F">
        <w:rPr>
          <w:rFonts w:ascii="Trebuchet MS" w:hAnsi="Trebuchet MS"/>
          <w:sz w:val="22"/>
          <w:szCs w:val="22"/>
        </w:rPr>
        <w:t xml:space="preserve">, na melhor forma de direito, </w:t>
      </w:r>
      <w:r w:rsidR="00BB6A61" w:rsidRPr="00AD5EBA">
        <w:rPr>
          <w:rFonts w:ascii="Trebuchet MS" w:hAnsi="Trebuchet MS" w:cs="Tahoma"/>
          <w:sz w:val="22"/>
          <w:szCs w:val="22"/>
        </w:rPr>
        <w:t>aditar a Escritura</w:t>
      </w:r>
      <w:r w:rsidR="00F8061A">
        <w:rPr>
          <w:rFonts w:ascii="Trebuchet MS" w:hAnsi="Trebuchet MS" w:cs="Tahoma"/>
          <w:sz w:val="22"/>
          <w:szCs w:val="22"/>
        </w:rPr>
        <w:t xml:space="preserve"> de Emissão</w:t>
      </w:r>
      <w:r w:rsidR="00BB6A61">
        <w:rPr>
          <w:rFonts w:ascii="Trebuchet MS" w:hAnsi="Trebuchet MS"/>
          <w:sz w:val="22"/>
          <w:szCs w:val="22"/>
        </w:rPr>
        <w:t xml:space="preserve">, </w:t>
      </w:r>
      <w:r w:rsidR="00BB6A61" w:rsidRPr="00AD5EBA">
        <w:rPr>
          <w:rFonts w:ascii="Trebuchet MS" w:hAnsi="Trebuchet MS" w:cs="Tahoma"/>
          <w:sz w:val="22"/>
          <w:szCs w:val="22"/>
        </w:rPr>
        <w:t>por meio do presente “</w:t>
      </w:r>
      <w:r w:rsidR="00BB6A61" w:rsidRPr="00AD5EBA">
        <w:rPr>
          <w:rFonts w:ascii="Trebuchet MS" w:hAnsi="Trebuchet MS" w:cs="Tahoma"/>
          <w:i/>
          <w:sz w:val="22"/>
          <w:szCs w:val="22"/>
        </w:rPr>
        <w:t xml:space="preserve">Primeiro Aditamento </w:t>
      </w:r>
      <w:r w:rsidR="00BB6A61" w:rsidRPr="0018058F">
        <w:rPr>
          <w:rFonts w:ascii="Trebuchet MS" w:hAnsi="Trebuchet MS"/>
          <w:i/>
          <w:iCs/>
          <w:sz w:val="22"/>
          <w:szCs w:val="22"/>
        </w:rPr>
        <w:t xml:space="preserve">Instrumento Particular de Escritura da 1ª (Primeira) Emissão de Debêntures Simples, não Conversíveis em Ações, da Espécie </w:t>
      </w:r>
      <w:r w:rsidR="00BB6A61">
        <w:rPr>
          <w:rFonts w:ascii="Trebuchet MS" w:hAnsi="Trebuchet MS"/>
          <w:i/>
          <w:iCs/>
          <w:sz w:val="22"/>
          <w:szCs w:val="22"/>
        </w:rPr>
        <w:t>Subordinada</w:t>
      </w:r>
      <w:r w:rsidR="00BB6A61" w:rsidRPr="0018058F">
        <w:rPr>
          <w:rFonts w:ascii="Trebuchet MS" w:hAnsi="Trebuchet MS"/>
          <w:i/>
          <w:iCs/>
          <w:sz w:val="22"/>
          <w:szCs w:val="22"/>
        </w:rPr>
        <w:t xml:space="preserve">, em 2 (duas) Séries, para Colocação Privada, da Companhia </w:t>
      </w:r>
      <w:proofErr w:type="spellStart"/>
      <w:r w:rsidR="00BB6A61" w:rsidRPr="0018058F">
        <w:rPr>
          <w:rFonts w:ascii="Trebuchet MS" w:hAnsi="Trebuchet MS"/>
          <w:i/>
          <w:iCs/>
          <w:sz w:val="22"/>
          <w:szCs w:val="22"/>
        </w:rPr>
        <w:t>Securitizadora</w:t>
      </w:r>
      <w:proofErr w:type="spellEnd"/>
      <w:r w:rsidR="00BB6A61" w:rsidRPr="0018058F">
        <w:rPr>
          <w:rFonts w:ascii="Trebuchet MS" w:hAnsi="Trebuchet MS"/>
          <w:i/>
          <w:iCs/>
          <w:sz w:val="22"/>
          <w:szCs w:val="22"/>
        </w:rPr>
        <w:t xml:space="preserve"> de Créditos Financeiros VERT-Provi</w:t>
      </w:r>
      <w:r w:rsidR="00BB6A61" w:rsidRPr="0018058F">
        <w:rPr>
          <w:rFonts w:ascii="Trebuchet MS" w:hAnsi="Trebuchet MS"/>
          <w:sz w:val="22"/>
          <w:szCs w:val="22"/>
        </w:rPr>
        <w:t>”</w:t>
      </w:r>
      <w:r w:rsidR="00BB6A61" w:rsidRPr="0018058F">
        <w:rPr>
          <w:rFonts w:ascii="Trebuchet MS" w:hAnsi="Trebuchet MS"/>
          <w:i/>
          <w:sz w:val="22"/>
          <w:szCs w:val="22"/>
        </w:rPr>
        <w:t xml:space="preserve"> </w:t>
      </w:r>
      <w:r w:rsidR="00BB6A61" w:rsidRPr="0018058F">
        <w:rPr>
          <w:rFonts w:ascii="Trebuchet MS" w:hAnsi="Trebuchet MS"/>
          <w:sz w:val="22"/>
          <w:szCs w:val="22"/>
        </w:rPr>
        <w:t>(“</w:t>
      </w:r>
      <w:r w:rsidR="00BB6A61">
        <w:rPr>
          <w:rFonts w:ascii="Trebuchet MS" w:hAnsi="Trebuchet MS"/>
          <w:sz w:val="22"/>
          <w:szCs w:val="22"/>
          <w:u w:val="single"/>
        </w:rPr>
        <w:t>Aditamento</w:t>
      </w:r>
      <w:r w:rsidR="00BB6A61" w:rsidRPr="0018058F">
        <w:rPr>
          <w:rFonts w:ascii="Trebuchet MS" w:hAnsi="Trebuchet MS"/>
          <w:sz w:val="22"/>
          <w:szCs w:val="22"/>
        </w:rPr>
        <w:t xml:space="preserve">”), mediante as seguintes cláusulas </w:t>
      </w:r>
      <w:r w:rsidR="00BB6A61">
        <w:rPr>
          <w:rFonts w:ascii="Trebuchet MS" w:hAnsi="Trebuchet MS"/>
          <w:sz w:val="22"/>
          <w:szCs w:val="22"/>
        </w:rPr>
        <w:t>(“</w:t>
      </w:r>
      <w:r w:rsidR="00BB6A61" w:rsidRPr="009544BD">
        <w:rPr>
          <w:rFonts w:ascii="Trebuchet MS" w:hAnsi="Trebuchet MS"/>
          <w:sz w:val="22"/>
          <w:szCs w:val="22"/>
          <w:u w:val="single"/>
        </w:rPr>
        <w:t>Cláusulas</w:t>
      </w:r>
      <w:r w:rsidR="00BB6A61">
        <w:rPr>
          <w:rFonts w:ascii="Trebuchet MS" w:hAnsi="Trebuchet MS"/>
          <w:sz w:val="22"/>
          <w:szCs w:val="22"/>
        </w:rPr>
        <w:t xml:space="preserve">”) </w:t>
      </w:r>
      <w:r w:rsidR="00BB6A61"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2B4BC8A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w:t>
      </w:r>
      <w:r w:rsidR="00F8061A">
        <w:rPr>
          <w:rFonts w:ascii="Trebuchet MS" w:hAnsi="Trebuchet MS" w:cs="Tahoma"/>
          <w:sz w:val="22"/>
          <w:szCs w:val="22"/>
        </w:rPr>
        <w:t xml:space="preserve"> de Emissão</w:t>
      </w:r>
      <w:r w:rsidRPr="00AD5EBA">
        <w:rPr>
          <w:rFonts w:ascii="Trebuchet MS" w:hAnsi="Trebuchet MS" w:cs="Tahoma"/>
          <w:sz w:val="22"/>
          <w:szCs w:val="22"/>
        </w:rPr>
        <w:t>,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1995BA3A" w:rsidR="001D14C2" w:rsidRPr="005C0FBB"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sidR="00B169F5">
        <w:rPr>
          <w:rFonts w:ascii="Trebuchet MS" w:hAnsi="Trebuchet MS" w:cs="Tahoma"/>
          <w:sz w:val="22"/>
          <w:szCs w:val="22"/>
        </w:rPr>
        <w:t xml:space="preserve">alterar as redações da Cláusulas </w:t>
      </w:r>
      <w:r w:rsidR="005C0FBB">
        <w:rPr>
          <w:rFonts w:ascii="Trebuchet MS" w:hAnsi="Trebuchet MS" w:cs="Tahoma"/>
          <w:sz w:val="22"/>
          <w:szCs w:val="22"/>
        </w:rPr>
        <w:t>3.10.4.2.</w:t>
      </w:r>
      <w:r w:rsidR="00AA7600">
        <w:rPr>
          <w:rFonts w:ascii="Trebuchet MS" w:hAnsi="Trebuchet MS" w:cs="Tahoma"/>
          <w:sz w:val="22"/>
          <w:szCs w:val="22"/>
        </w:rPr>
        <w:t>, 3.17</w:t>
      </w:r>
      <w:r w:rsidR="005C0FBB">
        <w:rPr>
          <w:rFonts w:ascii="Trebuchet MS" w:hAnsi="Trebuchet MS" w:cs="Tahoma"/>
          <w:sz w:val="22"/>
          <w:szCs w:val="22"/>
        </w:rPr>
        <w:t xml:space="preserve"> e </w:t>
      </w:r>
      <w:r w:rsidRPr="00AD5EBA">
        <w:rPr>
          <w:rFonts w:ascii="Trebuchet MS" w:hAnsi="Trebuchet MS" w:cs="Tahoma"/>
          <w:sz w:val="22"/>
          <w:szCs w:val="22"/>
        </w:rPr>
        <w:t>6</w:t>
      </w:r>
      <w:r w:rsidR="007B4ED7">
        <w:rPr>
          <w:rFonts w:ascii="Trebuchet MS" w:hAnsi="Trebuchet MS" w:cs="Tahoma"/>
          <w:sz w:val="22"/>
          <w:szCs w:val="22"/>
        </w:rPr>
        <w:t>.1</w:t>
      </w:r>
      <w:r w:rsidR="005C0FBB">
        <w:rPr>
          <w:rFonts w:ascii="Trebuchet MS" w:hAnsi="Trebuchet MS" w:cs="Tahoma"/>
          <w:sz w:val="22"/>
          <w:szCs w:val="22"/>
        </w:rPr>
        <w:t>, item</w:t>
      </w:r>
      <w:r w:rsidR="005C0FBB" w:rsidRPr="00AD5EBA">
        <w:rPr>
          <w:rFonts w:ascii="Trebuchet MS" w:hAnsi="Trebuchet MS" w:cs="Tahoma"/>
          <w:sz w:val="22"/>
          <w:szCs w:val="22"/>
        </w:rPr>
        <w:t xml:space="preserve"> </w:t>
      </w:r>
      <w:r w:rsidR="005C0FBB">
        <w:rPr>
          <w:rFonts w:ascii="Trebuchet MS" w:hAnsi="Trebuchet MS" w:cs="Tahoma"/>
          <w:sz w:val="22"/>
          <w:szCs w:val="22"/>
        </w:rPr>
        <w:t>(</w:t>
      </w:r>
      <w:proofErr w:type="spellStart"/>
      <w:r w:rsidR="005C0FBB">
        <w:rPr>
          <w:rFonts w:ascii="Trebuchet MS" w:hAnsi="Trebuchet MS" w:cs="Tahoma"/>
          <w:sz w:val="22"/>
          <w:szCs w:val="22"/>
        </w:rPr>
        <w:t>xvi</w:t>
      </w:r>
      <w:proofErr w:type="spellEnd"/>
      <w:r w:rsidR="005C0FBB">
        <w:rPr>
          <w:rFonts w:ascii="Trebuchet MS" w:hAnsi="Trebuchet MS" w:cs="Tahoma"/>
          <w:sz w:val="22"/>
          <w:szCs w:val="22"/>
        </w:rPr>
        <w:t xml:space="preserve">), </w:t>
      </w:r>
      <w:r w:rsidRPr="001D14C2">
        <w:rPr>
          <w:rFonts w:ascii="Trebuchet MS" w:hAnsi="Trebuchet MS" w:cs="Tahoma"/>
          <w:sz w:val="22"/>
          <w:szCs w:val="22"/>
        </w:rPr>
        <w:t>da Escritura</w:t>
      </w:r>
      <w:r w:rsidR="00F8061A">
        <w:rPr>
          <w:rFonts w:ascii="Trebuchet MS" w:hAnsi="Trebuchet MS" w:cs="Tahoma"/>
          <w:sz w:val="22"/>
          <w:szCs w:val="22"/>
        </w:rPr>
        <w:t xml:space="preserve"> de Emissão</w:t>
      </w:r>
      <w:r w:rsidRPr="001D14C2">
        <w:rPr>
          <w:rFonts w:ascii="Trebuchet MS" w:hAnsi="Trebuchet MS" w:cs="Tahoma"/>
          <w:sz w:val="22"/>
          <w:szCs w:val="22"/>
        </w:rPr>
        <w:t xml:space="preserve">, </w:t>
      </w:r>
      <w:r w:rsidR="005C0FBB">
        <w:rPr>
          <w:rFonts w:ascii="Trebuchet MS" w:hAnsi="Trebuchet MS" w:cs="Tahoma"/>
          <w:sz w:val="22"/>
          <w:szCs w:val="22"/>
        </w:rPr>
        <w:t>as quais</w:t>
      </w:r>
      <w:r w:rsidRPr="001D14C2">
        <w:rPr>
          <w:rFonts w:ascii="Trebuchet MS" w:hAnsi="Trebuchet MS" w:cs="Tahoma"/>
          <w:sz w:val="22"/>
          <w:szCs w:val="22"/>
        </w:rPr>
        <w:t xml:space="preserve"> </w:t>
      </w:r>
      <w:r w:rsidR="005C0FBB">
        <w:rPr>
          <w:rFonts w:ascii="Trebuchet MS" w:hAnsi="Trebuchet MS" w:cs="Tahoma"/>
          <w:sz w:val="22"/>
          <w:szCs w:val="22"/>
        </w:rPr>
        <w:t>passam a</w:t>
      </w:r>
      <w:r w:rsidRPr="001D14C2">
        <w:rPr>
          <w:rFonts w:ascii="Trebuchet MS" w:hAnsi="Trebuchet MS" w:cs="Tahoma"/>
          <w:sz w:val="22"/>
          <w:szCs w:val="22"/>
        </w:rPr>
        <w:t xml:space="preserve"> vigorar com a</w:t>
      </w:r>
      <w:r w:rsidR="005C0FBB">
        <w:rPr>
          <w:rFonts w:ascii="Trebuchet MS" w:hAnsi="Trebuchet MS" w:cs="Tahoma"/>
          <w:sz w:val="22"/>
          <w:szCs w:val="22"/>
        </w:rPr>
        <w:t>s</w:t>
      </w:r>
      <w:r w:rsidRPr="001D14C2">
        <w:rPr>
          <w:rFonts w:ascii="Trebuchet MS" w:hAnsi="Trebuchet MS" w:cs="Tahoma"/>
          <w:sz w:val="22"/>
          <w:szCs w:val="22"/>
        </w:rPr>
        <w:t xml:space="preserve"> seguinte</w:t>
      </w:r>
      <w:r w:rsidR="005C0FBB">
        <w:rPr>
          <w:rFonts w:ascii="Trebuchet MS" w:hAnsi="Trebuchet MS" w:cs="Tahoma"/>
          <w:sz w:val="22"/>
          <w:szCs w:val="22"/>
        </w:rPr>
        <w:t>s</w:t>
      </w:r>
      <w:r w:rsidRPr="001D14C2">
        <w:rPr>
          <w:rFonts w:ascii="Trebuchet MS" w:hAnsi="Trebuchet MS" w:cs="Tahoma"/>
          <w:sz w:val="22"/>
          <w:szCs w:val="22"/>
        </w:rPr>
        <w:t xml:space="preserve"> redaç</w:t>
      </w:r>
      <w:r w:rsidR="005C0FBB">
        <w:rPr>
          <w:rFonts w:ascii="Trebuchet MS" w:hAnsi="Trebuchet MS" w:cs="Tahoma"/>
          <w:sz w:val="22"/>
          <w:szCs w:val="22"/>
        </w:rPr>
        <w:t>ões</w:t>
      </w:r>
      <w:r w:rsidRPr="001D14C2">
        <w:rPr>
          <w:rFonts w:ascii="Trebuchet MS" w:hAnsi="Trebuchet MS" w:cs="Tahoma"/>
          <w:sz w:val="22"/>
          <w:szCs w:val="22"/>
        </w:rPr>
        <w:t>:</w:t>
      </w:r>
    </w:p>
    <w:p w14:paraId="0AE0947D" w14:textId="77777777" w:rsidR="005C0FBB" w:rsidRPr="007B3E0D" w:rsidRDefault="005C0FBB" w:rsidP="005C0FBB">
      <w:pPr>
        <w:pStyle w:val="PargrafodaLista"/>
        <w:suppressAutoHyphens/>
        <w:autoSpaceDE/>
        <w:autoSpaceDN/>
        <w:adjustRightInd/>
        <w:spacing w:line="300" w:lineRule="exact"/>
        <w:ind w:left="0"/>
        <w:jc w:val="both"/>
        <w:rPr>
          <w:rFonts w:ascii="Trebuchet MS" w:hAnsi="Trebuchet MS" w:cs="Tahoma"/>
          <w:i/>
          <w:iCs/>
          <w:sz w:val="22"/>
          <w:szCs w:val="22"/>
        </w:rPr>
      </w:pPr>
    </w:p>
    <w:p w14:paraId="2AFB808A" w14:textId="77777777" w:rsidR="005C0FBB" w:rsidRPr="007B4ED7" w:rsidRDefault="005C0FBB" w:rsidP="005C0FBB">
      <w:pPr>
        <w:autoSpaceDE/>
        <w:autoSpaceDN/>
        <w:adjustRightInd/>
        <w:spacing w:line="300" w:lineRule="exact"/>
        <w:ind w:left="709"/>
        <w:jc w:val="both"/>
        <w:rPr>
          <w:rFonts w:ascii="Trebuchet MS" w:hAnsi="Trebuchet MS" w:cs="Calibri"/>
          <w:i/>
          <w:iCs/>
          <w:sz w:val="22"/>
          <w:szCs w:val="22"/>
        </w:rPr>
      </w:pPr>
      <w:bookmarkStart w:id="2" w:name="_Hlk32581709"/>
      <w:r w:rsidRPr="007B4ED7">
        <w:rPr>
          <w:rFonts w:ascii="Trebuchet MS" w:hAnsi="Trebuchet MS" w:cs="Tahoma"/>
          <w:sz w:val="22"/>
          <w:szCs w:val="22"/>
        </w:rPr>
        <w:t>“</w:t>
      </w:r>
      <w:r w:rsidRPr="007B4ED7">
        <w:rPr>
          <w:rFonts w:ascii="Trebuchet MS" w:hAnsi="Trebuchet MS" w:cs="Calibri"/>
          <w:i/>
          <w:iCs/>
          <w:sz w:val="22"/>
          <w:szCs w:val="22"/>
        </w:rPr>
        <w:t>3.10.4.2. Os Recursos Exclusivos pagarão, nos termos da Ordem de Alocação dos Recursos, as seguintes despesas relacionadas à Emissão (“</w:t>
      </w:r>
      <w:r w:rsidRPr="005C0FBB">
        <w:rPr>
          <w:rFonts w:ascii="Trebuchet MS" w:hAnsi="Trebuchet MS" w:cs="Calibri"/>
          <w:i/>
          <w:iCs/>
          <w:sz w:val="22"/>
          <w:szCs w:val="22"/>
          <w:u w:val="single"/>
        </w:rPr>
        <w:t>Despesas</w:t>
      </w:r>
      <w:r w:rsidRPr="007B4ED7">
        <w:rPr>
          <w:rFonts w:ascii="Trebuchet MS" w:hAnsi="Trebuchet MS" w:cs="Calibri"/>
          <w:i/>
          <w:iCs/>
          <w:sz w:val="22"/>
          <w:szCs w:val="22"/>
        </w:rPr>
        <w:t xml:space="preserve">”): </w:t>
      </w:r>
    </w:p>
    <w:p w14:paraId="0D7EEFD9" w14:textId="77777777" w:rsidR="005C0FBB" w:rsidRPr="007B4ED7" w:rsidRDefault="005C0FBB" w:rsidP="005C0FBB">
      <w:pPr>
        <w:spacing w:line="300" w:lineRule="exact"/>
        <w:ind w:left="709"/>
        <w:jc w:val="both"/>
        <w:rPr>
          <w:rFonts w:ascii="Trebuchet MS" w:hAnsi="Trebuchet MS" w:cs="Calibri"/>
          <w:i/>
          <w:iCs/>
          <w:sz w:val="22"/>
          <w:szCs w:val="22"/>
        </w:rPr>
      </w:pPr>
    </w:p>
    <w:p w14:paraId="59C416C5" w14:textId="2CB00011" w:rsidR="005C0FBB" w:rsidRPr="007B4ED7" w:rsidRDefault="005C0FBB" w:rsidP="005C0FBB">
      <w:pPr>
        <w:numPr>
          <w:ilvl w:val="0"/>
          <w:numId w:val="64"/>
        </w:numPr>
        <w:autoSpaceDE/>
        <w:autoSpaceDN/>
        <w:adjustRightInd/>
        <w:spacing w:line="300" w:lineRule="exact"/>
        <w:jc w:val="both"/>
        <w:rPr>
          <w:rFonts w:ascii="Trebuchet MS" w:hAnsi="Trebuchet MS" w:cs="Calibri"/>
          <w:i/>
          <w:iCs/>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cinquenta centésimos</w:t>
      </w:r>
      <w:r w:rsidR="00BD4D9D" w:rsidRPr="007B4ED7">
        <w:rPr>
          <w:rFonts w:ascii="Trebuchet MS" w:hAnsi="Trebuchet MS" w:cs="Calibri"/>
          <w:i/>
          <w:iCs/>
          <w:sz w:val="22"/>
          <w:szCs w:val="22"/>
        </w:rPr>
        <w:t xml:space="preserve"> por cento)</w:t>
      </w:r>
      <w:r w:rsidRPr="007B4ED7">
        <w:rPr>
          <w:rFonts w:ascii="Trebuchet MS" w:hAnsi="Trebuchet MS" w:cs="Calibri"/>
          <w:i/>
          <w:iCs/>
          <w:sz w:val="22"/>
          <w:szCs w:val="22"/>
        </w:rPr>
        <w:t xml:space="preserve"> da somatória dos novos créditos originados dos Direitos Creditórios Vinculados, a título de pagamento pelos serviços por ela </w:t>
      </w:r>
      <w:r w:rsidRPr="007B4ED7">
        <w:rPr>
          <w:rFonts w:ascii="Trebuchet MS" w:hAnsi="Trebuchet MS" w:cs="Calibri"/>
          <w:i/>
          <w:iCs/>
          <w:sz w:val="22"/>
          <w:szCs w:val="22"/>
        </w:rPr>
        <w:lastRenderedPageBreak/>
        <w:t xml:space="preserve">prestados, observados os termos do Contrato de Cobrança (conforme abaixo definido); </w:t>
      </w:r>
    </w:p>
    <w:p w14:paraId="52AA7395" w14:textId="77777777" w:rsidR="005C0FBB" w:rsidRPr="007B4ED7" w:rsidRDefault="005C0FBB" w:rsidP="005C0FBB">
      <w:pPr>
        <w:spacing w:line="300" w:lineRule="exact"/>
        <w:ind w:left="709"/>
        <w:jc w:val="both"/>
        <w:rPr>
          <w:rFonts w:ascii="Trebuchet MS" w:hAnsi="Trebuchet MS" w:cs="Calibri"/>
          <w:i/>
          <w:iCs/>
          <w:sz w:val="22"/>
          <w:szCs w:val="22"/>
        </w:rPr>
      </w:pPr>
    </w:p>
    <w:p w14:paraId="70210A2C" w14:textId="763CC5D5" w:rsidR="005C0FBB" w:rsidRPr="007B4ED7" w:rsidRDefault="005C0FBB" w:rsidP="005C0FBB">
      <w:pPr>
        <w:numPr>
          <w:ilvl w:val="0"/>
          <w:numId w:val="64"/>
        </w:numPr>
        <w:autoSpaceDE/>
        <w:autoSpaceDN/>
        <w:adjustRightInd/>
        <w:spacing w:line="300" w:lineRule="exact"/>
        <w:jc w:val="both"/>
        <w:rPr>
          <w:rFonts w:ascii="Trebuchet MS" w:hAnsi="Trebuchet MS" w:cs="Tahoma"/>
          <w:sz w:val="22"/>
          <w:szCs w:val="22"/>
        </w:rPr>
      </w:pPr>
      <w:r w:rsidRPr="007B4ED7">
        <w:rPr>
          <w:rFonts w:ascii="Trebuchet MS" w:hAnsi="Trebuchet MS" w:cs="Calibri"/>
          <w:i/>
          <w:iCs/>
          <w:sz w:val="22"/>
          <w:szCs w:val="22"/>
        </w:rPr>
        <w:t xml:space="preserve">os valores devidos à Provi ou a qualquer outra instituição que venha a substituí-la, na qualidade de agente de cobrança, equivalentes a </w:t>
      </w:r>
      <w:r w:rsidR="00BD4D9D" w:rsidRPr="007B4ED7">
        <w:rPr>
          <w:rFonts w:ascii="Trebuchet MS" w:hAnsi="Trebuchet MS" w:cs="Calibri"/>
          <w:i/>
          <w:iCs/>
          <w:sz w:val="22"/>
          <w:szCs w:val="22"/>
        </w:rPr>
        <w:t>2,5</w:t>
      </w:r>
      <w:r w:rsidR="00BD4D9D">
        <w:rPr>
          <w:rFonts w:ascii="Trebuchet MS" w:hAnsi="Trebuchet MS" w:cs="Calibri"/>
          <w:i/>
          <w:iCs/>
          <w:sz w:val="22"/>
          <w:szCs w:val="22"/>
        </w:rPr>
        <w:t>0</w:t>
      </w:r>
      <w:r w:rsidR="00BD4D9D" w:rsidRPr="007B4ED7">
        <w:rPr>
          <w:rFonts w:ascii="Trebuchet MS" w:hAnsi="Trebuchet MS" w:cs="Calibri"/>
          <w:i/>
          <w:iCs/>
          <w:sz w:val="22"/>
          <w:szCs w:val="22"/>
        </w:rPr>
        <w:t xml:space="preserve">% (dois inteiros e </w:t>
      </w:r>
      <w:r w:rsidR="00BD4D9D">
        <w:rPr>
          <w:rFonts w:ascii="Trebuchet MS" w:hAnsi="Trebuchet MS" w:cs="Calibri"/>
          <w:sz w:val="22"/>
          <w:szCs w:val="22"/>
        </w:rPr>
        <w:t xml:space="preserve">cinquenta centésimos </w:t>
      </w:r>
      <w:r w:rsidR="00BD4D9D" w:rsidRPr="007B4ED7">
        <w:rPr>
          <w:rFonts w:ascii="Trebuchet MS" w:hAnsi="Trebuchet MS" w:cs="Calibri"/>
          <w:i/>
          <w:iCs/>
          <w:sz w:val="22"/>
          <w:szCs w:val="22"/>
        </w:rPr>
        <w:t>por cento)</w:t>
      </w:r>
      <w:r w:rsidRPr="007B4ED7">
        <w:rPr>
          <w:rFonts w:ascii="Trebuchet MS" w:hAnsi="Trebuchet MS" w:cs="Calibri"/>
          <w:i/>
          <w:iCs/>
          <w:sz w:val="22"/>
          <w:szCs w:val="22"/>
        </w:rPr>
        <w:t xml:space="preserve"> da somatória dos recebimentos dos Direitos Creditórios Vinculados, a título de pagamento pelos serviços por ela prestados, observados os termos do Contrato de Cobrança (conforme abaixo definido);</w:t>
      </w:r>
    </w:p>
    <w:p w14:paraId="3E901B2B" w14:textId="77777777" w:rsidR="005C0FBB" w:rsidRPr="007B4ED7" w:rsidRDefault="005C0FBB" w:rsidP="005C0FBB">
      <w:pPr>
        <w:pStyle w:val="PargrafodaLista"/>
        <w:rPr>
          <w:rFonts w:ascii="Trebuchet MS" w:hAnsi="Trebuchet MS" w:cs="Calibri"/>
          <w:sz w:val="22"/>
          <w:szCs w:val="22"/>
          <w:highlight w:val="lightGray"/>
        </w:rPr>
      </w:pPr>
    </w:p>
    <w:p w14:paraId="396F0ABA" w14:textId="23106ED0" w:rsidR="005C0FBB" w:rsidRDefault="005C0FBB" w:rsidP="005C0FBB">
      <w:pPr>
        <w:spacing w:line="300" w:lineRule="exact"/>
        <w:ind w:left="709"/>
        <w:jc w:val="both"/>
        <w:rPr>
          <w:rFonts w:ascii="Trebuchet MS" w:hAnsi="Trebuchet MS" w:cs="Calibri"/>
          <w:i/>
          <w:iCs/>
          <w:sz w:val="22"/>
          <w:szCs w:val="22"/>
        </w:rPr>
      </w:pPr>
      <w:r w:rsidRPr="007B4ED7">
        <w:rPr>
          <w:rFonts w:ascii="Trebuchet MS" w:hAnsi="Trebuchet MS" w:cs="Calibri"/>
          <w:i/>
          <w:iCs/>
          <w:sz w:val="22"/>
          <w:szCs w:val="22"/>
        </w:rPr>
        <w:t>(...)”</w:t>
      </w:r>
    </w:p>
    <w:p w14:paraId="4877F46F" w14:textId="3CE91C1E" w:rsidR="00AA7600" w:rsidRDefault="00AA7600" w:rsidP="005C0FBB">
      <w:pPr>
        <w:spacing w:line="300" w:lineRule="exact"/>
        <w:ind w:left="709"/>
        <w:jc w:val="both"/>
        <w:rPr>
          <w:rFonts w:ascii="Trebuchet MS" w:hAnsi="Trebuchet MS" w:cs="Calibri"/>
          <w:i/>
          <w:iCs/>
          <w:sz w:val="22"/>
          <w:szCs w:val="22"/>
        </w:rPr>
      </w:pPr>
    </w:p>
    <w:p w14:paraId="55E883EA" w14:textId="33349B05" w:rsidR="00AA7600" w:rsidRDefault="00BD4D9D"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r w:rsidR="00AA7600" w:rsidRPr="00AA7600">
        <w:rPr>
          <w:rFonts w:ascii="Trebuchet MS" w:hAnsi="Trebuchet MS" w:cs="Calibri"/>
          <w:i/>
          <w:iCs/>
          <w:sz w:val="22"/>
          <w:szCs w:val="22"/>
        </w:rPr>
        <w:t>3.17.</w:t>
      </w:r>
      <w:r w:rsidR="00AA7600" w:rsidRPr="00AA7600">
        <w:rPr>
          <w:rFonts w:ascii="Trebuchet MS" w:hAnsi="Trebuchet MS" w:cs="Calibri"/>
          <w:i/>
          <w:iCs/>
          <w:sz w:val="22"/>
          <w:szCs w:val="22"/>
        </w:rPr>
        <w:tab/>
        <w:t>Prazo, Preço e Forma de Subscrição e Integralização: As Debêntures serão subscritas mediante assinatura, pelo Debenturista, do respectivo boletim de subscrição (“</w:t>
      </w:r>
      <w:r w:rsidR="00AA7600" w:rsidRPr="00BD4D9D">
        <w:rPr>
          <w:rFonts w:ascii="Trebuchet MS" w:hAnsi="Trebuchet MS" w:cs="Calibri"/>
          <w:i/>
          <w:iCs/>
          <w:sz w:val="22"/>
          <w:szCs w:val="22"/>
          <w:u w:val="single"/>
        </w:rPr>
        <w:t>Boletim de Subscrição</w:t>
      </w:r>
      <w:r w:rsidR="00AA7600" w:rsidRPr="00AA7600">
        <w:rPr>
          <w:rFonts w:ascii="Trebuchet MS" w:hAnsi="Trebuchet MS" w:cs="Calibri"/>
          <w:i/>
          <w:iCs/>
          <w:sz w:val="22"/>
          <w:szCs w:val="22"/>
        </w:rPr>
        <w:t>”) e registrada nos sistemas da B3, de acordo com os procedimentos aplicáveis.</w:t>
      </w:r>
    </w:p>
    <w:p w14:paraId="5E2A081F" w14:textId="0D866A53" w:rsidR="00AA7600" w:rsidRDefault="00AA7600" w:rsidP="005C0FBB">
      <w:pPr>
        <w:spacing w:line="300" w:lineRule="exact"/>
        <w:ind w:left="709"/>
        <w:jc w:val="both"/>
        <w:rPr>
          <w:rFonts w:ascii="Trebuchet MS" w:hAnsi="Trebuchet MS" w:cs="Calibri"/>
          <w:i/>
          <w:iCs/>
          <w:sz w:val="22"/>
          <w:szCs w:val="22"/>
        </w:rPr>
      </w:pPr>
    </w:p>
    <w:p w14:paraId="78A9BC8E" w14:textId="4269B43B" w:rsidR="00AA7600" w:rsidRDefault="00AA7600" w:rsidP="005C0FBB">
      <w:pPr>
        <w:spacing w:line="300" w:lineRule="exact"/>
        <w:ind w:left="709"/>
        <w:jc w:val="both"/>
        <w:rPr>
          <w:rFonts w:ascii="Trebuchet MS" w:hAnsi="Trebuchet MS" w:cs="Calibri"/>
          <w:i/>
          <w:iCs/>
          <w:sz w:val="22"/>
          <w:szCs w:val="22"/>
        </w:rPr>
      </w:pPr>
      <w:r>
        <w:rPr>
          <w:rFonts w:ascii="Trebuchet MS" w:hAnsi="Trebuchet MS" w:cs="Calibri"/>
          <w:i/>
          <w:iCs/>
          <w:sz w:val="22"/>
          <w:szCs w:val="22"/>
        </w:rPr>
        <w:t>(...)</w:t>
      </w:r>
    </w:p>
    <w:p w14:paraId="6C342515" w14:textId="5C4B340A" w:rsidR="00AA7600" w:rsidRDefault="00AA7600" w:rsidP="005C0FBB">
      <w:pPr>
        <w:spacing w:line="300" w:lineRule="exact"/>
        <w:ind w:left="709"/>
        <w:jc w:val="both"/>
        <w:rPr>
          <w:rFonts w:ascii="Trebuchet MS" w:hAnsi="Trebuchet MS" w:cs="Calibri"/>
          <w:i/>
          <w:iCs/>
          <w:sz w:val="22"/>
          <w:szCs w:val="22"/>
        </w:rPr>
      </w:pPr>
    </w:p>
    <w:p w14:paraId="4C184FD4" w14:textId="2F85A2C1" w:rsidR="00AA7600" w:rsidRDefault="00AA7600" w:rsidP="005C0FBB">
      <w:pPr>
        <w:spacing w:line="300" w:lineRule="exact"/>
        <w:ind w:left="709"/>
        <w:jc w:val="both"/>
        <w:rPr>
          <w:rFonts w:ascii="Trebuchet MS" w:hAnsi="Trebuchet MS" w:cs="Calibri"/>
          <w:i/>
          <w:iCs/>
          <w:sz w:val="22"/>
          <w:szCs w:val="22"/>
        </w:rPr>
      </w:pPr>
      <w:r w:rsidRPr="00AA7600">
        <w:rPr>
          <w:rFonts w:ascii="Trebuchet MS" w:hAnsi="Trebuchet MS" w:cs="Calibri"/>
          <w:i/>
          <w:iCs/>
          <w:sz w:val="22"/>
          <w:szCs w:val="22"/>
        </w:rPr>
        <w:t>3.17.1.4.</w:t>
      </w:r>
      <w:r w:rsidRPr="00AA7600">
        <w:rPr>
          <w:rFonts w:ascii="Trebuchet MS" w:hAnsi="Trebuchet MS" w:cs="Calibri"/>
          <w:i/>
          <w:iCs/>
          <w:sz w:val="22"/>
          <w:szCs w:val="22"/>
        </w:rPr>
        <w:tab/>
        <w:t xml:space="preserve">A Provi poderá realizar a integralização de Debêntures por meio de </w:t>
      </w:r>
      <w:proofErr w:type="spellStart"/>
      <w:r w:rsidRPr="00AA7600">
        <w:rPr>
          <w:rFonts w:ascii="Trebuchet MS" w:hAnsi="Trebuchet MS" w:cs="Calibri"/>
          <w:i/>
          <w:iCs/>
          <w:sz w:val="22"/>
          <w:szCs w:val="22"/>
        </w:rPr>
        <w:t>CCBs</w:t>
      </w:r>
      <w:proofErr w:type="spellEnd"/>
      <w:r w:rsidRPr="00AA7600">
        <w:rPr>
          <w:rFonts w:ascii="Trebuchet MS" w:hAnsi="Trebuchet MS" w:cs="Calibri"/>
          <w:i/>
          <w:iCs/>
          <w:sz w:val="22"/>
          <w:szCs w:val="22"/>
        </w:rPr>
        <w:t>, desde que observados os Critérios de Exigibilidade.</w:t>
      </w:r>
      <w:r>
        <w:rPr>
          <w:rFonts w:ascii="Trebuchet MS" w:hAnsi="Trebuchet MS" w:cs="Calibri"/>
          <w:i/>
          <w:iCs/>
          <w:sz w:val="22"/>
          <w:szCs w:val="22"/>
        </w:rPr>
        <w:t>”</w:t>
      </w:r>
    </w:p>
    <w:p w14:paraId="2C1F10EC" w14:textId="743CF2D3" w:rsidR="001D14C2" w:rsidRPr="007B3E0D" w:rsidRDefault="00BD4D9D" w:rsidP="00BD4D9D">
      <w:pPr>
        <w:pStyle w:val="PargrafodaLista"/>
        <w:tabs>
          <w:tab w:val="left" w:pos="3420"/>
        </w:tabs>
        <w:suppressAutoHyphens/>
        <w:autoSpaceDE/>
        <w:autoSpaceDN/>
        <w:adjustRightInd/>
        <w:spacing w:line="300" w:lineRule="exact"/>
        <w:ind w:left="0"/>
        <w:rPr>
          <w:rFonts w:ascii="Trebuchet MS" w:hAnsi="Trebuchet MS" w:cs="Tahoma"/>
          <w:i/>
          <w:iCs/>
          <w:sz w:val="22"/>
          <w:szCs w:val="22"/>
        </w:rPr>
      </w:pPr>
      <w:r>
        <w:rPr>
          <w:rFonts w:ascii="Trebuchet MS" w:hAnsi="Trebuchet MS" w:cs="Tahoma"/>
          <w:i/>
          <w:iCs/>
          <w:sz w:val="22"/>
          <w:szCs w:val="22"/>
        </w:rPr>
        <w:tab/>
      </w:r>
    </w:p>
    <w:bookmarkEnd w:id="2"/>
    <w:p w14:paraId="24E23CA6" w14:textId="488C6406" w:rsidR="001D14C2" w:rsidRPr="007B3E0D" w:rsidRDefault="007B4ED7" w:rsidP="007B4ED7">
      <w:pPr>
        <w:spacing w:line="300" w:lineRule="exact"/>
        <w:ind w:left="709"/>
        <w:jc w:val="both"/>
        <w:rPr>
          <w:rFonts w:ascii="Trebuchet MS" w:hAnsi="Trebuchet MS"/>
          <w:i/>
          <w:iCs/>
          <w:sz w:val="22"/>
          <w:szCs w:val="22"/>
          <w:lang w:eastAsia="en-US"/>
        </w:rPr>
      </w:pPr>
      <w:r>
        <w:rPr>
          <w:rFonts w:ascii="Trebuchet MS" w:hAnsi="Trebuchet MS"/>
          <w:i/>
          <w:iCs/>
          <w:sz w:val="22"/>
          <w:szCs w:val="22"/>
        </w:rPr>
        <w:t>“</w:t>
      </w:r>
      <w:r w:rsidR="00EB080C">
        <w:rPr>
          <w:rFonts w:ascii="Trebuchet MS" w:hAnsi="Trebuchet MS"/>
          <w:i/>
          <w:iCs/>
          <w:sz w:val="22"/>
          <w:szCs w:val="22"/>
        </w:rPr>
        <w:t>6.1</w:t>
      </w:r>
      <w:r w:rsidR="00BD4D9D">
        <w:rPr>
          <w:rFonts w:ascii="Trebuchet MS" w:hAnsi="Trebuchet MS"/>
          <w:i/>
          <w:iCs/>
          <w:sz w:val="22"/>
          <w:szCs w:val="22"/>
        </w:rPr>
        <w:t>.</w:t>
      </w:r>
      <w:r w:rsidR="00EB080C">
        <w:rPr>
          <w:rFonts w:ascii="Trebuchet MS" w:hAnsi="Trebuchet MS"/>
          <w:i/>
          <w:iCs/>
          <w:sz w:val="22"/>
          <w:szCs w:val="22"/>
        </w:rPr>
        <w:t xml:space="preserve">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4ED7">
      <w:pPr>
        <w:spacing w:line="300" w:lineRule="exact"/>
        <w:ind w:left="709"/>
        <w:jc w:val="both"/>
        <w:rPr>
          <w:rFonts w:ascii="Trebuchet MS" w:hAnsi="Trebuchet MS"/>
          <w:i/>
          <w:iCs/>
          <w:sz w:val="22"/>
          <w:szCs w:val="22"/>
          <w:lang w:eastAsia="en-US"/>
        </w:rPr>
      </w:pPr>
    </w:p>
    <w:p w14:paraId="4DDAB2F2" w14:textId="77777777" w:rsidR="001D14C2" w:rsidRPr="007B3E0D" w:rsidRDefault="001D14C2" w:rsidP="007B4ED7">
      <w:pPr>
        <w:spacing w:line="300" w:lineRule="exact"/>
        <w:ind w:left="709"/>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4ED7">
      <w:pPr>
        <w:pStyle w:val="PargrafodaLista"/>
        <w:suppressAutoHyphens/>
        <w:autoSpaceDE/>
        <w:autoSpaceDN/>
        <w:adjustRightInd/>
        <w:spacing w:line="300" w:lineRule="exact"/>
        <w:ind w:left="709"/>
        <w:jc w:val="both"/>
        <w:rPr>
          <w:rFonts w:ascii="Trebuchet MS" w:hAnsi="Trebuchet MS" w:cs="Tahoma"/>
          <w:i/>
          <w:iCs/>
          <w:sz w:val="22"/>
          <w:szCs w:val="22"/>
        </w:rPr>
      </w:pPr>
    </w:p>
    <w:p w14:paraId="748B3AF4" w14:textId="61578787" w:rsidR="001D14C2" w:rsidRDefault="001D14C2" w:rsidP="007B4ED7">
      <w:pPr>
        <w:pStyle w:val="ListaColorida-nfase12"/>
        <w:spacing w:after="0" w:line="300" w:lineRule="exact"/>
        <w:ind w:left="709" w:right="261"/>
        <w:jc w:val="both"/>
        <w:rPr>
          <w:rFonts w:ascii="Trebuchet MS" w:hAnsi="Trebuchet MS" w:cs="Tahoma"/>
          <w:i/>
          <w:iCs/>
          <w:lang w:eastAsia="pt-BR"/>
        </w:rPr>
      </w:pPr>
      <w:bookmarkStart w:id="3" w:name="_Hlk33102380"/>
      <w:r w:rsidRPr="007B3E0D">
        <w:rPr>
          <w:rFonts w:ascii="Trebuchet MS" w:hAnsi="Trebuchet MS" w:cs="Tahoma"/>
          <w:i/>
          <w:iCs/>
          <w:lang w:eastAsia="pt-BR"/>
        </w:rPr>
        <w:t>(</w:t>
      </w:r>
      <w:proofErr w:type="spellStart"/>
      <w:r w:rsidRPr="007B3E0D">
        <w:rPr>
          <w:rFonts w:ascii="Trebuchet MS" w:hAnsi="Trebuchet MS" w:cs="Tahoma"/>
          <w:i/>
          <w:iCs/>
          <w:lang w:eastAsia="pt-BR"/>
        </w:rPr>
        <w:t>xvi</w:t>
      </w:r>
      <w:proofErr w:type="spellEnd"/>
      <w:r w:rsidRPr="007B3E0D">
        <w:rPr>
          <w:rFonts w:ascii="Trebuchet MS" w:hAnsi="Trebuchet MS" w:cs="Tahoma"/>
          <w:i/>
          <w:iCs/>
          <w:lang w:eastAsia="pt-BR"/>
        </w:rPr>
        <w:t xml:space="preserve">) manter contratada como auditor da Emissora, </w:t>
      </w:r>
      <w:r w:rsidRPr="007B3E0D">
        <w:rPr>
          <w:rFonts w:ascii="Trebuchet MS" w:hAnsi="Trebuchet MS" w:cs="Arial"/>
          <w:i/>
          <w:iCs/>
        </w:rPr>
        <w:t xml:space="preserve">preferencialmente, mas não se limitando, </w:t>
      </w:r>
      <w:r w:rsidR="00441FDD">
        <w:rPr>
          <w:rFonts w:ascii="Trebuchet MS" w:hAnsi="Trebuchet MS" w:cs="Arial"/>
          <w:i/>
          <w:iCs/>
        </w:rPr>
        <w:t>à empresa</w:t>
      </w:r>
      <w:r w:rsidR="00441FDD" w:rsidRPr="007B3E0D">
        <w:rPr>
          <w:rFonts w:ascii="Trebuchet MS" w:hAnsi="Trebuchet MS" w:cs="Arial"/>
          <w:i/>
          <w:iCs/>
        </w:rPr>
        <w:t xml:space="preserve"> </w:t>
      </w:r>
      <w:r w:rsidR="00080DFB">
        <w:rPr>
          <w:rFonts w:ascii="Trebuchet MS" w:hAnsi="Trebuchet MS" w:cs="Tahoma"/>
          <w:i/>
          <w:iCs/>
          <w:lang w:eastAsia="pt-BR"/>
        </w:rPr>
        <w:t>Grant Thornton</w:t>
      </w:r>
      <w:r w:rsidR="00441FDD">
        <w:rPr>
          <w:rFonts w:ascii="Trebuchet MS" w:hAnsi="Trebuchet MS" w:cs="Tahoma"/>
          <w:i/>
          <w:iCs/>
          <w:lang w:eastAsia="pt-BR"/>
        </w:rPr>
        <w:t xml:space="preserve"> Auditores Independentes</w:t>
      </w:r>
      <w:r w:rsidR="00080DFB">
        <w:rPr>
          <w:rFonts w:ascii="Trebuchet MS" w:hAnsi="Trebuchet MS" w:cs="Tahoma"/>
          <w:i/>
          <w:iCs/>
          <w:lang w:eastAsia="pt-BR"/>
        </w:rPr>
        <w:t xml:space="preserve">, </w:t>
      </w:r>
      <w:r w:rsidRPr="007B3E0D">
        <w:rPr>
          <w:rFonts w:ascii="Trebuchet MS" w:hAnsi="Trebuchet MS" w:cs="Tahoma"/>
          <w:i/>
          <w:iCs/>
          <w:lang w:eastAsia="pt-BR"/>
        </w:rPr>
        <w:t>para emissão de suas demonstrações financeiras anuais</w:t>
      </w:r>
      <w:r w:rsidR="00080DFB">
        <w:rPr>
          <w:rFonts w:ascii="Trebuchet MS" w:hAnsi="Trebuchet MS" w:cs="Tahoma"/>
          <w:i/>
          <w:iCs/>
          <w:lang w:eastAsia="pt-BR"/>
        </w:rPr>
        <w:t xml:space="preserve"> (“</w:t>
      </w:r>
      <w:r w:rsidR="00080DFB" w:rsidRPr="00AE39D0">
        <w:rPr>
          <w:rFonts w:ascii="Trebuchet MS" w:hAnsi="Trebuchet MS" w:cs="Tahoma"/>
          <w:i/>
          <w:iCs/>
          <w:u w:val="single"/>
          <w:lang w:eastAsia="pt-BR"/>
        </w:rPr>
        <w:t>Grant Thornton</w:t>
      </w:r>
      <w:r w:rsidR="00080DFB">
        <w:rPr>
          <w:rFonts w:ascii="Trebuchet MS" w:hAnsi="Trebuchet MS" w:cs="Tahoma"/>
          <w:i/>
          <w:iCs/>
          <w:lang w:eastAsia="pt-BR"/>
        </w:rPr>
        <w:t>”).</w:t>
      </w:r>
    </w:p>
    <w:bookmarkEnd w:id="3"/>
    <w:p w14:paraId="654171CA" w14:textId="77777777" w:rsidR="001D14C2" w:rsidRDefault="001D14C2" w:rsidP="007B4ED7">
      <w:pPr>
        <w:pStyle w:val="ListaColorida-nfase12"/>
        <w:spacing w:after="0" w:line="300" w:lineRule="exact"/>
        <w:ind w:left="709" w:right="261"/>
        <w:jc w:val="both"/>
        <w:rPr>
          <w:rFonts w:ascii="Trebuchet MS" w:hAnsi="Trebuchet MS" w:cs="Tahoma"/>
          <w:i/>
          <w:iCs/>
          <w:lang w:eastAsia="pt-BR"/>
        </w:rPr>
      </w:pPr>
    </w:p>
    <w:p w14:paraId="5FD957E3" w14:textId="5EB4ABCD" w:rsidR="007B4ED7" w:rsidRPr="007B3E0D" w:rsidRDefault="001D14C2" w:rsidP="00B169F5">
      <w:pPr>
        <w:pStyle w:val="ListaColorida-nfase12"/>
        <w:spacing w:after="0" w:line="300" w:lineRule="exact"/>
        <w:ind w:left="709" w:right="261"/>
        <w:jc w:val="both"/>
        <w:rPr>
          <w:rFonts w:ascii="Trebuchet MS" w:hAnsi="Trebuchet MS" w:cs="Tahoma"/>
          <w:i/>
          <w:iCs/>
          <w:lang w:eastAsia="pt-BR"/>
        </w:rPr>
      </w:pPr>
      <w:r>
        <w:rPr>
          <w:rFonts w:ascii="Trebuchet MS" w:hAnsi="Trebuchet MS" w:cs="Tahoma"/>
          <w:i/>
          <w:iCs/>
          <w:lang w:eastAsia="pt-BR"/>
        </w:rPr>
        <w:t>(...)</w:t>
      </w:r>
      <w:r w:rsidRPr="007B3E0D">
        <w:rPr>
          <w:rFonts w:ascii="Trebuchet MS" w:hAnsi="Trebuchet MS" w:cs="Tahoma"/>
          <w:i/>
          <w:iCs/>
          <w:lang w:eastAsia="pt-BR"/>
        </w:rPr>
        <w:t>”</w:t>
      </w:r>
    </w:p>
    <w:p w14:paraId="5A310217" w14:textId="77777777" w:rsidR="00AE39D0" w:rsidRPr="007B3E0D" w:rsidRDefault="00AE39D0" w:rsidP="00AE39D0">
      <w:pPr>
        <w:suppressAutoHyphens/>
        <w:autoSpaceDE/>
        <w:autoSpaceDN/>
        <w:adjustRightInd/>
        <w:spacing w:line="300" w:lineRule="exact"/>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4" w:name="_Toc314833168"/>
      <w:r w:rsidRPr="00721A40">
        <w:rPr>
          <w:rFonts w:ascii="Trebuchet MS" w:hAnsi="Trebuchet MS" w:cs="Tahoma"/>
          <w:b/>
          <w:sz w:val="22"/>
          <w:szCs w:val="22"/>
        </w:rPr>
        <w:t>CLÁUSULA II</w:t>
      </w:r>
      <w:r w:rsidRPr="00721A40">
        <w:rPr>
          <w:rFonts w:ascii="Trebuchet MS" w:hAnsi="Trebuchet MS" w:cs="Tahoma"/>
          <w:b/>
          <w:sz w:val="22"/>
          <w:szCs w:val="22"/>
        </w:rPr>
        <w:br/>
        <w:t>DISPOSIÇÕES GERAIS</w:t>
      </w:r>
      <w:bookmarkEnd w:id="4"/>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7F9241F8"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que não tenham sido expressamente alterados pelo presente Aditamento são neste ato ratificados e permanecem em pleno vigor e efeito. Dessa forma, a Escritura</w:t>
      </w:r>
      <w:r w:rsidR="00F8061A">
        <w:rPr>
          <w:rFonts w:ascii="Trebuchet MS" w:hAnsi="Trebuchet MS" w:cs="Tahoma"/>
          <w:sz w:val="22"/>
          <w:szCs w:val="22"/>
        </w:rPr>
        <w:t xml:space="preserve"> de Emissão</w:t>
      </w:r>
      <w:r w:rsidRPr="00AD5EBA">
        <w:rPr>
          <w:rFonts w:ascii="Trebuchet MS" w:hAnsi="Trebuchet MS" w:cs="Tahoma"/>
          <w:sz w:val="22"/>
          <w:szCs w:val="22"/>
        </w:rPr>
        <w:t xml:space="preserve">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6DA8936B" w14:textId="756C0290" w:rsidR="00923169" w:rsidRPr="00923169" w:rsidRDefault="001D14C2" w:rsidP="00923169">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lastRenderedPageBreak/>
        <w:t xml:space="preserve"> </w:t>
      </w:r>
      <w:r w:rsidR="00923169" w:rsidRPr="00923169">
        <w:rPr>
          <w:rFonts w:ascii="Trebuchet MS" w:hAnsi="Trebuchet MS" w:cs="Tahoma"/>
          <w:sz w:val="22"/>
          <w:szCs w:val="22"/>
        </w:rPr>
        <w:t>Em razão da pandemia causada pelo COVID-19, e</w:t>
      </w:r>
      <w:r w:rsidR="004105FD" w:rsidRPr="00923169">
        <w:rPr>
          <w:rFonts w:ascii="Trebuchet MS" w:hAnsi="Trebuchet MS" w:cs="Tahoma"/>
          <w:sz w:val="22"/>
          <w:szCs w:val="22"/>
        </w:rPr>
        <w:t xml:space="preserve">ste Aditamento </w:t>
      </w:r>
      <w:r w:rsidR="00923169" w:rsidRPr="00923169">
        <w:rPr>
          <w:rFonts w:ascii="Trebuchet MS" w:hAnsi="Trebuchet MS" w:cs="Tahoma"/>
          <w:sz w:val="22"/>
          <w:szCs w:val="22"/>
        </w:rPr>
        <w:t xml:space="preserve">deverá ser apresentado a arquivamento </w:t>
      </w:r>
      <w:r w:rsidR="004105FD" w:rsidRPr="00923169">
        <w:rPr>
          <w:rFonts w:ascii="Trebuchet MS" w:hAnsi="Trebuchet MS" w:cs="Tahoma"/>
          <w:sz w:val="22"/>
          <w:szCs w:val="22"/>
        </w:rPr>
        <w:t xml:space="preserve">na JUCESP, no prazo de até </w:t>
      </w:r>
      <w:r w:rsidR="00923169" w:rsidRPr="00923169">
        <w:rPr>
          <w:rFonts w:ascii="Trebuchet MS" w:hAnsi="Trebuchet MS" w:cs="Tahoma"/>
          <w:sz w:val="22"/>
          <w:szCs w:val="22"/>
        </w:rPr>
        <w:t>30</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trinta</w:t>
      </w:r>
      <w:r w:rsidR="004105FD" w:rsidRPr="00923169">
        <w:rPr>
          <w:rFonts w:ascii="Trebuchet MS" w:hAnsi="Trebuchet MS" w:cs="Tahoma"/>
          <w:sz w:val="22"/>
          <w:szCs w:val="22"/>
        </w:rPr>
        <w:t xml:space="preserve">) </w:t>
      </w:r>
      <w:r w:rsidR="00923169" w:rsidRPr="00923169">
        <w:rPr>
          <w:rFonts w:ascii="Trebuchet MS" w:hAnsi="Trebuchet MS" w:cs="Tahoma"/>
          <w:sz w:val="22"/>
          <w:szCs w:val="22"/>
        </w:rPr>
        <w:t>dias contado da data em que a JUCESP restabelecer a prestação regular dos seus serviços</w:t>
      </w:r>
      <w:r w:rsidR="00923169">
        <w:rPr>
          <w:rFonts w:ascii="Trebuchet MS" w:hAnsi="Trebuchet MS" w:cs="Tahoma"/>
          <w:sz w:val="22"/>
          <w:szCs w:val="22"/>
        </w:rPr>
        <w:t>.</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16B001EE"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Este Aditamento, a Escritura </w:t>
      </w:r>
      <w:r w:rsidR="00F8061A">
        <w:rPr>
          <w:rFonts w:ascii="Trebuchet MS" w:hAnsi="Trebuchet MS" w:cs="Tahoma"/>
          <w:sz w:val="22"/>
          <w:szCs w:val="22"/>
        </w:rPr>
        <w:t xml:space="preserve">de Emissão </w:t>
      </w:r>
      <w:r w:rsidRPr="00AD5EBA">
        <w:rPr>
          <w:rFonts w:ascii="Trebuchet MS" w:hAnsi="Trebuchet MS" w:cs="Tahoma"/>
          <w:sz w:val="22"/>
          <w:szCs w:val="22"/>
        </w:rPr>
        <w:t>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649C3575"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r w:rsidR="00F8061A">
        <w:rPr>
          <w:rFonts w:ascii="Trebuchet MS" w:hAnsi="Trebuchet MS" w:cs="Tahoma"/>
          <w:sz w:val="22"/>
          <w:szCs w:val="22"/>
        </w:rPr>
        <w:t xml:space="preserve"> de Emissão</w:t>
      </w:r>
      <w:r w:rsidRPr="00AD5EBA">
        <w:rPr>
          <w:rFonts w:ascii="Trebuchet MS" w:hAnsi="Trebuchet MS" w:cs="Tahoma"/>
          <w:sz w:val="22"/>
          <w:szCs w:val="22"/>
        </w:rPr>
        <w:t>.</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432E5EB4"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t xml:space="preserve">São Paulo, </w:t>
      </w:r>
      <w:r w:rsidR="00BD4D9D">
        <w:rPr>
          <w:rFonts w:ascii="Trebuchet MS" w:hAnsi="Trebuchet MS" w:cs="Tahoma"/>
          <w:w w:val="0"/>
          <w:sz w:val="22"/>
          <w:szCs w:val="22"/>
        </w:rPr>
        <w:t>[●]</w:t>
      </w:r>
      <w:r>
        <w:rPr>
          <w:rFonts w:ascii="Trebuchet MS" w:hAnsi="Trebuchet MS" w:cs="Tahoma"/>
          <w:w w:val="0"/>
          <w:sz w:val="22"/>
          <w:szCs w:val="22"/>
        </w:rPr>
        <w:t xml:space="preserve"> </w:t>
      </w:r>
      <w:r w:rsidRPr="00921BF0">
        <w:rPr>
          <w:rFonts w:ascii="Trebuchet MS" w:hAnsi="Trebuchet MS" w:cs="Tahoma"/>
          <w:w w:val="0"/>
          <w:sz w:val="22"/>
          <w:szCs w:val="22"/>
        </w:rPr>
        <w:t xml:space="preserve">de </w:t>
      </w:r>
      <w:r w:rsidR="00BD4D9D">
        <w:rPr>
          <w:rFonts w:ascii="Trebuchet MS" w:hAnsi="Trebuchet MS" w:cs="Tahoma"/>
          <w:w w:val="0"/>
          <w:sz w:val="22"/>
          <w:szCs w:val="22"/>
        </w:rPr>
        <w:t>abril</w:t>
      </w:r>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080DFB">
        <w:trPr>
          <w:jc w:val="center"/>
        </w:trPr>
        <w:tc>
          <w:tcPr>
            <w:tcW w:w="4584" w:type="dxa"/>
          </w:tcPr>
          <w:p w14:paraId="3489B7C7"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080DFB">
        <w:trPr>
          <w:jc w:val="center"/>
        </w:trPr>
        <w:tc>
          <w:tcPr>
            <w:tcW w:w="4584" w:type="dxa"/>
          </w:tcPr>
          <w:p w14:paraId="410BDAE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080DFB">
        <w:trPr>
          <w:jc w:val="center"/>
        </w:trPr>
        <w:tc>
          <w:tcPr>
            <w:tcW w:w="4584" w:type="dxa"/>
          </w:tcPr>
          <w:p w14:paraId="133AC3D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080DFB">
        <w:tc>
          <w:tcPr>
            <w:tcW w:w="4584" w:type="dxa"/>
          </w:tcPr>
          <w:p w14:paraId="49A0A1F3"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080DFB">
        <w:tc>
          <w:tcPr>
            <w:tcW w:w="4584" w:type="dxa"/>
          </w:tcPr>
          <w:p w14:paraId="0498F65E"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080DFB">
        <w:tc>
          <w:tcPr>
            <w:tcW w:w="4584" w:type="dxa"/>
          </w:tcPr>
          <w:p w14:paraId="32EFA336"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9"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9"/>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0" w:name="_DV_M44"/>
      <w:bookmarkEnd w:id="20"/>
      <w:r w:rsidRPr="0018058F">
        <w:rPr>
          <w:rFonts w:ascii="Trebuchet MS" w:eastAsia="MS Mincho" w:hAnsi="Trebuchet MS" w:cs="Tahoma"/>
          <w:b/>
          <w:sz w:val="22"/>
          <w:szCs w:val="22"/>
        </w:rPr>
        <w:t>CLÁUSULA TERCEIRA</w:t>
      </w:r>
      <w:bookmarkStart w:id="21" w:name="_DV_M45"/>
      <w:bookmarkEnd w:id="21"/>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2" w:name="_DV_M46"/>
      <w:bookmarkEnd w:id="22"/>
      <w:r w:rsidRPr="0018058F">
        <w:rPr>
          <w:rFonts w:ascii="Trebuchet MS" w:hAnsi="Trebuchet MS" w:cs="Tahoma"/>
          <w:b/>
          <w:sz w:val="22"/>
          <w:szCs w:val="22"/>
        </w:rPr>
        <w:t>Número da Emissão</w:t>
      </w:r>
      <w:bookmarkStart w:id="23" w:name="_DV_M71"/>
      <w:bookmarkEnd w:id="23"/>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4"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4"/>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5"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5"/>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6" w:name="_DV_M58"/>
      <w:bookmarkStart w:id="27" w:name="_DV_M59"/>
      <w:bookmarkStart w:id="28" w:name="_Ref495596607"/>
      <w:bookmarkEnd w:id="26"/>
      <w:bookmarkEnd w:id="27"/>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8"/>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9" w:name="_DV_M47"/>
      <w:bookmarkStart w:id="30" w:name="_DV_M48"/>
      <w:bookmarkEnd w:id="29"/>
      <w:bookmarkEnd w:id="30"/>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1" w:name="_Ref422391421"/>
      <w:r w:rsidRPr="0018058F">
        <w:rPr>
          <w:rFonts w:ascii="Trebuchet MS" w:eastAsia="MS Mincho" w:hAnsi="Trebuchet MS" w:cs="Tahoma"/>
          <w:b/>
          <w:sz w:val="22"/>
          <w:szCs w:val="22"/>
        </w:rPr>
        <w:t>Destinação dos Recursos</w:t>
      </w:r>
      <w:bookmarkStart w:id="32" w:name="_DV_M61"/>
      <w:bookmarkStart w:id="33" w:name="_DV_M70"/>
      <w:bookmarkStart w:id="34" w:name="_Ref422391407"/>
      <w:bookmarkStart w:id="35" w:name="_Ref454963225"/>
      <w:bookmarkEnd w:id="31"/>
      <w:bookmarkEnd w:id="32"/>
      <w:bookmarkEnd w:id="33"/>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6"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6"/>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4"/>
    <w:bookmarkEnd w:id="35"/>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7"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8" w:name="_Ref495584033"/>
      <w:bookmarkEnd w:id="37"/>
    </w:p>
    <w:bookmarkEnd w:id="38"/>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9" w:name="_Ref465344335"/>
      <w:bookmarkStart w:id="40"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9"/>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40"/>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6D452EC1" w14:textId="74D7F85A"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 </w:t>
      </w:r>
    </w:p>
    <w:p w14:paraId="121F8A1E" w14:textId="77777777" w:rsidR="00B169F5" w:rsidRPr="00B169F5" w:rsidRDefault="00B169F5" w:rsidP="00B169F5">
      <w:pPr>
        <w:pStyle w:val="PargrafodaLista"/>
        <w:spacing w:line="300" w:lineRule="exact"/>
        <w:ind w:left="720" w:right="261"/>
        <w:jc w:val="both"/>
        <w:rPr>
          <w:rFonts w:ascii="Trebuchet MS" w:hAnsi="Trebuchet MS" w:cs="Tahoma"/>
          <w:sz w:val="22"/>
          <w:szCs w:val="22"/>
        </w:rPr>
      </w:pPr>
    </w:p>
    <w:p w14:paraId="5F0258DE" w14:textId="53C40EFF" w:rsidR="00B169F5" w:rsidRPr="00B169F5"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B169F5">
        <w:rPr>
          <w:rFonts w:ascii="Trebuchet MS" w:hAnsi="Trebuchet MS" w:cs="Tahoma"/>
          <w:sz w:val="22"/>
          <w:szCs w:val="22"/>
        </w:rPr>
        <w:t xml:space="preserve">os valores devidos à Provi ou a qualquer outra instituição que venha a substituí-la, na qualidade de agente de cobrança, equivalentes a </w:t>
      </w:r>
      <w:r w:rsidR="00BD4D9D" w:rsidRPr="00B169F5">
        <w:rPr>
          <w:rFonts w:ascii="Trebuchet MS" w:hAnsi="Trebuchet MS" w:cs="Tahoma"/>
          <w:sz w:val="22"/>
          <w:szCs w:val="22"/>
        </w:rPr>
        <w:t>2,5</w:t>
      </w:r>
      <w:r w:rsidR="00BD4D9D">
        <w:rPr>
          <w:rFonts w:ascii="Trebuchet MS" w:hAnsi="Trebuchet MS" w:cs="Tahoma"/>
          <w:sz w:val="22"/>
          <w:szCs w:val="22"/>
        </w:rPr>
        <w:t>0</w:t>
      </w:r>
      <w:r w:rsidR="00BD4D9D" w:rsidRPr="00B169F5">
        <w:rPr>
          <w:rFonts w:ascii="Trebuchet MS" w:hAnsi="Trebuchet MS" w:cs="Tahoma"/>
          <w:sz w:val="22"/>
          <w:szCs w:val="22"/>
        </w:rPr>
        <w:t xml:space="preserve">% (dois inteiros e </w:t>
      </w:r>
      <w:r w:rsidR="00BD4D9D">
        <w:rPr>
          <w:rFonts w:ascii="Trebuchet MS" w:hAnsi="Trebuchet MS" w:cs="Tahoma"/>
          <w:sz w:val="22"/>
          <w:szCs w:val="22"/>
        </w:rPr>
        <w:t>cinquenta centésimos</w:t>
      </w:r>
      <w:r w:rsidR="00BD4D9D" w:rsidRPr="00B169F5">
        <w:rPr>
          <w:rFonts w:ascii="Trebuchet MS" w:hAnsi="Trebuchet MS" w:cs="Tahoma"/>
          <w:sz w:val="22"/>
          <w:szCs w:val="22"/>
        </w:rPr>
        <w:t xml:space="preserve"> por cento)</w:t>
      </w:r>
      <w:r w:rsidRPr="00B169F5">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1" w:name="_Hlk510708344"/>
      <w:r w:rsidR="00C03A9A" w:rsidRPr="0018058F">
        <w:rPr>
          <w:rFonts w:ascii="Trebuchet MS" w:hAnsi="Trebuchet MS" w:cs="Tahoma"/>
          <w:bCs/>
          <w:sz w:val="22"/>
          <w:szCs w:val="22"/>
        </w:rPr>
        <w:t>Rua Cardeal Arcoverde, nº 2.365, 7º andar, Pinheiros, CEP 05407-003</w:t>
      </w:r>
      <w:bookmarkEnd w:id="41"/>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005B52B1"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005B52B1"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101C84A1" w:rsidR="003E77DC" w:rsidRPr="0018058F" w:rsidRDefault="005C0FBB" w:rsidP="005C0FBB">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32B91634" w:rsidR="00820C84"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58FAEC53" w:rsidR="00AC43B8" w:rsidRPr="0018058F"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2D4914D4" w:rsidR="00AC43B8" w:rsidRPr="0018058F" w:rsidRDefault="005C0FBB" w:rsidP="00A255AF">
      <w:pPr>
        <w:pStyle w:val="PargrafodaLista"/>
        <w:numPr>
          <w:ilvl w:val="0"/>
          <w:numId w:val="31"/>
        </w:numPr>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67B0D956" w:rsidR="005B52B1" w:rsidRPr="0018058F"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5B52B1"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2" w:name="_Ref517621787"/>
      <w:r w:rsidRPr="0018058F">
        <w:rPr>
          <w:rFonts w:ascii="Trebuchet MS" w:hAnsi="Trebuchet MS" w:cs="Tahoma"/>
          <w:b/>
          <w:sz w:val="22"/>
          <w:szCs w:val="22"/>
        </w:rPr>
        <w:t>Investimentos Permitidos</w:t>
      </w:r>
      <w:bookmarkStart w:id="43" w:name="_Ref422391435"/>
      <w:bookmarkEnd w:id="42"/>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w:t>
      </w:r>
      <w:r w:rsidRPr="0018058F">
        <w:rPr>
          <w:rFonts w:ascii="Trebuchet MS" w:hAnsi="Trebuchet MS" w:cs="Tahoma"/>
          <w:sz w:val="22"/>
          <w:szCs w:val="22"/>
        </w:rPr>
        <w:lastRenderedPageBreak/>
        <w:t>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4"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4"/>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5" w:name="_Ref449908823"/>
      <w:r w:rsidRPr="0018058F">
        <w:rPr>
          <w:rFonts w:ascii="Trebuchet MS" w:hAnsi="Trebuchet MS" w:cs="Tahoma"/>
          <w:sz w:val="22"/>
          <w:szCs w:val="22"/>
        </w:rPr>
        <w:t>demais títulos de emissão do Tesouro Nacional, com prazo de vencimento máximo de 1 (um) ano;</w:t>
      </w:r>
      <w:bookmarkEnd w:id="45"/>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6" w:name="_Ref450676472"/>
      <w:bookmarkEnd w:id="43"/>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7" w:name="_Ref495588998"/>
      <w:bookmarkEnd w:id="46"/>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7"/>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w:t>
      </w:r>
      <w:r w:rsidRPr="0018058F">
        <w:rPr>
          <w:rFonts w:ascii="Trebuchet MS" w:hAnsi="Trebuchet MS" w:cs="Tahoma"/>
          <w:sz w:val="22"/>
          <w:szCs w:val="22"/>
        </w:rPr>
        <w:lastRenderedPageBreak/>
        <w:t xml:space="preserve">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8" w:name="_DV_M49"/>
      <w:bookmarkStart w:id="49" w:name="_DV_M50"/>
      <w:bookmarkStart w:id="50" w:name="_DV_M57"/>
      <w:bookmarkStart w:id="51" w:name="_DV_M60"/>
      <w:bookmarkStart w:id="52" w:name="_Ref465195304"/>
      <w:bookmarkEnd w:id="48"/>
      <w:bookmarkEnd w:id="49"/>
      <w:bookmarkEnd w:id="50"/>
      <w:bookmarkEnd w:id="51"/>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2"/>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3"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3"/>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w:t>
      </w:r>
      <w:r w:rsidRPr="0018058F">
        <w:rPr>
          <w:rFonts w:ascii="Trebuchet MS" w:hAnsi="Trebuchet MS" w:cs="Tahoma"/>
          <w:sz w:val="22"/>
          <w:szCs w:val="22"/>
        </w:rPr>
        <w:lastRenderedPageBreak/>
        <w:t xml:space="preserve">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4"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4"/>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5" w:name="_DV_M95"/>
      <w:bookmarkEnd w:id="55"/>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56" w:name="_Hlk36821175"/>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bookmarkEnd w:id="56"/>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7" w:name="_Ref422391547"/>
      <w:bookmarkStart w:id="58" w:name="_Ref477878438"/>
      <w:bookmarkStart w:id="59" w:name="_Ref495596571"/>
      <w:bookmarkStart w:id="60" w:name="_Hlk16087803"/>
      <w:bookmarkStart w:id="61"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62" w:name="_Ref450673894"/>
      <w:bookmarkEnd w:id="57"/>
      <w:r w:rsidRPr="0018058F">
        <w:rPr>
          <w:rFonts w:ascii="Trebuchet MS" w:hAnsi="Trebuchet MS" w:cs="Tahoma"/>
          <w:sz w:val="22"/>
          <w:szCs w:val="22"/>
        </w:rPr>
        <w:t xml:space="preserve">, mediante solicitações de integralização a serem realizadas </w:t>
      </w:r>
      <w:r w:rsidRPr="0018058F">
        <w:rPr>
          <w:rFonts w:ascii="Trebuchet MS" w:hAnsi="Trebuchet MS" w:cs="Tahoma"/>
          <w:sz w:val="22"/>
          <w:szCs w:val="22"/>
        </w:rPr>
        <w:lastRenderedPageBreak/>
        <w:t>pela Emissora</w:t>
      </w:r>
      <w:bookmarkStart w:id="63" w:name="_Hlk11695634"/>
      <w:r w:rsidRPr="0018058F">
        <w:rPr>
          <w:rFonts w:ascii="Trebuchet MS" w:hAnsi="Trebuchet MS" w:cs="Tahoma"/>
          <w:sz w:val="22"/>
          <w:szCs w:val="22"/>
        </w:rPr>
        <w:t>.</w:t>
      </w:r>
      <w:bookmarkEnd w:id="58"/>
      <w:bookmarkEnd w:id="62"/>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3"/>
      <w:r w:rsidRPr="0018058F">
        <w:rPr>
          <w:rFonts w:ascii="Trebuchet MS" w:hAnsi="Trebuchet MS" w:cs="Tahoma"/>
          <w:sz w:val="22"/>
          <w:szCs w:val="22"/>
        </w:rPr>
        <w:t>a integralização das Debêntures da Primeira Série.</w:t>
      </w:r>
      <w:bookmarkEnd w:id="59"/>
      <w:r w:rsidRPr="0018058F">
        <w:rPr>
          <w:rFonts w:ascii="Trebuchet MS" w:hAnsi="Trebuchet MS" w:cs="Tahoma"/>
          <w:sz w:val="22"/>
          <w:szCs w:val="22"/>
        </w:rPr>
        <w:t xml:space="preserve"> </w:t>
      </w:r>
      <w:bookmarkEnd w:id="60"/>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4"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4"/>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3431B1A9" w:rsidR="005731AA"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5D8C735F" w14:textId="77777777" w:rsidR="006B4465" w:rsidRPr="00AA7600" w:rsidRDefault="006B4465" w:rsidP="00AA7600">
      <w:pPr>
        <w:pStyle w:val="PargrafodaLista"/>
        <w:rPr>
          <w:rFonts w:ascii="Trebuchet MS" w:eastAsia="Arial Unicode MS" w:hAnsi="Trebuchet MS" w:cs="Tahoma"/>
          <w:sz w:val="22"/>
          <w:szCs w:val="22"/>
        </w:rPr>
      </w:pPr>
    </w:p>
    <w:p w14:paraId="71798266" w14:textId="319F3D72" w:rsidR="006B4465" w:rsidRPr="00BD4D9D" w:rsidRDefault="006B4465" w:rsidP="00A255AF">
      <w:pPr>
        <w:pStyle w:val="PargrafodaLista"/>
        <w:numPr>
          <w:ilvl w:val="3"/>
          <w:numId w:val="3"/>
        </w:numPr>
        <w:spacing w:line="300" w:lineRule="exact"/>
        <w:ind w:right="261"/>
        <w:jc w:val="both"/>
        <w:rPr>
          <w:rFonts w:ascii="Trebuchet MS" w:eastAsia="Arial Unicode MS" w:hAnsi="Trebuchet MS" w:cs="Tahoma"/>
          <w:sz w:val="22"/>
          <w:szCs w:val="22"/>
        </w:rPr>
      </w:pPr>
      <w:bookmarkStart w:id="65" w:name="_Hlk36821205"/>
      <w:r w:rsidRPr="00BD4D9D">
        <w:rPr>
          <w:rFonts w:ascii="Trebuchet MS" w:eastAsia="Arial Unicode MS" w:hAnsi="Trebuchet MS" w:cs="Tahoma"/>
          <w:sz w:val="22"/>
          <w:szCs w:val="22"/>
        </w:rPr>
        <w:t xml:space="preserve">A Provi poderá realizar a integralização de Debêntures por meio de </w:t>
      </w:r>
      <w:proofErr w:type="spellStart"/>
      <w:r w:rsidRPr="00BD4D9D">
        <w:rPr>
          <w:rFonts w:ascii="Trebuchet MS" w:eastAsia="Arial Unicode MS" w:hAnsi="Trebuchet MS" w:cs="Tahoma"/>
          <w:sz w:val="22"/>
          <w:szCs w:val="22"/>
        </w:rPr>
        <w:t>CCBs</w:t>
      </w:r>
      <w:proofErr w:type="spellEnd"/>
      <w:r w:rsidRPr="00BD4D9D">
        <w:rPr>
          <w:rFonts w:ascii="Trebuchet MS" w:eastAsia="Arial Unicode MS" w:hAnsi="Trebuchet MS" w:cs="Tahoma"/>
          <w:sz w:val="22"/>
          <w:szCs w:val="22"/>
        </w:rPr>
        <w:t>, desde que observados os Critérios de Exigibilidade.</w:t>
      </w:r>
    </w:p>
    <w:bookmarkEnd w:id="65"/>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61"/>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6" w:name="_Ref422946329"/>
      <w:bookmarkStart w:id="67"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8"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lastRenderedPageBreak/>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8"/>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9" w:name="_Ref497551838"/>
      <w:bookmarkStart w:id="70" w:name="_Ref476845774"/>
      <w:bookmarkStart w:id="71"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9"/>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7A52D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7436249"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lastRenderedPageBreak/>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7A52D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7436250"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7A52D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7436251"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70"/>
    <w:bookmarkEnd w:id="71"/>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2"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w:t>
      </w:r>
      <w:r w:rsidRPr="009D6E8F">
        <w:rPr>
          <w:rFonts w:ascii="Trebuchet MS" w:hAnsi="Trebuchet MS" w:cs="Tahoma"/>
          <w:sz w:val="22"/>
          <w:szCs w:val="22"/>
        </w:rPr>
        <w:lastRenderedPageBreak/>
        <w:t>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72"/>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3"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3"/>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4"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4"/>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6"/>
      <w:r w:rsidRPr="0018058F">
        <w:rPr>
          <w:rFonts w:ascii="Trebuchet MS" w:hAnsi="Trebuchet MS" w:cs="Tahoma"/>
          <w:b/>
          <w:sz w:val="22"/>
          <w:szCs w:val="22"/>
        </w:rPr>
        <w:t xml:space="preserve"> Obrigatória</w:t>
      </w:r>
      <w:bookmarkEnd w:id="67"/>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5"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6"/>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5"/>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7"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w:t>
      </w:r>
      <w:r w:rsidR="00342913">
        <w:rPr>
          <w:rFonts w:ascii="Trebuchet MS" w:hAnsi="Trebuchet MS" w:cs="Tahoma"/>
          <w:sz w:val="22"/>
          <w:szCs w:val="22"/>
        </w:rPr>
        <w:lastRenderedPageBreak/>
        <w:t xml:space="preserve">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7"/>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8"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8"/>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9" w:name="_Ref479690860"/>
      <w:bookmarkStart w:id="80"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9"/>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81" w:name="_Ref497581146"/>
      <w:bookmarkEnd w:id="80"/>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81"/>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82" w:name="_Ref517600953"/>
      <w:r w:rsidRPr="009544BD">
        <w:rPr>
          <w:rFonts w:ascii="Trebuchet MS" w:hAnsi="Trebuchet MS" w:cs="Tahoma"/>
          <w:b/>
          <w:sz w:val="22"/>
          <w:szCs w:val="22"/>
        </w:rPr>
        <w:t xml:space="preserve">Prêmio </w:t>
      </w:r>
      <w:bookmarkStart w:id="83" w:name="_Ref517600371"/>
      <w:bookmarkEnd w:id="82"/>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3"/>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4" w:name="_DV_M139"/>
      <w:bookmarkStart w:id="85" w:name="_DV_M141"/>
      <w:bookmarkEnd w:id="84"/>
      <w:bookmarkEnd w:id="85"/>
      <w:r w:rsidRPr="00F81133">
        <w:rPr>
          <w:rFonts w:ascii="Trebuchet MS" w:hAnsi="Trebuchet MS" w:cs="Tahoma"/>
          <w:b/>
          <w:sz w:val="22"/>
          <w:szCs w:val="22"/>
        </w:rPr>
        <w:t>Pagamento Condicionado, Ordem de Alocação dos Recursos e Subordinação das Debêntures da Segunda Série</w:t>
      </w:r>
      <w:bookmarkStart w:id="86" w:name="_Ref474448575"/>
      <w:bookmarkStart w:id="87" w:name="_Ref476852704"/>
      <w:bookmarkStart w:id="88"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lastRenderedPageBreak/>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6"/>
      <w:bookmarkEnd w:id="87"/>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8"/>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9" w:name="_Ref475542670"/>
      <w:bookmarkStart w:id="90" w:name="_Ref478044661"/>
      <w:bookmarkStart w:id="91"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9"/>
      <w:bookmarkEnd w:id="90"/>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91"/>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92" w:name="_DV_M197"/>
      <w:bookmarkStart w:id="93" w:name="_Ref475679731"/>
      <w:bookmarkEnd w:id="92"/>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de encargos moratórios referentes às Debêntures da Segunda Série, caso aplicáveis, incluindo, sem limitação, eventuais valores devidos em </w:t>
      </w:r>
      <w:r w:rsidRPr="00B2345B">
        <w:rPr>
          <w:rFonts w:ascii="Trebuchet MS" w:hAnsi="Trebuchet MS" w:cs="Tahoma"/>
          <w:lang w:val="pt-BR"/>
        </w:rPr>
        <w:lastRenderedPageBreak/>
        <w:t>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3"/>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4"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5" w:name="_Ref498986511"/>
      <w:bookmarkStart w:id="96" w:name="_Ref495593593"/>
      <w:bookmarkEnd w:id="94"/>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7" w:name="art1365p"/>
      <w:bookmarkEnd w:id="95"/>
      <w:bookmarkEnd w:id="96"/>
      <w:bookmarkEnd w:id="97"/>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7551749"/>
      <w:bookmarkStart w:id="99"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w:t>
      </w:r>
      <w:r w:rsidRPr="0018058F">
        <w:rPr>
          <w:rFonts w:ascii="Trebuchet MS" w:hAnsi="Trebuchet MS" w:cs="Tahoma"/>
          <w:sz w:val="22"/>
          <w:szCs w:val="22"/>
        </w:rPr>
        <w:lastRenderedPageBreak/>
        <w:t>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00"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00"/>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8"/>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9"/>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01" w:name="_Ref495594053"/>
      <w:r w:rsidR="006558A7" w:rsidRPr="00E457A0">
        <w:rPr>
          <w:rFonts w:ascii="Trebuchet MS" w:hAnsi="Trebuchet MS" w:cs="Tahoma"/>
          <w:sz w:val="22"/>
          <w:szCs w:val="22"/>
        </w:rPr>
        <w:t xml:space="preserve"> e o Agente Fiduciário assim decidam, não restando qualquer relação entre </w:t>
      </w:r>
      <w:bookmarkEnd w:id="101"/>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2" w:name="_Ref495594341"/>
      <w:bookmarkStart w:id="103"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 xml:space="preserve">s do artigo 1.314 e seguintes, da Lei nº 10.406, de 10 de janeiro de 2002, conforme </w:t>
      </w:r>
      <w:r w:rsidR="006402FB" w:rsidRPr="0018058F">
        <w:rPr>
          <w:rFonts w:ascii="Trebuchet MS" w:hAnsi="Trebuchet MS" w:cs="Tahoma"/>
          <w:sz w:val="22"/>
          <w:szCs w:val="22"/>
        </w:rPr>
        <w:lastRenderedPageBreak/>
        <w:t>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02"/>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3"/>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Local e Forma de Pagamento</w:t>
      </w:r>
      <w:bookmarkStart w:id="104" w:name="_DV_M211"/>
      <w:bookmarkEnd w:id="104"/>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DV_M212"/>
      <w:bookmarkEnd w:id="105"/>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6" w:name="_Ref495596651"/>
      <w:r w:rsidRPr="0018058F">
        <w:rPr>
          <w:rFonts w:ascii="Trebuchet MS" w:eastAsia="MS Mincho" w:hAnsi="Trebuchet MS" w:cs="Tahoma"/>
          <w:b/>
          <w:sz w:val="22"/>
          <w:szCs w:val="22"/>
        </w:rPr>
        <w:t>Encargos Moratórios</w:t>
      </w:r>
      <w:bookmarkEnd w:id="106"/>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7" w:name="_Ref481525172"/>
      <w:r w:rsidRPr="0018058F">
        <w:rPr>
          <w:rFonts w:ascii="Trebuchet MS" w:eastAsia="MS Mincho" w:hAnsi="Trebuchet MS" w:cs="Tahoma"/>
          <w:b/>
          <w:sz w:val="22"/>
          <w:szCs w:val="22"/>
        </w:rPr>
        <w:t>Garantia</w:t>
      </w:r>
      <w:bookmarkEnd w:id="107"/>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8" w:name="_Ref422391862"/>
      <w:bookmarkStart w:id="109" w:name="_Ref491979942"/>
      <w:bookmarkStart w:id="110" w:name="_Ref497553343"/>
      <w:r w:rsidRPr="00A255AF">
        <w:rPr>
          <w:rFonts w:ascii="Trebuchet MS" w:eastAsia="MS Mincho" w:hAnsi="Trebuchet MS" w:cs="Tahoma"/>
          <w:b/>
          <w:sz w:val="22"/>
          <w:szCs w:val="22"/>
        </w:rPr>
        <w:t>Eventos de Inadimplemento</w:t>
      </w:r>
      <w:bookmarkEnd w:id="108"/>
      <w:bookmarkEnd w:id="109"/>
      <w:bookmarkEnd w:id="110"/>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11" w:name="_DV_M147"/>
      <w:bookmarkStart w:id="112" w:name="_Ref422391983"/>
      <w:bookmarkEnd w:id="111"/>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w:t>
      </w:r>
      <w:r w:rsidR="009B3DF4" w:rsidRPr="009B3DF4">
        <w:rPr>
          <w:rFonts w:ascii="Trebuchet MS" w:hAnsi="Trebuchet MS" w:cs="Tahoma"/>
          <w:sz w:val="22"/>
          <w:szCs w:val="22"/>
        </w:rPr>
        <w:lastRenderedPageBreak/>
        <w:t xml:space="preserve">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12"/>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3"/>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4"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4"/>
    </w:p>
    <w:p w14:paraId="32718A6D" w14:textId="77777777" w:rsidR="00A255AF" w:rsidRPr="0075275C" w:rsidRDefault="00A255AF" w:rsidP="0075275C">
      <w:pPr>
        <w:rPr>
          <w:rFonts w:ascii="Trebuchet MS" w:hAnsi="Trebuchet MS" w:cs="Tahoma"/>
        </w:rPr>
      </w:pPr>
      <w:bookmarkStart w:id="115"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5"/>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6"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6"/>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lastRenderedPageBreak/>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DV_M280"/>
      <w:bookmarkStart w:id="118" w:name="_DV_M287"/>
      <w:bookmarkStart w:id="119" w:name="_Ref436843003"/>
      <w:bookmarkEnd w:id="117"/>
      <w:bookmarkEnd w:id="118"/>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9"/>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20"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20"/>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 xml:space="preserve">mediante </w:t>
      </w:r>
      <w:r w:rsidRPr="0018058F">
        <w:rPr>
          <w:rStyle w:val="DeltaViewInsertion"/>
          <w:rFonts w:ascii="Trebuchet MS" w:hAnsi="Trebuchet MS" w:cs="Tahoma"/>
          <w:color w:val="auto"/>
          <w:sz w:val="22"/>
          <w:szCs w:val="22"/>
          <w:u w:val="none"/>
        </w:rPr>
        <w:lastRenderedPageBreak/>
        <w:t>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21" w:name="_DV_M189"/>
      <w:bookmarkStart w:id="122" w:name="_DV_M200"/>
      <w:bookmarkEnd w:id="121"/>
      <w:bookmarkEnd w:id="122"/>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3"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4" w:name="_Hlk19215959"/>
      <w:r w:rsidRPr="0018058F">
        <w:rPr>
          <w:rFonts w:ascii="Trebuchet MS" w:hAnsi="Trebuchet MS" w:cs="Tahoma"/>
        </w:rPr>
        <w:lastRenderedPageBreak/>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4"/>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7A52DE"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5"/>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6"/>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7" w:name="_Ref422392038"/>
      <w:bookmarkStart w:id="128" w:name="_Ref498562154"/>
      <w:r w:rsidRPr="006E55E0">
        <w:rPr>
          <w:rFonts w:ascii="Trebuchet MS" w:hAnsi="Trebuchet MS" w:cs="Tahoma"/>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127"/>
      <w:r w:rsidRPr="006E55E0">
        <w:rPr>
          <w:rFonts w:ascii="Trebuchet MS" w:hAnsi="Trebuchet MS" w:cs="Tahoma"/>
        </w:rPr>
        <w:t>;</w:t>
      </w:r>
      <w:bookmarkEnd w:id="128"/>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9"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9"/>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 xml:space="preserve">Vencimento Antecipado </w:t>
      </w:r>
      <w:r w:rsidR="0060262A">
        <w:rPr>
          <w:rFonts w:ascii="Trebuchet MS" w:hAnsi="Trebuchet MS" w:cs="Tahoma"/>
          <w:sz w:val="22"/>
          <w:szCs w:val="22"/>
        </w:rPr>
        <w:lastRenderedPageBreak/>
        <w:t>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3"/>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30"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30"/>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31"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31"/>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lastRenderedPageBreak/>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32" w:name="_DV_M299"/>
      <w:bookmarkStart w:id="133" w:name="_DV_M300"/>
      <w:bookmarkStart w:id="134" w:name="_DV_M301"/>
      <w:bookmarkStart w:id="135" w:name="_DV_M303"/>
      <w:bookmarkStart w:id="136" w:name="_DV_M304"/>
      <w:bookmarkStart w:id="137" w:name="_DV_M305"/>
      <w:bookmarkStart w:id="138" w:name="_DV_M306"/>
      <w:bookmarkStart w:id="139" w:name="_DV_M307"/>
      <w:bookmarkStart w:id="140" w:name="_DV_M308"/>
      <w:bookmarkStart w:id="141" w:name="_DV_M309"/>
      <w:bookmarkStart w:id="142" w:name="_DV_M310"/>
      <w:bookmarkStart w:id="143" w:name="_DV_M313"/>
      <w:bookmarkStart w:id="144" w:name="_DV_M314"/>
      <w:bookmarkStart w:id="145" w:name="_DV_M214"/>
      <w:bookmarkStart w:id="146" w:name="_DV_M31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7"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7"/>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lastRenderedPageBreak/>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8" w:name="_Ref497554208"/>
      <w:bookmarkStart w:id="149" w:name="_Ref422392340"/>
      <w:r w:rsidRPr="0018058F">
        <w:rPr>
          <w:rFonts w:ascii="Trebuchet MS" w:hAnsi="Trebuchet MS" w:cs="Tahoma"/>
          <w:sz w:val="22"/>
          <w:szCs w:val="22"/>
        </w:rPr>
        <w:t xml:space="preserve">As deliberações relativas </w:t>
      </w:r>
      <w:bookmarkStart w:id="150" w:name="_DV_C599"/>
      <w:r w:rsidRPr="0018058F">
        <w:rPr>
          <w:rStyle w:val="DeltaViewDeletion"/>
          <w:rFonts w:ascii="Trebuchet MS" w:hAnsi="Trebuchet MS"/>
          <w:strike w:val="0"/>
          <w:color w:val="000000"/>
          <w:sz w:val="22"/>
          <w:szCs w:val="22"/>
        </w:rPr>
        <w:t xml:space="preserve">às seguintes </w:t>
      </w:r>
      <w:bookmarkStart w:id="151" w:name="_DV_M533"/>
      <w:bookmarkEnd w:id="150"/>
      <w:bookmarkEnd w:id="151"/>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8"/>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52" w:name="_DV_C605"/>
      <w:bookmarkStart w:id="153" w:name="_DV_X601"/>
      <w:r w:rsidRPr="0018058F">
        <w:rPr>
          <w:rStyle w:val="DeltaViewMoveSource"/>
          <w:rFonts w:ascii="Trebuchet MS" w:hAnsi="Trebuchet MS" w:cs="Tahoma"/>
          <w:strike w:val="0"/>
          <w:color w:val="000000"/>
        </w:rPr>
        <w:t>modificação da Data de Vencimento das Debêntures</w:t>
      </w:r>
      <w:bookmarkStart w:id="154" w:name="_DV_C606"/>
      <w:bookmarkEnd w:id="152"/>
      <w:bookmarkEnd w:id="153"/>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4"/>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5"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5"/>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6"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9"/>
      <w:bookmarkEnd w:id="156"/>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7"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7"/>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58" w:name="_Hlk32571528"/>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9" w:name="_DV_M298"/>
      <w:bookmarkStart w:id="160" w:name="_DV_M203"/>
      <w:bookmarkStart w:id="161" w:name="_DV_M209"/>
      <w:bookmarkStart w:id="162" w:name="_DV_M216"/>
      <w:bookmarkStart w:id="163" w:name="_DV_M217"/>
      <w:bookmarkStart w:id="164" w:name="_DV_M218"/>
      <w:bookmarkStart w:id="165" w:name="_DV_M220"/>
      <w:bookmarkStart w:id="166" w:name="_Ref497571040"/>
      <w:bookmarkStart w:id="167" w:name="_Ref497578042"/>
      <w:bookmarkEnd w:id="159"/>
      <w:bookmarkEnd w:id="160"/>
      <w:bookmarkEnd w:id="161"/>
      <w:bookmarkEnd w:id="162"/>
      <w:bookmarkEnd w:id="163"/>
      <w:bookmarkEnd w:id="164"/>
      <w:bookmarkEnd w:id="165"/>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8"/>
      <w:r w:rsidRPr="0018058F">
        <w:rPr>
          <w:rFonts w:ascii="Trebuchet MS" w:eastAsia="MS Mincho" w:hAnsi="Trebuchet MS" w:cs="Tahoma"/>
          <w:sz w:val="22"/>
          <w:szCs w:val="22"/>
        </w:rPr>
        <w:t>(inclusive):</w:t>
      </w:r>
      <w:bookmarkEnd w:id="166"/>
      <w:bookmarkEnd w:id="167"/>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143946">
        <w:rPr>
          <w:rFonts w:ascii="Trebuchet MS" w:hAnsi="Trebuchet MS" w:cs="Tahoma"/>
        </w:rPr>
        <w:lastRenderedPageBreak/>
        <w:t xml:space="preserve">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29C66870" w:rsidR="004B0731" w:rsidRPr="004B0731" w:rsidRDefault="00AE39D0"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8" w:name="_Hlk32571515"/>
      <w:r w:rsidRPr="00AE39D0">
        <w:rPr>
          <w:rFonts w:ascii="Trebuchet MS" w:hAnsi="Trebuchet MS" w:cs="Tahoma"/>
          <w:lang w:eastAsia="pt-BR"/>
        </w:rPr>
        <w:t>manter contratada como auditor da Emissora, preferencialmente, mas não se limitando, à empresa Grant Thornton Auditores Independentes, para emissão de suas demonstrações financeiras anuais (“</w:t>
      </w:r>
      <w:r w:rsidRPr="00AE39D0">
        <w:rPr>
          <w:rFonts w:ascii="Trebuchet MS" w:hAnsi="Trebuchet MS" w:cs="Tahoma"/>
          <w:u w:val="single"/>
          <w:lang w:eastAsia="pt-BR"/>
        </w:rPr>
        <w:t>Grant Thornton</w:t>
      </w:r>
      <w:r w:rsidRPr="00AE39D0">
        <w:rPr>
          <w:rFonts w:ascii="Trebuchet MS" w:hAnsi="Trebuchet MS" w:cs="Tahoma"/>
          <w:lang w:eastAsia="pt-BR"/>
        </w:rPr>
        <w:t>”)</w:t>
      </w:r>
      <w:r w:rsidR="004B0731">
        <w:rPr>
          <w:rFonts w:ascii="Trebuchet MS" w:hAnsi="Trebuchet MS" w:cs="Tahoma"/>
          <w:lang w:eastAsia="pt-BR"/>
        </w:rPr>
        <w:t>;</w:t>
      </w:r>
      <w:bookmarkEnd w:id="168"/>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DV_M270"/>
      <w:bookmarkStart w:id="170" w:name="_Ref168844079"/>
      <w:bookmarkEnd w:id="169"/>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70"/>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1"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71"/>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lastRenderedPageBreak/>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proofErr w:type="spellStart"/>
      <w:r w:rsidR="00143946">
        <w:rPr>
          <w:rFonts w:ascii="Trebuchet MS" w:hAnsi="Trebuchet MS" w:cs="Tahoma"/>
          <w:sz w:val="22"/>
          <w:szCs w:val="22"/>
        </w:rPr>
        <w:t>viii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2" w:name="_Toc499990371"/>
    </w:p>
    <w:p w14:paraId="7F35E659" w14:textId="77777777" w:rsidR="00250110" w:rsidRDefault="00250110" w:rsidP="00250110"/>
    <w:bookmarkEnd w:id="172"/>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3"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3"/>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de “relatório de horas” à Emissora. Entende-</w:t>
      </w:r>
      <w:r w:rsidRPr="0018058F">
        <w:rPr>
          <w:rFonts w:ascii="Trebuchet MS" w:hAnsi="Trebuchet MS" w:cs="Tahoma"/>
          <w:sz w:val="22"/>
          <w:szCs w:val="22"/>
        </w:rPr>
        <w:lastRenderedPageBreak/>
        <w:t xml:space="preserv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 xml:space="preserve">A Emissora ressarcirá o Agente Fiduciário de todas as despesas razoáveis e usuais que tenha, comprovadamente, incorrido para proteger os direitos e interesses dos Debenturistas ou para realizar seus créditos, mediante pagamento das respectivas faturas acompanhadas de </w:t>
      </w:r>
      <w:r w:rsidRPr="0018058F">
        <w:rPr>
          <w:rFonts w:ascii="Trebuchet MS" w:hAnsi="Trebuchet MS" w:cs="Tahoma"/>
        </w:rPr>
        <w:lastRenderedPageBreak/>
        <w:t>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4"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4"/>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5" w:name="_Ref436688380"/>
      <w:bookmarkStart w:id="176"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5"/>
      <w:bookmarkEnd w:id="176"/>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lastRenderedPageBreak/>
        <w:t xml:space="preserve">verificar a regularidade da constituição da Garantia, bem como o valor das </w:t>
      </w:r>
      <w:proofErr w:type="spellStart"/>
      <w:r>
        <w:rPr>
          <w:rFonts w:ascii="Trebuchet MS" w:hAnsi="Trebuchet MS" w:cs="Tahoma"/>
          <w:sz w:val="22"/>
          <w:szCs w:val="22"/>
        </w:rPr>
        <w:t>CCBs</w:t>
      </w:r>
      <w:proofErr w:type="spellEnd"/>
      <w:r>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7"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7"/>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8"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8"/>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9" w:name="_Ref436983621"/>
      <w:r w:rsidRPr="0018058F">
        <w:rPr>
          <w:rFonts w:ascii="Trebuchet MS" w:hAnsi="Trebuchet MS" w:cs="Tahoma"/>
          <w:sz w:val="22"/>
          <w:szCs w:val="22"/>
        </w:rPr>
        <w:t xml:space="preserve">disponibilizar o relatório de que trata </w:t>
      </w:r>
      <w:bookmarkStart w:id="180" w:name="_DV_M311"/>
      <w:bookmarkStart w:id="181" w:name="_DV_M312"/>
      <w:bookmarkEnd w:id="180"/>
      <w:bookmarkEnd w:id="181"/>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9"/>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w:t>
      </w:r>
      <w:r w:rsidRPr="0018058F">
        <w:rPr>
          <w:rFonts w:ascii="Trebuchet MS" w:hAnsi="Trebuchet MS" w:cs="Tahoma"/>
          <w:sz w:val="22"/>
          <w:szCs w:val="22"/>
        </w:rPr>
        <w:lastRenderedPageBreak/>
        <w:t xml:space="preserve">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2"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2"/>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3"/>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4" w:name="_Ref477873650"/>
      <w:r w:rsidRPr="0018058F">
        <w:rPr>
          <w:rFonts w:ascii="Trebuchet MS" w:hAnsi="Trebuchet MS" w:cs="Tahoma"/>
          <w:sz w:val="22"/>
          <w:szCs w:val="22"/>
        </w:rPr>
        <w:t>tomar qualquer providência necessária para a realização dos créditos dos Debenturistas; e</w:t>
      </w:r>
      <w:bookmarkEnd w:id="184"/>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5" w:name="_Ref477873762"/>
      <w:r w:rsidRPr="0018058F">
        <w:rPr>
          <w:rFonts w:ascii="Trebuchet MS" w:hAnsi="Trebuchet MS" w:cs="Tahoma"/>
          <w:sz w:val="22"/>
          <w:szCs w:val="22"/>
        </w:rPr>
        <w:lastRenderedPageBreak/>
        <w:t>representar os Debenturistas em processo de falência, recuperação judicial e/ou recuperação extrajudicial, bem como intervenção ou liquidação extrajudicial da Emissora.</w:t>
      </w:r>
      <w:bookmarkEnd w:id="185"/>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6"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6"/>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7" w:name="_DV_X471"/>
      <w:bookmarkStart w:id="188"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9" w:name="_DV_C423"/>
      <w:bookmarkEnd w:id="187"/>
      <w:bookmarkEnd w:id="188"/>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90" w:name="_DV_X465"/>
      <w:bookmarkStart w:id="191" w:name="_DV_C425"/>
      <w:bookmarkEnd w:id="189"/>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2" w:name="_DV_C426"/>
      <w:bookmarkEnd w:id="190"/>
      <w:bookmarkEnd w:id="191"/>
      <w:r w:rsidRPr="0018058F">
        <w:rPr>
          <w:rFonts w:ascii="Trebuchet MS" w:hAnsi="Trebuchet MS" w:cs="Tahoma"/>
          <w:sz w:val="22"/>
          <w:szCs w:val="22"/>
        </w:rPr>
        <w:t>, vinculativa e eficaz</w:t>
      </w:r>
      <w:bookmarkStart w:id="193" w:name="_DV_X467"/>
      <w:bookmarkStart w:id="194" w:name="_DV_C427"/>
      <w:bookmarkEnd w:id="192"/>
      <w:r w:rsidRPr="0018058F">
        <w:rPr>
          <w:rFonts w:ascii="Trebuchet MS" w:hAnsi="Trebuchet MS" w:cs="Tahoma"/>
          <w:sz w:val="22"/>
          <w:szCs w:val="22"/>
        </w:rPr>
        <w:t xml:space="preserve"> do Agente Fiduciário, exequível de acordo com os seus termos e condições;</w:t>
      </w:r>
      <w:bookmarkEnd w:id="193"/>
      <w:bookmarkEnd w:id="194"/>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5" w:name="_Hlk15927450"/>
      <w:r>
        <w:rPr>
          <w:rFonts w:ascii="Trebuchet MS" w:hAnsi="Trebuchet MS" w:cs="Tahoma"/>
          <w:b/>
          <w:bCs/>
          <w:sz w:val="22"/>
          <w:szCs w:val="22"/>
        </w:rPr>
        <w:t>EVENTOS ADVERSOS A QUE A EMISSORA E OS DEBENTURISTAS ESTÃO SUJEITOS</w:t>
      </w:r>
    </w:p>
    <w:bookmarkEnd w:id="195"/>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 xml:space="preserve">ao fato de que um risco, incerteza ou problema poderá causar ou ter ou causará ou terá “efeito adverso” ou “efeito negativo” para a Emissora, ou expressões similares, significa que tal incerteza ou problema poderá ou poderia causar efeito adverso relevante nos negócios, </w:t>
      </w:r>
      <w:r w:rsidR="00D16011" w:rsidRPr="00D16011">
        <w:rPr>
          <w:rFonts w:ascii="Trebuchet MS" w:hAnsi="Trebuchet MS" w:cs="Tahoma"/>
          <w:sz w:val="22"/>
          <w:szCs w:val="22"/>
        </w:rPr>
        <w:lastRenderedPageBreak/>
        <w:t>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6" w:name="_Hlk15637713"/>
      <w:r w:rsidRPr="00D16011">
        <w:rPr>
          <w:rFonts w:ascii="Trebuchet MS" w:hAnsi="Trebuchet MS" w:cs="Tahoma"/>
          <w:sz w:val="22"/>
          <w:szCs w:val="22"/>
        </w:rPr>
        <w:t>Emissora</w:t>
      </w:r>
      <w:bookmarkEnd w:id="196"/>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w:t>
      </w:r>
      <w:r w:rsidR="00D16011" w:rsidRPr="00D16011">
        <w:rPr>
          <w:rFonts w:ascii="Trebuchet MS" w:hAnsi="Trebuchet MS" w:cs="Tahoma"/>
          <w:sz w:val="22"/>
          <w:szCs w:val="22"/>
        </w:rPr>
        <w:lastRenderedPageBreak/>
        <w:t xml:space="preserve">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lastRenderedPageBreak/>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w:t>
      </w:r>
      <w:r w:rsidRPr="00D16011">
        <w:rPr>
          <w:rFonts w:ascii="Trebuchet MS" w:hAnsi="Trebuchet MS" w:cs="Tahoma"/>
          <w:sz w:val="22"/>
          <w:szCs w:val="22"/>
        </w:rPr>
        <w:lastRenderedPageBreak/>
        <w:t xml:space="preserve">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w:t>
      </w:r>
      <w:r w:rsidRPr="00D16011">
        <w:rPr>
          <w:rFonts w:ascii="Trebuchet MS" w:hAnsi="Trebuchet MS" w:cs="Tahoma"/>
          <w:sz w:val="22"/>
          <w:szCs w:val="22"/>
        </w:rPr>
        <w:lastRenderedPageBreak/>
        <w:t>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7" w:name="_DV_M201"/>
      <w:bookmarkStart w:id="198" w:name="_DV_M419"/>
      <w:bookmarkStart w:id="199" w:name="_DV_M327"/>
      <w:bookmarkStart w:id="200" w:name="_DV_M328"/>
      <w:bookmarkStart w:id="201" w:name="_DV_M329"/>
      <w:bookmarkStart w:id="202" w:name="_DV_M330"/>
      <w:bookmarkStart w:id="203" w:name="_DV_M331"/>
      <w:bookmarkStart w:id="204" w:name="_DV_M332"/>
      <w:bookmarkEnd w:id="197"/>
      <w:bookmarkEnd w:id="198"/>
      <w:bookmarkEnd w:id="199"/>
      <w:bookmarkEnd w:id="200"/>
      <w:bookmarkEnd w:id="201"/>
      <w:bookmarkEnd w:id="202"/>
      <w:bookmarkEnd w:id="203"/>
      <w:bookmarkEnd w:id="204"/>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xml:space="preserve">. Os Debenturistas poderão </w:t>
      </w:r>
      <w:r w:rsidRPr="00EA5789">
        <w:rPr>
          <w:rFonts w:ascii="Trebuchet MS" w:hAnsi="Trebuchet MS" w:cs="Tahoma"/>
        </w:rPr>
        <w:lastRenderedPageBreak/>
        <w:t>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05" w:name="_DV_M436"/>
      <w:bookmarkEnd w:id="205"/>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06" w:name="_DV_M416"/>
      <w:bookmarkEnd w:id="206"/>
      <w:bookmarkEnd w:id="0"/>
    </w:p>
    <w:sectPr w:rsidR="005731AA" w:rsidRPr="0018058F" w:rsidSect="00AA7600">
      <w:headerReference w:type="default" r:id="rId16"/>
      <w:footerReference w:type="default" r:id="rId17"/>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AA7600" w:rsidRDefault="00AA7600">
      <w:r>
        <w:separator/>
      </w:r>
    </w:p>
  </w:endnote>
  <w:endnote w:type="continuationSeparator" w:id="0">
    <w:p w14:paraId="2DB05648" w14:textId="77777777" w:rsidR="00AA7600" w:rsidRDefault="00AA7600">
      <w:r>
        <w:continuationSeparator/>
      </w:r>
    </w:p>
  </w:endnote>
  <w:endnote w:type="continuationNotice" w:id="1">
    <w:p w14:paraId="2D76EA9D" w14:textId="77777777" w:rsidR="00AA7600" w:rsidRDefault="00AA7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3670" w14:textId="5807B3D1" w:rsidR="00AA7600" w:rsidRDefault="00AA7600"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0C961A3E" w:rsidR="00AA7600" w:rsidRPr="006B4465" w:rsidRDefault="00AA7600">
    <w:pPr>
      <w:pStyle w:val="Rodap"/>
      <w:jc w:val="right"/>
      <w:rPr>
        <w:rFonts w:ascii="Trebuchet MS" w:hAnsi="Trebuchet MS"/>
        <w:sz w:val="16"/>
      </w:rPr>
    </w:pPr>
    <w:r>
      <w:rPr>
        <w:rFonts w:ascii="Trebuchet MS" w:hAnsi="Trebuchet MS"/>
        <w:sz w:val="16"/>
      </w:rPr>
      <w:t xml:space="preserve">Veirano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AA7600" w:rsidRDefault="00AA7600">
      <w:r>
        <w:separator/>
      </w:r>
    </w:p>
  </w:footnote>
  <w:footnote w:type="continuationSeparator" w:id="0">
    <w:p w14:paraId="79656DC8" w14:textId="77777777" w:rsidR="00AA7600" w:rsidRDefault="00AA7600">
      <w:r>
        <w:continuationSeparator/>
      </w:r>
    </w:p>
  </w:footnote>
  <w:footnote w:type="continuationNotice" w:id="1">
    <w:p w14:paraId="610B875A" w14:textId="77777777" w:rsidR="00AA7600" w:rsidRDefault="00AA7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8EC" w14:textId="5032E319" w:rsidR="00AA7600" w:rsidRPr="00B169F5" w:rsidRDefault="00AA7600" w:rsidP="00B169F5">
    <w:pPr>
      <w:pStyle w:val="Cabealho"/>
      <w:jc w:val="right"/>
      <w:rPr>
        <w:rFonts w:ascii="Trebuchet MS" w:hAnsi="Trebuchet MS"/>
        <w:b/>
        <w:bCs/>
        <w:sz w:val="22"/>
        <w:szCs w:val="22"/>
      </w:rPr>
    </w:pPr>
    <w:r w:rsidRPr="00B169F5">
      <w:rPr>
        <w:rFonts w:ascii="Trebuchet MS" w:hAnsi="Trebuchet MS"/>
        <w:b/>
        <w:bCs/>
        <w:sz w:val="22"/>
        <w:szCs w:val="22"/>
      </w:rPr>
      <w:t>Minuta Veirano</w:t>
    </w:r>
  </w:p>
  <w:p w14:paraId="4B3F0B0D" w14:textId="7E2B663B" w:rsidR="00AA7600" w:rsidRPr="00B169F5" w:rsidRDefault="00AA7600" w:rsidP="00B169F5">
    <w:pPr>
      <w:pStyle w:val="Cabealho"/>
      <w:jc w:val="right"/>
      <w:rPr>
        <w:rFonts w:ascii="Trebuchet MS" w:hAnsi="Trebuchet MS"/>
        <w:b/>
        <w:bCs/>
        <w:sz w:val="22"/>
        <w:szCs w:val="22"/>
      </w:rPr>
    </w:pPr>
    <w:r>
      <w:rPr>
        <w:rFonts w:ascii="Trebuchet MS" w:hAnsi="Trebuchet MS"/>
        <w:b/>
        <w:bCs/>
        <w:sz w:val="22"/>
        <w:szCs w:val="22"/>
      </w:rPr>
      <w:t>0</w:t>
    </w:r>
    <w:r w:rsidR="00417CFD">
      <w:rPr>
        <w:rFonts w:ascii="Trebuchet MS" w:hAnsi="Trebuchet MS"/>
        <w:b/>
        <w:bCs/>
        <w:sz w:val="22"/>
        <w:szCs w:val="22"/>
      </w:rPr>
      <w:t>3</w:t>
    </w:r>
    <w:r>
      <w:rPr>
        <w:rFonts w:ascii="Trebuchet MS" w:hAnsi="Trebuchet MS"/>
        <w:b/>
        <w:bCs/>
        <w:sz w:val="22"/>
        <w:szCs w:val="22"/>
      </w:rPr>
      <w:t>.04</w:t>
    </w:r>
    <w:r w:rsidRPr="00B169F5">
      <w:rPr>
        <w:rFonts w:ascii="Trebuchet MS" w:hAnsi="Trebuchet MS"/>
        <w:b/>
        <w:bCs/>
        <w:sz w:val="22"/>
        <w:szCs w:val="22"/>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6"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4"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8"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0"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1"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4"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5"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7"/>
  </w:num>
  <w:num w:numId="3">
    <w:abstractNumId w:val="24"/>
  </w:num>
  <w:num w:numId="4">
    <w:abstractNumId w:val="14"/>
  </w:num>
  <w:num w:numId="5">
    <w:abstractNumId w:val="48"/>
  </w:num>
  <w:num w:numId="6">
    <w:abstractNumId w:val="56"/>
  </w:num>
  <w:num w:numId="7">
    <w:abstractNumId w:val="13"/>
  </w:num>
  <w:num w:numId="8">
    <w:abstractNumId w:val="17"/>
  </w:num>
  <w:num w:numId="9">
    <w:abstractNumId w:val="55"/>
  </w:num>
  <w:num w:numId="10">
    <w:abstractNumId w:val="0"/>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9"/>
  </w:num>
  <w:num w:numId="14">
    <w:abstractNumId w:val="20"/>
  </w:num>
  <w:num w:numId="15">
    <w:abstractNumId w:val="30"/>
  </w:num>
  <w:num w:numId="16">
    <w:abstractNumId w:val="23"/>
  </w:num>
  <w:num w:numId="17">
    <w:abstractNumId w:val="53"/>
  </w:num>
  <w:num w:numId="18">
    <w:abstractNumId w:val="44"/>
  </w:num>
  <w:num w:numId="19">
    <w:abstractNumId w:val="62"/>
  </w:num>
  <w:num w:numId="20">
    <w:abstractNumId w:val="60"/>
  </w:num>
  <w:num w:numId="21">
    <w:abstractNumId w:val="21"/>
  </w:num>
  <w:num w:numId="22">
    <w:abstractNumId w:val="45"/>
  </w:num>
  <w:num w:numId="23">
    <w:abstractNumId w:val="3"/>
  </w:num>
  <w:num w:numId="24">
    <w:abstractNumId w:val="6"/>
  </w:num>
  <w:num w:numId="25">
    <w:abstractNumId w:val="8"/>
  </w:num>
  <w:num w:numId="26">
    <w:abstractNumId w:val="1"/>
  </w:num>
  <w:num w:numId="27">
    <w:abstractNumId w:val="11"/>
  </w:num>
  <w:num w:numId="28">
    <w:abstractNumId w:val="25"/>
  </w:num>
  <w:num w:numId="29">
    <w:abstractNumId w:val="51"/>
  </w:num>
  <w:num w:numId="30">
    <w:abstractNumId w:val="36"/>
  </w:num>
  <w:num w:numId="31">
    <w:abstractNumId w:val="33"/>
  </w:num>
  <w:num w:numId="32">
    <w:abstractNumId w:val="32"/>
  </w:num>
  <w:num w:numId="33">
    <w:abstractNumId w:val="28"/>
  </w:num>
  <w:num w:numId="34">
    <w:abstractNumId w:val="59"/>
  </w:num>
  <w:num w:numId="35">
    <w:abstractNumId w:val="52"/>
  </w:num>
  <w:num w:numId="36">
    <w:abstractNumId w:val="47"/>
  </w:num>
  <w:num w:numId="37">
    <w:abstractNumId w:val="34"/>
  </w:num>
  <w:num w:numId="38">
    <w:abstractNumId w:val="54"/>
  </w:num>
  <w:num w:numId="39">
    <w:abstractNumId w:val="39"/>
  </w:num>
  <w:num w:numId="40">
    <w:abstractNumId w:val="61"/>
  </w:num>
  <w:num w:numId="41">
    <w:abstractNumId w:val="19"/>
  </w:num>
  <w:num w:numId="42">
    <w:abstractNumId w:val="16"/>
  </w:num>
  <w:num w:numId="43">
    <w:abstractNumId w:val="38"/>
  </w:num>
  <w:num w:numId="44">
    <w:abstractNumId w:val="26"/>
  </w:num>
  <w:num w:numId="45">
    <w:abstractNumId w:val="35"/>
  </w:num>
  <w:num w:numId="46">
    <w:abstractNumId w:val="18"/>
  </w:num>
  <w:num w:numId="47">
    <w:abstractNumId w:val="41"/>
  </w:num>
  <w:num w:numId="48">
    <w:abstractNumId w:val="42"/>
  </w:num>
  <w:num w:numId="49">
    <w:abstractNumId w:val="40"/>
  </w:num>
  <w:num w:numId="50">
    <w:abstractNumId w:val="58"/>
  </w:num>
  <w:num w:numId="51">
    <w:abstractNumId w:val="43"/>
  </w:num>
  <w:num w:numId="52">
    <w:abstractNumId w:val="31"/>
  </w:num>
  <w:num w:numId="53">
    <w:abstractNumId w:val="46"/>
  </w:num>
  <w:num w:numId="54">
    <w:abstractNumId w:val="4"/>
  </w:num>
  <w:num w:numId="55">
    <w:abstractNumId w:val="50"/>
  </w:num>
  <w:num w:numId="56">
    <w:abstractNumId w:val="12"/>
  </w:num>
  <w:num w:numId="57">
    <w:abstractNumId w:val="15"/>
  </w:num>
  <w:num w:numId="58">
    <w:abstractNumId w:val="27"/>
  </w:num>
  <w:num w:numId="59">
    <w:abstractNumId w:val="29"/>
  </w:num>
  <w:num w:numId="60">
    <w:abstractNumId w:val="53"/>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22"/>
  </w:num>
  <w:num w:numId="64">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80DFB"/>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2241"/>
    <w:rsid w:val="002B448A"/>
    <w:rsid w:val="002C576A"/>
    <w:rsid w:val="002C6E7C"/>
    <w:rsid w:val="002D22E8"/>
    <w:rsid w:val="002D27F5"/>
    <w:rsid w:val="002D3D4E"/>
    <w:rsid w:val="002E1A29"/>
    <w:rsid w:val="002E50D1"/>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05FD"/>
    <w:rsid w:val="0041132E"/>
    <w:rsid w:val="00412041"/>
    <w:rsid w:val="004160EE"/>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33D5"/>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A7600"/>
    <w:rsid w:val="00AB38F2"/>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3C29"/>
    <w:rsid w:val="00B169F5"/>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E4E"/>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061A"/>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B7542"/>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8DC0-F94D-40B3-9833-D9D2313E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24287</Words>
  <Characters>139591</Characters>
  <Application>Microsoft Office Word</Application>
  <DocSecurity>0</DocSecurity>
  <Lines>1163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2018-07-02T22:41:00Z</cp:lastPrinted>
  <dcterms:created xsi:type="dcterms:W3CDTF">2020-04-03T19:24:00Z</dcterms:created>
  <dcterms:modified xsi:type="dcterms:W3CDTF">2020-04-03T19:24:00Z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