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2 (duas)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1" w:name="_DV_M23"/>
      <w:bookmarkEnd w:id="1"/>
    </w:p>
    <w:p w14:paraId="5B4F6D32" w14:textId="111D05B0" w:rsidR="0002267D" w:rsidRDefault="0002267D" w:rsidP="0002267D">
      <w:pPr>
        <w:tabs>
          <w:tab w:val="left" w:pos="709"/>
        </w:tabs>
        <w:spacing w:line="300" w:lineRule="exact"/>
        <w:ind w:right="261"/>
        <w:jc w:val="both"/>
        <w:rPr>
          <w:rFonts w:ascii="Trebuchet MS" w:hAnsi="Trebuchet MS"/>
          <w:sz w:val="22"/>
          <w:szCs w:val="22"/>
        </w:rPr>
      </w:pPr>
    </w:p>
    <w:p w14:paraId="216FE158" w14:textId="77777777" w:rsidR="0002267D" w:rsidRPr="0002267D" w:rsidRDefault="0002267D" w:rsidP="0002267D">
      <w:pPr>
        <w:tabs>
          <w:tab w:val="left" w:pos="709"/>
        </w:tabs>
        <w:spacing w:line="300" w:lineRule="exact"/>
        <w:ind w:right="261"/>
        <w:jc w:val="both"/>
        <w:rPr>
          <w:rStyle w:val="Forte"/>
          <w:rFonts w:ascii="Trebuchet MS" w:hAnsi="Trebuchet MS"/>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CB7498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Pr="00FC1E62">
        <w:rPr>
          <w:rFonts w:ascii="Trebuchet MS" w:eastAsia="MS Mincho" w:hAnsi="Trebuchet MS" w:cs="Tahoma"/>
          <w:sz w:val="22"/>
          <w:szCs w:val="22"/>
          <w:highlight w:val="yellow"/>
        </w:rPr>
        <w:t>[</w:t>
      </w:r>
      <w:r w:rsidRPr="00FC1E62">
        <w:rPr>
          <w:rFonts w:ascii="Trebuchet MS" w:hAnsi="Trebuchet MS" w:cs="Tahoma"/>
          <w:sz w:val="22"/>
          <w:szCs w:val="22"/>
          <w:highlight w:val="yellow"/>
        </w:rPr>
        <w:t>●</w:t>
      </w:r>
      <w:r w:rsidRPr="00FC1E62">
        <w:rPr>
          <w:rFonts w:ascii="Trebuchet MS" w:eastAsia="MS Mincho" w:hAnsi="Trebuchet MS" w:cs="Tahoma"/>
          <w:sz w:val="22"/>
          <w:szCs w:val="22"/>
          <w:highlight w:val="yellow"/>
        </w:rPr>
        <w:t>]</w:t>
      </w:r>
      <w:r w:rsidR="00586D72">
        <w:rPr>
          <w:rFonts w:ascii="Trebuchet MS" w:eastAsia="MS Mincho" w:hAnsi="Trebuchet MS" w:cs="Tahoma"/>
          <w:sz w:val="22"/>
          <w:szCs w:val="22"/>
        </w:rPr>
        <w:t xml:space="preserve"> 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2564816"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Dias Úteis </w:t>
      </w:r>
      <w:r w:rsidRPr="00A60A91">
        <w:rPr>
          <w:rFonts w:ascii="Trebuchet MS" w:hAnsi="Trebuchet MS" w:cs="Tahoma"/>
          <w:sz w:val="22"/>
          <w:szCs w:val="22"/>
        </w:rPr>
        <w:lastRenderedPageBreak/>
        <w:t>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somente poderão ser negociadas entre Investidores Qualificados (conforme abaixo </w:t>
      </w:r>
      <w:r w:rsidRPr="00A60A91">
        <w:rPr>
          <w:rFonts w:ascii="Trebuchet MS" w:hAnsi="Trebuchet MS" w:cs="Tahoma"/>
          <w:sz w:val="22"/>
          <w:szCs w:val="22"/>
        </w:rPr>
        <w:lastRenderedPageBreak/>
        <w:t>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8"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8"/>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19"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A60A91">
        <w:rPr>
          <w:rFonts w:ascii="Trebuchet MS" w:eastAsia="MS Mincho" w:hAnsi="Trebuchet MS" w:cs="Tahoma"/>
          <w:b/>
          <w:sz w:val="22"/>
          <w:szCs w:val="22"/>
        </w:rPr>
        <w:lastRenderedPageBreak/>
        <w:t>CLÁUSULA TERCEIRA</w:t>
      </w:r>
      <w:bookmarkStart w:id="21" w:name="_DV_M45"/>
      <w:bookmarkEnd w:id="21"/>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2" w:name="_DV_M46"/>
      <w:bookmarkEnd w:id="22"/>
      <w:r w:rsidRPr="00A60A91">
        <w:rPr>
          <w:rFonts w:ascii="Trebuchet MS" w:hAnsi="Trebuchet MS" w:cs="Tahoma"/>
          <w:b/>
          <w:sz w:val="22"/>
          <w:szCs w:val="22"/>
        </w:rPr>
        <w:t>Número da Emissão</w:t>
      </w:r>
      <w:bookmarkStart w:id="23" w:name="_DV_M71"/>
      <w:bookmarkEnd w:id="23"/>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20A3070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586D72">
        <w:rPr>
          <w:rFonts w:ascii="Trebuchet MS" w:hAnsi="Trebuchet MS"/>
          <w:bCs/>
          <w:sz w:val="22"/>
          <w:szCs w:val="22"/>
        </w:rPr>
        <w:t>[</w:t>
      </w:r>
      <w:r w:rsidR="00586D72" w:rsidRPr="00586D72">
        <w:rPr>
          <w:rFonts w:ascii="Trebuchet MS" w:hAnsi="Trebuchet MS"/>
          <w:bCs/>
          <w:sz w:val="22"/>
          <w:szCs w:val="22"/>
          <w:highlight w:val="yellow"/>
        </w:rPr>
        <w:t>●</w:t>
      </w:r>
      <w:r w:rsidR="00586D72">
        <w:rPr>
          <w:rFonts w:ascii="Trebuchet MS" w:hAnsi="Trebuchet MS"/>
          <w:bCs/>
          <w:sz w:val="22"/>
          <w:szCs w:val="22"/>
        </w:rPr>
        <w:t>]</w:t>
      </w:r>
      <w:r w:rsidR="008D087D"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680447E1"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4" w:name="_Hlk11693376"/>
      <w:r w:rsidR="00586D72">
        <w:rPr>
          <w:rFonts w:ascii="Trebuchet MS" w:hAnsi="Trebuchet MS"/>
          <w:bCs/>
          <w:sz w:val="22"/>
          <w:szCs w:val="22"/>
        </w:rPr>
        <w:t>[</w:t>
      </w:r>
      <w:r w:rsidR="00586D72" w:rsidRPr="00586D72">
        <w:rPr>
          <w:rFonts w:ascii="Trebuchet MS" w:hAnsi="Trebuchet MS"/>
          <w:bCs/>
          <w:sz w:val="22"/>
          <w:szCs w:val="22"/>
          <w:highlight w:val="yellow"/>
        </w:rPr>
        <w:t>●</w:t>
      </w:r>
      <w:r w:rsidR="00586D72">
        <w:rPr>
          <w:rFonts w:ascii="Trebuchet MS" w:hAnsi="Trebuchet MS"/>
          <w:bCs/>
          <w:sz w:val="22"/>
          <w:szCs w:val="22"/>
        </w:rPr>
        <w:t>]</w:t>
      </w:r>
      <w:r w:rsidR="007E6716">
        <w:rPr>
          <w:rFonts w:ascii="Trebuchet MS" w:hAnsi="Trebuchet MS"/>
          <w:bCs/>
          <w:sz w:val="22"/>
          <w:szCs w:val="22"/>
        </w:rPr>
        <w:t xml:space="preserve"> 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4"/>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5"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5"/>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6" w:name="_DV_M58"/>
      <w:bookmarkStart w:id="27" w:name="_DV_M59"/>
      <w:bookmarkStart w:id="28" w:name="_Ref495596607"/>
      <w:bookmarkEnd w:id="26"/>
      <w:bookmarkEnd w:id="27"/>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 xml:space="preserve">) </w:t>
      </w:r>
      <w:r w:rsidR="009B1248" w:rsidRPr="00A60A91">
        <w:rPr>
          <w:rFonts w:ascii="Trebuchet MS" w:hAnsi="Trebuchet MS" w:cs="Tahoma"/>
          <w:sz w:val="22"/>
          <w:szCs w:val="22"/>
        </w:rPr>
        <w:t>Debêntures</w:t>
      </w:r>
      <w:r w:rsidRPr="00A60A91">
        <w:rPr>
          <w:rFonts w:ascii="Trebuchet MS" w:hAnsi="Trebuchet MS" w:cs="Tahoma"/>
          <w:sz w:val="22"/>
          <w:szCs w:val="22"/>
        </w:rPr>
        <w:t xml:space="preserve"> da segunda série (“</w:t>
      </w:r>
      <w:r w:rsidRPr="00A60A91">
        <w:rPr>
          <w:rFonts w:ascii="Trebuchet MS" w:hAnsi="Trebuchet MS" w:cs="Tahoma"/>
          <w:sz w:val="22"/>
          <w:szCs w:val="22"/>
          <w:u w:val="single"/>
        </w:rPr>
        <w:t>Segunda Série</w:t>
      </w:r>
      <w:r w:rsidRPr="00A60A91">
        <w:rPr>
          <w:rFonts w:ascii="Trebuchet MS" w:hAnsi="Trebuchet MS" w:cs="Tahoma"/>
          <w:sz w:val="22"/>
          <w:szCs w:val="22"/>
        </w:rPr>
        <w:t>” e, em conjunto com Primeira Série,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Debêntures da Segunda Série</w:t>
      </w:r>
      <w:r w:rsidRPr="00A60A91">
        <w:rPr>
          <w:rFonts w:ascii="Trebuchet MS" w:hAnsi="Trebuchet MS" w:cs="Tahoma"/>
          <w:sz w:val="22"/>
          <w:szCs w:val="22"/>
        </w:rPr>
        <w:t>”).</w:t>
      </w:r>
      <w:bookmarkEnd w:id="28"/>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29" w:name="_DV_M47"/>
      <w:bookmarkStart w:id="30" w:name="_DV_M48"/>
      <w:bookmarkEnd w:id="29"/>
      <w:bookmarkEnd w:id="30"/>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0C028C" w:rsidRPr="00A60A91">
        <w:rPr>
          <w:rFonts w:ascii="Trebuchet MS" w:hAnsi="Trebuchet MS" w:cs="Tahoma"/>
          <w:sz w:val="22"/>
          <w:szCs w:val="22"/>
        </w:rPr>
        <w:t>2 (</w:t>
      </w:r>
      <w:r w:rsidRPr="00A60A91">
        <w:rPr>
          <w:rFonts w:ascii="Trebuchet MS" w:hAnsi="Trebuchet MS" w:cs="Tahoma"/>
          <w:sz w:val="22"/>
          <w:szCs w:val="22"/>
        </w:rPr>
        <w:t>duas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1" w:name="_Ref422391421"/>
      <w:r w:rsidRPr="00A60A91">
        <w:rPr>
          <w:rFonts w:ascii="Trebuchet MS"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 xml:space="preserve">pessoas físicas </w:t>
      </w:r>
      <w:r w:rsidR="00843696" w:rsidRPr="00A60A91">
        <w:rPr>
          <w:rFonts w:ascii="Trebuchet MS" w:hAnsi="Trebuchet MS" w:cs="Tahoma"/>
          <w:sz w:val="22"/>
          <w:szCs w:val="22"/>
        </w:rPr>
        <w:lastRenderedPageBreak/>
        <w:t>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6"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6"/>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34"/>
    <w:bookmarkEnd w:id="35"/>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1FCE9EAC" w:rsidR="002054D9"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a Emissora não poderá realizar a aquisição de CCB daquela finalidade</w:t>
      </w:r>
      <w:r w:rsidR="0002267D">
        <w:rPr>
          <w:rFonts w:ascii="Trebuchet MS" w:hAnsi="Trebuchet MS" w:cs="Tahoma"/>
          <w:sz w:val="22"/>
          <w:szCs w:val="22"/>
        </w:rPr>
        <w:t>.</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7"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A60A91">
        <w:rPr>
          <w:rFonts w:ascii="Trebuchet MS" w:hAnsi="Trebuchet MS" w:cs="Tahoma"/>
          <w:sz w:val="22"/>
          <w:szCs w:val="22"/>
        </w:rPr>
        <w:lastRenderedPageBreak/>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39"/>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0"/>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1" w:name="_Hlk510708344"/>
      <w:r w:rsidR="00C03A9A" w:rsidRPr="00A60A91">
        <w:rPr>
          <w:rFonts w:ascii="Trebuchet MS" w:hAnsi="Trebuchet MS" w:cs="Tahoma"/>
          <w:bCs/>
          <w:sz w:val="22"/>
          <w:szCs w:val="22"/>
        </w:rPr>
        <w:t>Rua Cardeal Arcoverde, nº 2.365, 7º andar, Pinheiros, CEP 05407-003</w:t>
      </w:r>
      <w:bookmarkEnd w:id="41"/>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lastRenderedPageBreak/>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Banco Bradesco</w:t>
      </w:r>
      <w:r w:rsidR="00C869A5" w:rsidRPr="00C869A5">
        <w:rPr>
          <w:rFonts w:ascii="Trebuchet MS" w:hAnsi="Trebuchet MS" w:cs="Tahoma"/>
          <w:sz w:val="22"/>
          <w:szCs w:val="22"/>
        </w:rPr>
        <w:t xml:space="preserve">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42" w:name="_Ref517621787"/>
      <w:r w:rsidRPr="00A60A91">
        <w:rPr>
          <w:rFonts w:ascii="Trebuchet MS" w:hAnsi="Trebuchet MS" w:cs="Tahoma"/>
          <w:b/>
          <w:sz w:val="22"/>
          <w:szCs w:val="22"/>
        </w:rPr>
        <w:t>Investimentos Permitidos</w:t>
      </w:r>
      <w:bookmarkStart w:id="43" w:name="_Ref422391435"/>
      <w:bookmarkEnd w:id="42"/>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4"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4"/>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5" w:name="_Ref449908823"/>
      <w:r w:rsidRPr="00A60A91">
        <w:rPr>
          <w:rFonts w:ascii="Trebuchet MS" w:hAnsi="Trebuchet MS" w:cs="Tahoma"/>
          <w:sz w:val="22"/>
          <w:szCs w:val="22"/>
        </w:rPr>
        <w:t>demais títulos de emissão do Tesouro Nacional, com prazo de vencimento máximo de 1 (um) ano;</w:t>
      </w:r>
      <w:bookmarkEnd w:id="45"/>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7" w:name="_Ref495588998"/>
      <w:bookmarkEnd w:id="46"/>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7"/>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43F0FF4E"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 xml:space="preserve">Instrumento de Promessa de Alienação e Aquisição de Direitos </w:t>
      </w:r>
      <w:r w:rsidRPr="00A60A91">
        <w:rPr>
          <w:rFonts w:ascii="Trebuchet MS" w:hAnsi="Trebuchet MS" w:cs="Tahoma"/>
          <w:i/>
          <w:iCs/>
          <w:sz w:val="22"/>
          <w:szCs w:val="22"/>
        </w:rPr>
        <w:lastRenderedPageBreak/>
        <w:t>Creditórios sem Coobrigação e Outras Avenças</w:t>
      </w:r>
      <w:r w:rsidRPr="00A60A91">
        <w:rPr>
          <w:rFonts w:ascii="Trebuchet MS" w:hAnsi="Trebuchet MS" w:cs="Tahoma"/>
          <w:sz w:val="22"/>
          <w:szCs w:val="22"/>
        </w:rPr>
        <w:t>”, a ser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2"/>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3"/>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4" w:name="_Ref497551623"/>
    </w:p>
    <w:p w14:paraId="708470B8" w14:textId="47783847" w:rsidR="008767AB" w:rsidRPr="00A60A91" w:rsidRDefault="008767AB" w:rsidP="00147CA8">
      <w:pPr>
        <w:rPr>
          <w:rFonts w:ascii="Trebuchet MS" w:hAnsi="Trebuchet MS"/>
          <w:b/>
          <w:sz w:val="22"/>
          <w:szCs w:val="22"/>
        </w:rPr>
      </w:pPr>
    </w:p>
    <w:p w14:paraId="0FABDF77" w14:textId="00AC4C28"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2 (duas) Séries para Distribuição Pública com Esforços Restritos de Distribuição, </w:t>
      </w:r>
      <w:r w:rsidRPr="00A60A91">
        <w:rPr>
          <w:rFonts w:ascii="Trebuchet MS" w:hAnsi="Trebuchet MS" w:cs="Tahoma"/>
          <w:bCs/>
          <w:i/>
          <w:iCs/>
          <w:sz w:val="22"/>
          <w:szCs w:val="22"/>
        </w:rPr>
        <w:lastRenderedPageBreak/>
        <w:t xml:space="preserve">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55"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5"/>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4"/>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320D585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as</w:t>
      </w:r>
      <w:r w:rsidR="00F503F2" w:rsidRPr="00A60A91">
        <w:rPr>
          <w:rFonts w:ascii="Trebuchet MS" w:hAnsi="Trebuchet MS" w:cs="Tahoma"/>
          <w:bCs/>
          <w:sz w:val="22"/>
          <w:szCs w:val="22"/>
        </w:rPr>
        <w:t xml:space="preserve">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de ressarcimento de toda e qualquer </w:t>
      </w:r>
      <w:r w:rsidR="00F503F2" w:rsidRPr="00A60A91">
        <w:rPr>
          <w:rFonts w:ascii="Trebuchet MS" w:hAnsi="Trebuchet MS" w:cs="Tahoma"/>
          <w:bCs/>
          <w:sz w:val="22"/>
          <w:szCs w:val="22"/>
        </w:rPr>
        <w:lastRenderedPageBreak/>
        <w:t>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6"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6"/>
    <w:p w14:paraId="236176EA" w14:textId="51D954D2"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w:t>
      </w:r>
      <w:r w:rsidR="00F503F2" w:rsidRPr="00A60A91">
        <w:rPr>
          <w:rFonts w:ascii="Trebuchet MS" w:hAnsi="Trebuchet MS" w:cs="Tahoma"/>
          <w:sz w:val="22"/>
          <w:szCs w:val="22"/>
        </w:rPr>
        <w:lastRenderedPageBreak/>
        <w:t xml:space="preserve">via original ou cópia eletrônica (PDF) contendo a chancela digital, conforme aplicável, do Contrato de Garantia, devidamente registrado, ao Agente Fiduciário, com até </w:t>
      </w:r>
      <w:r w:rsidR="00BA4DF1" w:rsidRPr="00542A0A">
        <w:rPr>
          <w:rFonts w:ascii="Trebuchet MS" w:hAnsi="Trebuchet MS" w:cs="Tahoma"/>
          <w:sz w:val="22"/>
          <w:szCs w:val="22"/>
          <w:highlight w:val="yellow"/>
        </w:rPr>
        <w:t xml:space="preserve">[●] </w:t>
      </w:r>
      <w:r w:rsidR="00F503F2" w:rsidRPr="00542A0A">
        <w:rPr>
          <w:rFonts w:ascii="Trebuchet MS" w:hAnsi="Trebuchet MS" w:cs="Tahoma"/>
          <w:sz w:val="22"/>
          <w:szCs w:val="22"/>
          <w:highlight w:val="yellow"/>
        </w:rPr>
        <w:t>(</w:t>
      </w:r>
      <w:r w:rsidR="00BA4DF1" w:rsidRPr="00542A0A">
        <w:rPr>
          <w:rFonts w:ascii="Trebuchet MS" w:hAnsi="Trebuchet MS" w:cs="Tahoma"/>
          <w:sz w:val="22"/>
          <w:szCs w:val="22"/>
          <w:highlight w:val="yellow"/>
        </w:rPr>
        <w:t>[●]</w:t>
      </w:r>
      <w:r w:rsidR="00F503F2" w:rsidRPr="00542A0A">
        <w:rPr>
          <w:rFonts w:ascii="Trebuchet MS" w:hAnsi="Trebuchet MS" w:cs="Tahoma"/>
          <w:sz w:val="22"/>
          <w:szCs w:val="22"/>
          <w:highlight w:val="yellow"/>
        </w:rPr>
        <w:t>)</w:t>
      </w:r>
      <w:r w:rsidR="00F503F2" w:rsidRPr="00A60A91">
        <w:rPr>
          <w:rFonts w:ascii="Trebuchet MS" w:hAnsi="Trebuchet MS" w:cs="Tahoma"/>
          <w:sz w:val="22"/>
          <w:szCs w:val="22"/>
        </w:rPr>
        <w:t xml:space="preserve">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7" w:name="_DV_M95"/>
      <w:bookmarkEnd w:id="57"/>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5899FBE8"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58"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58"/>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4A2EC0A2"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59" w:name="_Ref422391547"/>
      <w:bookmarkStart w:id="60" w:name="_Ref477878438"/>
      <w:bookmarkStart w:id="61" w:name="_Ref495596571"/>
      <w:bookmarkStart w:id="62" w:name="_Hlk16087803"/>
      <w:bookmarkStart w:id="63"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xml:space="preserve">”), a prazo, na forma </w:t>
      </w:r>
      <w:r w:rsidRPr="00A60A91">
        <w:rPr>
          <w:rFonts w:ascii="Trebuchet MS" w:hAnsi="Trebuchet MS" w:cs="Tahoma"/>
          <w:bCs/>
          <w:sz w:val="22"/>
          <w:szCs w:val="22"/>
        </w:rPr>
        <w:lastRenderedPageBreak/>
        <w:t>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4" w:name="_Ref450673894"/>
      <w:bookmarkEnd w:id="59"/>
      <w:r w:rsidRPr="00A60A91">
        <w:rPr>
          <w:rFonts w:ascii="Trebuchet MS" w:hAnsi="Trebuchet MS" w:cs="Tahoma"/>
          <w:bCs/>
          <w:sz w:val="22"/>
          <w:szCs w:val="22"/>
        </w:rPr>
        <w:t>, mediante solicitações de integralização a serem realizadas pela Emissora</w:t>
      </w:r>
      <w:bookmarkStart w:id="65" w:name="_Hlk11695634"/>
      <w:r w:rsidRPr="00A60A91">
        <w:rPr>
          <w:rFonts w:ascii="Trebuchet MS" w:hAnsi="Trebuchet MS" w:cs="Tahoma"/>
          <w:bCs/>
          <w:sz w:val="22"/>
          <w:szCs w:val="22"/>
        </w:rPr>
        <w:t>.</w:t>
      </w:r>
      <w:bookmarkEnd w:id="60"/>
      <w:bookmarkEnd w:id="64"/>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 xml:space="preserve">relação entre </w:t>
      </w:r>
      <w:r w:rsidR="00937935" w:rsidRPr="0002267D">
        <w:rPr>
          <w:rFonts w:ascii="Trebuchet MS" w:hAnsi="Trebuchet MS" w:cs="Tahoma"/>
          <w:b/>
          <w:sz w:val="22"/>
          <w:szCs w:val="22"/>
        </w:rPr>
        <w:t>(i)</w:t>
      </w:r>
      <w:r w:rsidR="00937935" w:rsidRPr="00A60A91">
        <w:rPr>
          <w:rFonts w:ascii="Trebuchet MS" w:hAnsi="Trebuchet MS" w:cs="Tahoma"/>
          <w:bCs/>
          <w:sz w:val="22"/>
          <w:szCs w:val="22"/>
        </w:rPr>
        <w:t xml:space="preserve"> o volume total de Debêntures da Segunda Série efetivamente integralizadas no âmbito da Emissão</w:t>
      </w:r>
      <w:r w:rsidR="0002267D">
        <w:rPr>
          <w:rFonts w:ascii="Trebuchet MS" w:hAnsi="Trebuchet MS" w:cs="Tahoma"/>
          <w:bCs/>
          <w:sz w:val="22"/>
          <w:szCs w:val="22"/>
        </w:rPr>
        <w:t>;</w:t>
      </w:r>
      <w:r w:rsidR="00937935" w:rsidRPr="00A60A91">
        <w:rPr>
          <w:rFonts w:ascii="Trebuchet MS" w:hAnsi="Trebuchet MS" w:cs="Tahoma"/>
          <w:bCs/>
          <w:sz w:val="22"/>
          <w:szCs w:val="22"/>
        </w:rPr>
        <w:t xml:space="preserve"> e </w:t>
      </w:r>
      <w:r w:rsidR="00937935" w:rsidRPr="0002267D">
        <w:rPr>
          <w:rFonts w:ascii="Trebuchet MS" w:hAnsi="Trebuchet MS" w:cs="Tahoma"/>
          <w:b/>
          <w:sz w:val="22"/>
          <w:szCs w:val="22"/>
        </w:rPr>
        <w:t>(</w:t>
      </w:r>
      <w:proofErr w:type="spellStart"/>
      <w:r w:rsidR="00937935" w:rsidRPr="0002267D">
        <w:rPr>
          <w:rFonts w:ascii="Trebuchet MS" w:hAnsi="Trebuchet MS" w:cs="Tahoma"/>
          <w:b/>
          <w:sz w:val="22"/>
          <w:szCs w:val="22"/>
        </w:rPr>
        <w:t>ii</w:t>
      </w:r>
      <w:proofErr w:type="spellEnd"/>
      <w:r w:rsidR="00937935" w:rsidRPr="0002267D">
        <w:rPr>
          <w:rFonts w:ascii="Trebuchet MS" w:hAnsi="Trebuchet MS" w:cs="Tahoma"/>
          <w:b/>
          <w:sz w:val="22"/>
          <w:szCs w:val="22"/>
        </w:rPr>
        <w:t>)</w:t>
      </w:r>
      <w:r w:rsidR="00937935" w:rsidRPr="00A60A91">
        <w:rPr>
          <w:rFonts w:ascii="Trebuchet MS" w:hAnsi="Trebuchet MS" w:cs="Tahoma"/>
          <w:bCs/>
          <w:sz w:val="22"/>
          <w:szCs w:val="22"/>
        </w:rPr>
        <w:t xml:space="preserve">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deverá ser observada</w:t>
      </w:r>
      <w:r w:rsidR="001759EB">
        <w:rPr>
          <w:rFonts w:ascii="Trebuchet MS" w:hAnsi="Trebuchet MS" w:cs="Tahoma"/>
          <w:bCs/>
          <w:sz w:val="22"/>
          <w:szCs w:val="22"/>
        </w:rPr>
        <w:t>, pelo Coordenador Líder,</w:t>
      </w:r>
      <w:r w:rsidRPr="00A60A91">
        <w:rPr>
          <w:rFonts w:ascii="Trebuchet MS" w:hAnsi="Trebuchet MS" w:cs="Tahoma"/>
          <w:bCs/>
          <w:sz w:val="22"/>
          <w:szCs w:val="22"/>
        </w:rPr>
        <w:t xml:space="preserve"> como condição para </w:t>
      </w:r>
      <w:bookmarkEnd w:id="65"/>
      <w:r w:rsidRPr="00A60A91">
        <w:rPr>
          <w:rFonts w:ascii="Trebuchet MS" w:hAnsi="Trebuchet MS" w:cs="Tahoma"/>
          <w:bCs/>
          <w:sz w:val="22"/>
          <w:szCs w:val="22"/>
        </w:rPr>
        <w:t>a integralização das Debêntures da Primeira Série.</w:t>
      </w:r>
      <w:bookmarkEnd w:id="61"/>
      <w:r w:rsidRPr="00A60A91">
        <w:rPr>
          <w:rFonts w:ascii="Trebuchet MS" w:hAnsi="Trebuchet MS" w:cs="Tahoma"/>
          <w:bCs/>
          <w:sz w:val="22"/>
          <w:szCs w:val="22"/>
        </w:rPr>
        <w:t xml:space="preserve"> </w:t>
      </w:r>
      <w:bookmarkEnd w:id="62"/>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3B245A0"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66"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66"/>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0748CBF1"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67"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286EBC">
        <w:rPr>
          <w:rFonts w:ascii="Trebuchet MS" w:hAnsi="Trebuchet MS"/>
          <w:sz w:val="22"/>
          <w:szCs w:val="22"/>
        </w:rPr>
        <w:t xml:space="preserve"> 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7"/>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3"/>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w:t>
      </w:r>
      <w:r w:rsidR="00937935" w:rsidRPr="00A60A91">
        <w:rPr>
          <w:rFonts w:ascii="Trebuchet MS" w:hAnsi="Trebuchet MS"/>
          <w:sz w:val="22"/>
          <w:szCs w:val="22"/>
        </w:rPr>
        <w:lastRenderedPageBreak/>
        <w:t xml:space="preserve">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68" w:name="_Ref422946329"/>
      <w:bookmarkStart w:id="69"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0"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0"/>
      <w:r w:rsidRPr="00A60A91">
        <w:rPr>
          <w:rFonts w:ascii="Trebuchet MS" w:hAnsi="Trebuchet MS" w:cs="Tahoma"/>
          <w:sz w:val="22"/>
          <w:szCs w:val="22"/>
        </w:rPr>
        <w:t xml:space="preserve"> </w:t>
      </w:r>
      <w:bookmarkStart w:id="71" w:name="_Ref497551838"/>
      <w:bookmarkStart w:id="72" w:name="_Ref476845774"/>
      <w:bookmarkStart w:id="73"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726868D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1"/>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lastRenderedPageBreak/>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842B01"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3523419"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842B01"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3523420"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842B01"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3523421"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12FB196F"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lastRenderedPageBreak/>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72A4155B" w:rsidR="005731AA" w:rsidRPr="00322BD8" w:rsidRDefault="006558A7" w:rsidP="00322BD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Remuneração das Debêntures da Primeira Série 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pagos, não serão devidos Encargos Moratórios.</w:t>
      </w:r>
    </w:p>
    <w:bookmarkEnd w:id="72"/>
    <w:bookmarkEnd w:id="73"/>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295BBE">
      <w:pPr>
        <w:pStyle w:val="PargrafodaLista"/>
        <w:numPr>
          <w:ilvl w:val="2"/>
          <w:numId w:val="3"/>
        </w:numPr>
        <w:spacing w:line="300" w:lineRule="exact"/>
        <w:ind w:right="261"/>
        <w:jc w:val="both"/>
        <w:rPr>
          <w:rFonts w:ascii="Trebuchet MS" w:hAnsi="Trebuchet MS" w:cs="Tahoma"/>
          <w:sz w:val="22"/>
          <w:szCs w:val="22"/>
        </w:rPr>
      </w:pPr>
      <w:bookmarkStart w:id="74"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460B7630" w:rsidR="005731AA" w:rsidRPr="00E47A01" w:rsidRDefault="006558A7" w:rsidP="00E950A3">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Pr="00E47A01">
        <w:rPr>
          <w:rFonts w:ascii="Trebuchet MS" w:hAnsi="Trebuchet MS" w:cs="Tahoma"/>
          <w:sz w:val="22"/>
          <w:szCs w:val="22"/>
        </w:rPr>
        <w:t>, ou q</w:t>
      </w:r>
      <w:r w:rsidR="009E1FF2" w:rsidRPr="00E47A01">
        <w:rPr>
          <w:rFonts w:ascii="Trebuchet MS" w:hAnsi="Trebuchet MS" w:cs="Tahoma"/>
          <w:sz w:val="22"/>
          <w:szCs w:val="22"/>
        </w:rPr>
        <w:t xml:space="preserve">ue ocorra a </w:t>
      </w:r>
      <w:r w:rsidR="009E1FF2" w:rsidRPr="00E47A01">
        <w:rPr>
          <w:rFonts w:ascii="Trebuchet MS" w:hAnsi="Trebuchet MS" w:cs="Tahoma"/>
          <w:sz w:val="22"/>
          <w:szCs w:val="22"/>
        </w:rPr>
        <w:lastRenderedPageBreak/>
        <w:t>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4"/>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C66A03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5"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5"/>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4F3EDB2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6"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76"/>
    </w:p>
    <w:p w14:paraId="1DAE2277" w14:textId="77777777" w:rsidR="00646A07" w:rsidRPr="00A60A91" w:rsidRDefault="00646A07" w:rsidP="009D6E8F">
      <w:pPr>
        <w:pStyle w:val="PargrafodaLista"/>
        <w:rPr>
          <w:rFonts w:ascii="Trebuchet MS" w:hAnsi="Trebuchet MS" w:cs="Tahoma"/>
          <w:sz w:val="22"/>
          <w:szCs w:val="22"/>
        </w:rPr>
      </w:pPr>
    </w:p>
    <w:p w14:paraId="6594EF53" w14:textId="396A1A92"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BD0E306"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68"/>
      <w:r w:rsidRPr="00A60A91">
        <w:rPr>
          <w:rFonts w:ascii="Trebuchet MS" w:hAnsi="Trebuchet MS"/>
          <w:b/>
          <w:sz w:val="22"/>
          <w:szCs w:val="22"/>
        </w:rPr>
        <w:t xml:space="preserve"> Obrigatória</w:t>
      </w:r>
      <w:bookmarkEnd w:id="69"/>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7"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78"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78"/>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79" w:name="_Ref495583440"/>
      <w:bookmarkEnd w:id="77"/>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4599EB3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lastRenderedPageBreak/>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79"/>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0"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1" w:name="_Ref479690860"/>
      <w:bookmarkStart w:id="82" w:name="_Ref495588302"/>
      <w:bookmarkEnd w:id="80"/>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51ABCE5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1"/>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06FAD0"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83" w:name="_Ref497581146"/>
      <w:bookmarkEnd w:id="82"/>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 xml:space="preserve">ou o saldo do Valor Nominal Unitário das Debêntures da Segunda 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w:t>
      </w:r>
      <w:r w:rsidRPr="00A60A91">
        <w:rPr>
          <w:rFonts w:ascii="Trebuchet MS" w:hAnsi="Trebuchet MS" w:cs="Tahoma"/>
          <w:sz w:val="22"/>
          <w:szCs w:val="22"/>
        </w:rPr>
        <w:lastRenderedPageBreak/>
        <w:t xml:space="preserve">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3"/>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6C40DED3"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79065FE8"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84" w:name="_Ref517600953"/>
      <w:r w:rsidRPr="00A60A91">
        <w:rPr>
          <w:rFonts w:ascii="Trebuchet MS" w:hAnsi="Trebuchet MS" w:cs="Tahoma"/>
          <w:b/>
          <w:sz w:val="22"/>
          <w:szCs w:val="22"/>
        </w:rPr>
        <w:t xml:space="preserve">Prêmio </w:t>
      </w:r>
      <w:bookmarkStart w:id="85" w:name="_Ref517600371"/>
      <w:bookmarkEnd w:id="84"/>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 xml:space="preserve">Sobre a Receita dos Direitos </w:t>
      </w:r>
      <w:r w:rsidR="001D363B" w:rsidRPr="00A60A91">
        <w:rPr>
          <w:rFonts w:ascii="Trebuchet MS" w:hAnsi="Trebuchet MS" w:cs="Tahoma"/>
          <w:sz w:val="22"/>
          <w:szCs w:val="22"/>
          <w:u w:val="single"/>
        </w:rPr>
        <w:lastRenderedPageBreak/>
        <w:t>Creditórios Vinculados</w:t>
      </w:r>
      <w:r w:rsidRPr="00A60A91">
        <w:rPr>
          <w:rFonts w:ascii="Trebuchet MS" w:hAnsi="Trebuchet MS" w:cs="Tahoma"/>
          <w:sz w:val="22"/>
          <w:szCs w:val="22"/>
        </w:rPr>
        <w:t>”)</w:t>
      </w:r>
      <w:r w:rsidRPr="00A60A91">
        <w:rPr>
          <w:rFonts w:ascii="Trebuchet MS" w:hAnsi="Trebuchet MS"/>
          <w:sz w:val="22"/>
          <w:szCs w:val="22"/>
        </w:rPr>
        <w:t>.</w:t>
      </w:r>
      <w:bookmarkEnd w:id="85"/>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bookmarkStart w:id="86" w:name="_DV_M139"/>
      <w:bookmarkStart w:id="87" w:name="_DV_M141"/>
      <w:bookmarkEnd w:id="86"/>
      <w:bookmarkEnd w:id="87"/>
      <w:r w:rsidRPr="00A60A91">
        <w:rPr>
          <w:rFonts w:ascii="Trebuchet MS" w:hAnsi="Trebuchet MS"/>
          <w:b/>
          <w:sz w:val="22"/>
          <w:szCs w:val="22"/>
        </w:rPr>
        <w:t>Pagamento Condicionado, Ordem de Alocação dos Recursos e Subordinação das Debêntures da Segunda Série</w:t>
      </w:r>
      <w:bookmarkStart w:id="88" w:name="_Ref474448575"/>
      <w:bookmarkStart w:id="89" w:name="_Ref476852704"/>
      <w:bookmarkStart w:id="90"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88"/>
      <w:bookmarkEnd w:id="89"/>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0"/>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6573F21"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91" w:name="_Ref475542670"/>
      <w:bookmarkStart w:id="92" w:name="_Ref478044661"/>
      <w:bookmarkStart w:id="93"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Segunda Série ao pagamento </w:t>
      </w:r>
      <w:r w:rsidRPr="00A60A91">
        <w:rPr>
          <w:rFonts w:ascii="Trebuchet MS" w:hAnsi="Trebuchet MS"/>
          <w:sz w:val="22"/>
          <w:szCs w:val="22"/>
        </w:rPr>
        <w:lastRenderedPageBreak/>
        <w:t>dos valores relativos às Debêntures da Primeira Série</w:t>
      </w:r>
      <w:bookmarkEnd w:id="91"/>
      <w:bookmarkEnd w:id="92"/>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93"/>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4" w:name="_DV_M197"/>
      <w:bookmarkStart w:id="95" w:name="_Ref475679731"/>
      <w:bookmarkEnd w:id="9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31B608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1BD6F7E6"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561722A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w:t>
      </w:r>
      <w:r w:rsidR="001D358D">
        <w:rPr>
          <w:rFonts w:ascii="Trebuchet MS" w:hAnsi="Trebuchet MS"/>
          <w:lang w:val="pt-BR"/>
        </w:rPr>
        <w:t>2</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5099F1B5"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362A5D5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3CDA82B2"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5"/>
    <w:p w14:paraId="0FE66156" w14:textId="5EB28D33"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96"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97" w:name="_Ref498986511"/>
      <w:bookmarkStart w:id="98" w:name="_Ref495593593"/>
      <w:bookmarkEnd w:id="96"/>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w:t>
      </w:r>
      <w:r w:rsidRPr="00A60A91">
        <w:rPr>
          <w:rFonts w:ascii="Trebuchet MS" w:hAnsi="Trebuchet MS" w:cs="Tahoma"/>
          <w:sz w:val="22"/>
          <w:szCs w:val="22"/>
        </w:rPr>
        <w:lastRenderedPageBreak/>
        <w:t xml:space="preserve">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99" w:name="art1365p"/>
      <w:bookmarkEnd w:id="97"/>
      <w:bookmarkEnd w:id="98"/>
      <w:bookmarkEnd w:id="99"/>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0" w:name="_Ref497551749"/>
      <w:bookmarkStart w:id="101"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2"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2"/>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0"/>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1"/>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 xml:space="preserve">integral quitação das Debêntures, o Agente Fiduciário poderá participar da estrutura acordada entre os Debenturistas como um prestador de serviços destes, devendo para tanto ser reavaliadas as </w:t>
      </w:r>
      <w:r w:rsidR="006558A7" w:rsidRPr="00A60A91">
        <w:rPr>
          <w:rFonts w:ascii="Trebuchet MS" w:hAnsi="Trebuchet MS" w:cs="Tahoma"/>
          <w:sz w:val="22"/>
          <w:szCs w:val="22"/>
        </w:rPr>
        <w:lastRenderedPageBreak/>
        <w:t>condições comerciais, caso os Debenturistas</w:t>
      </w:r>
      <w:bookmarkStart w:id="103" w:name="_Ref495594053"/>
      <w:r w:rsidR="006558A7" w:rsidRPr="00A60A91">
        <w:rPr>
          <w:rFonts w:ascii="Trebuchet MS" w:hAnsi="Trebuchet MS" w:cs="Tahoma"/>
          <w:sz w:val="22"/>
          <w:szCs w:val="22"/>
        </w:rPr>
        <w:t xml:space="preserve"> e o Agente Fiduciário assim decidam, não restando qualquer relação entre </w:t>
      </w:r>
      <w:bookmarkEnd w:id="103"/>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4" w:name="_Ref495594341"/>
      <w:bookmarkStart w:id="105"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04"/>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w:t>
      </w:r>
      <w:r w:rsidRPr="00A60A91">
        <w:rPr>
          <w:rFonts w:ascii="Trebuchet MS" w:hAnsi="Trebuchet MS" w:cs="Tahoma"/>
          <w:sz w:val="22"/>
          <w:szCs w:val="22"/>
        </w:rPr>
        <w:lastRenderedPageBreak/>
        <w:t>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5"/>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06" w:name="_DV_M211"/>
      <w:bookmarkEnd w:id="106"/>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7" w:name="_DV_M212"/>
      <w:bookmarkEnd w:id="107"/>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w:t>
      </w:r>
      <w:r w:rsidRPr="00A60A91">
        <w:rPr>
          <w:rFonts w:ascii="Trebuchet MS" w:hAnsi="Trebuchet MS" w:cs="Tahoma"/>
          <w:sz w:val="22"/>
          <w:szCs w:val="22"/>
        </w:rPr>
        <w:lastRenderedPageBreak/>
        <w:t>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8" w:name="_Ref495596651"/>
      <w:r w:rsidRPr="00A60A91">
        <w:rPr>
          <w:rFonts w:ascii="Trebuchet MS" w:hAnsi="Trebuchet MS" w:cs="Tahoma"/>
          <w:b/>
          <w:sz w:val="22"/>
          <w:szCs w:val="22"/>
        </w:rPr>
        <w:t>Encargos Moratórios</w:t>
      </w:r>
      <w:bookmarkEnd w:id="108"/>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9" w:name="_Ref422391862"/>
      <w:bookmarkStart w:id="110" w:name="_Ref491979942"/>
      <w:bookmarkStart w:id="111" w:name="_Ref497553343"/>
      <w:r w:rsidRPr="00A60A91">
        <w:rPr>
          <w:rFonts w:ascii="Trebuchet MS" w:hAnsi="Trebuchet MS" w:cs="Tahoma"/>
          <w:b/>
          <w:sz w:val="22"/>
          <w:szCs w:val="22"/>
        </w:rPr>
        <w:t>Eventos de Inadimplemento</w:t>
      </w:r>
      <w:bookmarkEnd w:id="109"/>
      <w:bookmarkEnd w:id="110"/>
      <w:bookmarkEnd w:id="111"/>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12" w:name="_DV_M147"/>
      <w:bookmarkStart w:id="113" w:name="_Ref422391983"/>
      <w:bookmarkEnd w:id="112"/>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3"/>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14"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4"/>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xml:space="preserve">, que, individualmente ou de forma agregada, ultrapasse o </w:t>
      </w:r>
      <w:r w:rsidRPr="00A60A91">
        <w:rPr>
          <w:rFonts w:ascii="Trebuchet MS" w:hAnsi="Trebuchet MS" w:cs="Tahoma"/>
        </w:rPr>
        <w:lastRenderedPageBreak/>
        <w:t>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15"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5"/>
    </w:p>
    <w:p w14:paraId="32718A6D" w14:textId="77777777" w:rsidR="00A255AF" w:rsidRPr="00A60A91" w:rsidRDefault="00A255AF" w:rsidP="0075275C">
      <w:pPr>
        <w:rPr>
          <w:rFonts w:ascii="Trebuchet MS" w:hAnsi="Trebuchet MS" w:cs="Tahoma"/>
          <w:sz w:val="22"/>
          <w:szCs w:val="22"/>
        </w:rPr>
      </w:pPr>
      <w:bookmarkStart w:id="116"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6"/>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17"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7"/>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18" w:name="_DV_M280"/>
      <w:bookmarkStart w:id="119" w:name="_DV_M287"/>
      <w:bookmarkStart w:id="120" w:name="_Ref436843003"/>
      <w:bookmarkEnd w:id="118"/>
      <w:bookmarkEnd w:id="119"/>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0"/>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1"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1"/>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xml:space="preserve"> de não ser alcançado o quórum mínimo </w:t>
      </w:r>
      <w:r w:rsidRPr="00A60A91">
        <w:rPr>
          <w:rStyle w:val="DeltaViewInsertion"/>
          <w:rFonts w:ascii="Trebuchet MS" w:hAnsi="Trebuchet MS" w:cs="Tahoma"/>
          <w:color w:val="auto"/>
          <w:sz w:val="22"/>
          <w:szCs w:val="22"/>
          <w:u w:val="none"/>
        </w:rPr>
        <w:lastRenderedPageBreak/>
        <w:t>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2" w:name="_DV_M189"/>
      <w:bookmarkStart w:id="123" w:name="_DV_M200"/>
      <w:bookmarkEnd w:id="122"/>
      <w:bookmarkEnd w:id="123"/>
    </w:p>
    <w:p w14:paraId="66ACA719" w14:textId="5AE1895D"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24"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lastRenderedPageBreak/>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25"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5"/>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842B01"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26"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6"/>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27"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7"/>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28" w:name="_Ref422392038"/>
      <w:bookmarkStart w:id="129"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8"/>
      <w:r w:rsidRPr="00A60A91">
        <w:rPr>
          <w:rFonts w:ascii="Trebuchet MS" w:hAnsi="Trebuchet MS" w:cs="Tahoma"/>
        </w:rPr>
        <w:t>;</w:t>
      </w:r>
      <w:bookmarkEnd w:id="129"/>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15858">
      <w:pPr>
        <w:pStyle w:val="ListaColorida-nfase12"/>
        <w:numPr>
          <w:ilvl w:val="0"/>
          <w:numId w:val="31"/>
        </w:numPr>
        <w:spacing w:after="0" w:line="300" w:lineRule="exact"/>
        <w:ind w:hanging="567"/>
        <w:jc w:val="both"/>
        <w:rPr>
          <w:rFonts w:ascii="Trebuchet MS" w:hAnsi="Trebuchet MS" w:cs="Tahoma"/>
        </w:rPr>
      </w:pPr>
      <w:bookmarkStart w:id="130"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0"/>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lastRenderedPageBreak/>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05C0B5D4"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40215B65"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E1C2D" w:rsidRPr="00A60A91">
        <w:rPr>
          <w:rFonts w:ascii="Trebuchet MS" w:hAnsi="Trebuchet MS" w:cs="Tahoma"/>
          <w:sz w:val="22"/>
          <w:szCs w:val="22"/>
        </w:rPr>
        <w:t>2</w:t>
      </w:r>
      <w:r w:rsidR="007E1C2D">
        <w:rPr>
          <w:rFonts w:ascii="Trebuchet MS" w:hAnsi="Trebuchet MS" w:cs="Tahoma"/>
          <w:sz w:val="22"/>
          <w:szCs w:val="22"/>
        </w:rPr>
        <w:t>4</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w:t>
      </w:r>
      <w:r w:rsidRPr="00A60A91">
        <w:rPr>
          <w:rFonts w:ascii="Trebuchet MS" w:hAnsi="Trebuchet MS" w:cs="Tahoma"/>
          <w:sz w:val="22"/>
          <w:szCs w:val="22"/>
        </w:rPr>
        <w:lastRenderedPageBreak/>
        <w:t>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4"/>
    <w:p w14:paraId="69C5FF46" w14:textId="71F2E39E" w:rsidR="005731AA"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47CA8">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0C7FACD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1"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1"/>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32"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2"/>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lastRenderedPageBreak/>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5"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 xml:space="preserve">Valor Mínimo da </w:t>
      </w:r>
      <w:r w:rsidRPr="00A60A91">
        <w:rPr>
          <w:rFonts w:ascii="Trebuchet MS" w:hAnsi="Trebuchet MS"/>
          <w:sz w:val="22"/>
          <w:szCs w:val="22"/>
          <w:u w:val="single"/>
        </w:rPr>
        <w:lastRenderedPageBreak/>
        <w:t>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3" w:name="_DV_M299"/>
      <w:bookmarkStart w:id="134" w:name="_DV_M300"/>
      <w:bookmarkStart w:id="135" w:name="_DV_M301"/>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3"/>
      <w:bookmarkStart w:id="145" w:name="_DV_M314"/>
      <w:bookmarkStart w:id="146" w:name="_DV_M214"/>
      <w:bookmarkStart w:id="147" w:name="_DV_M31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48"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48"/>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9" w:name="_Ref497554208"/>
      <w:bookmarkStart w:id="150" w:name="_Ref422392340"/>
      <w:r w:rsidRPr="00A60A91">
        <w:rPr>
          <w:rFonts w:ascii="Trebuchet MS" w:hAnsi="Trebuchet MS" w:cs="Tahoma"/>
          <w:sz w:val="22"/>
          <w:szCs w:val="22"/>
        </w:rPr>
        <w:t xml:space="preserve">As deliberações relativas </w:t>
      </w:r>
      <w:bookmarkStart w:id="151" w:name="_DV_C599"/>
      <w:r w:rsidRPr="00A60A91">
        <w:rPr>
          <w:rStyle w:val="DeltaViewDeletion"/>
          <w:rFonts w:ascii="Trebuchet MS" w:hAnsi="Trebuchet MS"/>
          <w:strike w:val="0"/>
          <w:color w:val="000000"/>
          <w:sz w:val="22"/>
          <w:szCs w:val="22"/>
        </w:rPr>
        <w:t xml:space="preserve">às seguintes </w:t>
      </w:r>
      <w:bookmarkStart w:id="152" w:name="_DV_M533"/>
      <w:bookmarkEnd w:id="151"/>
      <w:bookmarkEnd w:id="152"/>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49"/>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3" w:name="_DV_C605"/>
      <w:bookmarkStart w:id="154" w:name="_DV_X601"/>
      <w:r w:rsidRPr="00A60A91">
        <w:rPr>
          <w:rStyle w:val="DeltaViewMoveSource"/>
          <w:rFonts w:ascii="Trebuchet MS" w:hAnsi="Trebuchet MS" w:cs="Tahoma"/>
          <w:strike w:val="0"/>
          <w:color w:val="000000"/>
        </w:rPr>
        <w:t>modificação da Data de Vencimento das Debêntures</w:t>
      </w:r>
      <w:bookmarkStart w:id="155" w:name="_DV_C606"/>
      <w:bookmarkEnd w:id="153"/>
      <w:bookmarkEnd w:id="154"/>
      <w:r w:rsidRPr="00A60A91">
        <w:rPr>
          <w:rStyle w:val="DeltaViewDeletion"/>
          <w:rFonts w:ascii="Trebuchet MS" w:hAnsi="Trebuchet MS"/>
          <w:strike w:val="0"/>
          <w:color w:val="000000"/>
        </w:rPr>
        <w:t xml:space="preserve">; </w:t>
      </w:r>
    </w:p>
    <w:p w14:paraId="7A7A2AFA" w14:textId="23CB74B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55"/>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6"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6"/>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7"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0"/>
      <w:bookmarkEnd w:id="157"/>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8"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58"/>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lastRenderedPageBreak/>
        <w:t>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w:t>
      </w:r>
      <w:r w:rsidRPr="00A60A91">
        <w:rPr>
          <w:rFonts w:ascii="Trebuchet MS" w:hAnsi="Trebuchet MS" w:cs="Tahoma"/>
        </w:rPr>
        <w:lastRenderedPageBreak/>
        <w:t>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lastRenderedPageBreak/>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 xml:space="preserve">ou outras autoridades de sanções relevantes dos Estados Unidos, bem como pelas autoridades brasileiras, incluindo, sem limitação, o Ministério </w:t>
      </w:r>
      <w:r w:rsidR="00A578E8" w:rsidRPr="00A60A91">
        <w:rPr>
          <w:rFonts w:ascii="Trebuchet MS" w:hAnsi="Trebuchet MS" w:cs="Tahoma"/>
        </w:rPr>
        <w:lastRenderedPageBreak/>
        <w:t>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59" w:name="_Hlk32571528"/>
      <w:r w:rsidRPr="00A60A91">
        <w:rPr>
          <w:rFonts w:ascii="Trebuchet MS" w:eastAsia="MS Mincho" w:hAnsi="Trebuchet MS" w:cs="Tahoma"/>
          <w:b/>
          <w:sz w:val="22"/>
          <w:szCs w:val="22"/>
        </w:rPr>
        <w:lastRenderedPageBreak/>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0" w:name="_DV_M298"/>
      <w:bookmarkStart w:id="161" w:name="_DV_M203"/>
      <w:bookmarkStart w:id="162" w:name="_DV_M209"/>
      <w:bookmarkStart w:id="163" w:name="_DV_M216"/>
      <w:bookmarkStart w:id="164" w:name="_DV_M217"/>
      <w:bookmarkStart w:id="165" w:name="_DV_M218"/>
      <w:bookmarkStart w:id="166" w:name="_DV_M220"/>
      <w:bookmarkStart w:id="167" w:name="_Ref497571040"/>
      <w:bookmarkStart w:id="168" w:name="_Ref497578042"/>
      <w:bookmarkEnd w:id="160"/>
      <w:bookmarkEnd w:id="161"/>
      <w:bookmarkEnd w:id="162"/>
      <w:bookmarkEnd w:id="163"/>
      <w:bookmarkEnd w:id="164"/>
      <w:bookmarkEnd w:id="165"/>
      <w:bookmarkEnd w:id="166"/>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9"/>
      <w:r w:rsidRPr="00A60A91">
        <w:rPr>
          <w:rFonts w:ascii="Trebuchet MS" w:eastAsia="MS Mincho" w:hAnsi="Trebuchet MS" w:cs="Tahoma"/>
          <w:sz w:val="22"/>
          <w:szCs w:val="22"/>
        </w:rPr>
        <w:t>(inclusive):</w:t>
      </w:r>
      <w:bookmarkEnd w:id="167"/>
      <w:bookmarkEnd w:id="168"/>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69"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69"/>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0" w:name="_Hlk47127161"/>
      <w:bookmarkStart w:id="171"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0"/>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2" w:name="_Hlk47127253"/>
      <w:bookmarkEnd w:id="171"/>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2"/>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lastRenderedPageBreak/>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 xml:space="preserve">o relatório anual e demais comunicações </w:t>
      </w:r>
      <w:r w:rsidRPr="00A60A91">
        <w:rPr>
          <w:rFonts w:ascii="Trebuchet MS" w:hAnsi="Trebuchet MS" w:cs="Tahoma"/>
        </w:rPr>
        <w:lastRenderedPageBreak/>
        <w:t>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3" w:name="_DV_M270"/>
      <w:bookmarkStart w:id="174" w:name="_Ref168844079"/>
      <w:bookmarkEnd w:id="173"/>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4"/>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5"/>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6" w:name="_Toc499990371"/>
    </w:p>
    <w:p w14:paraId="7F35E659" w14:textId="77777777" w:rsidR="00250110" w:rsidRPr="00A60A91" w:rsidRDefault="00250110" w:rsidP="00250110">
      <w:pPr>
        <w:rPr>
          <w:rFonts w:ascii="Trebuchet MS" w:hAnsi="Trebuchet MS"/>
          <w:sz w:val="22"/>
          <w:szCs w:val="22"/>
        </w:rPr>
      </w:pPr>
    </w:p>
    <w:bookmarkEnd w:id="176"/>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7"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7"/>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w:t>
      </w:r>
      <w:r w:rsidRPr="00A60A91">
        <w:rPr>
          <w:rFonts w:ascii="Trebuchet MS" w:hAnsi="Trebuchet MS" w:cs="Tahoma"/>
          <w:sz w:val="22"/>
          <w:szCs w:val="22"/>
        </w:rPr>
        <w:lastRenderedPageBreak/>
        <w:t>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w:t>
      </w:r>
      <w:r w:rsidRPr="00A60A91">
        <w:rPr>
          <w:rFonts w:ascii="Trebuchet MS" w:hAnsi="Trebuchet MS" w:cs="Tahoma"/>
          <w:sz w:val="22"/>
          <w:szCs w:val="22"/>
        </w:rPr>
        <w:lastRenderedPageBreak/>
        <w:t xml:space="preserve">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8"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A remuneração do novo agente fiduciário será a mesma já prevista nesta Escritura de Emissão, salvo se outra for negociada com a Emissora e com os Debenturistas.</w:t>
      </w:r>
      <w:bookmarkEnd w:id="178"/>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79" w:name="_Ref436688380"/>
      <w:bookmarkStart w:id="180"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79"/>
      <w:bookmarkEnd w:id="180"/>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lastRenderedPageBreak/>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1"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1"/>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2" w:name="_Ref477873511"/>
      <w:r w:rsidRPr="00A60A91">
        <w:rPr>
          <w:rFonts w:ascii="Trebuchet MS" w:hAnsi="Trebuchet MS" w:cs="Tahoma"/>
          <w:sz w:val="22"/>
          <w:szCs w:val="22"/>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2"/>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3" w:name="_Ref436983621"/>
      <w:r w:rsidRPr="00A60A91">
        <w:rPr>
          <w:rFonts w:ascii="Trebuchet MS" w:hAnsi="Trebuchet MS" w:cs="Tahoma"/>
          <w:sz w:val="22"/>
          <w:szCs w:val="22"/>
        </w:rPr>
        <w:t xml:space="preserve">disponibilizar o relatório de que trata </w:t>
      </w:r>
      <w:bookmarkStart w:id="184" w:name="_DV_M311"/>
      <w:bookmarkStart w:id="185" w:name="_DV_M312"/>
      <w:bookmarkEnd w:id="184"/>
      <w:bookmarkEnd w:id="185"/>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3"/>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6"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6"/>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7"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7"/>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8" w:name="_Ref477873650"/>
      <w:r w:rsidRPr="00A60A91">
        <w:rPr>
          <w:rFonts w:ascii="Trebuchet MS" w:hAnsi="Trebuchet MS" w:cs="Tahoma"/>
          <w:sz w:val="22"/>
          <w:szCs w:val="22"/>
        </w:rPr>
        <w:t>tomar qualquer providência necessária para a realização dos créditos dos Debenturistas; e</w:t>
      </w:r>
      <w:bookmarkEnd w:id="188"/>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9"/>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w:t>
      </w:r>
      <w:r w:rsidRPr="00A60A91">
        <w:rPr>
          <w:rFonts w:ascii="Trebuchet MS" w:hAnsi="Trebuchet MS" w:cs="Tahoma"/>
          <w:sz w:val="22"/>
          <w:szCs w:val="22"/>
        </w:rPr>
        <w:lastRenderedPageBreak/>
        <w:t>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0"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0"/>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1" w:name="_DV_X471"/>
      <w:bookmarkStart w:id="192"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3" w:name="_DV_C423"/>
      <w:bookmarkEnd w:id="191"/>
      <w:bookmarkEnd w:id="192"/>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4" w:name="_DV_X465"/>
      <w:bookmarkStart w:id="195" w:name="_DV_C425"/>
      <w:bookmarkEnd w:id="193"/>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6" w:name="_DV_C426"/>
      <w:bookmarkEnd w:id="194"/>
      <w:bookmarkEnd w:id="195"/>
      <w:r w:rsidRPr="00A60A91">
        <w:rPr>
          <w:rFonts w:ascii="Trebuchet MS" w:hAnsi="Trebuchet MS" w:cs="Tahoma"/>
          <w:sz w:val="22"/>
          <w:szCs w:val="22"/>
        </w:rPr>
        <w:t>, vinculativa e eficaz</w:t>
      </w:r>
      <w:bookmarkStart w:id="197" w:name="_DV_X467"/>
      <w:bookmarkStart w:id="198" w:name="_DV_C427"/>
      <w:bookmarkEnd w:id="196"/>
      <w:r w:rsidRPr="00A60A91">
        <w:rPr>
          <w:rFonts w:ascii="Trebuchet MS" w:hAnsi="Trebuchet MS" w:cs="Tahoma"/>
          <w:sz w:val="22"/>
          <w:szCs w:val="22"/>
        </w:rPr>
        <w:t xml:space="preserve"> do Agente Fiduciário, exequível de acordo com os seus termos e condições;</w:t>
      </w:r>
      <w:bookmarkEnd w:id="197"/>
      <w:bookmarkEnd w:id="198"/>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A60A91" w:rsidRDefault="001F5AED"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199"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199"/>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0" w:name="_DV_M201"/>
      <w:bookmarkStart w:id="201" w:name="_DV_M419"/>
      <w:bookmarkStart w:id="202" w:name="_DV_M327"/>
      <w:bookmarkStart w:id="203" w:name="_DV_M328"/>
      <w:bookmarkStart w:id="204" w:name="_DV_M329"/>
      <w:bookmarkStart w:id="205" w:name="_DV_M330"/>
      <w:bookmarkStart w:id="206" w:name="_DV_M331"/>
      <w:bookmarkStart w:id="207" w:name="_DV_M332"/>
      <w:bookmarkEnd w:id="200"/>
      <w:bookmarkEnd w:id="201"/>
      <w:bookmarkEnd w:id="202"/>
      <w:bookmarkEnd w:id="203"/>
      <w:bookmarkEnd w:id="204"/>
      <w:bookmarkEnd w:id="205"/>
      <w:bookmarkEnd w:id="206"/>
      <w:bookmarkEnd w:id="207"/>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08" w:name="_DV_M436"/>
      <w:bookmarkEnd w:id="208"/>
    </w:p>
    <w:p w14:paraId="5BEA2C02" w14:textId="41A738E5" w:rsidR="001A28ED" w:rsidRPr="00A60A91" w:rsidRDefault="001A28ED">
      <w:pPr>
        <w:spacing w:line="300" w:lineRule="exact"/>
        <w:ind w:right="261"/>
        <w:rPr>
          <w:rFonts w:ascii="Trebuchet MS" w:hAnsi="Trebuchet MS" w:cs="Tahoma"/>
          <w:sz w:val="22"/>
          <w:szCs w:val="22"/>
        </w:rPr>
      </w:pPr>
      <w:bookmarkStart w:id="209" w:name="_DV_M416"/>
      <w:bookmarkEnd w:id="0"/>
      <w:bookmarkEnd w:id="209"/>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49502886"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Pr="00FC1E62">
        <w:rPr>
          <w:rFonts w:ascii="Trebuchet MS" w:hAnsi="Trebuchet MS" w:cs="Tahoma"/>
          <w:w w:val="0"/>
          <w:sz w:val="22"/>
          <w:szCs w:val="22"/>
          <w:highlight w:val="yellow"/>
        </w:rPr>
        <w:t>[●]</w:t>
      </w:r>
      <w:r w:rsidR="00586D72">
        <w:rPr>
          <w:rFonts w:ascii="Trebuchet MS" w:hAnsi="Trebuchet MS" w:cs="Tahoma"/>
          <w:w w:val="0"/>
          <w:sz w:val="22"/>
          <w:szCs w:val="22"/>
        </w:rPr>
        <w:t xml:space="preserve"> de outubro </w:t>
      </w:r>
      <w:r w:rsidRPr="007D17BD">
        <w:rPr>
          <w:rFonts w:ascii="Trebuchet MS" w:hAnsi="Trebuchet MS" w:cs="Tahoma"/>
          <w:w w:val="0"/>
          <w:sz w:val="22"/>
          <w:szCs w:val="22"/>
        </w:rPr>
        <w:t>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lastRenderedPageBreak/>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0" w:name="_Hlk51175946"/>
      <w:r w:rsidRPr="00A60A91">
        <w:rPr>
          <w:rFonts w:ascii="Trebuchet MS" w:hAnsi="Trebuchet MS" w:cs="Tahoma"/>
          <w:b/>
          <w:sz w:val="22"/>
          <w:szCs w:val="22"/>
        </w:rPr>
        <w:t>RELAÇÃO DAS CCB QUE COMPÕEM OS DIREITOS CREDITÓRIOS VINCULADOS</w:t>
      </w:r>
    </w:p>
    <w:bookmarkEnd w:id="210"/>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w:t>
      </w:r>
      <w:r w:rsidRPr="00C26E8D">
        <w:rPr>
          <w:rFonts w:ascii="Trebuchet MS" w:hAnsi="Trebuchet MS" w:cs="Tahoma"/>
          <w:bCs/>
          <w:sz w:val="22"/>
          <w:szCs w:val="22"/>
        </w:rPr>
        <w:lastRenderedPageBreak/>
        <w:t xml:space="preserve">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211" w:name="_Hlk51179383"/>
      <w:r>
        <w:rPr>
          <w:rFonts w:ascii="Trebuchet MS" w:hAnsi="Trebuchet MS" w:cs="Tahoma"/>
          <w:bCs/>
          <w:sz w:val="22"/>
          <w:szCs w:val="22"/>
        </w:rPr>
        <w:t>Emissora</w:t>
      </w:r>
      <w:bookmarkEnd w:id="211"/>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2"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2"/>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3" w:name="_Hlk51180455"/>
      <w:r>
        <w:rPr>
          <w:rFonts w:ascii="Trebuchet MS" w:hAnsi="Trebuchet MS" w:cs="Tahoma"/>
          <w:bCs/>
          <w:sz w:val="22"/>
          <w:szCs w:val="22"/>
        </w:rPr>
        <w:t>Emissora</w:t>
      </w:r>
      <w:bookmarkEnd w:id="213"/>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4"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4"/>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B4531">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B2011" w14:textId="77777777" w:rsidR="00842B01" w:rsidRDefault="00842B01">
      <w:r>
        <w:separator/>
      </w:r>
    </w:p>
  </w:endnote>
  <w:endnote w:type="continuationSeparator" w:id="0">
    <w:p w14:paraId="51861140" w14:textId="77777777" w:rsidR="00842B01" w:rsidRDefault="00842B01">
      <w:r>
        <w:continuationSeparator/>
      </w:r>
    </w:p>
  </w:endnote>
  <w:endnote w:type="continuationNotice" w:id="1">
    <w:p w14:paraId="764E81AD" w14:textId="77777777" w:rsidR="00842B01" w:rsidRDefault="0084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B83D" w14:textId="1A29967F" w:rsidR="00295214" w:rsidRDefault="00295214" w:rsidP="00A60A91">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295214" w:rsidRPr="001B72D0" w:rsidRDefault="00295214"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295214" w:rsidRPr="001B72D0" w:rsidRDefault="00295214"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295214" w:rsidRPr="000B4531" w:rsidRDefault="00295214" w:rsidP="000B4531">
    <w:pPr>
      <w:pStyle w:val="Rodap"/>
      <w:jc w:val="right"/>
      <w:rPr>
        <w:rFonts w:ascii="Trebuchet MS" w:hAnsi="Trebuchet MS"/>
        <w:sz w:val="16"/>
      </w:rPr>
    </w:pPr>
    <w:r>
      <w:rPr>
        <w:rFonts w:ascii="Trebuchet MS" w:hAnsi="Trebuchet MS"/>
        <w:sz w:val="16"/>
      </w:rPr>
      <w:t xml:space="preserve">Veirano - 7507242v1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6CAA" w14:textId="77777777" w:rsidR="00842B01" w:rsidRDefault="00842B01">
      <w:r>
        <w:separator/>
      </w:r>
    </w:p>
  </w:footnote>
  <w:footnote w:type="continuationSeparator" w:id="0">
    <w:p w14:paraId="1335268C" w14:textId="77777777" w:rsidR="00842B01" w:rsidRDefault="00842B01">
      <w:r>
        <w:continuationSeparator/>
      </w:r>
    </w:p>
  </w:footnote>
  <w:footnote w:type="continuationNotice" w:id="1">
    <w:p w14:paraId="2337924D" w14:textId="77777777" w:rsidR="00842B01" w:rsidRDefault="00842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295214" w:rsidRDefault="00295214"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295214" w:rsidRDefault="00295214" w:rsidP="00082C32">
    <w:pPr>
      <w:pStyle w:val="Cabealho"/>
      <w:ind w:right="261"/>
      <w:jc w:val="right"/>
      <w:rPr>
        <w:rFonts w:ascii="Trebuchet MS" w:hAnsi="Trebuchet MS"/>
        <w:b/>
        <w:bCs/>
        <w:sz w:val="22"/>
        <w:szCs w:val="22"/>
      </w:rPr>
    </w:pPr>
  </w:p>
  <w:p w14:paraId="74A04C92" w14:textId="3781D76C" w:rsidR="00295214" w:rsidRDefault="00295214" w:rsidP="00082C32">
    <w:pPr>
      <w:pStyle w:val="Cabealho"/>
      <w:ind w:right="261"/>
      <w:jc w:val="right"/>
      <w:rPr>
        <w:rFonts w:ascii="Trebuchet MS" w:hAnsi="Trebuchet MS"/>
        <w:b/>
        <w:bCs/>
        <w:sz w:val="22"/>
        <w:szCs w:val="22"/>
      </w:rPr>
    </w:pPr>
    <w:r>
      <w:rPr>
        <w:rFonts w:ascii="Trebuchet MS" w:hAnsi="Trebuchet MS"/>
        <w:b/>
        <w:bCs/>
        <w:sz w:val="22"/>
        <w:szCs w:val="22"/>
      </w:rPr>
      <w:t>Minuta VA</w:t>
    </w:r>
  </w:p>
  <w:p w14:paraId="32D53C01" w14:textId="3A01C127" w:rsidR="00295214" w:rsidRDefault="00893344" w:rsidP="0002267D">
    <w:pPr>
      <w:pStyle w:val="Cabealho"/>
      <w:ind w:right="261"/>
      <w:jc w:val="right"/>
      <w:rPr>
        <w:rFonts w:ascii="Trebuchet MS" w:hAnsi="Trebuchet MS"/>
        <w:b/>
        <w:bCs/>
        <w:sz w:val="22"/>
        <w:szCs w:val="22"/>
      </w:rPr>
    </w:pPr>
    <w:r>
      <w:rPr>
        <w:rFonts w:ascii="Trebuchet MS" w:hAnsi="Trebuchet MS"/>
        <w:b/>
        <w:bCs/>
        <w:sz w:val="22"/>
        <w:szCs w:val="22"/>
      </w:rPr>
      <w:t>0</w:t>
    </w:r>
    <w:r w:rsidR="00586D72">
      <w:rPr>
        <w:rFonts w:ascii="Trebuchet MS" w:hAnsi="Trebuchet MS"/>
        <w:b/>
        <w:bCs/>
        <w:sz w:val="22"/>
        <w:szCs w:val="22"/>
      </w:rPr>
      <w:t>6</w:t>
    </w:r>
    <w:r w:rsidR="00295214">
      <w:rPr>
        <w:rFonts w:ascii="Trebuchet MS" w:hAnsi="Trebuchet MS"/>
        <w:b/>
        <w:bCs/>
        <w:sz w:val="22"/>
        <w:szCs w:val="22"/>
      </w:rPr>
      <w:t>.10.2020</w:t>
    </w:r>
  </w:p>
  <w:p w14:paraId="515E80BE" w14:textId="77777777" w:rsidR="00295214" w:rsidRPr="00B169F5" w:rsidRDefault="00295214"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8"/>
  </w:num>
  <w:num w:numId="3">
    <w:abstractNumId w:val="19"/>
  </w:num>
  <w:num w:numId="4">
    <w:abstractNumId w:val="11"/>
  </w:num>
  <w:num w:numId="5">
    <w:abstractNumId w:val="32"/>
  </w:num>
  <w:num w:numId="6">
    <w:abstractNumId w:val="37"/>
  </w:num>
  <w:num w:numId="7">
    <w:abstractNumId w:val="10"/>
  </w:num>
  <w:num w:numId="8">
    <w:abstractNumId w:val="14"/>
  </w:num>
  <w:num w:numId="9">
    <w:abstractNumId w:val="36"/>
  </w:num>
  <w:num w:numId="10">
    <w:abstractNumId w:val="0"/>
  </w:num>
  <w:num w:numId="11">
    <w:abstractNumId w:val="7"/>
  </w:num>
  <w:num w:numId="12">
    <w:abstractNumId w:val="16"/>
  </w:num>
  <w:num w:numId="13">
    <w:abstractNumId w:val="21"/>
  </w:num>
  <w:num w:numId="14">
    <w:abstractNumId w:val="18"/>
  </w:num>
  <w:num w:numId="15">
    <w:abstractNumId w:val="35"/>
  </w:num>
  <w:num w:numId="16">
    <w:abstractNumId w:val="28"/>
  </w:num>
  <w:num w:numId="17">
    <w:abstractNumId w:val="40"/>
  </w:num>
  <w:num w:numId="18">
    <w:abstractNumId w:val="39"/>
  </w:num>
  <w:num w:numId="19">
    <w:abstractNumId w:val="17"/>
  </w:num>
  <w:num w:numId="20">
    <w:abstractNumId w:val="29"/>
  </w:num>
  <w:num w:numId="21">
    <w:abstractNumId w:val="1"/>
  </w:num>
  <w:num w:numId="22">
    <w:abstractNumId w:val="4"/>
  </w:num>
  <w:num w:numId="23">
    <w:abstractNumId w:val="6"/>
  </w:num>
  <w:num w:numId="24">
    <w:abstractNumId w:val="9"/>
  </w:num>
  <w:num w:numId="25">
    <w:abstractNumId w:val="20"/>
  </w:num>
  <w:num w:numId="26">
    <w:abstractNumId w:val="34"/>
  </w:num>
  <w:num w:numId="27">
    <w:abstractNumId w:val="25"/>
  </w:num>
  <w:num w:numId="28">
    <w:abstractNumId w:val="23"/>
  </w:num>
  <w:num w:numId="29">
    <w:abstractNumId w:val="22"/>
  </w:num>
  <w:num w:numId="30">
    <w:abstractNumId w:val="31"/>
  </w:num>
  <w:num w:numId="31">
    <w:abstractNumId w:val="27"/>
  </w:num>
  <w:num w:numId="32">
    <w:abstractNumId w:val="30"/>
  </w:num>
  <w:num w:numId="33">
    <w:abstractNumId w:val="13"/>
  </w:num>
  <w:num w:numId="34">
    <w:abstractNumId w:val="33"/>
  </w:num>
  <w:num w:numId="35">
    <w:abstractNumId w:val="12"/>
  </w:num>
  <w:num w:numId="36">
    <w:abstractNumId w:val="15"/>
  </w:num>
  <w:num w:numId="37">
    <w:abstractNumId w:val="26"/>
  </w:num>
  <w:num w:numId="38">
    <w:abstractNumId w:val="5"/>
  </w:num>
  <w:num w:numId="39">
    <w:abstractNumId w:val="2"/>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52AC"/>
    <w:rsid w:val="000F74EE"/>
    <w:rsid w:val="00103C2B"/>
    <w:rsid w:val="0010660A"/>
    <w:rsid w:val="00106C10"/>
    <w:rsid w:val="001105BC"/>
    <w:rsid w:val="0011225E"/>
    <w:rsid w:val="00114EFF"/>
    <w:rsid w:val="0011566C"/>
    <w:rsid w:val="0011789A"/>
    <w:rsid w:val="00120841"/>
    <w:rsid w:val="00127276"/>
    <w:rsid w:val="001342FE"/>
    <w:rsid w:val="00135987"/>
    <w:rsid w:val="00136C69"/>
    <w:rsid w:val="00136E3D"/>
    <w:rsid w:val="0014132C"/>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FD7"/>
    <w:rsid w:val="001C0E44"/>
    <w:rsid w:val="001C3738"/>
    <w:rsid w:val="001C4987"/>
    <w:rsid w:val="001C544A"/>
    <w:rsid w:val="001C5D39"/>
    <w:rsid w:val="001C72CC"/>
    <w:rsid w:val="001C7444"/>
    <w:rsid w:val="001D14C2"/>
    <w:rsid w:val="001D1B6E"/>
    <w:rsid w:val="001D358D"/>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17E5D"/>
    <w:rsid w:val="003204D3"/>
    <w:rsid w:val="00321F3F"/>
    <w:rsid w:val="00322BD8"/>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601E8"/>
    <w:rsid w:val="005622DD"/>
    <w:rsid w:val="00563A0F"/>
    <w:rsid w:val="005649B1"/>
    <w:rsid w:val="005731AA"/>
    <w:rsid w:val="0057333B"/>
    <w:rsid w:val="00577BAE"/>
    <w:rsid w:val="005854FD"/>
    <w:rsid w:val="00585D8A"/>
    <w:rsid w:val="00586D72"/>
    <w:rsid w:val="00587C45"/>
    <w:rsid w:val="00592A10"/>
    <w:rsid w:val="005957A3"/>
    <w:rsid w:val="00595E0F"/>
    <w:rsid w:val="005A0C9E"/>
    <w:rsid w:val="005A5D15"/>
    <w:rsid w:val="005A6814"/>
    <w:rsid w:val="005B0012"/>
    <w:rsid w:val="005B4B12"/>
    <w:rsid w:val="005B4EBE"/>
    <w:rsid w:val="005B52B1"/>
    <w:rsid w:val="005C09EC"/>
    <w:rsid w:val="005C0FBB"/>
    <w:rsid w:val="005D598E"/>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2B29"/>
    <w:rsid w:val="007C39BB"/>
    <w:rsid w:val="007C4D1C"/>
    <w:rsid w:val="007D0361"/>
    <w:rsid w:val="007D07DB"/>
    <w:rsid w:val="007D16F8"/>
    <w:rsid w:val="007D17BD"/>
    <w:rsid w:val="007D2D3B"/>
    <w:rsid w:val="007D53BC"/>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2E2C"/>
    <w:rsid w:val="00A371D8"/>
    <w:rsid w:val="00A40A46"/>
    <w:rsid w:val="00A461C0"/>
    <w:rsid w:val="00A5079A"/>
    <w:rsid w:val="00A5344F"/>
    <w:rsid w:val="00A5649C"/>
    <w:rsid w:val="00A57103"/>
    <w:rsid w:val="00A578E8"/>
    <w:rsid w:val="00A60A91"/>
    <w:rsid w:val="00A65BD9"/>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4CB5"/>
    <w:rsid w:val="00B1634E"/>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C8A"/>
    <w:rsid w:val="00C118BF"/>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46210"/>
    <w:rsid w:val="00E47A01"/>
    <w:rsid w:val="00E52484"/>
    <w:rsid w:val="00E53E5B"/>
    <w:rsid w:val="00E60EEA"/>
    <w:rsid w:val="00E61FA4"/>
    <w:rsid w:val="00E64022"/>
    <w:rsid w:val="00E65396"/>
    <w:rsid w:val="00E66AA5"/>
    <w:rsid w:val="00E71FD8"/>
    <w:rsid w:val="00E74253"/>
    <w:rsid w:val="00E75404"/>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9C66-356C-4FE3-869C-533FF88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31686</Words>
  <Characters>171110</Characters>
  <Application>Microsoft Office Word</Application>
  <DocSecurity>0</DocSecurity>
  <Lines>1425</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6</cp:revision>
  <cp:lastPrinted>2020-04-14T14:42:00Z</cp:lastPrinted>
  <dcterms:created xsi:type="dcterms:W3CDTF">2020-10-06T19:46:00Z</dcterms:created>
  <dcterms:modified xsi:type="dcterms:W3CDTF">2020-10-07T00:04:00Z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- 7507242v1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