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bookmarkStart w:id="0" w:name="_GoBack"/>
      <w:bookmarkEnd w:id="0"/>
    </w:p>
    <w:p w14:paraId="736DCD08" w14:textId="6CD818FD"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1" w:name="_DV_C5"/>
      <w:r w:rsidRPr="001F4BDE">
        <w:rPr>
          <w:rFonts w:ascii="Verdana" w:hAnsi="Verdana" w:cs="Tahoma"/>
          <w:b/>
          <w:smallCaps/>
          <w:lang w:val="pt-BR"/>
        </w:rPr>
        <w:t xml:space="preserve">Simples, </w:t>
      </w:r>
      <w:bookmarkStart w:id="2" w:name="_DV_M1"/>
      <w:bookmarkEnd w:id="1"/>
      <w:bookmarkEnd w:id="2"/>
      <w:r w:rsidRPr="001F4BDE">
        <w:rPr>
          <w:rFonts w:ascii="Verdana" w:hAnsi="Verdana" w:cs="Tahoma"/>
          <w:b/>
          <w:smallCaps/>
          <w:lang w:val="pt-BR"/>
        </w:rPr>
        <w:t xml:space="preserve">Não Conversíveis em Ações, </w:t>
      </w:r>
      <w:bookmarkStart w:id="3"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4" w:name="_DV_M2"/>
      <w:bookmarkEnd w:id="3"/>
      <w:bookmarkEnd w:id="4"/>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5" w:name="_DV_C27"/>
      <w:r w:rsidRPr="001F4BDE">
        <w:rPr>
          <w:rFonts w:ascii="Verdana" w:hAnsi="Verdana" w:cs="Tahoma"/>
          <w:sz w:val="20"/>
          <w:lang w:val="pt-BR"/>
        </w:rPr>
        <w:t xml:space="preserve"> das</w:t>
      </w:r>
      <w:bookmarkStart w:id="6" w:name="_DV_M27"/>
      <w:bookmarkEnd w:id="5"/>
      <w:bookmarkEnd w:id="6"/>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 xml:space="preserve">à </w:t>
      </w:r>
      <w:r w:rsidR="0025102B" w:rsidRPr="001F4BDE">
        <w:rPr>
          <w:rFonts w:ascii="Verdana" w:hAnsi="Verdana" w:cs="Tahoma"/>
          <w:sz w:val="20"/>
          <w:lang w:val="pt-BR"/>
        </w:rPr>
        <w:lastRenderedPageBreak/>
        <w:t>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31DF40CD"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BF0037"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BF0037">
        <w:rPr>
          <w:rFonts w:ascii="Verdana" w:hAnsi="Verdana" w:cs="Tahoma"/>
          <w:b/>
          <w:bCs/>
          <w:sz w:val="20"/>
          <w:highlight w:val="yellow"/>
          <w:lang w:val="pt-BR"/>
        </w:rPr>
        <w:t>.</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2B7E401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015F1C"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015F1C"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xml:space="preserve">), que deverá ser registrado no competente Cartório de Títulos e Documentos, conforme determinado no respectivo </w:t>
      </w:r>
      <w:r w:rsidR="002C7E50" w:rsidRPr="001F4BDE">
        <w:rPr>
          <w:rFonts w:ascii="Verdana" w:hAnsi="Verdana" w:cs="Tahoma"/>
          <w:sz w:val="20"/>
          <w:lang w:val="pt-BR"/>
        </w:rPr>
        <w:lastRenderedPageBreak/>
        <w:t>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objeto social a prestação de serviços de transporte metroviário no Rio de Janeiro, conforme </w:t>
      </w:r>
      <w:r w:rsidRPr="001F4BDE">
        <w:rPr>
          <w:rFonts w:ascii="Verdana" w:hAnsi="Verdana" w:cs="Tahoma"/>
          <w:sz w:val="20"/>
          <w:lang w:val="pt-BR"/>
        </w:rPr>
        <w:lastRenderedPageBreak/>
        <w:t>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79C6D740"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w:t>
      </w:r>
      <w:r w:rsidR="00E752FF" w:rsidRPr="001F4BDE">
        <w:rPr>
          <w:rFonts w:ascii="Verdana" w:hAnsi="Verdana" w:cs="Tahoma"/>
          <w:sz w:val="20"/>
          <w:lang w:val="pt-BR"/>
        </w:rPr>
        <w:t xml:space="preserve">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4ED2513F"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 xml:space="preserve">Quantidade de Debêntures. </w:t>
      </w:r>
      <w:r w:rsidRPr="001F4BDE">
        <w:rPr>
          <w:rFonts w:ascii="Verdana" w:hAnsi="Verdana" w:cs="Tahoma"/>
          <w:sz w:val="20"/>
          <w:lang w:val="pt-BR"/>
        </w:rPr>
        <w:t xml:space="preserve">Serão emitidas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 (um milhão e </w:t>
      </w:r>
      <w:r w:rsidR="0091297D" w:rsidRPr="001F4BDE">
        <w:rPr>
          <w:rFonts w:ascii="Verdana" w:hAnsi="Verdana" w:cs="Tahoma"/>
          <w:sz w:val="20"/>
          <w:lang w:val="pt-BR"/>
        </w:rPr>
        <w:t>duzentas</w:t>
      </w:r>
      <w:r w:rsidR="009C75A3" w:rsidRPr="001F4BDE">
        <w:rPr>
          <w:rFonts w:ascii="Verdana" w:hAnsi="Verdana" w:cs="Tahoma"/>
          <w:sz w:val="20"/>
          <w:lang w:val="pt-BR"/>
        </w:rPr>
        <w:t xml:space="preserve"> mil) </w:t>
      </w:r>
      <w:r w:rsidRPr="001F4BDE">
        <w:rPr>
          <w:rFonts w:ascii="Verdana" w:hAnsi="Verdana" w:cs="Tahoma"/>
          <w:sz w:val="20"/>
          <w:lang w:val="pt-BR"/>
        </w:rPr>
        <w:t>Debêntures</w:t>
      </w:r>
      <w:r w:rsidR="007E7B24">
        <w:rPr>
          <w:rFonts w:ascii="Verdana" w:hAnsi="Verdana" w:cs="Tahoma"/>
          <w:sz w:val="20"/>
          <w:lang w:val="pt-BR"/>
        </w:rPr>
        <w:t xml:space="preserve">, </w:t>
      </w:r>
      <w:r w:rsidR="00531F2B" w:rsidRPr="00531F2B">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531F2B">
        <w:rPr>
          <w:rFonts w:ascii="Verdana" w:hAnsi="Verdana" w:cs="Tahoma"/>
          <w:bCs/>
          <w:sz w:val="20"/>
          <w:u w:val="single"/>
          <w:lang w:val="pt-BR"/>
        </w:rPr>
        <w:t>Instrução CVM 400</w:t>
      </w:r>
      <w:r w:rsidR="00531F2B" w:rsidRPr="00531F2B">
        <w:rPr>
          <w:rFonts w:ascii="Verdana" w:hAnsi="Verdana" w:cs="Tahoma"/>
          <w:sz w:val="20"/>
          <w:lang w:val="pt-BR"/>
        </w:rPr>
        <w:t>”), a ser organizado pelos Coordenadores (“</w:t>
      </w:r>
      <w:r w:rsidR="00531F2B" w:rsidRPr="00531F2B">
        <w:rPr>
          <w:rFonts w:ascii="Verdana" w:hAnsi="Verdana" w:cs="Tahoma"/>
          <w:bCs/>
          <w:sz w:val="20"/>
          <w:u w:val="single"/>
          <w:lang w:val="pt-BR"/>
        </w:rPr>
        <w:t xml:space="preserve">Procedimento de </w:t>
      </w:r>
      <w:r w:rsidR="00531F2B" w:rsidRPr="00531F2B">
        <w:rPr>
          <w:rFonts w:ascii="Verdana" w:hAnsi="Verdana" w:cs="Tahoma"/>
          <w:bCs/>
          <w:i/>
          <w:sz w:val="20"/>
          <w:u w:val="single"/>
          <w:lang w:val="pt-BR"/>
        </w:rPr>
        <w:t>Bookbuilding</w:t>
      </w:r>
      <w:r w:rsidR="00531F2B" w:rsidRPr="00531F2B">
        <w:rPr>
          <w:rFonts w:ascii="Verdana" w:hAnsi="Verdana" w:cs="Tahoma"/>
          <w:sz w:val="20"/>
          <w:lang w:val="pt-BR"/>
        </w:rPr>
        <w:t>”).</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7"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7"/>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891A7B"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8"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(“Projeto”).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lastRenderedPageBreak/>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015F1C"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194C10A2"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R$ 1.300.000.000,00 (um bilhão e trezentos milhões de reais)</w:t>
            </w:r>
          </w:p>
        </w:tc>
      </w:tr>
      <w:tr w:rsidR="00005C67" w:rsidRPr="00015F1C"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3243E1B"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 xml:space="preserve">R$ </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015F1C"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052E4272"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 realizados em período igual ou inferior a 24 (vinte e quatro) meses da data de encerramento da Oferta Restrita.</w:t>
            </w:r>
          </w:p>
        </w:tc>
      </w:tr>
      <w:tr w:rsidR="00005C67" w:rsidRPr="00015F1C"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Percentual 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8"/>
    </w:tbl>
    <w:p w14:paraId="5C722FF1" w14:textId="77777777" w:rsidR="00005C67" w:rsidRPr="001F4BDE" w:rsidRDefault="00005C67" w:rsidP="00456C13">
      <w:pPr>
        <w:spacing w:line="300" w:lineRule="exact"/>
        <w:rPr>
          <w:rFonts w:ascii="Verdana" w:hAnsi="Verdana"/>
          <w:sz w:val="20"/>
          <w:lang w:val="pt-BR"/>
        </w:rPr>
      </w:pPr>
    </w:p>
    <w:p w14:paraId="23A61CC0" w14:textId="0874D51E"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9" w:name="_DV_M70"/>
      <w:bookmarkStart w:id="10" w:name="_DV_M72"/>
      <w:bookmarkStart w:id="11" w:name="_DV_M73"/>
      <w:bookmarkEnd w:id="9"/>
      <w:bookmarkEnd w:id="10"/>
      <w:bookmarkEnd w:id="11"/>
      <w:r w:rsidRPr="001F4BDE">
        <w:rPr>
          <w:rFonts w:ascii="Verdana" w:hAnsi="Verdana" w:cs="Tahoma"/>
          <w:sz w:val="20"/>
          <w:lang w:val="pt-BR"/>
        </w:rPr>
        <w:lastRenderedPageBreak/>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005C67" w:rsidRPr="001F4BDE">
        <w:rPr>
          <w:rFonts w:ascii="Verdana" w:hAnsi="Verdana" w:cs="Tahoma"/>
          <w:sz w:val="20"/>
          <w:lang w:val="pt-BR"/>
        </w:rPr>
        <w:t xml:space="preserve">[-], [qualificação]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 xml:space="preserve">). </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2"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2"/>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xml:space="preserve">, devido nos termos desta Escritura de Emissão, acrescido da Remuneração (conforme abaixo definida) e dos Encargos Moratórios (conforme abaixo definido), conforme aplicável, bem como das demais obrigações pecuniárias </w:t>
      </w:r>
      <w:r w:rsidR="005D3918" w:rsidRPr="001F4BDE">
        <w:rPr>
          <w:rFonts w:ascii="Verdana" w:hAnsi="Verdana" w:cs="Tahoma"/>
          <w:sz w:val="20"/>
          <w:lang w:val="pt-BR"/>
        </w:rPr>
        <w:lastRenderedPageBreak/>
        <w:t>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5F3018B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Pr="001F4BDE">
        <w:rPr>
          <w:rFonts w:ascii="Verdana" w:hAnsi="Verdana"/>
          <w:color w:val="000000"/>
          <w:sz w:val="20"/>
          <w:lang w:val="pt-BR"/>
        </w:rPr>
        <w:t>suas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533090EC"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Pr="001F4BDE">
        <w:rPr>
          <w:rFonts w:ascii="Verdana" w:hAnsi="Verdana"/>
          <w:color w:val="000000"/>
          <w:sz w:val="20"/>
          <w:lang w:val="pt-BR"/>
        </w:rPr>
        <w:t>receitas acessórias provenientes da prestação de serviços referentes à locação de espaços, publicidade, entre outros, 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42A8DCE3"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todos os direitos emergentes do Contrato de Concessão, 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0C4ACEF2"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lastRenderedPageBreak/>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0E4AFB9C"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3869AB" w:rsidRPr="00703100">
        <w:rPr>
          <w:rFonts w:ascii="Verdana" w:hAnsi="Verdana"/>
          <w:color w:val="000000"/>
          <w:sz w:val="20"/>
          <w:lang w:val="pt-BR"/>
        </w:rPr>
        <w:t xml:space="preserve">, o que 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0E062A" w:rsidRPr="003869AB">
        <w:rPr>
          <w:rFonts w:ascii="Verdana" w:hAnsi="Verdana"/>
          <w:color w:val="000000"/>
          <w:sz w:val="20"/>
          <w:lang w:val="pt-BR"/>
        </w:rPr>
        <w:t xml:space="preserve"> </w:t>
      </w:r>
      <w:bookmarkStart w:id="13"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r w:rsidR="000E062A" w:rsidRPr="003869AB">
        <w:rPr>
          <w:rFonts w:ascii="Verdana" w:hAnsi="Verdana"/>
          <w:color w:val="000000"/>
          <w:sz w:val="20"/>
          <w:lang w:val="pt-BR"/>
        </w:rPr>
        <w:t xml:space="preserve">Simplific Pavarini Distribuidora de Títulos e Valores Mobiliários Ltda, nos termos do Instrumento Particular de Contrato de Cessão Fiduciária de Direitos Creditórios e Outras Avenças, celebrado no âmbito da 8ª emissão de debêntures da Emissora </w:t>
      </w:r>
      <w:bookmarkEnd w:id="13"/>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703100" w:rsidRPr="00703100">
        <w:rPr>
          <w:rFonts w:ascii="Verdana" w:hAnsi="Verdana"/>
          <w:color w:val="000000"/>
          <w:sz w:val="20"/>
          <w:lang w:val="pt-BR"/>
        </w:rPr>
        <w:t xml:space="preserve"> o que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00A53A5E">
        <w:rPr>
          <w:rFonts w:ascii="Verdana" w:hAnsi="Verdana"/>
          <w:color w:val="000000"/>
          <w:sz w:val="20"/>
          <w:lang w:val="pt-BR"/>
        </w:rPr>
        <w:t xml:space="preserve"> e (</w:t>
      </w:r>
      <w:proofErr w:type="spellStart"/>
      <w:r w:rsidR="00A53A5E">
        <w:rPr>
          <w:rFonts w:ascii="Verdana" w:hAnsi="Verdana"/>
          <w:color w:val="000000"/>
          <w:sz w:val="20"/>
          <w:lang w:val="pt-BR"/>
        </w:rPr>
        <w:t>iii</w:t>
      </w:r>
      <w:proofErr w:type="spellEnd"/>
      <w:r w:rsidR="00A53A5E">
        <w:rPr>
          <w:rFonts w:ascii="Verdana" w:hAnsi="Verdana"/>
          <w:color w:val="000000"/>
          <w:sz w:val="20"/>
          <w:lang w:val="pt-BR"/>
        </w:rPr>
        <w:t>) Pentágono S.A. Distribuidora de Títulos e Valores Mobiliários</w:t>
      </w:r>
      <w:r w:rsidR="0028569A">
        <w:rPr>
          <w:rFonts w:ascii="Verdana" w:hAnsi="Verdana"/>
          <w:color w:val="000000"/>
          <w:sz w:val="20"/>
          <w:lang w:val="pt-BR"/>
        </w:rPr>
        <w:t xml:space="preserve">, nos termos </w:t>
      </w:r>
      <w:r w:rsidR="002A5D8F">
        <w:rPr>
          <w:rFonts w:ascii="Verdana" w:hAnsi="Verdana"/>
          <w:color w:val="000000"/>
          <w:sz w:val="20"/>
          <w:lang w:val="pt-BR"/>
        </w:rPr>
        <w:t xml:space="preserve">da </w:t>
      </w:r>
      <w:r w:rsidR="002A5D8F" w:rsidRPr="00AC1BCC">
        <w:rPr>
          <w:rFonts w:ascii="Verdana" w:hAnsi="Verdana"/>
          <w:color w:val="000000"/>
          <w:sz w:val="20"/>
          <w:lang w:val="pt-BR"/>
        </w:rPr>
        <w:t>2ª emissão privada de debêntures da Linha Amarela S.A. – LAMSA</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239C932F"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lastRenderedPageBreak/>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reporte anual, durante a vigência das Debêntures, dos benefícios ambientais auferidos pelo </w:t>
      </w:r>
      <w:r w:rsidR="001E3157">
        <w:rPr>
          <w:rFonts w:ascii="Verdana" w:hAnsi="Verdana" w:cs="Tahoma"/>
          <w:iCs/>
          <w:sz w:val="20"/>
          <w:lang w:val="pt-BR"/>
        </w:rPr>
        <w:t>P</w:t>
      </w:r>
      <w:r w:rsidRPr="001F4BDE">
        <w:rPr>
          <w:rFonts w:ascii="Verdana" w:hAnsi="Verdana" w:cs="Tahoma"/>
          <w:iCs/>
          <w:sz w:val="20"/>
          <w:lang w:val="pt-BR"/>
        </w:rPr>
        <w:t>rojeto conforme indicadores definidos no Parecer;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31517FC1" w:rsidR="002256F8" w:rsidRPr="001F4BDE" w:rsidRDefault="002256F8" w:rsidP="002256F8">
      <w:pPr>
        <w:spacing w:line="300" w:lineRule="exact"/>
        <w:rPr>
          <w:rFonts w:ascii="Verdana" w:hAnsi="Verdana" w:cs="Tahoma"/>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440C86">
        <w:rPr>
          <w:rFonts w:ascii="Verdana" w:hAnsi="Verdana" w:cs="Tahoma"/>
          <w:iCs/>
          <w:sz w:val="20"/>
          <w:lang w:val="pt-BR"/>
        </w:rPr>
        <w:t>No prazo de até 1 (um) ano a contar da Data de Emissão, a</w:t>
      </w:r>
      <w:r w:rsidR="003869A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3869A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4" w:name="_DV_M62"/>
      <w:bookmarkEnd w:id="14"/>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5" w:name="_DV_M97"/>
      <w:bookmarkEnd w:id="15"/>
      <w:r w:rsidRPr="001F4BDE">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xml:space="preserve">”),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w:t>
      </w:r>
      <w:r w:rsidRPr="001F4BDE">
        <w:rPr>
          <w:rFonts w:ascii="Verdana" w:hAnsi="Verdana" w:cs="Tahoma"/>
          <w:sz w:val="20"/>
          <w:lang w:val="pt-BR"/>
        </w:rPr>
        <w:lastRenderedPageBreak/>
        <w:t>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2913AAC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3869AB">
        <w:rPr>
          <w:rFonts w:ascii="Verdana" w:hAnsi="Verdana" w:cs="Tahoma"/>
          <w:sz w:val="20"/>
          <w:lang w:val="pt-BR"/>
        </w:rPr>
        <w:t>15 de dezembro</w:t>
      </w:r>
      <w:r w:rsidR="000C2F99" w:rsidRPr="001F4BDE">
        <w:rPr>
          <w:rFonts w:ascii="Verdana" w:hAnsi="Verdana" w:cs="Tahoma"/>
          <w:sz w:val="20"/>
          <w:lang w:val="pt-BR"/>
        </w:rPr>
        <w:t xml:space="preserve"> de 2020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4.3.</w:t>
      </w:r>
      <w:r w:rsidRPr="001F4BDE">
        <w:rPr>
          <w:rFonts w:ascii="Verdana" w:hAnsi="Verdana" w:cs="Tahoma"/>
          <w:sz w:val="20"/>
          <w:lang w:val="pt-BR"/>
        </w:rPr>
        <w:tab/>
      </w:r>
      <w:r w:rsidRPr="001F4BDE">
        <w:rPr>
          <w:rFonts w:ascii="Verdana" w:hAnsi="Verdana" w:cs="Tahoma"/>
          <w:i/>
          <w:sz w:val="20"/>
          <w:lang w:val="pt-BR"/>
        </w:rPr>
        <w:t xml:space="preserve">Valor Nominal Unitário. </w:t>
      </w:r>
      <w:r w:rsidRPr="001F4BDE">
        <w:rPr>
          <w:rFonts w:ascii="Verdana" w:hAnsi="Verdana" w:cs="Tahoma"/>
          <w:sz w:val="20"/>
          <w:lang w:val="pt-BR"/>
        </w:rPr>
        <w:t>O valor nominal unitário das Debêntures, na Data de Emissão, será de R</w:t>
      </w:r>
      <w:r w:rsidR="00BF758B" w:rsidRPr="001F4BDE">
        <w:rPr>
          <w:rFonts w:ascii="Verdana" w:hAnsi="Verdana" w:cs="Tahoma"/>
          <w:sz w:val="20"/>
          <w:lang w:val="pt-BR"/>
        </w:rPr>
        <w:t xml:space="preserve">$ </w:t>
      </w:r>
      <w:r w:rsidR="000C2F99" w:rsidRPr="001F4BDE">
        <w:rPr>
          <w:rFonts w:ascii="Verdana" w:hAnsi="Verdana" w:cs="Tahoma"/>
          <w:sz w:val="20"/>
          <w:lang w:val="pt-BR"/>
        </w:rPr>
        <w:t xml:space="preserve">1.000,00 (um mil reais) </w:t>
      </w:r>
      <w:r w:rsidRPr="001F4BDE">
        <w:rPr>
          <w:rFonts w:ascii="Verdana" w:hAnsi="Verdana" w:cs="Tahoma"/>
          <w:sz w:val="20"/>
          <w:lang w:val="pt-BR"/>
        </w:rPr>
        <w:t>(“</w:t>
      </w:r>
      <w:r w:rsidRPr="001F4BDE">
        <w:rPr>
          <w:rFonts w:ascii="Verdana" w:hAnsi="Verdana" w:cs="Tahoma"/>
          <w:sz w:val="20"/>
          <w:u w:val="single"/>
          <w:lang w:val="pt-BR"/>
        </w:rPr>
        <w:t>Valor Nominal Unitário</w:t>
      </w:r>
      <w:r w:rsidRPr="001F4BDE">
        <w:rPr>
          <w:rFonts w:ascii="Verdana" w:hAnsi="Verdana" w:cs="Tahoma"/>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 xml:space="preserve">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w:t>
      </w:r>
      <w:r w:rsidR="00451394" w:rsidRPr="001F4BDE">
        <w:rPr>
          <w:rFonts w:ascii="Verdana" w:hAnsi="Verdana" w:cs="Tahoma"/>
          <w:sz w:val="20"/>
          <w:lang w:val="pt-BR"/>
        </w:rPr>
        <w:lastRenderedPageBreak/>
        <w:t>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53C0BBA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E281E" w:rsidRPr="001F4BDE">
        <w:rPr>
          <w:rFonts w:ascii="Verdana" w:hAnsi="Verdana" w:cs="Tahoma"/>
          <w:sz w:val="20"/>
          <w:lang w:val="pt-BR"/>
        </w:rPr>
        <w:t>11</w:t>
      </w:r>
      <w:r w:rsidR="000C2F99" w:rsidRPr="001F4BDE">
        <w:rPr>
          <w:rFonts w:ascii="Verdana" w:hAnsi="Verdana" w:cs="Tahoma"/>
          <w:sz w:val="20"/>
          <w:lang w:val="pt-BR"/>
        </w:rPr>
        <w:t xml:space="preserve"> (</w:t>
      </w:r>
      <w:r w:rsidR="00CE281E" w:rsidRPr="001F4BDE">
        <w:rPr>
          <w:rFonts w:ascii="Verdana" w:hAnsi="Verdana" w:cs="Tahoma"/>
          <w:sz w:val="20"/>
          <w:lang w:val="pt-BR"/>
        </w:rPr>
        <w:t>onze</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contados da Data de Emissão, vencendo-se, portanto, em </w:t>
      </w:r>
      <w:r w:rsidR="003869AB">
        <w:rPr>
          <w:rFonts w:ascii="Verdana" w:hAnsi="Verdana" w:cs="Tahoma"/>
          <w:sz w:val="20"/>
          <w:lang w:val="pt-BR"/>
        </w:rPr>
        <w:t>15 de dezembro de 2031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891A7B"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Percentual do Valor Nominal Unitário a ser Amortizado</w:t>
            </w:r>
          </w:p>
        </w:tc>
      </w:tr>
      <w:tr w:rsidR="00703100" w:rsidRPr="001F4BDE"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hideMark/>
          </w:tcPr>
          <w:p w14:paraId="36F4364C" w14:textId="0A756981"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8,50%</w:t>
            </w:r>
          </w:p>
        </w:tc>
      </w:tr>
      <w:tr w:rsidR="00703100" w:rsidRPr="001F4BDE"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hideMark/>
          </w:tcPr>
          <w:p w14:paraId="44880E3B" w14:textId="12FF9400"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hideMark/>
          </w:tcPr>
          <w:p w14:paraId="5296FBA7" w14:textId="1814053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hideMark/>
          </w:tcPr>
          <w:p w14:paraId="3B00D9FD" w14:textId="27CBBC6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hideMark/>
          </w:tcPr>
          <w:p w14:paraId="6EFAFE9C" w14:textId="4F394C1E"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6</w:t>
            </w:r>
          </w:p>
        </w:tc>
        <w:tc>
          <w:tcPr>
            <w:tcW w:w="3020" w:type="dxa"/>
            <w:noWrap/>
            <w:hideMark/>
          </w:tcPr>
          <w:p w14:paraId="37BC4006" w14:textId="3925E24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hideMark/>
          </w:tcPr>
          <w:p w14:paraId="4BF0F66D" w14:textId="40FC64D2"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hideMark/>
          </w:tcPr>
          <w:p w14:paraId="41CE866B" w14:textId="7294A37F"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hideMark/>
          </w:tcPr>
          <w:p w14:paraId="3F505C5B" w14:textId="36D72E6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hideMark/>
          </w:tcPr>
          <w:p w14:paraId="71087B42" w14:textId="5A83F12D"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hideMark/>
          </w:tcPr>
          <w:p w14:paraId="1BBBE71B" w14:textId="1F1BFF4F"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hideMark/>
          </w:tcPr>
          <w:p w14:paraId="2A36E67A" w14:textId="5672309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hideMark/>
          </w:tcPr>
          <w:p w14:paraId="7A3FBC66" w14:textId="4B2669E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hideMark/>
          </w:tcPr>
          <w:p w14:paraId="56D568FA" w14:textId="1EA811F3"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hideMark/>
          </w:tcPr>
          <w:p w14:paraId="25264304" w14:textId="606604CC"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hideMark/>
          </w:tcPr>
          <w:p w14:paraId="3027F382" w14:textId="187825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16</w:t>
            </w:r>
          </w:p>
        </w:tc>
        <w:tc>
          <w:tcPr>
            <w:tcW w:w="3020" w:type="dxa"/>
            <w:noWrap/>
            <w:hideMark/>
          </w:tcPr>
          <w:p w14:paraId="31CB2DBC" w14:textId="6C8CF7A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hideMark/>
          </w:tcPr>
          <w:p w14:paraId="5AA64150" w14:textId="34A8E5C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7,50%</w:t>
            </w:r>
          </w:p>
        </w:tc>
      </w:tr>
      <w:tr w:rsidR="00703100" w:rsidRPr="001F4BDE" w14:paraId="671F79E9" w14:textId="77777777" w:rsidTr="00153C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703100" w:rsidRPr="001F4BDE" w:rsidRDefault="00703100" w:rsidP="00703100">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tcPr>
          <w:p w14:paraId="46EC0242" w14:textId="4351800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7,50%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5pt" o:ole="" fillcolor="window">
            <v:imagedata r:id="rId12" o:title=""/>
          </v:shape>
          <o:OLEObject Type="Embed" ProgID="Equation.3" ShapeID="_x0000_i1025" DrawAspect="Content" ObjectID="_1667583947" r:id="rId13"/>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VNa</w:t>
      </w:r>
      <w:proofErr w:type="spellEnd"/>
      <w:r w:rsidRPr="001F4BDE">
        <w:rPr>
          <w:rFonts w:ascii="Verdana" w:hAnsi="Verdana"/>
          <w:sz w:val="20"/>
          <w:lang w:val="pt-BR"/>
        </w:rPr>
        <w:t xml:space="preserve">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roofErr w:type="spellStart"/>
      <w:r w:rsidRPr="001F4BDE">
        <w:rPr>
          <w:rFonts w:ascii="Verdana" w:eastAsia="Times New Roman" w:hAnsi="Verdana"/>
          <w:b w:val="0"/>
          <w:sz w:val="20"/>
          <w:szCs w:val="20"/>
          <w:lang w:val="pt-BR" w:eastAsia="pt-BR"/>
        </w:rPr>
        <w:t>VNe</w:t>
      </w:r>
      <w:proofErr w:type="spellEnd"/>
      <w:r w:rsidRPr="001F4BDE">
        <w:rPr>
          <w:rFonts w:ascii="Verdana" w:eastAsia="Times New Roman" w:hAnsi="Verdana"/>
          <w:b w:val="0"/>
          <w:sz w:val="20"/>
          <w:szCs w:val="20"/>
          <w:lang w:val="pt-BR" w:eastAsia="pt-BR"/>
        </w:rPr>
        <w:t xml:space="preserv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pt;height:57pt" o:ole="" fillcolor="window">
            <v:imagedata r:id="rId14" o:title=""/>
          </v:shape>
          <o:OLEObject Type="Embed" ProgID="Equation.3" ShapeID="_x0000_i1026" DrawAspect="Content" ObjectID="_1667583948" r:id="rId15"/>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w:t>
      </w: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dup</w:t>
      </w:r>
      <w:proofErr w:type="spellEnd"/>
      <w:r w:rsidRPr="001F4BDE">
        <w:rPr>
          <w:rFonts w:ascii="Verdana" w:hAnsi="Verdana"/>
          <w:sz w:val="20"/>
          <w:lang w:val="pt-BR"/>
        </w:rPr>
        <w:t xml:space="preserve"> = número de Dias Úteis entre a Data da Primeira Integralização ou a data de aniversário </w:t>
      </w:r>
      <w:r w:rsidRPr="001F4BDE">
        <w:rPr>
          <w:rFonts w:ascii="Verdana" w:hAnsi="Verdana"/>
          <w:sz w:val="20"/>
          <w:lang w:val="pt-BR"/>
        </w:rPr>
        <w:lastRenderedPageBreak/>
        <w:t>imediatamente anterior, conforme o caso, e a data de cálculo, limitado ao número total de Dias Úteis de vigência do número-índice do IPCA, sendo “</w:t>
      </w:r>
      <w:proofErr w:type="spellStart"/>
      <w:r w:rsidRPr="001F4BDE">
        <w:rPr>
          <w:rFonts w:ascii="Verdana" w:hAnsi="Verdana"/>
          <w:sz w:val="20"/>
          <w:lang w:val="pt-BR"/>
        </w:rPr>
        <w:t>dup</w:t>
      </w:r>
      <w:proofErr w:type="spellEnd"/>
      <w:r w:rsidRPr="001F4BDE">
        <w:rPr>
          <w:rFonts w:ascii="Verdana" w:hAnsi="Verdana"/>
          <w:sz w:val="20"/>
          <w:lang w:val="pt-BR"/>
        </w:rPr>
        <w:t>”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dut</w:t>
      </w:r>
      <w:proofErr w:type="spellEnd"/>
      <w:r w:rsidRPr="001F4BDE">
        <w:rPr>
          <w:rFonts w:ascii="Verdana" w:hAnsi="Verdana"/>
          <w:sz w:val="20"/>
          <w:lang w:val="pt-BR"/>
        </w:rPr>
        <w:t xml:space="preserve"> = número de Dias Úteis entre a data de aniversário imediatamente anterior e a data de aniversário imediatamente subsequente, sendo “</w:t>
      </w:r>
      <w:proofErr w:type="spellStart"/>
      <w:r w:rsidRPr="001F4BDE">
        <w:rPr>
          <w:rFonts w:ascii="Verdana" w:hAnsi="Verdana"/>
          <w:sz w:val="20"/>
          <w:lang w:val="pt-BR"/>
        </w:rPr>
        <w:t>dut</w:t>
      </w:r>
      <w:proofErr w:type="spellEnd"/>
      <w:r w:rsidRPr="001F4BDE">
        <w:rPr>
          <w:rFonts w:ascii="Verdana" w:hAnsi="Verdana"/>
          <w:sz w:val="20"/>
          <w:lang w:val="pt-BR"/>
        </w:rPr>
        <w: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0.75pt;height:45.75pt" o:ole="">
            <v:imagedata r:id="rId16" o:title=""/>
          </v:shape>
          <o:OLEObject Type="Embed" ProgID="Equation.3" ShapeID="_x0000_i1027" DrawAspect="Content" ObjectID="_1667583949" r:id="rId17"/>
        </w:object>
      </w:r>
      <w:r w:rsidRPr="001F4BDE">
        <w:rPr>
          <w:rFonts w:ascii="Verdana" w:hAnsi="Verdana"/>
          <w:sz w:val="20"/>
          <w:lang w:val="pt-BR"/>
        </w:rPr>
        <w:t xml:space="preserve"> </w:t>
      </w:r>
      <w:r w:rsidRPr="001F4BDE">
        <w:rPr>
          <w:rFonts w:ascii="Verdana" w:hAnsi="Verdana"/>
          <w:bCs/>
          <w:iCs/>
          <w:sz w:val="20"/>
          <w:lang w:val="pt-BR"/>
        </w:rPr>
        <w:t xml:space="preserve">são considerados com 8 (oito) casas decimais, sem arredondamento. O </w:t>
      </w:r>
      <w:proofErr w:type="spellStart"/>
      <w:r w:rsidRPr="001F4BDE">
        <w:rPr>
          <w:rFonts w:ascii="Verdana" w:hAnsi="Verdana"/>
          <w:bCs/>
          <w:iCs/>
          <w:sz w:val="20"/>
          <w:lang w:val="pt-BR"/>
        </w:rPr>
        <w:t>produtório</w:t>
      </w:r>
      <w:proofErr w:type="spellEnd"/>
      <w:r w:rsidRPr="001F4BDE">
        <w:rPr>
          <w:rFonts w:ascii="Verdana" w:hAnsi="Verdana"/>
          <w:bCs/>
          <w:iCs/>
          <w:sz w:val="20"/>
          <w:lang w:val="pt-BR"/>
        </w:rPr>
        <w:t xml:space="preserve">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5511826E"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hyperlink w:history="1"/>
      <w:r w:rsidR="00A579D5" w:rsidRPr="00A579D5">
        <w:rPr>
          <w:rFonts w:ascii="Verdana" w:hAnsi="Verdana"/>
          <w:sz w:val="20"/>
          <w:lang w:val="pt-BR"/>
        </w:rPr>
        <w:t xml:space="preserve">), sendo </w:t>
      </w:r>
      <w:r w:rsidR="00703100">
        <w:rPr>
          <w:rFonts w:ascii="Verdana" w:hAnsi="Verdana"/>
          <w:sz w:val="20"/>
          <w:lang w:val="pt-BR"/>
        </w:rPr>
        <w:t xml:space="preserve">o valor apurado </w:t>
      </w:r>
      <w:r w:rsidR="00A579D5" w:rsidRPr="00A579D5">
        <w:rPr>
          <w:rFonts w:ascii="Verdana" w:hAnsi="Verdana"/>
          <w:sz w:val="20"/>
          <w:lang w:val="pt-BR"/>
        </w:rPr>
        <w:t xml:space="preserve">na </w:t>
      </w:r>
      <w:r w:rsidR="00703100">
        <w:rPr>
          <w:rFonts w:ascii="Verdana" w:hAnsi="Verdana"/>
          <w:sz w:val="20"/>
          <w:lang w:val="pt-BR"/>
        </w:rPr>
        <w:t xml:space="preserve">data imediatamente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ou (</w:t>
      </w:r>
      <w:proofErr w:type="spellStart"/>
      <w:r w:rsidR="00A579D5" w:rsidRPr="00A579D5">
        <w:rPr>
          <w:rFonts w:ascii="Verdana" w:hAnsi="Verdana"/>
          <w:sz w:val="20"/>
          <w:lang w:val="pt-BR"/>
        </w:rPr>
        <w:t>ii</w:t>
      </w:r>
      <w:proofErr w:type="spellEnd"/>
      <w:r w:rsidR="00A579D5" w:rsidRPr="00A579D5">
        <w:rPr>
          <w:rFonts w:ascii="Verdana" w:hAnsi="Verdana"/>
          <w:sz w:val="20"/>
          <w:lang w:val="pt-BR"/>
        </w:rPr>
        <w:t xml:space="preserve">)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4225B5" w:rsidRPr="00A579D5">
        <w:rPr>
          <w:rFonts w:ascii="Verdana" w:hAnsi="Verdana"/>
          <w:sz w:val="20"/>
          <w:lang w:val="pt-BR"/>
        </w:rPr>
        <w:t xml:space="preserve"> ou a Data de Pagamento dos Juros Remuneratórios imediatamente anterior, conforme o caso, até a data </w:t>
      </w:r>
      <w:r w:rsidR="004225B5" w:rsidRPr="00A579D5">
        <w:rPr>
          <w:rFonts w:ascii="Verdana" w:hAnsi="Verdana"/>
          <w:sz w:val="20"/>
          <w:lang w:val="pt-BR"/>
        </w:rPr>
        <w:lastRenderedPageBreak/>
        <w:t>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proofErr w:type="spellStart"/>
      <w:r w:rsidRPr="006510A7">
        <w:rPr>
          <w:rFonts w:ascii="Verdana" w:hAnsi="Verdana"/>
          <w:sz w:val="20"/>
          <w:lang w:val="pt-BR"/>
        </w:rPr>
        <w:t>VNa</w:t>
      </w:r>
      <w:proofErr w:type="spellEnd"/>
      <w:r w:rsidRPr="006510A7">
        <w:rPr>
          <w:rFonts w:ascii="Verdana" w:hAnsi="Verdana"/>
          <w:sz w:val="20"/>
          <w:lang w:val="pt-BR"/>
        </w:rPr>
        <w:t xml:space="preserve">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430A86F5" w:rsidR="006510A7" w:rsidRPr="00440C86" w:rsidRDefault="006510A7" w:rsidP="00440C86">
      <w:pPr>
        <w:spacing w:line="276" w:lineRule="auto"/>
        <w:rPr>
          <w:rFonts w:ascii="Verdana" w:hAnsi="Verdana"/>
          <w:sz w:val="20"/>
          <w:lang w:val="pt-BR"/>
        </w:rPr>
      </w:pPr>
      <w:r w:rsidRPr="00440C86">
        <w:rPr>
          <w:rFonts w:ascii="Verdana" w:hAnsi="Verdana"/>
          <w:sz w:val="20"/>
          <w:lang w:val="pt-BR"/>
        </w:rPr>
        <w:t>n = número de Dias Úteis entra a data do próximo Período de Capitalização (conforme definido abaixo) e a data do evento anterior, sendo “n” um número inteiro.</w:t>
      </w:r>
    </w:p>
    <w:p w14:paraId="05E82E5D" w14:textId="77777777" w:rsidR="006510A7" w:rsidRPr="00440C86" w:rsidRDefault="006510A7" w:rsidP="00440C86">
      <w:pPr>
        <w:spacing w:line="276" w:lineRule="auto"/>
        <w:rPr>
          <w:rFonts w:ascii="Verdana" w:hAnsi="Verdana"/>
          <w:sz w:val="20"/>
          <w:lang w:val="pt-BR"/>
        </w:rPr>
      </w:pPr>
    </w:p>
    <w:p w14:paraId="29C4105C" w14:textId="37475298" w:rsidR="006510A7" w:rsidRPr="00440C86" w:rsidRDefault="006510A7" w:rsidP="00440C86">
      <w:pPr>
        <w:spacing w:line="276" w:lineRule="auto"/>
        <w:rPr>
          <w:rFonts w:ascii="Verdana" w:hAnsi="Verdana"/>
          <w:sz w:val="20"/>
          <w:lang w:val="pt-BR"/>
        </w:rPr>
      </w:pPr>
      <w:r w:rsidRPr="00440C86">
        <w:rPr>
          <w:rFonts w:ascii="Verdana" w:hAnsi="Verdana"/>
          <w:sz w:val="20"/>
          <w:lang w:val="pt-BR"/>
        </w:rPr>
        <w:t>DT = número de Dias Úteis entre o último e o próximo Período de Capitalização (conforme definido abaixo), sendo “DT” um número inteiro.</w:t>
      </w:r>
    </w:p>
    <w:p w14:paraId="46385C86" w14:textId="77777777" w:rsidR="006510A7" w:rsidRPr="00440C86" w:rsidRDefault="006510A7" w:rsidP="00440C86">
      <w:pPr>
        <w:spacing w:line="276" w:lineRule="auto"/>
        <w:rPr>
          <w:rFonts w:ascii="Verdana" w:hAnsi="Verdana"/>
          <w:sz w:val="20"/>
          <w:lang w:val="pt-BR"/>
        </w:rPr>
      </w:pPr>
    </w:p>
    <w:p w14:paraId="3F854694" w14:textId="61B46DB7" w:rsidR="00A544A7" w:rsidRPr="006510A7" w:rsidRDefault="006510A7" w:rsidP="00440C86">
      <w:pPr>
        <w:spacing w:line="276" w:lineRule="auto"/>
        <w:rPr>
          <w:rFonts w:ascii="Verdana" w:hAnsi="Verdana"/>
          <w:sz w:val="20"/>
          <w:lang w:val="pt-BR"/>
        </w:rPr>
      </w:pPr>
      <w:r w:rsidRPr="00440C86">
        <w:rPr>
          <w:rFonts w:ascii="Verdana" w:hAnsi="Verdana"/>
          <w:sz w:val="20"/>
          <w:lang w:val="pt-BR"/>
        </w:rPr>
        <w:t>DP = número de Dias Úteis entre o último Período de Capitalização (conforme definido abaixo) e a data atual, sendo “DP” um número inteiro.</w:t>
      </w:r>
    </w:p>
    <w:p w14:paraId="76F17BE5" w14:textId="77777777" w:rsidR="00A544A7" w:rsidRPr="006510A7" w:rsidRDefault="00A544A7" w:rsidP="00440C86">
      <w:pPr>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w:t>
      </w:r>
      <w:r w:rsidR="00C72898" w:rsidRPr="00C72898">
        <w:rPr>
          <w:rFonts w:ascii="Verdana" w:hAnsi="Verdana"/>
          <w:sz w:val="20"/>
          <w:lang w:val="pt-BR"/>
        </w:rPr>
        <w:lastRenderedPageBreak/>
        <w:t>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6274A7C1"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41A294CD"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em </w:t>
      </w:r>
      <w:r w:rsidRPr="00BE3DF0">
        <w:rPr>
          <w:rFonts w:ascii="Verdana" w:hAnsi="Verdana" w:cs="Tahoma"/>
          <w:color w:val="000000"/>
          <w:sz w:val="20"/>
          <w:lang w:val="pt-BR"/>
        </w:rPr>
        <w:lastRenderedPageBreak/>
        <w:t xml:space="preserve">Circulação,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xml:space="preserve">, ou a Data de Pagamento da Remuneração imediatamente anterior, o que tiver ocorrido por último, até a data do efetivo pagamento. Para cálculo da Remuneração aplicável às Debêntures a serem resgatadas e, consequentemente, canceladas, 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w:t>
      </w:r>
      <w:proofErr w:type="spellStart"/>
      <w:r w:rsidR="00BF0A4C" w:rsidRPr="00BF0A4C">
        <w:rPr>
          <w:rFonts w:ascii="Verdana" w:hAnsi="Verdana" w:cs="Tahoma"/>
          <w:sz w:val="20"/>
          <w:lang w:val="pt-BR"/>
        </w:rPr>
        <w:t>ii</w:t>
      </w:r>
      <w:proofErr w:type="spellEnd"/>
      <w:r w:rsidR="00BF0A4C" w:rsidRPr="00BF0A4C">
        <w:rPr>
          <w:rFonts w:ascii="Verdana" w:hAnsi="Verdana" w:cs="Tahoma"/>
          <w:sz w:val="20"/>
          <w:lang w:val="pt-BR"/>
        </w:rPr>
        <w:t xml:space="preserve">)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w:t>
      </w:r>
      <w:proofErr w:type="spellStart"/>
      <w:r w:rsidR="00BF0A4C" w:rsidRPr="00BF0A4C">
        <w:rPr>
          <w:rFonts w:ascii="Verdana" w:hAnsi="Verdana" w:cs="Tahoma"/>
          <w:sz w:val="20"/>
          <w:lang w:val="pt-BR"/>
        </w:rPr>
        <w:t>iii</w:t>
      </w:r>
      <w:proofErr w:type="spellEnd"/>
      <w:r w:rsidR="00BF0A4C" w:rsidRPr="00BF0A4C">
        <w:rPr>
          <w:rFonts w:ascii="Verdana" w:hAnsi="Verdana" w:cs="Tahoma"/>
          <w:sz w:val="20"/>
          <w:lang w:val="pt-BR"/>
        </w:rPr>
        <w:t>)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5235E7D2" w:rsidR="00E63130" w:rsidRPr="00435F6C" w:rsidRDefault="009B150C" w:rsidP="00456C13">
      <w:pPr>
        <w:spacing w:line="300" w:lineRule="exact"/>
        <w:rPr>
          <w:rFonts w:ascii="Verdana" w:hAnsi="Verdana" w:cs="Tahoma"/>
          <w:i/>
          <w:sz w:val="20"/>
          <w:lang w:val="pt-BR"/>
        </w:rPr>
      </w:pPr>
      <w:bookmarkStart w:id="16" w:name="_DV_M234"/>
      <w:bookmarkStart w:id="17" w:name="_DV_M235"/>
      <w:bookmarkEnd w:id="16"/>
      <w:bookmarkEnd w:id="17"/>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78FE0D07"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w:t>
      </w:r>
      <w:r w:rsidR="009B150C" w:rsidRPr="00435F6C">
        <w:rPr>
          <w:rFonts w:ascii="Verdana" w:hAnsi="Verdana" w:cs="Tahoma"/>
          <w:color w:val="000000"/>
          <w:sz w:val="20"/>
          <w:lang w:val="pt-BR"/>
        </w:rPr>
        <w:lastRenderedPageBreak/>
        <w:t xml:space="preserve">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7B770E05"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 será equivalente ao valor indicado no item (i) ou no item (</w:t>
      </w:r>
      <w:proofErr w:type="spellStart"/>
      <w:r w:rsidR="001F729A" w:rsidRPr="00435F6C">
        <w:rPr>
          <w:rFonts w:ascii="Verdana" w:hAnsi="Verdana"/>
          <w:b w:val="0"/>
          <w:bCs/>
          <w:sz w:val="20"/>
          <w:szCs w:val="20"/>
          <w:lang w:val="pt-BR"/>
        </w:rPr>
        <w:t>ii</w:t>
      </w:r>
      <w:proofErr w:type="spellEnd"/>
      <w:r w:rsidR="001F729A" w:rsidRPr="00435F6C">
        <w:rPr>
          <w:rFonts w:ascii="Verdana" w:hAnsi="Verdana"/>
          <w:b w:val="0"/>
          <w:bCs/>
          <w:sz w:val="20"/>
          <w:szCs w:val="20"/>
          <w:lang w:val="pt-BR"/>
        </w:rPr>
        <w:t xml:space="preserve">)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Valor do Resgate Antecipado Facultativo</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11D2A4E9"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xml:space="preserve"> da Remuneração, calculada,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(exclusive);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 xml:space="preserve">do </w:t>
      </w:r>
      <w:proofErr w:type="spellStart"/>
      <w:r w:rsidR="00D0231E" w:rsidRPr="00435F6C">
        <w:rPr>
          <w:rFonts w:ascii="Verdana" w:hAnsi="Verdana"/>
          <w:sz w:val="20"/>
          <w:lang w:val="pt-BR"/>
        </w:rPr>
        <w:t>PUprêmio</w:t>
      </w:r>
      <w:proofErr w:type="spellEnd"/>
      <w:r w:rsidR="00D0231E" w:rsidRPr="00435F6C">
        <w:rPr>
          <w:rFonts w:ascii="Verdana" w:hAnsi="Verdana"/>
          <w:sz w:val="20"/>
          <w:lang w:val="pt-BR"/>
        </w:rPr>
        <w:t>(A)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(A) = Prêmio(A) *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07EEA7F5"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proofErr w:type="spellEnd"/>
      <w:r w:rsidRPr="00435F6C">
        <w:rPr>
          <w:rFonts w:ascii="Verdana" w:eastAsiaTheme="minorHAnsi" w:hAnsi="Verdana" w:cs="Arial"/>
          <w:sz w:val="20"/>
          <w:lang w:val="pt-BR" w:eastAsia="en-US"/>
        </w:rPr>
        <w:t xml:space="preserve">= Valor Nominal Unitário atualizado das Debêntures, acrescido dos juros,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14F326D8"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0,5000%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4227B244"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Duration</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equivale à somatória da ponderação dos prazos de vencimento de cada pagamento </w:t>
      </w:r>
      <w:r w:rsidR="000374C8">
        <w:rPr>
          <w:rFonts w:ascii="Verdana" w:eastAsiaTheme="minorHAnsi" w:hAnsi="Verdana" w:cs="Arial"/>
          <w:sz w:val="20"/>
          <w:lang w:val="pt-BR" w:eastAsia="en-US"/>
        </w:rPr>
        <w:t xml:space="preserve">de amortização e </w:t>
      </w:r>
      <w:r w:rsidRPr="00435F6C">
        <w:rPr>
          <w:rFonts w:ascii="Verdana" w:eastAsiaTheme="minorHAnsi" w:hAnsi="Verdana" w:cs="Arial"/>
          <w:sz w:val="20"/>
          <w:lang w:val="pt-BR" w:eastAsia="en-US"/>
        </w:rPr>
        <w:t>juros pelo seu valor presente, calculada em anos,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094CBAC6" w:rsidR="00D0231E" w:rsidRPr="00435F6C"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r w:rsidRPr="007F6B9C">
        <w:rPr>
          <w:rFonts w:ascii="Verdana" w:hAnsi="Verdana"/>
          <w:noProof/>
          <w:sz w:val="20"/>
        </w:rPr>
        <w:drawing>
          <wp:inline distT="0" distB="0" distL="0" distR="0" wp14:anchorId="5FA5EA10" wp14:editId="2D1432DF">
            <wp:extent cx="2895600" cy="6682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15127" cy="672721"/>
                    </a:xfrm>
                    <a:prstGeom prst="rect">
                      <a:avLst/>
                    </a:prstGeom>
                  </pic:spPr>
                </pic:pic>
              </a:graphicData>
            </a:graphic>
          </wp:inline>
        </w:drawing>
      </w: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5E0AC385"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pagamento dos juros, e/ou à amortização do Valor Nominal Unitário das Debêntures, indicados por seus valores reais, ou seja,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045C85FA"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435F6C">
        <w:rPr>
          <w:rFonts w:ascii="Verdana" w:eastAsiaTheme="minorHAnsi" w:hAnsi="Verdana" w:cs="Arial"/>
          <w:b/>
          <w:bCs/>
          <w:sz w:val="20"/>
          <w:lang w:val="pt-BR" w:eastAsia="en-US"/>
        </w:rPr>
        <w:t>nk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número de Dias Úteis entre a Data do Resgate Antecipado Facultativo e a data de vencimento programada de cada parcela </w:t>
      </w:r>
      <w:r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1C112F67" w14:textId="315AC4AB"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37921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00095CFC" w14:textId="77777777" w:rsidR="00D0231E" w:rsidRPr="007F6B9C" w:rsidRDefault="00D0231E" w:rsidP="00D0231E">
      <w:pPr>
        <w:pStyle w:val="Body"/>
        <w:ind w:left="2041"/>
        <w:rPr>
          <w:rFonts w:ascii="Verdana" w:hAnsi="Verdana"/>
          <w:sz w:val="20"/>
          <w:szCs w:val="20"/>
        </w:rPr>
      </w:pPr>
      <m:oMathPara>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751AAF39" w14:textId="4DC5E66D" w:rsidR="00D0231E" w:rsidRPr="00435F6C" w:rsidRDefault="00D0231E" w:rsidP="000374C8">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sidR="000374C8">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sidR="000374C8">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mais próxima à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das Debêntures, apurada no segundo Dia Útil imediatamente anterior à Data do Resgate Antecipado Facultativo;</w:t>
      </w:r>
    </w:p>
    <w:p w14:paraId="191D6596"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582CE1D8" w14:textId="7505D2B2"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7B70F943"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9F176ED" w14:textId="77777777" w:rsidR="00D0231E" w:rsidRPr="00435F6C" w:rsidRDefault="00D0231E" w:rsidP="00D0231E">
      <w:pPr>
        <w:pStyle w:val="PargrafodaLista"/>
        <w:spacing w:line="276" w:lineRule="auto"/>
        <w:ind w:left="709"/>
        <w:rPr>
          <w:rFonts w:ascii="Verdana" w:hAnsi="Verdana"/>
          <w:sz w:val="20"/>
        </w:rPr>
      </w:pPr>
      <m:oMathPara>
        <m:oMath>
          <m:r>
            <w:rPr>
              <w:rFonts w:ascii="Cambria Math" w:hAnsi="Cambria Math"/>
              <w:sz w:val="20"/>
            </w:rPr>
            <m:t>VP</m:t>
          </m:r>
          <m:r>
            <m:rPr>
              <m:sty m:val="p"/>
            </m:rPr>
            <w:rPr>
              <w:rFonts w:ascii="Cambria Math" w:hAnsi="Cambria Math"/>
              <w:sz w:val="20"/>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rPr>
                    <m:t xml:space="preserve"> ×</m:t>
                  </m:r>
                  <m:r>
                    <w:rPr>
                      <w:rFonts w:ascii="Cambria Math" w:hAnsi="Cambria Math"/>
                      <w:sz w:val="20"/>
                    </w:rPr>
                    <m:t>C</m:t>
                  </m:r>
                </m:e>
              </m:d>
            </m:e>
          </m:nary>
        </m:oMath>
      </m:oMathPara>
    </w:p>
    <w:p w14:paraId="59DACCD9"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4BF65D5D" w14:textId="7F6C309E"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w:t>
      </w:r>
    </w:p>
    <w:p w14:paraId="74922B62"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45688BBB" w14:textId="269756E6"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 e</w:t>
      </w:r>
    </w:p>
    <w:p w14:paraId="16ED789E"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797AE0E" w14:textId="23C1DD1B" w:rsidR="00D0231E" w:rsidRPr="00435F6C" w:rsidRDefault="00D0231E" w:rsidP="000374C8">
      <w:pPr>
        <w:widowControl/>
        <w:autoSpaceDE w:val="0"/>
        <w:autoSpaceDN w:val="0"/>
        <w:spacing w:line="240" w:lineRule="auto"/>
        <w:textAlignment w:val="auto"/>
        <w:rPr>
          <w:rFonts w:ascii="Verdana" w:hAnsi="Verdana"/>
          <w:sz w:val="20"/>
          <w:lang w:val="pt-BR"/>
        </w:rPr>
      </w:pPr>
      <w:r w:rsidRPr="00435F6C">
        <w:rPr>
          <w:rFonts w:ascii="Verdana" w:eastAsiaTheme="minorHAnsi" w:hAnsi="Verdana" w:cs="Arial"/>
          <w:b/>
          <w:bCs/>
          <w:sz w:val="20"/>
          <w:lang w:val="pt-BR" w:eastAsia="en-US"/>
        </w:rPr>
        <w:t xml:space="preserve">C </w:t>
      </w:r>
      <w:r w:rsidRPr="00435F6C">
        <w:rPr>
          <w:rFonts w:ascii="Verdana" w:eastAsiaTheme="minorHAnsi" w:hAnsi="Verdana" w:cs="Arial"/>
          <w:sz w:val="20"/>
          <w:lang w:val="pt-BR" w:eastAsia="en-US"/>
        </w:rPr>
        <w:t xml:space="preserve">= fator acumulado das variações mensais do IPCA, </w:t>
      </w:r>
      <w:r w:rsidR="000374C8">
        <w:rPr>
          <w:rFonts w:ascii="Verdana" w:eastAsiaTheme="minorHAnsi" w:hAnsi="Verdana" w:cs="Arial"/>
          <w:sz w:val="20"/>
          <w:lang w:val="pt-BR" w:eastAsia="en-US"/>
        </w:rPr>
        <w:t xml:space="preserve">desde a Data da Primeira Integralização até a data do Resgate Antecipado Facultativo, </w:t>
      </w:r>
      <w:r w:rsidRPr="00435F6C">
        <w:rPr>
          <w:rFonts w:ascii="Verdana" w:eastAsiaTheme="minorHAnsi" w:hAnsi="Verdana" w:cs="Arial"/>
          <w:sz w:val="20"/>
          <w:lang w:val="pt-BR" w:eastAsia="en-US"/>
        </w:rPr>
        <w:t xml:space="preserve">calculado com 8 (oito) casas decimais, sem arredondamento, apurado conforme </w:t>
      </w:r>
      <w:r w:rsidR="000374C8">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115438AD" w14:textId="77777777" w:rsidR="001F729A" w:rsidRPr="00435F6C" w:rsidRDefault="001F729A" w:rsidP="001F729A">
      <w:pPr>
        <w:pStyle w:val="PargrafodaLista"/>
        <w:spacing w:line="276" w:lineRule="auto"/>
        <w:ind w:left="709"/>
        <w:rPr>
          <w:rFonts w:ascii="Verdana" w:hAnsi="Verdana"/>
          <w:sz w:val="20"/>
          <w:lang w:val="pt-BR"/>
        </w:rPr>
      </w:pPr>
    </w:p>
    <w:p w14:paraId="670F0343" w14:textId="350B1E14"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xml:space="preserve"> da Remuneração, calculada,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(exclusive);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xml:space="preserve"> do </w:t>
      </w:r>
      <w:proofErr w:type="spellStart"/>
      <w:r w:rsidRPr="00435F6C">
        <w:rPr>
          <w:rFonts w:ascii="Verdana" w:hAnsi="Verdana"/>
          <w:sz w:val="20"/>
          <w:lang w:val="pt-BR"/>
        </w:rPr>
        <w:t>PUprêmio</w:t>
      </w:r>
      <w:proofErr w:type="spellEnd"/>
      <w:r w:rsidRPr="00435F6C">
        <w:rPr>
          <w:rFonts w:ascii="Verdana" w:hAnsi="Verdana"/>
          <w:sz w:val="20"/>
          <w:lang w:val="pt-BR"/>
        </w:rPr>
        <w:t>(B)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(B) = Prêmio(B) x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Prêmio(B)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015F1C"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DF80BB4"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VP = acima definido; e</w:t>
      </w:r>
    </w:p>
    <w:p w14:paraId="4E84D620" w14:textId="59175F6B"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CE697B0" w14:textId="18B49BD4" w:rsidR="00181FA9" w:rsidRPr="001A55FF" w:rsidRDefault="00DF794B" w:rsidP="001A55FF">
      <w:pPr>
        <w:widowControl/>
        <w:autoSpaceDE w:val="0"/>
        <w:autoSpaceDN w:val="0"/>
        <w:spacing w:line="240" w:lineRule="auto"/>
        <w:ind w:left="708"/>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15334575"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Pr="005174B0">
        <w:rPr>
          <w:rFonts w:ascii="Verdana" w:eastAsiaTheme="minorHAnsi" w:hAnsi="Verdana" w:cs="Arial"/>
          <w:sz w:val="20"/>
          <w:u w:val="single"/>
          <w:lang w:val="pt-BR" w:eastAsia="en-US"/>
        </w:rPr>
        <w:t>Data do Resgate Antecipado Facultativo</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w:t>
      </w:r>
      <w:proofErr w:type="spellStart"/>
      <w:r w:rsidRPr="005174B0">
        <w:rPr>
          <w:rFonts w:ascii="Verdana" w:hAnsi="Verdana" w:cs="Tahoma"/>
          <w:color w:val="000000"/>
          <w:sz w:val="20"/>
          <w:lang w:val="pt-BR"/>
        </w:rPr>
        <w:t>ii</w:t>
      </w:r>
      <w:proofErr w:type="spellEnd"/>
      <w:r w:rsidRPr="005174B0">
        <w:rPr>
          <w:rFonts w:ascii="Verdana" w:hAnsi="Verdana" w:cs="Tahoma"/>
          <w:color w:val="000000"/>
          <w:sz w:val="20"/>
          <w:lang w:val="pt-BR"/>
        </w:rPr>
        <w:t>)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1BDE0935"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As Debêntures objeto do Resgate Antecipado Facultativo 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21F0A32"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688E953"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Enquanto não expressamente autorizada pela legislação e/ou regulamentação aplicáveis, as Debêntures não estarão sujeitas à amortização extraordinária facultativa pela Emissora</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lastRenderedPageBreak/>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18"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8"/>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w:t>
      </w:r>
      <w:r w:rsidRPr="00435F6C">
        <w:rPr>
          <w:rFonts w:ascii="Verdana" w:hAnsi="Verdana"/>
          <w:sz w:val="20"/>
          <w:lang w:val="pt-BR"/>
        </w:rPr>
        <w:lastRenderedPageBreak/>
        <w:t>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19" w:name="_Ref303592513"/>
      <w:bookmarkStart w:id="20"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19"/>
      <w:bookmarkEnd w:id="20"/>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1" w:name="_DV_C308"/>
      <w:r w:rsidR="00E63130" w:rsidRPr="001F4BDE">
        <w:rPr>
          <w:rFonts w:ascii="Verdana" w:hAnsi="Verdana" w:cs="Tahoma"/>
          <w:sz w:val="20"/>
          <w:lang w:val="pt-BR"/>
        </w:rPr>
        <w:t>o disposto no artigo</w:t>
      </w:r>
      <w:bookmarkStart w:id="22" w:name="_DV_M342"/>
      <w:bookmarkEnd w:id="21"/>
      <w:bookmarkEnd w:id="22"/>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w:t>
      </w:r>
      <w:r w:rsidR="00E63130" w:rsidRPr="001F4BDE">
        <w:rPr>
          <w:rFonts w:ascii="Verdana" w:hAnsi="Verdana" w:cs="Tahoma"/>
          <w:sz w:val="20"/>
          <w:lang w:val="pt-BR"/>
        </w:rPr>
        <w:lastRenderedPageBreak/>
        <w:t xml:space="preserve">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3"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3"/>
    </w:p>
    <w:p w14:paraId="1842464D" w14:textId="1711FC60" w:rsidR="009B150C" w:rsidRDefault="009B150C" w:rsidP="00456C13">
      <w:pPr>
        <w:spacing w:line="300" w:lineRule="exact"/>
        <w:ind w:left="709" w:hanging="709"/>
        <w:rPr>
          <w:rFonts w:ascii="Verdana" w:hAnsi="Verdana" w:cs="Tahoma"/>
          <w:sz w:val="20"/>
          <w:lang w:val="pt-BR"/>
        </w:rPr>
      </w:pPr>
    </w:p>
    <w:p w14:paraId="4E945E0C" w14:textId="3457999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de pagamento</w:t>
      </w:r>
      <w:r w:rsidRPr="001F4BDE">
        <w:rPr>
          <w:rFonts w:ascii="Verdana" w:hAnsi="Verdana"/>
          <w:color w:val="000000"/>
          <w:sz w:val="20"/>
          <w:lang w:val="pt-BR"/>
        </w:rPr>
        <w:t xml:space="preserve"> pecuniári</w:t>
      </w:r>
      <w:r w:rsidR="005F3D37">
        <w:rPr>
          <w:rFonts w:ascii="Verdana" w:hAnsi="Verdana"/>
          <w:color w:val="000000"/>
          <w:sz w:val="20"/>
          <w:lang w:val="pt-BR"/>
        </w:rPr>
        <w: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1376B74E"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5F3D37">
        <w:rPr>
          <w:rFonts w:ascii="Verdana" w:hAnsi="Verdana"/>
          <w:color w:val="000000"/>
          <w:sz w:val="20"/>
          <w:lang w:val="pt-BR"/>
        </w:rPr>
        <w:t xml:space="preserve"> por força de decisão final com efeitos imediatos</w:t>
      </w:r>
      <w:r w:rsidRPr="00E20F7C">
        <w:rPr>
          <w:rFonts w:ascii="Verdana" w:hAnsi="Verdana"/>
          <w:color w:val="000000"/>
          <w:sz w:val="20"/>
          <w:lang w:val="pt-BR"/>
        </w:rPr>
        <w:t>, ainda que parcialmente</w:t>
      </w:r>
      <w:r w:rsidR="005F3D37">
        <w:rPr>
          <w:rFonts w:ascii="Verdana" w:hAnsi="Verdana"/>
          <w:color w:val="000000"/>
          <w:sz w:val="20"/>
          <w:lang w:val="pt-BR"/>
        </w:rPr>
        <w:t xml:space="preserve">, desde que </w:t>
      </w:r>
      <w:r w:rsidR="00A95A9F">
        <w:rPr>
          <w:rFonts w:ascii="Verdana" w:hAnsi="Verdana"/>
          <w:color w:val="000000"/>
          <w:sz w:val="20"/>
          <w:lang w:val="pt-BR"/>
        </w:rPr>
        <w:t xml:space="preserve">materialmente </w:t>
      </w:r>
      <w:r w:rsidR="005F3D37">
        <w:rPr>
          <w:rFonts w:ascii="Verdana" w:hAnsi="Verdana"/>
          <w:color w:val="000000"/>
          <w:sz w:val="20"/>
          <w:lang w:val="pt-BR"/>
        </w:rPr>
        <w:t>relevante</w:t>
      </w:r>
      <w:r w:rsidRPr="00E20F7C">
        <w:rPr>
          <w:rFonts w:ascii="Verdana" w:hAnsi="Verdana"/>
          <w:color w:val="000000"/>
          <w:sz w:val="20"/>
          <w:lang w:val="pt-BR"/>
        </w:rPr>
        <w:t>, 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 pedido de autofalência pela Emissora, pedido de falência da Emissora formulado por terceiros não elidido no prazo legal, pedido de recuperação judicial ou de recuperação extrajudicial da Emissora, independentemente do deferimento do respectivo pedido ou de sua 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lastRenderedPageBreak/>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525849CA" w14:textId="1ED0085B"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00E8108B">
        <w:rPr>
          <w:rFonts w:ascii="Verdana" w:hAnsi="Verdana"/>
          <w:color w:val="000000"/>
          <w:sz w:val="20"/>
          <w:lang w:val="pt-BR"/>
        </w:rPr>
        <w:t>[</w:t>
      </w:r>
      <w:r w:rsidRPr="00AC1BCC">
        <w:rPr>
          <w:rFonts w:ascii="Verdana" w:hAnsi="Verdana"/>
          <w:color w:val="000000"/>
          <w:sz w:val="20"/>
          <w:lang w:val="pt-BR"/>
        </w:rPr>
        <w:t>R$</w:t>
      </w:r>
      <w:r w:rsidR="00E8108B">
        <w:rPr>
          <w:rFonts w:ascii="Verdana" w:hAnsi="Verdana"/>
          <w:color w:val="000000"/>
          <w:sz w:val="20"/>
          <w:lang w:val="pt-BR"/>
        </w:rPr>
        <w:t>6</w:t>
      </w:r>
      <w:r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Pr="00AC1BCC">
        <w:rPr>
          <w:rFonts w:ascii="Verdana" w:hAnsi="Verdana"/>
          <w:color w:val="000000"/>
          <w:sz w:val="20"/>
          <w:lang w:val="pt-BR"/>
        </w:rPr>
        <w:t>milhões de reais)</w:t>
      </w:r>
      <w:r w:rsidR="00E8108B">
        <w:rPr>
          <w:rFonts w:ascii="Verdana" w:hAnsi="Verdana"/>
          <w:color w:val="000000"/>
          <w:sz w:val="20"/>
          <w:lang w:val="pt-BR"/>
        </w:rPr>
        <w:t>]</w:t>
      </w:r>
      <w:r w:rsidRPr="001F4BDE">
        <w:rPr>
          <w:rFonts w:ascii="Verdana" w:hAnsi="Verdana"/>
          <w:color w:val="000000"/>
          <w:sz w:val="20"/>
          <w:lang w:val="pt-BR"/>
        </w:rPr>
        <w:t xml:space="preserve">, ou o equivalente em outras moedas, obrigações essas decorrentes de captação de recursos realizada no mercado financeiro ou de capitais, no Brasil ou no exterior; </w:t>
      </w:r>
    </w:p>
    <w:p w14:paraId="2013999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2AF7C2BF" w14:textId="1D52CCD2"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E8108B">
        <w:rPr>
          <w:rFonts w:ascii="Verdana" w:hAnsi="Verdana"/>
          <w:color w:val="000000"/>
          <w:sz w:val="20"/>
          <w:lang w:val="pt-BR"/>
        </w:rPr>
        <w:t>[</w:t>
      </w:r>
      <w:r w:rsidRPr="00AC1BCC">
        <w:rPr>
          <w:rFonts w:ascii="Verdana" w:hAnsi="Verdana"/>
          <w:color w:val="000000"/>
          <w:sz w:val="20"/>
          <w:lang w:val="pt-BR"/>
        </w:rPr>
        <w:t>R$</w:t>
      </w:r>
      <w:r w:rsidR="00E8108B">
        <w:rPr>
          <w:rFonts w:ascii="Verdana" w:hAnsi="Verdana"/>
          <w:color w:val="000000"/>
          <w:sz w:val="20"/>
          <w:lang w:val="pt-BR"/>
        </w:rPr>
        <w:t>6</w:t>
      </w:r>
      <w:r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Pr="00AC1BCC">
        <w:rPr>
          <w:rFonts w:ascii="Verdana" w:hAnsi="Verdana"/>
          <w:color w:val="000000"/>
          <w:sz w:val="20"/>
          <w:lang w:val="pt-BR"/>
        </w:rPr>
        <w:t>milhões de reais)</w:t>
      </w:r>
      <w:r w:rsidR="00E8108B">
        <w:rPr>
          <w:rFonts w:ascii="Verdana" w:hAnsi="Verdana"/>
          <w:color w:val="000000"/>
          <w:sz w:val="20"/>
          <w:lang w:val="pt-BR"/>
        </w:rPr>
        <w:t>]</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17D3AB29" w14:textId="77777777" w:rsidR="00121E46" w:rsidRPr="00121E46" w:rsidRDefault="00121E46" w:rsidP="00121E46">
      <w:pPr>
        <w:spacing w:line="300" w:lineRule="exact"/>
        <w:rPr>
          <w:rFonts w:ascii="Verdana" w:hAnsi="Verdana"/>
          <w:color w:val="000000"/>
          <w:sz w:val="20"/>
          <w:lang w:val="pt-BR"/>
        </w:rPr>
      </w:pPr>
    </w:p>
    <w:p w14:paraId="6F016E0F" w14:textId="040915F0"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resgate ou amortização de ações, pagamento de dividendos (incluindo o pagamento do dividendo mínimo obrigatório previsto no artigo 202 da Lei das Sociedades por Ações), juros sobre capital próprio ou quaisquer outras formas similares de remessa de recursos aos acionistas caso </w:t>
      </w:r>
      <w:r>
        <w:rPr>
          <w:rFonts w:ascii="Verdana" w:hAnsi="Verdana"/>
          <w:color w:val="000000"/>
          <w:sz w:val="20"/>
          <w:lang w:val="pt-BR"/>
        </w:rPr>
        <w:t xml:space="preserve">a Emissora esteja inadimplente </w:t>
      </w:r>
      <w:r w:rsidRPr="001F4BDE">
        <w:rPr>
          <w:rFonts w:ascii="Verdana" w:hAnsi="Verdana"/>
          <w:color w:val="000000"/>
          <w:sz w:val="20"/>
          <w:lang w:val="pt-BR"/>
        </w:rPr>
        <w:t xml:space="preserve">com relação às obrigações </w:t>
      </w:r>
      <w:r w:rsidR="00A95A9F">
        <w:rPr>
          <w:rFonts w:ascii="Verdana" w:hAnsi="Verdana"/>
          <w:color w:val="000000"/>
          <w:sz w:val="20"/>
          <w:lang w:val="pt-BR"/>
        </w:rPr>
        <w:t xml:space="preserve">de pagamento </w:t>
      </w:r>
      <w:r w:rsidR="00E8108B">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e/ou no Contrato de Cessão Fiduciária ou caso o ICSD (conforme abaixo definido) esteja inferior a 1,30 (um inteiro e trinta centésimos);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77777777"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 e</w:t>
      </w:r>
    </w:p>
    <w:p w14:paraId="061C90A0" w14:textId="77777777" w:rsidR="00121E46" w:rsidRPr="00121E46" w:rsidRDefault="00121E46" w:rsidP="00121E46">
      <w:pPr>
        <w:pStyle w:val="PargrafodaLista"/>
        <w:rPr>
          <w:rFonts w:ascii="Verdana" w:hAnsi="Verdana"/>
          <w:color w:val="000000"/>
          <w:sz w:val="20"/>
          <w:lang w:val="pt-BR"/>
        </w:rPr>
      </w:pPr>
    </w:p>
    <w:p w14:paraId="3C461F6C" w14:textId="3E36A0AE" w:rsidR="00121E46" w:rsidRP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de transferência ou cessão a terceiros, pela Emissora, das obrigações assumidas nesta Escritura de Emissão ou no Contrato de Cessão Fiduciária, no todo ou em parte, sem prévia autorização dos Debenturistas;</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4"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4"/>
    </w:p>
    <w:p w14:paraId="433D8395" w14:textId="77777777" w:rsidR="009B150C" w:rsidRPr="00121E46" w:rsidRDefault="009B150C" w:rsidP="00121E46">
      <w:pPr>
        <w:spacing w:line="300" w:lineRule="exact"/>
        <w:rPr>
          <w:rFonts w:ascii="Verdana" w:hAnsi="Verdana"/>
          <w:color w:val="000000"/>
          <w:sz w:val="20"/>
          <w:lang w:val="pt-BR"/>
        </w:rPr>
      </w:pPr>
    </w:p>
    <w:p w14:paraId="04F8A419" w14:textId="4E1689DE"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xml:space="preserve">, pela Emissora, de qualquer obrigação não pecuniária decorrente das Debêntures e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da data </w:t>
      </w:r>
      <w:r w:rsidR="00643117">
        <w:rPr>
          <w:rFonts w:ascii="Verdana" w:hAnsi="Verdana"/>
          <w:color w:val="000000"/>
          <w:sz w:val="20"/>
          <w:lang w:val="pt-BR"/>
        </w:rPr>
        <w:t xml:space="preserve">do </w:t>
      </w:r>
      <w:r w:rsidR="00567043">
        <w:rPr>
          <w:rFonts w:ascii="Verdana" w:hAnsi="Verdana"/>
          <w:color w:val="000000"/>
          <w:sz w:val="20"/>
          <w:lang w:val="pt-BR"/>
        </w:rPr>
        <w:t xml:space="preserve">conhecimento, por parte da Emissora, do </w:t>
      </w:r>
      <w:r w:rsidR="001A55FF">
        <w:rPr>
          <w:rFonts w:ascii="Verdana" w:hAnsi="Verdana"/>
          <w:color w:val="000000"/>
          <w:sz w:val="20"/>
          <w:lang w:val="pt-BR"/>
        </w:rPr>
        <w:t xml:space="preserve">referido </w:t>
      </w:r>
      <w:r w:rsidR="00643117">
        <w:rPr>
          <w:rFonts w:ascii="Verdana" w:hAnsi="Verdana"/>
          <w:color w:val="000000"/>
          <w:sz w:val="20"/>
          <w:lang w:val="pt-BR"/>
        </w:rPr>
        <w:t>inadimplemento</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66E18BDB" w:rsidR="009B150C" w:rsidRPr="001F4BDE" w:rsidRDefault="00AA469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w:t>
      </w:r>
      <w:r w:rsidR="00F1729B" w:rsidRPr="001F4BDE">
        <w:rPr>
          <w:rFonts w:ascii="Verdana" w:hAnsi="Verdana"/>
          <w:color w:val="000000"/>
          <w:sz w:val="20"/>
          <w:lang w:val="pt-BR"/>
        </w:rPr>
        <w:t>escumprimento</w:t>
      </w:r>
      <w:r w:rsidR="009B150C" w:rsidRPr="001F4BDE">
        <w:rPr>
          <w:rFonts w:ascii="Verdana" w:hAnsi="Verdana"/>
          <w:color w:val="000000"/>
          <w:sz w:val="20"/>
          <w:lang w:val="pt-BR"/>
        </w:rPr>
        <w:t xml:space="preserve"> de qualquer decisão administrativa de entidade regulatória</w:t>
      </w:r>
      <w:r w:rsidR="00E8108B">
        <w:rPr>
          <w:rFonts w:ascii="Verdana" w:hAnsi="Verdana"/>
          <w:color w:val="000000"/>
          <w:sz w:val="20"/>
          <w:lang w:val="pt-BR"/>
        </w:rPr>
        <w:t xml:space="preserve"> que não esteja sendo contestada judicialmente ou administrativamente cujos efeitos não tenham sido suspensos e que possa comprovadamente impactar negativamente as condições econômicas, financeiras e/ou operacionais da Emissora</w:t>
      </w:r>
      <w:r w:rsidR="00F76B4C" w:rsidRPr="001F4BDE">
        <w:rPr>
          <w:rFonts w:ascii="Verdana" w:hAnsi="Verdana"/>
          <w:color w:val="000000"/>
          <w:sz w:val="20"/>
          <w:lang w:val="pt-BR"/>
        </w:rPr>
        <w:t xml:space="preserve"> em relação à sua capacidade de cumprir as obrigações decorrentes desta </w:t>
      </w:r>
      <w:r w:rsidR="005C5406" w:rsidRPr="001F4BDE">
        <w:rPr>
          <w:rFonts w:ascii="Verdana" w:hAnsi="Verdana"/>
          <w:color w:val="000000"/>
          <w:sz w:val="20"/>
          <w:lang w:val="pt-BR"/>
        </w:rPr>
        <w:t>Emissão ou</w:t>
      </w:r>
      <w:r w:rsidR="00A247EA" w:rsidRPr="001F4BDE">
        <w:rPr>
          <w:rFonts w:ascii="Verdana" w:hAnsi="Verdana"/>
          <w:color w:val="000000"/>
          <w:sz w:val="20"/>
          <w:lang w:val="pt-BR"/>
        </w:rPr>
        <w:t xml:space="preserve"> </w:t>
      </w:r>
      <w:r w:rsidR="00212D5E">
        <w:rPr>
          <w:rFonts w:ascii="Verdana" w:hAnsi="Verdana"/>
          <w:color w:val="000000"/>
          <w:sz w:val="20"/>
          <w:lang w:val="pt-BR"/>
        </w:rPr>
        <w:t>d</w:t>
      </w:r>
      <w:r w:rsidR="009B150C" w:rsidRPr="001F4BDE">
        <w:rPr>
          <w:rFonts w:ascii="Verdana" w:hAnsi="Verdana"/>
          <w:color w:val="000000"/>
          <w:sz w:val="20"/>
          <w:lang w:val="pt-BR"/>
        </w:rPr>
        <w:t>a concessão da Emissora para explorar atividades relacionadas ao transporte metroviário do Estado do Rio de Janeiro (“</w:t>
      </w:r>
      <w:r w:rsidR="009B150C" w:rsidRPr="001F4BDE">
        <w:rPr>
          <w:rFonts w:ascii="Verdana" w:hAnsi="Verdana"/>
          <w:color w:val="000000"/>
          <w:sz w:val="20"/>
          <w:u w:val="single"/>
          <w:lang w:val="pt-BR"/>
        </w:rPr>
        <w:t>Concessão</w:t>
      </w:r>
      <w:r w:rsidR="009B150C" w:rsidRPr="001F4BDE">
        <w:rPr>
          <w:rFonts w:ascii="Verdana" w:hAnsi="Verdana"/>
          <w:color w:val="000000"/>
          <w:sz w:val="20"/>
          <w:lang w:val="pt-BR"/>
        </w:rPr>
        <w:t>”);</w:t>
      </w:r>
      <w:r w:rsidR="00E520E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2A6A4B9E"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ou confisco de ativos permanentes ou, ainda, qualquer outra medida 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w:t>
      </w:r>
      <w:proofErr w:type="spellStart"/>
      <w:r w:rsidR="00DF1E09">
        <w:rPr>
          <w:rFonts w:ascii="Verdana" w:hAnsi="Verdana" w:cs="Arial"/>
          <w:sz w:val="20"/>
          <w:lang w:val="pt-BR"/>
        </w:rPr>
        <w:t>ii</w:t>
      </w:r>
      <w:proofErr w:type="spellEnd"/>
      <w:r w:rsidR="00DF1E09">
        <w:rPr>
          <w:rFonts w:ascii="Verdana" w:hAnsi="Verdana" w:cs="Arial"/>
          <w:sz w:val="20"/>
          <w:lang w:val="pt-BR"/>
        </w:rPr>
        <w:t xml:space="preserve">)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64459551"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 xml:space="preserve">R$ </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2CEF15A5"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Operação BNDES, da Operação Caixa e da 8ª Emissão</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7D5DB68C"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E8108B">
        <w:rPr>
          <w:rFonts w:ascii="Verdana" w:hAnsi="Verdana"/>
          <w:color w:val="000000"/>
          <w:sz w:val="20"/>
          <w:lang w:val="pt-BR"/>
        </w:rPr>
        <w:t>[</w:t>
      </w:r>
      <w:r w:rsidR="00AC1BCC" w:rsidRPr="00AC1BCC">
        <w:rPr>
          <w:rFonts w:ascii="Verdana" w:hAnsi="Verdana"/>
          <w:color w:val="000000"/>
          <w:sz w:val="20"/>
          <w:lang w:val="pt-BR"/>
        </w:rPr>
        <w:t>R$</w:t>
      </w:r>
      <w:r w:rsidR="00E8108B">
        <w:rPr>
          <w:rFonts w:ascii="Verdana" w:hAnsi="Verdana"/>
          <w:color w:val="000000"/>
          <w:sz w:val="20"/>
          <w:lang w:val="pt-BR"/>
        </w:rPr>
        <w:t>6</w:t>
      </w:r>
      <w:r w:rsidR="00AC1BCC"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00AC1BCC" w:rsidRPr="00AC1BCC">
        <w:rPr>
          <w:rFonts w:ascii="Verdana" w:hAnsi="Verdana"/>
          <w:color w:val="000000"/>
          <w:sz w:val="20"/>
          <w:lang w:val="pt-BR"/>
        </w:rPr>
        <w:t>milhões de reais)</w:t>
      </w:r>
      <w:r w:rsidR="00E8108B">
        <w:rPr>
          <w:rFonts w:ascii="Verdana" w:hAnsi="Verdana"/>
          <w:color w:val="000000"/>
          <w:sz w:val="20"/>
          <w:lang w:val="pt-BR"/>
        </w:rPr>
        <w:t>]</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00B04102"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E8108B">
        <w:rPr>
          <w:rFonts w:ascii="Verdana" w:hAnsi="Verdana"/>
          <w:color w:val="000000"/>
          <w:sz w:val="20"/>
          <w:lang w:val="pt-BR"/>
        </w:rPr>
        <w:t>[</w:t>
      </w:r>
      <w:r w:rsidR="00AC1BCC" w:rsidRPr="00AC1BCC">
        <w:rPr>
          <w:rFonts w:ascii="Verdana" w:hAnsi="Verdana"/>
          <w:color w:val="000000"/>
          <w:sz w:val="20"/>
          <w:lang w:val="pt-BR"/>
        </w:rPr>
        <w:t>R$</w:t>
      </w:r>
      <w:r w:rsidR="00E8108B">
        <w:rPr>
          <w:rFonts w:ascii="Verdana" w:hAnsi="Verdana"/>
          <w:color w:val="000000"/>
          <w:sz w:val="20"/>
          <w:lang w:val="pt-BR"/>
        </w:rPr>
        <w:t>6</w:t>
      </w:r>
      <w:r w:rsidR="00AC1BCC"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00AC1BCC" w:rsidRPr="00AC1BCC">
        <w:rPr>
          <w:rFonts w:ascii="Verdana" w:hAnsi="Verdana"/>
          <w:color w:val="000000"/>
          <w:sz w:val="20"/>
          <w:lang w:val="pt-BR"/>
        </w:rPr>
        <w:t>milhões de reais)</w:t>
      </w:r>
      <w:r w:rsidR="00E8108B">
        <w:rPr>
          <w:rFonts w:ascii="Verdana" w:hAnsi="Verdana"/>
          <w:color w:val="000000"/>
          <w:sz w:val="20"/>
          <w:lang w:val="pt-BR"/>
        </w:rPr>
        <w:t>]</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41B67BC5"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ou </w:t>
      </w:r>
      <w:r w:rsidR="008021AD" w:rsidRPr="001F4BDE">
        <w:rPr>
          <w:rFonts w:ascii="Verdana" w:hAnsi="Verdana"/>
          <w:color w:val="000000"/>
          <w:sz w:val="20"/>
          <w:lang w:val="pt-BR"/>
        </w:rPr>
        <w:t>insuficientes</w:t>
      </w:r>
      <w:r w:rsidR="00C800FE" w:rsidRPr="001F4BDE">
        <w:rPr>
          <w:rFonts w:ascii="Verdana" w:hAnsi="Verdana"/>
          <w:color w:val="000000"/>
          <w:sz w:val="20"/>
          <w:lang w:val="pt-BR"/>
        </w:rPr>
        <w:t xml:space="preserve"> 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4F331EA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Pr="001F4BDE">
        <w:rPr>
          <w:rFonts w:ascii="Verdana" w:hAnsi="Verdana"/>
          <w:color w:val="000000"/>
          <w:sz w:val="20"/>
          <w:lang w:val="pt-BR"/>
        </w:rPr>
        <w:t xml:space="preserve">, cujo valor, individual ou agregado, seja igual ou superior a </w:t>
      </w:r>
      <w:r w:rsidR="00163204">
        <w:rPr>
          <w:rFonts w:ascii="Verdana" w:hAnsi="Verdana"/>
          <w:color w:val="000000"/>
          <w:sz w:val="20"/>
          <w:lang w:val="pt-BR"/>
        </w:rPr>
        <w:t>[</w:t>
      </w:r>
      <w:r w:rsidR="003E297C" w:rsidRPr="00AC1BCC">
        <w:rPr>
          <w:rFonts w:ascii="Verdana" w:hAnsi="Verdana"/>
          <w:color w:val="000000"/>
          <w:sz w:val="20"/>
          <w:lang w:val="pt-BR"/>
        </w:rPr>
        <w:t>R$</w:t>
      </w:r>
      <w:r w:rsidR="00163204">
        <w:rPr>
          <w:rFonts w:ascii="Verdana" w:hAnsi="Verdana"/>
          <w:color w:val="000000"/>
          <w:sz w:val="20"/>
          <w:lang w:val="pt-BR"/>
        </w:rPr>
        <w:t>6</w:t>
      </w:r>
      <w:r w:rsidR="003E297C" w:rsidRPr="00AC1BCC">
        <w:rPr>
          <w:rFonts w:ascii="Verdana" w:hAnsi="Verdana"/>
          <w:color w:val="000000"/>
          <w:sz w:val="20"/>
          <w:lang w:val="pt-BR"/>
        </w:rPr>
        <w:t>0.000.000,00 (</w:t>
      </w:r>
      <w:r w:rsidR="00163204">
        <w:rPr>
          <w:rFonts w:ascii="Verdana" w:hAnsi="Verdana"/>
          <w:color w:val="000000"/>
          <w:sz w:val="20"/>
          <w:lang w:val="pt-BR"/>
        </w:rPr>
        <w:t>sessenta</w:t>
      </w:r>
      <w:r w:rsidR="00163204" w:rsidRPr="00AC1BCC">
        <w:rPr>
          <w:rFonts w:ascii="Verdana" w:hAnsi="Verdana"/>
          <w:color w:val="000000"/>
          <w:sz w:val="20"/>
          <w:lang w:val="pt-BR"/>
        </w:rPr>
        <w:t xml:space="preserve"> </w:t>
      </w:r>
      <w:r w:rsidR="003E297C" w:rsidRPr="00AC1BCC">
        <w:rPr>
          <w:rFonts w:ascii="Verdana" w:hAnsi="Verdana"/>
          <w:color w:val="000000"/>
          <w:sz w:val="20"/>
          <w:lang w:val="pt-BR"/>
        </w:rPr>
        <w:t>milhões de reais)</w:t>
      </w:r>
      <w:r w:rsidR="00163204">
        <w:rPr>
          <w:rFonts w:ascii="Verdana" w:hAnsi="Verdana"/>
          <w:color w:val="000000"/>
          <w:sz w:val="20"/>
          <w:lang w:val="pt-BR"/>
        </w:rPr>
        <w:t>]</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54A607A5"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5"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1A3467" w:rsidRPr="001F4BDE">
        <w:rPr>
          <w:rFonts w:ascii="Verdana" w:hAnsi="Verdana"/>
          <w:color w:val="000000"/>
          <w:sz w:val="20"/>
          <w:lang w:val="pt-BR"/>
        </w:rPr>
        <w:t>, empregados e demais colaboradores</w:t>
      </w:r>
      <w:r w:rsidR="00D42375" w:rsidRPr="001F4BDE">
        <w:rPr>
          <w:rFonts w:ascii="Verdana" w:hAnsi="Verdana"/>
          <w:color w:val="000000"/>
          <w:sz w:val="20"/>
          <w:lang w:val="pt-BR"/>
        </w:rPr>
        <w:t xml:space="preserve">, todos agindo </w:t>
      </w:r>
      <w:r w:rsidR="00AE2071" w:rsidRPr="001F4BDE">
        <w:rPr>
          <w:rFonts w:ascii="Verdana" w:hAnsi="Verdana"/>
          <w:color w:val="000000"/>
          <w:sz w:val="20"/>
          <w:lang w:val="pt-BR"/>
        </w:rPr>
        <w:t>em tal</w:t>
      </w:r>
      <w:r w:rsidR="00D42375" w:rsidRPr="001F4BDE">
        <w:rPr>
          <w:rFonts w:ascii="Verdana" w:hAnsi="Verdana"/>
          <w:color w:val="000000"/>
          <w:sz w:val="20"/>
          <w:lang w:val="pt-BR"/>
        </w:rPr>
        <w:t xml:space="preserve"> capacidade (“</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5"/>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 xml:space="preserve">Normas Anticorrupção e </w:t>
      </w:r>
      <w:proofErr w:type="spellStart"/>
      <w:r w:rsidR="00CC150B" w:rsidRPr="001F4BDE">
        <w:rPr>
          <w:rFonts w:ascii="Verdana" w:hAnsi="Verdana"/>
          <w:color w:val="000000"/>
          <w:sz w:val="20"/>
          <w:u w:val="single"/>
          <w:lang w:val="pt-BR"/>
        </w:rPr>
        <w:t>Antilavagem</w:t>
      </w:r>
      <w:proofErr w:type="spellEnd"/>
      <w:r w:rsidR="00CC150B" w:rsidRPr="001F4BDE">
        <w:rPr>
          <w:rFonts w:ascii="Verdana" w:hAnsi="Verdana"/>
          <w:color w:val="000000"/>
          <w:sz w:val="20"/>
          <w:lang w:val="pt-BR"/>
        </w:rPr>
        <w:t>”</w:t>
      </w:r>
      <w:r w:rsidRPr="001F4BDE">
        <w:rPr>
          <w:rFonts w:ascii="Verdana" w:hAnsi="Verdana"/>
          <w:color w:val="000000"/>
          <w:sz w:val="20"/>
          <w:lang w:val="pt-BR"/>
        </w:rPr>
        <w:t>);</w:t>
      </w:r>
      <w:r w:rsidR="001A6BA2" w:rsidRPr="001F4BDE">
        <w:rPr>
          <w:rFonts w:ascii="Verdana" w:hAnsi="Verdana"/>
          <w:color w:val="000000"/>
          <w:sz w:val="20"/>
          <w:lang w:val="pt-BR"/>
        </w:rPr>
        <w:t xml:space="preserve"> </w:t>
      </w:r>
    </w:p>
    <w:p w14:paraId="372FCAAB" w14:textId="77777777" w:rsidR="00217EB1" w:rsidRPr="00121E46" w:rsidRDefault="00217EB1" w:rsidP="00121E46">
      <w:pPr>
        <w:rPr>
          <w:rFonts w:ascii="Verdana" w:hAnsi="Verdana"/>
          <w:color w:val="000000"/>
          <w:sz w:val="20"/>
          <w:lang w:val="pt-BR"/>
        </w:rPr>
      </w:pPr>
    </w:p>
    <w:p w14:paraId="46382737" w14:textId="02ECBDED"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decisão judicial final e com efeitos imediatos em favor dos referidos terceiros</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37BBCD92"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do Índice Financeiro indicado a seguir (“</w:t>
      </w:r>
      <w:r w:rsidR="006B6C2C" w:rsidRPr="001F4BDE">
        <w:rPr>
          <w:rFonts w:ascii="Verdana" w:hAnsi="Verdana"/>
          <w:color w:val="000000"/>
          <w:sz w:val="20"/>
          <w:u w:val="single"/>
          <w:lang w:val="pt-BR"/>
        </w:rPr>
        <w:t>Índice Financeiro</w:t>
      </w:r>
      <w:r w:rsidR="006B6C2C" w:rsidRPr="001F4BDE">
        <w:rPr>
          <w:rFonts w:ascii="Verdana" w:hAnsi="Verdana"/>
          <w:color w:val="000000"/>
          <w:sz w:val="20"/>
          <w:lang w:val="pt-BR"/>
        </w:rPr>
        <w:t>”)</w:t>
      </w:r>
      <w:r w:rsidRPr="001F4BDE">
        <w:rPr>
          <w:rFonts w:ascii="Verdana" w:hAnsi="Verdana"/>
          <w:color w:val="000000"/>
          <w:sz w:val="20"/>
          <w:lang w:val="pt-BR"/>
        </w:rPr>
        <w:t xml:space="preserve">, calculado com base nas demonstrações financeiras auditadas da Emissora, a ser </w:t>
      </w:r>
      <w:r w:rsidR="004D0146">
        <w:rPr>
          <w:rFonts w:ascii="Verdana" w:hAnsi="Verdana"/>
          <w:color w:val="000000"/>
          <w:sz w:val="20"/>
          <w:lang w:val="pt-BR"/>
        </w:rPr>
        <w:t xml:space="preserve">semestralmente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F3A7028" w14:textId="2D8C9E3E" w:rsidR="008702D7" w:rsidRPr="001F4BDE" w:rsidRDefault="006B6C2C" w:rsidP="00834F88">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3E297C">
        <w:rPr>
          <w:rFonts w:ascii="Verdana" w:hAnsi="Verdana"/>
          <w:color w:val="000000"/>
          <w:sz w:val="20"/>
          <w:lang w:val="pt-BR"/>
        </w:rPr>
        <w:t>1,</w:t>
      </w:r>
      <w:r w:rsidR="00605331">
        <w:rPr>
          <w:rFonts w:ascii="Verdana" w:hAnsi="Verdana"/>
          <w:color w:val="000000"/>
          <w:sz w:val="20"/>
          <w:lang w:val="pt-BR"/>
        </w:rPr>
        <w:t>1</w:t>
      </w:r>
      <w:r w:rsidR="0024688A" w:rsidRPr="003E297C">
        <w:rPr>
          <w:rFonts w:ascii="Verdana" w:hAnsi="Verdana"/>
          <w:color w:val="000000"/>
          <w:sz w:val="20"/>
          <w:lang w:val="pt-BR"/>
        </w:rPr>
        <w:t xml:space="preserve"> (um inteiro e </w:t>
      </w:r>
      <w:r w:rsidR="00605331">
        <w:rPr>
          <w:rFonts w:ascii="Verdana" w:hAnsi="Verdana"/>
          <w:color w:val="000000"/>
          <w:sz w:val="20"/>
          <w:lang w:val="pt-BR"/>
        </w:rPr>
        <w:t>um</w:t>
      </w:r>
      <w:r w:rsidR="00605331" w:rsidRPr="003E297C">
        <w:rPr>
          <w:rFonts w:ascii="Verdana" w:hAnsi="Verdana"/>
          <w:color w:val="000000"/>
          <w:sz w:val="20"/>
          <w:lang w:val="pt-BR"/>
        </w:rPr>
        <w:t xml:space="preserve"> </w:t>
      </w:r>
      <w:r w:rsidR="0024688A" w:rsidRPr="003E297C">
        <w:rPr>
          <w:rFonts w:ascii="Verdana" w:hAnsi="Verdana"/>
          <w:color w:val="000000"/>
          <w:sz w:val="20"/>
          <w:lang w:val="pt-BR"/>
        </w:rPr>
        <w:t>décimo</w:t>
      </w:r>
      <w:r w:rsidR="00F42EBF" w:rsidRPr="00E20F7C">
        <w:rPr>
          <w:rFonts w:ascii="Verdana" w:hAnsi="Verdana"/>
          <w:color w:val="000000"/>
          <w:sz w:val="20"/>
          <w:lang w:val="pt-BR"/>
        </w:rPr>
        <w:t>.</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77777777"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Índice Financeiro: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77777777" w:rsidR="0056150D" w:rsidRPr="001F4BDE" w:rsidRDefault="0056150D" w:rsidP="009016AF">
      <w:pPr>
        <w:pStyle w:val="PargrafodaLista"/>
        <w:spacing w:line="720" w:lineRule="auto"/>
        <w:rPr>
          <w:rFonts w:ascii="Verdana" w:hAnsi="Verdana"/>
          <w:color w:val="000000"/>
          <w:sz w:val="20"/>
          <w:lang w:val="pt-BR"/>
        </w:rPr>
      </w:pPr>
      <m:oMathPara>
        <m:oMath>
          <m:r>
            <m:rPr>
              <m:nor/>
            </m:rPr>
            <w:rPr>
              <w:rFonts w:ascii="Verdana" w:hAnsi="Verdana"/>
              <w:color w:val="000000"/>
              <w:sz w:val="20"/>
              <w:lang w:val="pt-BR"/>
            </w:rPr>
            <m:t>ICSD</m:t>
          </m:r>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despesas financeiras; (</w:t>
      </w:r>
      <w:proofErr w:type="spellStart"/>
      <w:r w:rsidRPr="001F4BDE">
        <w:rPr>
          <w:rFonts w:ascii="Verdana" w:hAnsi="Verdana"/>
          <w:color w:val="000000"/>
          <w:sz w:val="20"/>
          <w:lang w:val="pt-BR"/>
        </w:rPr>
        <w:t>iii</w:t>
      </w:r>
      <w:proofErr w:type="spellEnd"/>
      <w:r w:rsidRPr="001F4BDE">
        <w:rPr>
          <w:rFonts w:ascii="Verdana" w:hAnsi="Verdana"/>
          <w:color w:val="000000"/>
          <w:sz w:val="20"/>
          <w:lang w:val="pt-BR"/>
        </w:rPr>
        <w:t>) despesas com amortizações e depreciações (apresentadas no fluxo de caixa método indireto); e excluindo-se (i) receitas não operacionais; e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p>
    <w:p w14:paraId="1201D6B9" w14:textId="60615A90" w:rsidR="00C800FE" w:rsidRDefault="00C800FE" w:rsidP="006161AD">
      <w:pPr>
        <w:pStyle w:val="PargrafodaLista"/>
        <w:spacing w:line="300" w:lineRule="exact"/>
        <w:ind w:left="1418"/>
        <w:rPr>
          <w:rFonts w:ascii="Verdana" w:hAnsi="Verdana"/>
          <w:color w:val="000000"/>
          <w:sz w:val="20"/>
          <w:lang w:val="pt-BR"/>
        </w:rPr>
      </w:pPr>
    </w:p>
    <w:p w14:paraId="7C121687" w14:textId="028B07F6" w:rsidR="005F3D37" w:rsidRDefault="005F3D37"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sem a prévia e expressa anuência dos Debenturistas</w:t>
      </w:r>
      <w:r>
        <w:rPr>
          <w:rFonts w:ascii="Verdana" w:hAnsi="Verdana"/>
          <w:color w:val="000000"/>
          <w:sz w:val="20"/>
          <w:lang w:val="pt-BR"/>
        </w:rPr>
        <w:t>, exceto nas</w:t>
      </w:r>
      <w:r>
        <w:rPr>
          <w:rFonts w:ascii="Verdana" w:hAnsi="Verdana"/>
          <w:color w:val="000000"/>
          <w:sz w:val="20"/>
          <w:lang w:val="pt-BR"/>
        </w:rPr>
        <w:t xml:space="preserve"> seguintes</w:t>
      </w:r>
      <w:r>
        <w:rPr>
          <w:rFonts w:ascii="Verdana" w:hAnsi="Verdana"/>
          <w:color w:val="000000"/>
          <w:sz w:val="20"/>
          <w:lang w:val="pt-BR"/>
        </w:rPr>
        <w:t xml:space="preserve"> hipóteses</w:t>
      </w:r>
      <w:r>
        <w:rPr>
          <w:rFonts w:ascii="Verdana" w:hAnsi="Verdana"/>
          <w:color w:val="000000"/>
          <w:sz w:val="20"/>
          <w:lang w:val="pt-BR"/>
        </w:rPr>
        <w:t>, desde já aprovadas e sem necessidade de aprovação adicional pelos Debenturistas:</w:t>
      </w:r>
      <w:r>
        <w:rPr>
          <w:rFonts w:ascii="Verdana" w:hAnsi="Verdana"/>
          <w:color w:val="000000"/>
          <w:sz w:val="20"/>
          <w:lang w:val="pt-BR"/>
        </w:rPr>
        <w:t xml:space="preserve"> (i) o controle acionário </w:t>
      </w:r>
      <w:r>
        <w:rPr>
          <w:rFonts w:ascii="Verdana" w:hAnsi="Verdana"/>
          <w:color w:val="000000"/>
          <w:sz w:val="20"/>
          <w:lang w:val="pt-BR"/>
        </w:rPr>
        <w:t xml:space="preserve">direto ou indireto </w:t>
      </w:r>
      <w:r>
        <w:rPr>
          <w:rFonts w:ascii="Verdana" w:hAnsi="Verdana"/>
          <w:color w:val="000000"/>
          <w:sz w:val="20"/>
          <w:lang w:val="pt-BR"/>
        </w:rPr>
        <w:t>da Emissora seja mantido pela Investimentos e Participações em Infraestrutura S.A. – INVEPAR; ou (</w:t>
      </w:r>
      <w:proofErr w:type="spellStart"/>
      <w:r>
        <w:rPr>
          <w:rFonts w:ascii="Verdana" w:hAnsi="Verdana"/>
          <w:color w:val="000000"/>
          <w:sz w:val="20"/>
          <w:lang w:val="pt-BR"/>
        </w:rPr>
        <w:t>ii</w:t>
      </w:r>
      <w:proofErr w:type="spellEnd"/>
      <w:r>
        <w:rPr>
          <w:rFonts w:ascii="Verdana" w:hAnsi="Verdana"/>
          <w:color w:val="000000"/>
          <w:sz w:val="20"/>
          <w:lang w:val="pt-BR"/>
        </w:rPr>
        <w:t>) o controle acionário</w:t>
      </w:r>
      <w:r>
        <w:rPr>
          <w:rFonts w:ascii="Verdana" w:hAnsi="Verdana"/>
          <w:color w:val="000000"/>
          <w:sz w:val="20"/>
          <w:lang w:val="pt-BR"/>
        </w:rPr>
        <w:t xml:space="preserve"> direto ou indireto</w:t>
      </w:r>
      <w:r>
        <w:rPr>
          <w:rFonts w:ascii="Verdana" w:hAnsi="Verdana"/>
          <w:color w:val="000000"/>
          <w:sz w:val="20"/>
          <w:lang w:val="pt-BR"/>
        </w:rPr>
        <w:t xml:space="preserve"> da Emissora seja transferido ou alienado para </w:t>
      </w:r>
      <w:r>
        <w:rPr>
          <w:rFonts w:ascii="Verdana" w:hAnsi="Verdana"/>
          <w:color w:val="000000"/>
          <w:sz w:val="20"/>
          <w:lang w:val="pt-BR"/>
        </w:rPr>
        <w:t xml:space="preserve">credores atuais da </w:t>
      </w:r>
      <w:r>
        <w:rPr>
          <w:rFonts w:ascii="Verdana" w:hAnsi="Verdana"/>
          <w:color w:val="000000"/>
          <w:sz w:val="20"/>
          <w:lang w:val="pt-BR"/>
        </w:rPr>
        <w:t>Investimentos e Participações em Infraestrutura S.A. – INVEPAR</w:t>
      </w:r>
      <w:r w:rsidDel="005F3D37">
        <w:rPr>
          <w:rFonts w:ascii="Verdana" w:hAnsi="Verdana"/>
          <w:color w:val="000000"/>
          <w:sz w:val="20"/>
          <w:lang w:val="pt-BR"/>
        </w:rPr>
        <w:t xml:space="preserve"> </w:t>
      </w:r>
      <w:r>
        <w:rPr>
          <w:rFonts w:ascii="Verdana" w:hAnsi="Verdana"/>
          <w:color w:val="000000"/>
          <w:sz w:val="20"/>
          <w:lang w:val="pt-BR"/>
        </w:rPr>
        <w:t>na presente data</w:t>
      </w:r>
      <w:r>
        <w:rPr>
          <w:rFonts w:ascii="Verdana" w:hAnsi="Verdana"/>
          <w:color w:val="000000"/>
          <w:sz w:val="20"/>
          <w:lang w:val="pt-BR"/>
        </w:rPr>
        <w:t>;</w:t>
      </w:r>
    </w:p>
    <w:p w14:paraId="7D5D0385" w14:textId="47F02CD4" w:rsidR="00E8108B" w:rsidRDefault="00E8108B" w:rsidP="006161AD">
      <w:pPr>
        <w:pStyle w:val="PargrafodaLista"/>
        <w:spacing w:line="300" w:lineRule="exact"/>
        <w:ind w:left="1418"/>
        <w:rPr>
          <w:rFonts w:ascii="Verdana" w:hAnsi="Verdana"/>
          <w:color w:val="000000"/>
          <w:sz w:val="20"/>
          <w:lang w:val="pt-BR"/>
        </w:rPr>
      </w:pPr>
    </w:p>
    <w:p w14:paraId="44755EE1" w14:textId="6C991D7E"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Pr="00AC1BCC">
        <w:rPr>
          <w:rFonts w:ascii="Verdana" w:hAnsi="Verdana"/>
          <w:color w:val="000000"/>
          <w:sz w:val="20"/>
          <w:lang w:val="pt-BR"/>
        </w:rPr>
        <w:t>R$30.000.000,00 (trinta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r>
        <w:rPr>
          <w:rFonts w:ascii="Verdana" w:hAnsi="Verdana"/>
          <w:color w:val="000000"/>
          <w:sz w:val="20"/>
          <w:lang w:val="pt-BR"/>
        </w:rPr>
        <w:t xml:space="preserve"> e</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791BF8D9" w:rsidR="00E8108B" w:rsidRPr="006161AD"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Pr>
          <w:rFonts w:ascii="Verdana" w:hAnsi="Verdana"/>
          <w:color w:val="000000"/>
          <w:sz w:val="20"/>
          <w:lang w:val="pt-BR"/>
        </w:rPr>
        <w:t>.</w:t>
      </w:r>
    </w:p>
    <w:p w14:paraId="40ECC18B" w14:textId="77777777"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6"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6"/>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1C8E3743"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27"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não declaração do vencimento antecipado das Debêntures.</w:t>
      </w:r>
      <w:bookmarkEnd w:id="27"/>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518BE75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 xml:space="preserve">referida </w:t>
      </w:r>
      <w:r w:rsidR="00054208" w:rsidRPr="001F4BDE">
        <w:rPr>
          <w:rFonts w:ascii="Verdana" w:hAnsi="Verdana" w:cs="Tahoma"/>
          <w:sz w:val="20"/>
          <w:szCs w:val="20"/>
          <w:lang w:val="pt-BR"/>
        </w:rPr>
        <w:lastRenderedPageBreak/>
        <w:t>Assembleia Geral de Debenturistas</w:t>
      </w:r>
      <w:r w:rsidR="009038E5" w:rsidRPr="001F4BDE">
        <w:rPr>
          <w:rFonts w:ascii="Verdana" w:hAnsi="Verdana" w:cs="Tahoma"/>
          <w:sz w:val="20"/>
          <w:szCs w:val="20"/>
          <w:lang w:val="pt-BR"/>
        </w:rPr>
        <w:t xml:space="preserve"> poderá ser suspensa/cancelada, não havendo necessidade de deliberação.</w:t>
      </w:r>
    </w:p>
    <w:p w14:paraId="600CC6C3" w14:textId="77777777" w:rsidR="009B150C" w:rsidRPr="001F4BDE" w:rsidRDefault="009B150C" w:rsidP="00456C13">
      <w:pPr>
        <w:spacing w:line="300" w:lineRule="exact"/>
        <w:rPr>
          <w:rFonts w:ascii="Verdana" w:hAnsi="Verdana" w:cs="Tahoma"/>
          <w:sz w:val="20"/>
          <w:lang w:val="pt-BR"/>
        </w:rPr>
      </w:pPr>
    </w:p>
    <w:p w14:paraId="65321881" w14:textId="060C8396"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não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605331">
        <w:rPr>
          <w:rFonts w:ascii="Verdana" w:hAnsi="Verdana" w:cs="Tahoma"/>
          <w:sz w:val="20"/>
          <w:szCs w:val="20"/>
          <w:lang w:val="pt-BR"/>
        </w:rPr>
        <w:t>20</w:t>
      </w:r>
      <w:r w:rsidR="00965621">
        <w:rPr>
          <w:rFonts w:ascii="Verdana" w:hAnsi="Verdana" w:cs="Tahoma"/>
          <w:sz w:val="20"/>
          <w:szCs w:val="20"/>
          <w:lang w:val="pt-BR"/>
        </w:rPr>
        <w:t>% (</w:t>
      </w:r>
      <w:r w:rsidR="00605331">
        <w:rPr>
          <w:rFonts w:ascii="Verdana" w:hAnsi="Verdana" w:cs="Tahoma"/>
          <w:sz w:val="20"/>
          <w:szCs w:val="20"/>
          <w:lang w:val="pt-BR"/>
        </w:rPr>
        <w:t>vinte</w:t>
      </w:r>
      <w:r w:rsidR="00605331">
        <w:rPr>
          <w:rFonts w:ascii="Verdana" w:hAnsi="Verdana" w:cs="Tahoma"/>
          <w:sz w:val="20"/>
          <w:szCs w:val="20"/>
          <w:lang w:val="pt-BR"/>
        </w:rPr>
        <w:t xml:space="preserve">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605331">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07AB6134"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2 (dois)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57300809" w:rsidR="00496DD9" w:rsidRPr="001F4BDE" w:rsidRDefault="00496DD9"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6</w:t>
      </w:r>
      <w:r w:rsidRPr="001F4BDE">
        <w:rPr>
          <w:rFonts w:ascii="Verdana" w:hAnsi="Verdana" w:cs="Tahoma"/>
          <w:sz w:val="20"/>
          <w:szCs w:val="20"/>
          <w:lang w:val="pt-BR"/>
        </w:rPr>
        <w:t>.</w:t>
      </w:r>
      <w:r w:rsidRPr="001F4BDE">
        <w:rPr>
          <w:rFonts w:ascii="Verdana" w:hAnsi="Verdana" w:cs="Tahoma"/>
          <w:sz w:val="20"/>
          <w:szCs w:val="20"/>
          <w:lang w:val="pt-BR"/>
        </w:rPr>
        <w:tab/>
        <w:t xml:space="preserve">Os valores indicados nas alíneas </w:t>
      </w:r>
      <w:r w:rsidR="004D0146">
        <w:rPr>
          <w:rFonts w:ascii="Verdana" w:hAnsi="Verdana" w:cs="Tahoma"/>
          <w:sz w:val="20"/>
          <w:szCs w:val="20"/>
          <w:lang w:val="pt-BR"/>
        </w:rPr>
        <w:t>(</w:t>
      </w:r>
      <w:proofErr w:type="spellStart"/>
      <w:r w:rsidR="004D0146">
        <w:rPr>
          <w:rFonts w:ascii="Verdana" w:hAnsi="Verdana" w:cs="Tahoma"/>
          <w:sz w:val="20"/>
          <w:szCs w:val="20"/>
          <w:lang w:val="pt-BR"/>
        </w:rPr>
        <w:t>viii</w:t>
      </w:r>
      <w:proofErr w:type="spellEnd"/>
      <w:r w:rsidR="004D0146">
        <w:rPr>
          <w:rFonts w:ascii="Verdana" w:hAnsi="Verdana" w:cs="Tahoma"/>
          <w:sz w:val="20"/>
          <w:szCs w:val="20"/>
          <w:lang w:val="pt-BR"/>
        </w:rPr>
        <w:t>) e (</w:t>
      </w:r>
      <w:proofErr w:type="spellStart"/>
      <w:r w:rsidR="004D0146">
        <w:rPr>
          <w:rFonts w:ascii="Verdana" w:hAnsi="Verdana" w:cs="Tahoma"/>
          <w:sz w:val="20"/>
          <w:szCs w:val="20"/>
          <w:lang w:val="pt-BR"/>
        </w:rPr>
        <w:t>ix</w:t>
      </w:r>
      <w:proofErr w:type="spellEnd"/>
      <w:r w:rsidR="004D0146">
        <w:rPr>
          <w:rFonts w:ascii="Verdana" w:hAnsi="Verdana" w:cs="Tahoma"/>
          <w:sz w:val="20"/>
          <w:szCs w:val="20"/>
          <w:lang w:val="pt-BR"/>
        </w:rPr>
        <w:t>)</w:t>
      </w:r>
      <w:r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.1 e </w:t>
      </w:r>
      <w:r w:rsidR="00121E46" w:rsidRPr="001F4BDE">
        <w:rPr>
          <w:rFonts w:ascii="Verdana" w:hAnsi="Verdana" w:cs="Tahoma"/>
          <w:sz w:val="20"/>
          <w:szCs w:val="20"/>
          <w:lang w:val="pt-BR"/>
        </w:rPr>
        <w:t xml:space="preserve">alíneas </w:t>
      </w:r>
      <w:r w:rsidR="004D0146">
        <w:rPr>
          <w:rFonts w:ascii="Verdana" w:hAnsi="Verdana" w:cs="Tahoma"/>
          <w:sz w:val="20"/>
          <w:szCs w:val="20"/>
          <w:lang w:val="pt-BR"/>
        </w:rPr>
        <w:t>(</w:t>
      </w:r>
      <w:proofErr w:type="spellStart"/>
      <w:r w:rsidR="004D0146">
        <w:rPr>
          <w:rFonts w:ascii="Verdana" w:hAnsi="Verdana" w:cs="Tahoma"/>
          <w:sz w:val="20"/>
          <w:szCs w:val="20"/>
          <w:lang w:val="pt-BR"/>
        </w:rPr>
        <w:t>ix</w:t>
      </w:r>
      <w:proofErr w:type="spellEnd"/>
      <w:r w:rsidR="004D0146">
        <w:rPr>
          <w:rFonts w:ascii="Verdana" w:hAnsi="Verdana" w:cs="Tahoma"/>
          <w:sz w:val="20"/>
          <w:szCs w:val="20"/>
          <w:lang w:val="pt-BR"/>
        </w:rPr>
        <w:t>) e (x)</w:t>
      </w:r>
      <w:r w:rsidR="00121E46"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.2 </w:t>
      </w:r>
      <w:r w:rsidRPr="001F4BDE">
        <w:rPr>
          <w:rFonts w:ascii="Verdana" w:hAnsi="Verdana" w:cs="Tahoma"/>
          <w:sz w:val="20"/>
          <w:szCs w:val="20"/>
          <w:lang w:val="pt-BR"/>
        </w:rPr>
        <w:t xml:space="preserve">acima </w:t>
      </w:r>
      <w:r w:rsidR="00B2110D" w:rsidRPr="001F4BDE">
        <w:rPr>
          <w:rFonts w:ascii="Verdana" w:hAnsi="Verdana"/>
          <w:color w:val="000000"/>
          <w:sz w:val="20"/>
          <w:lang w:val="pt-BR"/>
        </w:rPr>
        <w:t>ser</w:t>
      </w:r>
      <w:r w:rsidR="00B2110D">
        <w:rPr>
          <w:rFonts w:ascii="Verdana" w:hAnsi="Verdana"/>
          <w:color w:val="000000"/>
          <w:sz w:val="20"/>
          <w:lang w:val="pt-BR"/>
        </w:rPr>
        <w:t>ão</w:t>
      </w:r>
      <w:r w:rsidR="00B2110D" w:rsidRPr="001F4BDE">
        <w:rPr>
          <w:rFonts w:ascii="Verdana" w:hAnsi="Verdana"/>
          <w:color w:val="000000"/>
          <w:sz w:val="20"/>
          <w:lang w:val="pt-BR"/>
        </w:rPr>
        <w:t xml:space="preserve"> atualizado</w:t>
      </w:r>
      <w:r w:rsidR="00B2110D">
        <w:rPr>
          <w:rFonts w:ascii="Verdana" w:hAnsi="Verdana"/>
          <w:color w:val="000000"/>
          <w:sz w:val="20"/>
          <w:lang w:val="pt-BR"/>
        </w:rPr>
        <w:t>s</w:t>
      </w:r>
      <w:r w:rsidR="00B2110D" w:rsidRPr="001F4BDE">
        <w:rPr>
          <w:rFonts w:ascii="Verdana" w:hAnsi="Verdana"/>
          <w:color w:val="000000"/>
          <w:sz w:val="20"/>
          <w:lang w:val="pt-BR"/>
        </w:rPr>
        <w:t xml:space="preserve"> mensalmente pelo IGP-M a partir da Data de Emissão</w:t>
      </w:r>
      <w:r w:rsidRPr="001F4BDE">
        <w:rPr>
          <w:rFonts w:ascii="Verdana" w:hAnsi="Verdana" w:cs="Tahoma"/>
          <w:sz w:val="20"/>
          <w:szCs w:val="20"/>
          <w:lang w:val="pt-BR"/>
        </w:rPr>
        <w:t xml:space="preserve">, ou na falta deste, pelo índice oficial que vier a substituir o </w:t>
      </w:r>
      <w:r w:rsidR="00B2110D">
        <w:rPr>
          <w:rFonts w:ascii="Verdana" w:hAnsi="Verdana" w:cs="Tahoma"/>
          <w:sz w:val="20"/>
          <w:szCs w:val="20"/>
          <w:lang w:val="pt-BR"/>
        </w:rPr>
        <w:t>IGP-M</w:t>
      </w:r>
      <w:r w:rsidRPr="001F4BDE">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w:t>
      </w:r>
      <w:r w:rsidRPr="001F4BDE">
        <w:rPr>
          <w:rFonts w:ascii="Verdana" w:hAnsi="Verdana" w:cs="Tahoma"/>
          <w:sz w:val="20"/>
          <w:lang w:val="pt-BR"/>
        </w:rPr>
        <w:lastRenderedPageBreak/>
        <w:t>interpelação judicial ou extrajudicial (i) multa convencional, irredutível e não compensatória, de 2% (dois por cento);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8" w:name="_DV_M404"/>
      <w:bookmarkEnd w:id="28"/>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77777777" w:rsidR="009B150C" w:rsidRPr="001F4BDE" w:rsidRDefault="009B150C"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proofErr w:type="spellStart"/>
      <w:r w:rsidRPr="001F4BDE">
        <w:rPr>
          <w:rFonts w:ascii="Verdana" w:hAnsi="Verdana" w:cs="Tahoma"/>
          <w:sz w:val="20"/>
        </w:rPr>
        <w:t>fornecer</w:t>
      </w:r>
      <w:proofErr w:type="spellEnd"/>
      <w:r w:rsidRPr="001F4BDE">
        <w:rPr>
          <w:rFonts w:ascii="Verdana" w:hAnsi="Verdana" w:cs="Tahoma"/>
          <w:sz w:val="20"/>
        </w:rPr>
        <w:t xml:space="preserve"> </w:t>
      </w:r>
      <w:proofErr w:type="spellStart"/>
      <w:r w:rsidRPr="001F4BDE">
        <w:rPr>
          <w:rFonts w:ascii="Verdana" w:hAnsi="Verdana" w:cs="Tahoma"/>
          <w:sz w:val="20"/>
        </w:rPr>
        <w:t>ao</w:t>
      </w:r>
      <w:proofErr w:type="spellEnd"/>
      <w:r w:rsidRPr="001F4BDE">
        <w:rPr>
          <w:rFonts w:ascii="Verdana" w:hAnsi="Verdana" w:cs="Tahoma"/>
          <w:sz w:val="20"/>
        </w:rPr>
        <w:t xml:space="preserve"> </w:t>
      </w:r>
      <w:proofErr w:type="spellStart"/>
      <w:r w:rsidRPr="001F4BDE">
        <w:rPr>
          <w:rFonts w:ascii="Verdana" w:hAnsi="Verdana" w:cs="Tahoma"/>
          <w:sz w:val="20"/>
        </w:rPr>
        <w:t>Agente</w:t>
      </w:r>
      <w:proofErr w:type="spellEnd"/>
      <w:r w:rsidRPr="001F4BDE">
        <w:rPr>
          <w:rFonts w:ascii="Verdana" w:hAnsi="Verdana" w:cs="Tahoma"/>
          <w:sz w:val="20"/>
        </w:rPr>
        <w:t xml:space="preserve"> </w:t>
      </w:r>
      <w:proofErr w:type="spellStart"/>
      <w:r w:rsidRPr="001F4BDE">
        <w:rPr>
          <w:rFonts w:ascii="Verdana" w:hAnsi="Verdana" w:cs="Tahoma"/>
          <w:sz w:val="20"/>
        </w:rPr>
        <w:t>Fiduciário</w:t>
      </w:r>
      <w:proofErr w:type="spellEnd"/>
      <w:r w:rsidRPr="001F4BDE">
        <w:rPr>
          <w:rFonts w:ascii="Verdana" w:hAnsi="Verdana" w:cs="Tahoma"/>
          <w:sz w:val="20"/>
        </w:rPr>
        <w:t>:</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65E30889"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 ou em até 5 (cinco) dias da data de sua divulgação, o que ocorrer primeiro, (i) cópia de suas demonstrações financeiras completas relativas ao respectivo exercício social então encerrado, acompanhadas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proofErr w:type="spellStart"/>
      <w:r w:rsidR="00DE471C" w:rsidRPr="001F4BDE">
        <w:rPr>
          <w:rFonts w:ascii="Verdana" w:hAnsi="Verdana"/>
          <w:sz w:val="20"/>
          <w:lang w:val="pt-BR"/>
        </w:rPr>
        <w:t>xxx</w:t>
      </w:r>
      <w:r w:rsidR="00D8313B" w:rsidRPr="001F4BDE">
        <w:rPr>
          <w:rFonts w:ascii="Verdana" w:hAnsi="Verdana"/>
          <w:sz w:val="20"/>
          <w:lang w:val="pt-BR"/>
        </w:rPr>
        <w:t>iii</w:t>
      </w:r>
      <w:proofErr w:type="spellEnd"/>
      <w:r w:rsidRPr="001F4BDE">
        <w:rPr>
          <w:rFonts w:ascii="Verdana" w:hAnsi="Verdana"/>
          <w:sz w:val="20"/>
          <w:lang w:val="pt-BR"/>
        </w:rPr>
        <w:t>”</w:t>
      </w:r>
      <w:r w:rsidRPr="001F4BDE">
        <w:rPr>
          <w:rFonts w:ascii="Verdana" w:hAnsi="Verdana" w:cs="Tahoma"/>
          <w:sz w:val="20"/>
          <w:lang w:val="pt-BR"/>
        </w:rPr>
        <w:t>, sob pena de impossibilidade de acompanhamento pelo Agente Fiduciário, podendo este solicitar à Emissora todos os eventuais esclarecimentos adicionais que se façam necessários; 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xml:space="preserve">, conforme definidos na </w:t>
      </w:r>
      <w:r w:rsidR="009B150C" w:rsidRPr="001F4BDE">
        <w:rPr>
          <w:rFonts w:ascii="Verdana" w:hAnsi="Verdana" w:cs="Tahoma"/>
          <w:sz w:val="20"/>
          <w:lang w:val="pt-BR"/>
        </w:rPr>
        <w:lastRenderedPageBreak/>
        <w:t>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lastRenderedPageBreak/>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w:t>
      </w:r>
      <w:proofErr w:type="spellStart"/>
      <w:r w:rsidRPr="00B2110D">
        <w:rPr>
          <w:rFonts w:ascii="Verdana" w:hAnsi="Verdana"/>
          <w:sz w:val="20"/>
          <w:lang w:val="pt-BR"/>
        </w:rPr>
        <w:t>iii</w:t>
      </w:r>
      <w:proofErr w:type="spellEnd"/>
      <w:r w:rsidRPr="00B2110D">
        <w:rPr>
          <w:rFonts w:ascii="Verdana" w:hAnsi="Verdana"/>
          <w:sz w:val="20"/>
          <w:lang w:val="pt-BR"/>
        </w:rPr>
        <w:t>), (</w:t>
      </w:r>
      <w:proofErr w:type="spellStart"/>
      <w:r w:rsidRPr="00B2110D">
        <w:rPr>
          <w:rFonts w:ascii="Verdana" w:hAnsi="Verdana"/>
          <w:sz w:val="20"/>
          <w:lang w:val="pt-BR"/>
        </w:rPr>
        <w:t>iv</w:t>
      </w:r>
      <w:proofErr w:type="spellEnd"/>
      <w:r w:rsidRPr="00B2110D">
        <w:rPr>
          <w:rFonts w:ascii="Verdana" w:hAnsi="Verdana"/>
          <w:sz w:val="20"/>
          <w:lang w:val="pt-BR"/>
        </w:rPr>
        <w:t>)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49901DE0"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10 (dez) Dias Úteis, aos Debenturistas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0465B135"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E53A67">
        <w:rPr>
          <w:rFonts w:ascii="Verdana" w:hAnsi="Verdana" w:cs="Tahoma"/>
          <w:sz w:val="20"/>
          <w:lang w:val="pt-BR"/>
        </w:rPr>
        <w:t>, ao Agente Fiduciário</w:t>
      </w:r>
      <w:r w:rsidRPr="001F4BDE">
        <w:rPr>
          <w:rFonts w:ascii="Verdana" w:hAnsi="Verdana" w:cs="Tahoma"/>
          <w:sz w:val="20"/>
          <w:lang w:val="pt-BR"/>
        </w:rPr>
        <w:t xml:space="preserve"> e aos Debenturistas, em até 5 (cinco) Dias Úteis, comunicação sobre (i) o recebimento de qualquer correspondência ou notificação judicial ou </w:t>
      </w:r>
      <w:r w:rsidRPr="001F4BDE">
        <w:rPr>
          <w:rFonts w:ascii="Verdana" w:hAnsi="Verdana" w:cs="Tahoma"/>
          <w:sz w:val="20"/>
          <w:lang w:val="pt-BR"/>
        </w:rPr>
        <w:lastRenderedPageBreak/>
        <w:t xml:space="preserve">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w:t>
      </w:r>
      <w:proofErr w:type="spellStart"/>
      <w:r w:rsidRPr="001F4BDE">
        <w:rPr>
          <w:rFonts w:ascii="Verdana" w:hAnsi="Verdana" w:cs="Tahoma"/>
          <w:sz w:val="20"/>
          <w:lang w:val="pt-BR"/>
        </w:rPr>
        <w:t>ii</w:t>
      </w:r>
      <w:proofErr w:type="spellEnd"/>
      <w:r w:rsidRPr="001F4BDE">
        <w:rPr>
          <w:rFonts w:ascii="Verdana" w:hAnsi="Verdana" w:cs="Tahoma"/>
          <w:sz w:val="20"/>
          <w:lang w:val="pt-BR"/>
        </w:rPr>
        <w:t>) todos os anúncios, avisos e demais atos e decisões decorrentes da Emissão que, de qualquer forma, possam impactar de forma relevante os Debenturistas, observados os critérios de definição de relevância da Instrução CVM 358. A comunicação aos investidores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9"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29"/>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0" w:name="_DV_C371"/>
      <w:r w:rsidRPr="001F4BDE">
        <w:rPr>
          <w:rFonts w:ascii="Verdana" w:hAnsi="Verdana" w:cs="Tahoma"/>
          <w:sz w:val="20"/>
          <w:lang w:val="pt-BR"/>
        </w:rPr>
        <w:t>exceto com relação àqueles pagamentos questionados na esfera judicial ou administrativa,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0"/>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256A798D"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 xml:space="preserve">qualquer outra forma de cessão ou promessa de </w:t>
      </w:r>
      <w:r>
        <w:rPr>
          <w:rFonts w:ascii="Verdana" w:hAnsi="Verdana"/>
          <w:color w:val="000000"/>
          <w:sz w:val="20"/>
          <w:lang w:val="pt-BR"/>
        </w:rPr>
        <w:t xml:space="preserve">transferência ou </w:t>
      </w:r>
      <w:r w:rsidRPr="001F4BDE">
        <w:rPr>
          <w:rFonts w:ascii="Verdana" w:hAnsi="Verdana"/>
          <w:color w:val="000000"/>
          <w:sz w:val="20"/>
          <w:lang w:val="pt-BR"/>
        </w:rPr>
        <w:t>cessão a terceiros,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1"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w:t>
      </w:r>
      <w:proofErr w:type="spellStart"/>
      <w:r w:rsidRPr="001F4BDE">
        <w:rPr>
          <w:rFonts w:ascii="Verdana" w:hAnsi="Verdana" w:cs="Tahoma"/>
          <w:sz w:val="20"/>
          <w:lang w:val="pt-BR"/>
        </w:rPr>
        <w:t>ii</w:t>
      </w:r>
      <w:proofErr w:type="spellEnd"/>
      <w:r w:rsidRPr="001F4BDE">
        <w:rPr>
          <w:rFonts w:ascii="Verdana" w:hAnsi="Verdana" w:cs="Tahoma"/>
          <w:sz w:val="20"/>
          <w:lang w:val="pt-BR"/>
        </w:rPr>
        <w:t>)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1"/>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w:t>
      </w:r>
      <w:r w:rsidR="00DD4108" w:rsidRPr="001F4BDE">
        <w:rPr>
          <w:rFonts w:ascii="Verdana" w:hAnsi="Verdana" w:cs="Tahoma"/>
          <w:sz w:val="20"/>
          <w:lang w:val="pt-BR"/>
        </w:rPr>
        <w:lastRenderedPageBreak/>
        <w:t>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7777777"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possam, direta ou indiretamente, comprometer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2"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3" w:name="_DV_C379"/>
      <w:bookmarkEnd w:id="32"/>
    </w:p>
    <w:bookmarkEnd w:id="33"/>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239C625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1F4BDE">
        <w:rPr>
          <w:rFonts w:ascii="Verdana" w:hAnsi="Verdana" w:cs="Tahoma"/>
          <w:sz w:val="20"/>
          <w:lang w:val="pt-BR"/>
        </w:rPr>
        <w:t>ii</w:t>
      </w:r>
      <w:proofErr w:type="spellEnd"/>
      <w:r w:rsidRPr="001F4BDE">
        <w:rPr>
          <w:rFonts w:ascii="Verdana" w:hAnsi="Verdana" w:cs="Tahoma"/>
          <w:sz w:val="20"/>
          <w:lang w:val="pt-BR"/>
        </w:rPr>
        <w:t>)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w:t>
      </w:r>
      <w:proofErr w:type="spellStart"/>
      <w:r w:rsidRPr="001F4BDE">
        <w:rPr>
          <w:rFonts w:ascii="Verdana" w:hAnsi="Verdana" w:cs="Tahoma"/>
          <w:sz w:val="20"/>
          <w:lang w:val="pt-BR"/>
        </w:rPr>
        <w:t>iii</w:t>
      </w:r>
      <w:proofErr w:type="spellEnd"/>
      <w:r w:rsidRPr="001F4BDE">
        <w:rPr>
          <w:rFonts w:ascii="Verdana" w:hAnsi="Verdana" w:cs="Tahoma"/>
          <w:sz w:val="20"/>
          <w:lang w:val="pt-BR"/>
        </w:rPr>
        <w:t>) a aplicação dos recursos provenientes desta Escritura de Emissão, única e exclusivamente, em ações e itens passíveis de licenciamento ambiental ou em atividades devidamente licenciadas e autorizadas pelos órgãos federais, estaduais e municipais competentes;</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estejam devidamente registrados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cumpra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57AA632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1F4BDE">
        <w:rPr>
          <w:rFonts w:ascii="Verdana" w:hAnsi="Verdana" w:cs="Tahoma"/>
          <w:sz w:val="20"/>
          <w:lang w:val="pt-BR"/>
        </w:rPr>
        <w:t>ii</w:t>
      </w:r>
      <w:proofErr w:type="spellEnd"/>
      <w:r w:rsidRPr="001F4BDE">
        <w:rPr>
          <w:rFonts w:ascii="Verdana" w:hAnsi="Verdana" w:cs="Tahoma"/>
          <w:sz w:val="20"/>
          <w:lang w:val="pt-BR"/>
        </w:rPr>
        <w:t>) possam afetar negativamente, impossibilitar ou dificultar o cumprimento pela Emissora de suas obrigações decorrentes desta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w:t>
      </w:r>
      <w:r w:rsidRPr="001F4BDE">
        <w:rPr>
          <w:rFonts w:ascii="Verdana" w:hAnsi="Verdana" w:cs="Tahoma"/>
          <w:sz w:val="20"/>
          <w:lang w:val="pt-BR"/>
        </w:rPr>
        <w:lastRenderedPageBreak/>
        <w:t>faça com que as demonstrações financeiras da Emissora não reflitam a real condição financeira da Emissora; ou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acerca do recebimento pela Emissora de qualquer correspondência relacionada a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7E40496E"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estritamente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1C23D8AA" w14:textId="77777777" w:rsidR="00117834" w:rsidRDefault="00117834" w:rsidP="00B2110D">
      <w:pPr>
        <w:pStyle w:val="PargrafodaLista"/>
        <w:rPr>
          <w:rFonts w:ascii="Verdana" w:hAnsi="Verdana" w:cs="Tahoma"/>
          <w:sz w:val="20"/>
          <w:lang w:val="pt-BR"/>
        </w:rPr>
      </w:pPr>
    </w:p>
    <w:p w14:paraId="2C217F78" w14:textId="30A9D8F1" w:rsidR="00117834" w:rsidRPr="001F4BDE" w:rsidRDefault="00D657D3"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manter o Projeto enquadrado</w:t>
      </w:r>
      <w:r w:rsidR="00435F6C" w:rsidRPr="00C705C8">
        <w:rPr>
          <w:rFonts w:ascii="Verdana" w:hAnsi="Verdana" w:cs="Tahoma"/>
          <w:sz w:val="20"/>
          <w:lang w:val="pt-BR"/>
        </w:rPr>
        <w:t xml:space="preserve"> como prioritário pelo Ministério do Desenvolvimento Regional</w:t>
      </w:r>
      <w:r w:rsidR="00117834">
        <w:rPr>
          <w:rFonts w:ascii="Verdana" w:hAnsi="Verdana"/>
          <w:color w:val="000000"/>
          <w:sz w:val="20"/>
          <w:lang w:val="pt-BR"/>
        </w:rPr>
        <w:t xml:space="preserve">, </w:t>
      </w:r>
      <w:r w:rsidR="00117834" w:rsidRPr="00D657D3">
        <w:rPr>
          <w:rFonts w:ascii="Verdana" w:hAnsi="Verdana"/>
          <w:color w:val="000000"/>
          <w:sz w:val="20"/>
          <w:lang w:val="pt-BR"/>
        </w:rPr>
        <w:t>nos termos da Lei 12.431</w:t>
      </w:r>
      <w:r w:rsidR="00435F6C">
        <w:rPr>
          <w:rFonts w:ascii="Verdana" w:hAnsi="Verdana"/>
          <w:color w:val="000000"/>
          <w:sz w:val="20"/>
          <w:lang w:val="pt-BR"/>
        </w:rPr>
        <w:t xml:space="preserve"> e da Portaria;</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77777777"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bem como 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w:t>
      </w:r>
      <w:proofErr w:type="spellStart"/>
      <w:r w:rsidRPr="001F4BDE">
        <w:rPr>
          <w:rFonts w:ascii="Verdana" w:hAnsi="Verdana"/>
          <w:sz w:val="20"/>
          <w:lang w:val="pt-BR"/>
        </w:rPr>
        <w:t>ii</w:t>
      </w:r>
      <w:proofErr w:type="spellEnd"/>
      <w:r w:rsidRPr="001F4BDE">
        <w:rPr>
          <w:rFonts w:ascii="Verdana" w:hAnsi="Verdana"/>
          <w:sz w:val="20"/>
          <w:lang w:val="pt-BR"/>
        </w:rPr>
        <w:t>) às</w:t>
      </w:r>
      <w:r w:rsidRPr="001F4BDE">
        <w:rPr>
          <w:rFonts w:ascii="Verdana" w:hAnsi="Verdana" w:cs="Tahoma"/>
          <w:sz w:val="20"/>
          <w:lang w:val="pt-BR"/>
        </w:rPr>
        <w:t xml:space="preserve"> publicações nos jornais de divulgação da Emissora; (</w:t>
      </w:r>
      <w:proofErr w:type="spellStart"/>
      <w:r w:rsidRPr="001F4BDE">
        <w:rPr>
          <w:rFonts w:ascii="Verdana" w:hAnsi="Verdana" w:cs="Tahoma"/>
          <w:sz w:val="20"/>
          <w:lang w:val="pt-BR"/>
        </w:rPr>
        <w:t>iii</w:t>
      </w:r>
      <w:proofErr w:type="spellEnd"/>
      <w:r w:rsidRPr="001F4BDE">
        <w:rPr>
          <w:rFonts w:ascii="Verdana" w:hAnsi="Verdana" w:cs="Tahoma"/>
          <w:sz w:val="20"/>
          <w:lang w:val="pt-BR"/>
        </w:rPr>
        <w:t>)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3D7BEC68" w:rsidR="009B150C"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e fazer </w:t>
      </w:r>
      <w:r w:rsidR="00CF5B71" w:rsidRPr="001F4BDE">
        <w:rPr>
          <w:rFonts w:ascii="Verdana" w:hAnsi="Verdana" w:cs="Tahoma"/>
          <w:sz w:val="20"/>
          <w:lang w:val="pt-BR"/>
        </w:rPr>
        <w:t>com que suas Partes Relacionadas cumpram</w:t>
      </w:r>
      <w:r w:rsidRPr="001F4BDE">
        <w:rPr>
          <w:rFonts w:ascii="Verdana" w:hAnsi="Verdana" w:cs="Tahoma"/>
          <w:sz w:val="20"/>
          <w:lang w:val="pt-BR"/>
        </w:rPr>
        <w:t xml:space="preserve"> </w:t>
      </w:r>
      <w:r w:rsidRPr="001F4BDE">
        <w:rPr>
          <w:rFonts w:ascii="Verdana" w:hAnsi="Verdana"/>
          <w:sz w:val="20"/>
          <w:lang w:val="pt-BR"/>
        </w:rPr>
        <w:t>as normas relativas a atos de corrupção em geral, incluindo, mas não se limitando às</w:t>
      </w:r>
      <w:r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w:t>
      </w:r>
      <w:proofErr w:type="spellStart"/>
      <w:r w:rsidR="0053761A" w:rsidRPr="001F4BDE">
        <w:rPr>
          <w:rFonts w:ascii="Verdana" w:hAnsi="Verdana" w:cs="Tahoma"/>
          <w:sz w:val="20"/>
          <w:lang w:val="pt-BR"/>
        </w:rPr>
        <w:t>Antilavagem</w:t>
      </w:r>
      <w:proofErr w:type="spellEnd"/>
      <w:r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Pr="001F4BDE">
        <w:rPr>
          <w:rFonts w:ascii="Verdana" w:hAnsi="Verdana" w:cs="Tahoma"/>
          <w:sz w:val="20"/>
          <w:lang w:val="pt-BR"/>
        </w:rPr>
        <w:t>manter políticas e procedimentos internos que asseguram integral cumprimento de tais normas; (</w:t>
      </w:r>
      <w:proofErr w:type="spellStart"/>
      <w:r w:rsidRPr="001F4BDE">
        <w:rPr>
          <w:rFonts w:ascii="Verdana" w:hAnsi="Verdana" w:cs="Tahoma"/>
          <w:sz w:val="20"/>
          <w:lang w:val="pt-BR"/>
        </w:rPr>
        <w:t>ii</w:t>
      </w:r>
      <w:proofErr w:type="spellEnd"/>
      <w:r w:rsidRPr="001F4BDE">
        <w:rPr>
          <w:rFonts w:ascii="Verdana" w:hAnsi="Verdana" w:cs="Tahoma"/>
          <w:sz w:val="20"/>
          <w:lang w:val="pt-BR"/>
        </w:rPr>
        <w:t>) dar pleno conhecimento de tais normas a todos os profissionais que venham a se relacionar; (</w:t>
      </w:r>
      <w:proofErr w:type="spellStart"/>
      <w:r w:rsidRPr="001F4BDE">
        <w:rPr>
          <w:rFonts w:ascii="Verdana" w:hAnsi="Verdana" w:cs="Tahoma"/>
          <w:sz w:val="20"/>
          <w:lang w:val="pt-BR"/>
        </w:rPr>
        <w:t>iii</w:t>
      </w:r>
      <w:proofErr w:type="spellEnd"/>
      <w:r w:rsidRPr="001F4BDE">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4EA516CE"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e suas Partes Relacionadas </w:t>
      </w:r>
      <w:r w:rsidRPr="00353082">
        <w:rPr>
          <w:rFonts w:ascii="Verdana" w:hAnsi="Verdana" w:cs="Tahoma"/>
          <w:sz w:val="20"/>
          <w:lang w:val="pt-BR"/>
        </w:rPr>
        <w:t>(i) para o pagamento de contribuições, presentes ou atividades de entretenimento ilegais ou qualquer outra despesa ilegal relativa a atividade política; (</w:t>
      </w:r>
      <w:proofErr w:type="spellStart"/>
      <w:r w:rsidRPr="00353082">
        <w:rPr>
          <w:rFonts w:ascii="Verdana" w:hAnsi="Verdana" w:cs="Tahoma"/>
          <w:sz w:val="20"/>
          <w:lang w:val="pt-BR"/>
        </w:rPr>
        <w:t>ii</w:t>
      </w:r>
      <w:proofErr w:type="spellEnd"/>
      <w:r w:rsidRPr="00353082">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353082">
        <w:rPr>
          <w:rFonts w:ascii="Verdana" w:hAnsi="Verdana" w:cs="Tahoma"/>
          <w:sz w:val="20"/>
          <w:lang w:val="pt-BR"/>
        </w:rPr>
        <w:t>iii</w:t>
      </w:r>
      <w:proofErr w:type="spellEnd"/>
      <w:r w:rsidRPr="00353082">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53082">
        <w:rPr>
          <w:rFonts w:ascii="Verdana" w:hAnsi="Verdana" w:cs="Tahoma"/>
          <w:sz w:val="20"/>
          <w:lang w:val="pt-BR"/>
        </w:rPr>
        <w:t>iv</w:t>
      </w:r>
      <w:proofErr w:type="spellEnd"/>
      <w:r w:rsidRPr="00353082">
        <w:rPr>
          <w:rFonts w:ascii="Verdana" w:hAnsi="Verdana" w:cs="Tahoma"/>
          <w:sz w:val="20"/>
          <w:lang w:val="pt-BR"/>
        </w:rPr>
        <w:t xml:space="preserve">)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 xml:space="preserve">Normas Anticorrupção e </w:t>
      </w:r>
      <w:proofErr w:type="spellStart"/>
      <w:r w:rsidRPr="00C705C8">
        <w:rPr>
          <w:rFonts w:ascii="Verdana" w:hAnsi="Verdana" w:cs="Tahoma"/>
          <w:sz w:val="20"/>
          <w:lang w:val="pt-BR"/>
        </w:rPr>
        <w:t>Antilavagem</w:t>
      </w:r>
      <w:proofErr w:type="spellEnd"/>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72372C5C"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e observar políticas e procedimentos destinados a assegurar a observância por </w:t>
      </w:r>
      <w:r w:rsidR="00D657D3">
        <w:rPr>
          <w:rFonts w:ascii="Verdana" w:hAnsi="Verdana" w:cs="Tahoma"/>
          <w:sz w:val="20"/>
          <w:lang w:val="pt-BR"/>
        </w:rPr>
        <w:t>suas Partes Relacionadas</w:t>
      </w:r>
      <w:r w:rsidRPr="00353082">
        <w:rPr>
          <w:rFonts w:ascii="Verdana" w:hAnsi="Verdana" w:cs="Tahoma"/>
          <w:sz w:val="20"/>
          <w:lang w:val="pt-BR"/>
        </w:rPr>
        <w:t xml:space="preserve"> das </w:t>
      </w:r>
      <w:r w:rsidRPr="00C705C8">
        <w:rPr>
          <w:rFonts w:ascii="Verdana" w:hAnsi="Verdana" w:cs="Tahoma"/>
          <w:sz w:val="20"/>
          <w:lang w:val="pt-BR"/>
        </w:rPr>
        <w:t xml:space="preserve">Normas Anticorrupção e </w:t>
      </w:r>
      <w:proofErr w:type="spellStart"/>
      <w:r w:rsidRPr="00C705C8">
        <w:rPr>
          <w:rFonts w:ascii="Verdana" w:hAnsi="Verdana" w:cs="Tahoma"/>
          <w:sz w:val="20"/>
          <w:lang w:val="pt-BR"/>
        </w:rPr>
        <w:t>Antilavagem</w:t>
      </w:r>
      <w:proofErr w:type="spellEnd"/>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 xml:space="preserve">Normas Anticorrupção e </w:t>
      </w:r>
      <w:proofErr w:type="spellStart"/>
      <w:r w:rsidRPr="00C705C8">
        <w:rPr>
          <w:rFonts w:ascii="Verdana" w:hAnsi="Verdana" w:cs="Tahoma"/>
          <w:sz w:val="20"/>
          <w:lang w:val="pt-BR"/>
        </w:rPr>
        <w:t>Antilavagem</w:t>
      </w:r>
      <w:proofErr w:type="spellEnd"/>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 xml:space="preserve">todos os bens da Emissora, incluindo, mas não se limitando a, todas as suas propriedades </w:t>
      </w:r>
      <w:r w:rsidRPr="00353082">
        <w:rPr>
          <w:rFonts w:ascii="Verdana" w:hAnsi="Verdana" w:cs="Tahoma"/>
          <w:sz w:val="20"/>
          <w:lang w:val="pt-BR"/>
        </w:rPr>
        <w:lastRenderedPageBreak/>
        <w:t>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w:t>
      </w:r>
      <w:proofErr w:type="spellEnd"/>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iii</w:t>
      </w:r>
      <w:proofErr w:type="spellEnd"/>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iv</w:t>
      </w:r>
      <w:proofErr w:type="spellEnd"/>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w:t>
      </w:r>
      <w:proofErr w:type="spellStart"/>
      <w:r w:rsidR="004D356C" w:rsidRPr="00965621">
        <w:rPr>
          <w:rFonts w:ascii="Verdana" w:hAnsi="Verdana" w:cs="Tahoma"/>
          <w:sz w:val="20"/>
          <w:lang w:val="pt-BR"/>
        </w:rPr>
        <w:t>ii</w:t>
      </w:r>
      <w:proofErr w:type="spellEnd"/>
      <w:r w:rsidR="004D356C" w:rsidRPr="00965621">
        <w:rPr>
          <w:rFonts w:ascii="Verdana" w:hAnsi="Verdana" w:cs="Tahoma"/>
          <w:sz w:val="20"/>
          <w:lang w:val="pt-BR"/>
        </w:rPr>
        <w:t xml:space="preserve">)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2E9C16C2" w:rsidR="00D657D3" w:rsidRPr="001F4BDE" w:rsidRDefault="00D657D3"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lastRenderedPageBreak/>
        <w:t>cumprirá</w:t>
      </w:r>
      <w:r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125ACBBD" w14:textId="2E5F9BE1" w:rsidR="00681B83" w:rsidRDefault="00681B83" w:rsidP="00456C13">
      <w:pPr>
        <w:pStyle w:val="PargrafodaLista"/>
        <w:spacing w:line="300" w:lineRule="exact"/>
        <w:rPr>
          <w:rFonts w:ascii="Verdana" w:hAnsi="Verdana" w:cs="Tahoma"/>
          <w:sz w:val="20"/>
          <w:lang w:val="pt-BR"/>
        </w:rPr>
      </w:pP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4" w:name="_DV_C423"/>
      <w:r w:rsidRPr="001F4BDE">
        <w:rPr>
          <w:rFonts w:ascii="Verdana" w:hAnsi="Verdana" w:cs="Tahoma"/>
          <w:sz w:val="20"/>
          <w:lang w:val="pt-BR"/>
        </w:rPr>
        <w:t>está devidamente qualificado a exercer as atividades de agente fiduciário, nos termos da regulamentação aplicável vigente;</w:t>
      </w:r>
      <w:bookmarkEnd w:id="34"/>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5" w:name="_DV_C424"/>
      <w:r w:rsidRPr="001F4BDE">
        <w:rPr>
          <w:rFonts w:ascii="Verdana" w:hAnsi="Verdana" w:cs="Tahoma"/>
          <w:sz w:val="20"/>
          <w:lang w:val="pt-BR"/>
        </w:rPr>
        <w:t xml:space="preserve">que </w:t>
      </w:r>
      <w:bookmarkStart w:id="36" w:name="_DV_X465"/>
      <w:bookmarkStart w:id="37" w:name="_DV_C425"/>
      <w:bookmarkEnd w:id="35"/>
      <w:r w:rsidRPr="001F4BDE">
        <w:rPr>
          <w:rFonts w:ascii="Verdana" w:hAnsi="Verdana" w:cs="Tahoma"/>
          <w:sz w:val="20"/>
          <w:lang w:val="pt-BR"/>
        </w:rPr>
        <w:t>esta Escritura de Emissão constitui uma obrigação legal, válida</w:t>
      </w:r>
      <w:bookmarkStart w:id="38" w:name="_DV_C426"/>
      <w:bookmarkEnd w:id="36"/>
      <w:bookmarkEnd w:id="37"/>
      <w:r w:rsidRPr="001F4BDE">
        <w:rPr>
          <w:rFonts w:ascii="Verdana" w:hAnsi="Verdana" w:cs="Tahoma"/>
          <w:sz w:val="20"/>
          <w:lang w:val="pt-BR"/>
        </w:rPr>
        <w:t xml:space="preserve">, vinculativa </w:t>
      </w:r>
      <w:r w:rsidRPr="001F4BDE">
        <w:rPr>
          <w:rFonts w:ascii="Verdana" w:hAnsi="Verdana" w:cs="Tahoma"/>
          <w:sz w:val="20"/>
          <w:lang w:val="pt-BR"/>
        </w:rPr>
        <w:lastRenderedPageBreak/>
        <w:t>e eficaz</w:t>
      </w:r>
      <w:bookmarkStart w:id="39" w:name="_DV_X467"/>
      <w:bookmarkStart w:id="40" w:name="_DV_C427"/>
      <w:bookmarkEnd w:id="38"/>
      <w:r w:rsidRPr="001F4BDE">
        <w:rPr>
          <w:rFonts w:ascii="Verdana" w:hAnsi="Verdana" w:cs="Tahoma"/>
          <w:sz w:val="20"/>
          <w:lang w:val="pt-BR"/>
        </w:rPr>
        <w:t xml:space="preserve"> do Agente Fiduciário, exequível de acordo com os seus termos e condições;</w:t>
      </w:r>
      <w:bookmarkEnd w:id="39"/>
      <w:bookmarkEnd w:id="40"/>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verificou, no momento em que aceitou a função de agente fiduciário,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xml:space="preserve">, tendo sido emitidas 13.680 debêntures com valor nominal unitário de R$ 560,55 e prêmio de emissão no valor de R$ 2.165,13, perfazendo o valor total de R$ 37.287.302,40. A data de </w:t>
      </w:r>
      <w:r w:rsidRPr="000374C8">
        <w:rPr>
          <w:rFonts w:ascii="Verdana" w:hAnsi="Verdana" w:cs="Tahoma"/>
          <w:i/>
          <w:sz w:val="20"/>
          <w:lang w:val="pt-BR"/>
        </w:rPr>
        <w:lastRenderedPageBreak/>
        <w:t>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com data de vencimento em 12 de março de 2023. A remuneração, equivalente a DI+5,00% </w:t>
      </w:r>
      <w:proofErr w:type="spellStart"/>
      <w:r w:rsidRPr="000374C8">
        <w:rPr>
          <w:rFonts w:ascii="Verdana" w:hAnsi="Verdana" w:cs="Tahoma"/>
          <w:i/>
          <w:sz w:val="20"/>
          <w:lang w:val="pt-BR"/>
        </w:rPr>
        <w:t>a.a</w:t>
      </w:r>
      <w:proofErr w:type="spellEnd"/>
      <w:r w:rsidRPr="000374C8">
        <w:rPr>
          <w:rFonts w:ascii="Verdana" w:hAnsi="Verdana" w:cs="Tahoma"/>
          <w:i/>
          <w:sz w:val="20"/>
          <w:lang w:val="pt-BR"/>
        </w:rPr>
        <w:t>,, deverá ser paga nos dias (i) 12 de março de 2019, 12 de março de 2020 e 12 de março de 2021 e, (</w:t>
      </w:r>
      <w:proofErr w:type="spellStart"/>
      <w:r w:rsidRPr="000374C8">
        <w:rPr>
          <w:rFonts w:ascii="Verdana" w:hAnsi="Verdana" w:cs="Tahoma"/>
          <w:i/>
          <w:sz w:val="20"/>
          <w:lang w:val="pt-BR"/>
        </w:rPr>
        <w:t>ii</w:t>
      </w:r>
      <w:proofErr w:type="spellEnd"/>
      <w:r w:rsidRPr="000374C8">
        <w:rPr>
          <w:rFonts w:ascii="Verdana" w:hAnsi="Verdana" w:cs="Tahoma"/>
          <w:i/>
          <w:sz w:val="20"/>
          <w:lang w:val="pt-BR"/>
        </w:rPr>
        <w:t xml:space="preserve">) mensalmente, sempre no dia 12 de cada mês, sendo o primeiro pagamento mensal no dia 12 de abril de </w:t>
      </w:r>
      <w:r w:rsidRPr="000374C8">
        <w:rPr>
          <w:rFonts w:ascii="Verdana" w:hAnsi="Verdana" w:cs="Tahoma"/>
          <w:i/>
          <w:sz w:val="20"/>
          <w:lang w:val="pt-BR"/>
        </w:rPr>
        <w:lastRenderedPageBreak/>
        <w:t>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 xml:space="preserve">emissão de debêntures da Concessionária </w:t>
      </w:r>
      <w:proofErr w:type="spellStart"/>
      <w:r w:rsidRPr="000374C8">
        <w:rPr>
          <w:rFonts w:ascii="Verdana" w:hAnsi="Verdana" w:cs="Tahoma"/>
          <w:i/>
          <w:sz w:val="20"/>
          <w:u w:val="single"/>
          <w:lang w:val="pt-BR"/>
        </w:rPr>
        <w:t>Viario</w:t>
      </w:r>
      <w:proofErr w:type="spellEnd"/>
      <w:r w:rsidRPr="000374C8">
        <w:rPr>
          <w:rFonts w:ascii="Verdana" w:hAnsi="Verdana" w:cs="Tahoma"/>
          <w:i/>
          <w:sz w:val="20"/>
          <w:u w:val="single"/>
          <w:lang w:val="pt-BR"/>
        </w:rPr>
        <w:t xml:space="preserve"> S.A.</w:t>
      </w:r>
      <w:r w:rsidRPr="000374C8">
        <w:rPr>
          <w:rFonts w:ascii="Verdana" w:hAnsi="Verdana" w:cs="Tahoma"/>
          <w:i/>
          <w:sz w:val="20"/>
          <w:lang w:val="pt-BR"/>
        </w:rPr>
        <w:t xml:space="preserve">,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4239FEA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parcelas anuais de R$ </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w:t>
      </w:r>
      <w:r w:rsidRPr="001F4BDE">
        <w:rPr>
          <w:rFonts w:ascii="Verdana" w:hAnsi="Verdana" w:cs="Tahoma"/>
          <w:sz w:val="20"/>
          <w:lang w:val="pt-BR"/>
        </w:rPr>
        <w:lastRenderedPageBreak/>
        <w:t xml:space="preserve">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9BBF1A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R$ 400,00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w:t>
      </w:r>
      <w:r w:rsidRPr="00801D32">
        <w:rPr>
          <w:rFonts w:ascii="Verdana" w:hAnsi="Verdana" w:cs="Tahoma"/>
          <w:sz w:val="20"/>
          <w:lang w:val="pt-BR"/>
        </w:rPr>
        <w:lastRenderedPageBreak/>
        <w:t xml:space="preserve">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1F4BDE">
        <w:rPr>
          <w:rFonts w:ascii="Verdana" w:hAnsi="Verdana" w:cs="Tahoma"/>
          <w:sz w:val="20"/>
          <w:lang w:val="pt-BR"/>
        </w:rPr>
        <w:t>ii</w:t>
      </w:r>
      <w:proofErr w:type="spellEnd"/>
      <w:r w:rsidRPr="001F4BDE">
        <w:rPr>
          <w:rFonts w:ascii="Verdana" w:hAnsi="Verdana" w:cs="Tahoma"/>
          <w:sz w:val="20"/>
          <w:lang w:val="pt-BR"/>
        </w:rPr>
        <w:t>)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verificar, no momento de aceitar a função,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lastRenderedPageBreak/>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w:t>
      </w:r>
      <w:r w:rsidRPr="001F4BDE">
        <w:rPr>
          <w:rFonts w:ascii="Verdana" w:hAnsi="Verdana" w:cs="Tahoma"/>
          <w:sz w:val="20"/>
          <w:lang w:val="pt-BR"/>
        </w:rPr>
        <w:lastRenderedPageBreak/>
        <w:t xml:space="preserve">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w:t>
      </w:r>
      <w:r w:rsidRPr="001F4BDE">
        <w:rPr>
          <w:rFonts w:ascii="Verdana" w:hAnsi="Verdana" w:cs="Tahoma"/>
          <w:sz w:val="20"/>
          <w:lang w:val="pt-BR"/>
        </w:rPr>
        <w:lastRenderedPageBreak/>
        <w:t xml:space="preserve">(quinze)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4644672A"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26A1311D" w14:textId="77777777" w:rsidR="009A7FB9" w:rsidRPr="001F4BDE" w:rsidRDefault="009A7FB9" w:rsidP="00456C13">
      <w:pPr>
        <w:spacing w:line="300" w:lineRule="exact"/>
        <w:rPr>
          <w:rFonts w:ascii="Verdana" w:hAnsi="Verdana" w:cs="Tahoma"/>
          <w:sz w:val="20"/>
          <w:lang w:val="pt-BR"/>
        </w:rPr>
      </w:pPr>
    </w:p>
    <w:p w14:paraId="10E5E24E" w14:textId="6BCEF1A1"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w:t>
      </w:r>
      <w:r w:rsidRPr="001F4BDE">
        <w:rPr>
          <w:rFonts w:ascii="Verdana" w:hAnsi="Verdana" w:cs="Tahoma"/>
          <w:sz w:val="20"/>
          <w:lang w:val="pt-BR"/>
        </w:rPr>
        <w:lastRenderedPageBreak/>
        <w:t xml:space="preserve">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 xml:space="preserve">50% (cinquenta por cento) mais um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605331">
        <w:rPr>
          <w:rFonts w:ascii="Verdana" w:hAnsi="Verdana" w:cs="Tahoma"/>
          <w:sz w:val="20"/>
          <w:lang w:val="pt-BR"/>
        </w:rPr>
        <w:t>2</w:t>
      </w:r>
      <w:r w:rsidR="00965621">
        <w:rPr>
          <w:rFonts w:ascii="Verdana" w:hAnsi="Verdana" w:cs="Tahoma"/>
          <w:sz w:val="20"/>
          <w:lang w:val="pt-BR"/>
        </w:rPr>
        <w:t>0% (</w:t>
      </w:r>
      <w:r w:rsidR="00605331">
        <w:rPr>
          <w:rFonts w:ascii="Verdana" w:hAnsi="Verdana" w:cs="Tahoma"/>
          <w:sz w:val="20"/>
          <w:lang w:val="pt-BR"/>
        </w:rPr>
        <w:t>vinte</w:t>
      </w:r>
      <w:r w:rsidR="00605331">
        <w:rPr>
          <w:rFonts w:ascii="Verdana" w:hAnsi="Verdana" w:cs="Tahoma"/>
          <w:sz w:val="20"/>
          <w:lang w:val="pt-BR"/>
        </w:rPr>
        <w:t xml:space="preserve">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7D18AC1D"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t>Qualquer alteração (i) no prazo de vigência das Debêntures; (</w:t>
      </w:r>
      <w:proofErr w:type="spellStart"/>
      <w:r w:rsidRPr="001F4BDE">
        <w:rPr>
          <w:rFonts w:ascii="Verdana" w:hAnsi="Verdana" w:cs="Tahoma"/>
          <w:sz w:val="20"/>
          <w:lang w:val="pt-BR"/>
        </w:rPr>
        <w:t>ii</w:t>
      </w:r>
      <w:proofErr w:type="spellEnd"/>
      <w:r w:rsidRPr="001F4BDE">
        <w:rPr>
          <w:rFonts w:ascii="Verdana" w:hAnsi="Verdana" w:cs="Tahoma"/>
          <w:sz w:val="20"/>
          <w:lang w:val="pt-BR"/>
        </w:rPr>
        <w:t>) na Data de Vencimento;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no parâmetro de cálculo da Remuneração; </w:t>
      </w:r>
      <w:r w:rsidR="000374C8">
        <w:rPr>
          <w:rFonts w:ascii="Verdana" w:hAnsi="Verdana" w:cs="Tahoma"/>
          <w:sz w:val="20"/>
          <w:lang w:val="pt-BR"/>
        </w:rPr>
        <w:t>(</w:t>
      </w:r>
      <w:proofErr w:type="spellStart"/>
      <w:r w:rsidR="000374C8">
        <w:rPr>
          <w:rFonts w:ascii="Verdana" w:hAnsi="Verdana" w:cs="Tahoma"/>
          <w:sz w:val="20"/>
          <w:lang w:val="pt-BR"/>
        </w:rPr>
        <w:t>iv</w:t>
      </w:r>
      <w:proofErr w:type="spellEnd"/>
      <w:r w:rsidR="000374C8">
        <w:rPr>
          <w:rFonts w:ascii="Verdana" w:hAnsi="Verdana" w:cs="Tahoma"/>
          <w:sz w:val="20"/>
          <w:lang w:val="pt-BR"/>
        </w:rPr>
        <w:t xml:space="preserve">) no cronograma de </w:t>
      </w:r>
      <w:r w:rsidR="00DF1E09">
        <w:rPr>
          <w:rFonts w:ascii="Verdana" w:hAnsi="Verdana" w:cs="Tahoma"/>
          <w:sz w:val="20"/>
          <w:lang w:val="pt-BR"/>
        </w:rPr>
        <w:t>amortização de principal e juros</w:t>
      </w:r>
      <w:r w:rsidR="000374C8">
        <w:rPr>
          <w:rFonts w:ascii="Verdana" w:hAnsi="Verdana" w:cs="Tahoma"/>
          <w:sz w:val="20"/>
          <w:lang w:val="pt-BR"/>
        </w:rPr>
        <w:t xml:space="preserve">; (v) na Garantia Real; </w:t>
      </w:r>
      <w:r w:rsidRPr="001F4BDE">
        <w:rPr>
          <w:rFonts w:ascii="Verdana" w:hAnsi="Verdana" w:cs="Tahoma"/>
          <w:sz w:val="20"/>
          <w:lang w:val="pt-BR"/>
        </w:rPr>
        <w:t>(v</w:t>
      </w:r>
      <w:r w:rsidR="000374C8">
        <w:rPr>
          <w:rFonts w:ascii="Verdana" w:hAnsi="Verdana" w:cs="Tahoma"/>
          <w:sz w:val="20"/>
          <w:lang w:val="pt-BR"/>
        </w:rPr>
        <w:t>i</w:t>
      </w:r>
      <w:r w:rsidRPr="001F4BDE">
        <w:rPr>
          <w:rFonts w:ascii="Verdana" w:hAnsi="Verdana" w:cs="Tahoma"/>
          <w:sz w:val="20"/>
          <w:lang w:val="pt-BR"/>
        </w:rPr>
        <w:t xml:space="preserve">) no quórum de deliberação das </w:t>
      </w:r>
      <w:r w:rsidRPr="00BE3DF0">
        <w:rPr>
          <w:rFonts w:ascii="Verdana" w:hAnsi="Verdana" w:cs="Tahoma"/>
          <w:sz w:val="20"/>
          <w:lang w:val="pt-BR"/>
        </w:rPr>
        <w:t>Assembleias Gerais de Debenturistas</w:t>
      </w:r>
      <w:r w:rsidR="00BE3DF0" w:rsidRPr="00BE3DF0">
        <w:rPr>
          <w:rFonts w:ascii="Verdana" w:hAnsi="Verdana" w:cs="Tahoma"/>
          <w:sz w:val="20"/>
          <w:lang w:val="pt-BR"/>
        </w:rPr>
        <w:t>; (</w:t>
      </w:r>
      <w:proofErr w:type="spellStart"/>
      <w:r w:rsidR="00BE3DF0" w:rsidRPr="00BE3DF0">
        <w:rPr>
          <w:rFonts w:ascii="Verdana" w:hAnsi="Verdana" w:cs="Tahoma"/>
          <w:sz w:val="20"/>
          <w:lang w:val="pt-BR"/>
        </w:rPr>
        <w:t>vii</w:t>
      </w:r>
      <w:proofErr w:type="spellEnd"/>
      <w:r w:rsidR="00BE3DF0" w:rsidRPr="00BE3DF0">
        <w:rPr>
          <w:rFonts w:ascii="Verdana" w:hAnsi="Verdana" w:cs="Tahoma"/>
          <w:sz w:val="20"/>
          <w:lang w:val="pt-BR"/>
        </w:rPr>
        <w:t xml:space="preserve">) nas </w:t>
      </w:r>
      <w:r w:rsidR="001A55FF">
        <w:rPr>
          <w:rFonts w:ascii="Verdana" w:hAnsi="Verdana" w:cs="Tahoma"/>
          <w:sz w:val="20"/>
          <w:lang w:val="pt-BR"/>
        </w:rPr>
        <w:t>H</w:t>
      </w:r>
      <w:r w:rsidR="00BE3DF0" w:rsidRPr="00BE3DF0">
        <w:rPr>
          <w:rFonts w:ascii="Verdana" w:hAnsi="Verdana" w:cs="Tahoma"/>
          <w:sz w:val="20"/>
          <w:lang w:val="pt-BR"/>
        </w:rPr>
        <w:t>ipóteses de Vencimento Antecipado</w:t>
      </w:r>
      <w:r w:rsidR="004D0146">
        <w:rPr>
          <w:rFonts w:ascii="Verdana" w:hAnsi="Verdana" w:cs="Tahoma"/>
          <w:sz w:val="20"/>
          <w:lang w:val="pt-BR"/>
        </w:rPr>
        <w:t xml:space="preserve"> </w:t>
      </w:r>
      <w:r w:rsidR="00FC36E3">
        <w:rPr>
          <w:rFonts w:ascii="Verdana" w:hAnsi="Verdana" w:cs="Tahoma"/>
          <w:sz w:val="20"/>
          <w:lang w:val="pt-BR"/>
        </w:rPr>
        <w:t xml:space="preserve">previstas nas Cláusulas 4.14.1 e 4.14.2 acima </w:t>
      </w:r>
      <w:r w:rsidR="004D0146" w:rsidRPr="004D0146">
        <w:rPr>
          <w:rFonts w:ascii="Verdana" w:hAnsi="Verdana" w:cs="Tahoma"/>
          <w:sz w:val="20"/>
          <w:lang w:val="pt-BR"/>
        </w:rPr>
        <w:t>(incluindo para a exclusão</w:t>
      </w:r>
      <w:r w:rsidR="004D0146">
        <w:rPr>
          <w:rFonts w:ascii="Verdana" w:hAnsi="Verdana" w:cs="Tahoma"/>
          <w:sz w:val="20"/>
          <w:lang w:val="pt-BR"/>
        </w:rPr>
        <w:t>, inclusão</w:t>
      </w:r>
      <w:r w:rsidR="004D0146" w:rsidRPr="004D0146">
        <w:rPr>
          <w:rFonts w:ascii="Verdana" w:hAnsi="Verdana" w:cs="Tahoma"/>
          <w:sz w:val="20"/>
          <w:lang w:val="pt-BR"/>
        </w:rPr>
        <w:t xml:space="preserve"> e/ou alteração de suas respectivas redações)</w:t>
      </w:r>
      <w:r w:rsidR="00BE3DF0" w:rsidRPr="00BE3DF0">
        <w:rPr>
          <w:rFonts w:ascii="Verdana" w:hAnsi="Verdana" w:cs="Tahoma"/>
          <w:sz w:val="20"/>
          <w:lang w:val="pt-BR"/>
        </w:rPr>
        <w:t>; ou (</w:t>
      </w:r>
      <w:proofErr w:type="spellStart"/>
      <w:r w:rsidR="00BE3DF0" w:rsidRPr="00BE3DF0">
        <w:rPr>
          <w:rFonts w:ascii="Verdana" w:hAnsi="Verdana" w:cs="Tahoma"/>
          <w:sz w:val="20"/>
          <w:lang w:val="pt-BR"/>
        </w:rPr>
        <w:t>viii</w:t>
      </w:r>
      <w:proofErr w:type="spellEnd"/>
      <w:r w:rsidR="00BE3DF0" w:rsidRPr="00BE3DF0">
        <w:rPr>
          <w:rFonts w:ascii="Verdana" w:hAnsi="Verdana" w:cs="Tahoma"/>
          <w:sz w:val="20"/>
          <w:lang w:val="pt-BR"/>
        </w:rPr>
        <w:t>) nas obrigações adicionais da Emissora previstas n</w:t>
      </w:r>
      <w:r w:rsidR="00101E0C">
        <w:rPr>
          <w:rFonts w:ascii="Verdana" w:hAnsi="Verdana" w:cs="Tahoma"/>
          <w:sz w:val="20"/>
          <w:lang w:val="pt-BR"/>
        </w:rPr>
        <w:t>os</w:t>
      </w:r>
      <w:r w:rsidR="00BE3DF0" w:rsidRPr="00BE3DF0">
        <w:rPr>
          <w:rFonts w:ascii="Verdana" w:hAnsi="Verdana" w:cs="Tahoma"/>
          <w:sz w:val="20"/>
          <w:lang w:val="pt-BR"/>
        </w:rPr>
        <w:t xml:space="preserve"> incisos </w:t>
      </w:r>
      <w:r w:rsidR="00101E0C">
        <w:rPr>
          <w:rFonts w:ascii="Verdana" w:hAnsi="Verdana" w:cs="Tahoma"/>
          <w:sz w:val="20"/>
          <w:lang w:val="pt-BR"/>
        </w:rPr>
        <w:t>(y) e (z)</w:t>
      </w:r>
      <w:r w:rsidR="00BE3DF0" w:rsidRPr="00BE3DF0">
        <w:rPr>
          <w:rFonts w:ascii="Verdana" w:hAnsi="Verdana" w:cs="Tahoma"/>
          <w:sz w:val="20"/>
          <w:lang w:val="pt-BR"/>
        </w:rPr>
        <w:t xml:space="preserve"> (socioambientais) e incisos </w:t>
      </w:r>
      <w:r w:rsidR="00101E0C">
        <w:rPr>
          <w:rFonts w:ascii="Verdana" w:hAnsi="Verdana" w:cs="Tahoma"/>
          <w:sz w:val="20"/>
          <w:lang w:val="pt-BR"/>
        </w:rPr>
        <w:t>(</w:t>
      </w:r>
      <w:proofErr w:type="spellStart"/>
      <w:r w:rsidR="00101E0C">
        <w:rPr>
          <w:rFonts w:ascii="Verdana" w:hAnsi="Verdana" w:cs="Tahoma"/>
          <w:sz w:val="20"/>
          <w:lang w:val="pt-BR"/>
        </w:rPr>
        <w:t>ii</w:t>
      </w:r>
      <w:proofErr w:type="spellEnd"/>
      <w:r w:rsidR="00101E0C">
        <w:rPr>
          <w:rFonts w:ascii="Verdana" w:hAnsi="Verdana" w:cs="Tahoma"/>
          <w:sz w:val="20"/>
          <w:lang w:val="pt-BR"/>
        </w:rPr>
        <w:t>), (</w:t>
      </w:r>
      <w:proofErr w:type="spellStart"/>
      <w:r w:rsidR="00101E0C">
        <w:rPr>
          <w:rFonts w:ascii="Verdana" w:hAnsi="Verdana" w:cs="Tahoma"/>
          <w:sz w:val="20"/>
          <w:lang w:val="pt-BR"/>
        </w:rPr>
        <w:t>jj</w:t>
      </w:r>
      <w:proofErr w:type="spellEnd"/>
      <w:r w:rsidR="00101E0C">
        <w:rPr>
          <w:rFonts w:ascii="Verdana" w:hAnsi="Verdana" w:cs="Tahoma"/>
          <w:sz w:val="20"/>
          <w:lang w:val="pt-BR"/>
        </w:rPr>
        <w:t>) e (</w:t>
      </w:r>
      <w:proofErr w:type="spellStart"/>
      <w:r w:rsidR="00101E0C">
        <w:rPr>
          <w:rFonts w:ascii="Verdana" w:hAnsi="Verdana" w:cs="Tahoma"/>
          <w:sz w:val="20"/>
          <w:lang w:val="pt-BR"/>
        </w:rPr>
        <w:t>kk</w:t>
      </w:r>
      <w:proofErr w:type="spellEnd"/>
      <w:r w:rsidR="00101E0C">
        <w:rPr>
          <w:rFonts w:ascii="Verdana" w:hAnsi="Verdana" w:cs="Tahoma"/>
          <w:sz w:val="20"/>
          <w:lang w:val="pt-BR"/>
        </w:rPr>
        <w:t>)</w:t>
      </w:r>
      <w:r w:rsidR="00BE3DF0" w:rsidRPr="00BE3DF0">
        <w:rPr>
          <w:rFonts w:ascii="Verdana" w:hAnsi="Verdana" w:cs="Tahoma"/>
          <w:sz w:val="20"/>
          <w:lang w:val="pt-BR"/>
        </w:rPr>
        <w:t xml:space="preserve"> (anticorrupção)</w:t>
      </w:r>
      <w:r w:rsidR="00101E0C">
        <w:rPr>
          <w:rFonts w:ascii="Verdana" w:hAnsi="Verdana" w:cs="Tahoma"/>
          <w:sz w:val="20"/>
          <w:lang w:val="pt-BR"/>
        </w:rPr>
        <w:t xml:space="preserve"> da </w:t>
      </w:r>
      <w:r w:rsidR="00101E0C" w:rsidRPr="00BE3DF0">
        <w:rPr>
          <w:rFonts w:ascii="Verdana" w:hAnsi="Verdana" w:cs="Tahoma"/>
          <w:sz w:val="20"/>
          <w:lang w:val="pt-BR"/>
        </w:rPr>
        <w:t>Cláusula 5.1</w:t>
      </w:r>
      <w:r w:rsidRPr="00BE3DF0">
        <w:rPr>
          <w:rFonts w:ascii="Verdana" w:hAnsi="Verdana" w:cs="Tahoma"/>
          <w:sz w:val="20"/>
          <w:lang w:val="pt-BR"/>
        </w:rPr>
        <w:t>, deverá ser</w:t>
      </w:r>
      <w:r w:rsidRPr="00E20F7C">
        <w:rPr>
          <w:rFonts w:ascii="Verdana" w:hAnsi="Verdana" w:cs="Tahoma"/>
          <w:sz w:val="20"/>
          <w:lang w:val="pt-BR"/>
        </w:rPr>
        <w:t xml:space="preserve"> aprovada por Debenturistas que representem, no mínimo, </w:t>
      </w:r>
      <w:r w:rsidR="004B27CE" w:rsidRPr="00BE3DF0">
        <w:rPr>
          <w:rFonts w:ascii="Verdana" w:hAnsi="Verdana" w:cs="Tahoma"/>
          <w:sz w:val="20"/>
          <w:lang w:val="pt-BR"/>
        </w:rPr>
        <w:t xml:space="preserve">75% (setenta e cinco </w:t>
      </w:r>
      <w:r w:rsidR="005A62AF" w:rsidRPr="00BE3DF0">
        <w:rPr>
          <w:rFonts w:ascii="Verdana" w:hAnsi="Verdana" w:cs="Tahoma"/>
          <w:sz w:val="20"/>
          <w:lang w:val="pt-BR"/>
        </w:rPr>
        <w:t>por cento)</w:t>
      </w:r>
      <w:r w:rsidRPr="00E20F7C">
        <w:rPr>
          <w:rFonts w:ascii="Verdana" w:hAnsi="Verdana" w:cs="Tahoma"/>
          <w:sz w:val="20"/>
          <w:lang w:val="pt-BR"/>
        </w:rPr>
        <w:t xml:space="preserve"> das Debêntures em Circulação</w:t>
      </w:r>
      <w:r w:rsidR="00EA12E7" w:rsidRPr="00E20F7C">
        <w:rPr>
          <w:rFonts w:ascii="Verdana" w:hAnsi="Verdana" w:cs="Tahoma"/>
          <w:sz w:val="20"/>
          <w:lang w:val="pt-BR"/>
        </w:rPr>
        <w:t xml:space="preserve"> em primeira</w:t>
      </w:r>
      <w:r w:rsidR="00605331">
        <w:rPr>
          <w:rFonts w:ascii="Verdana" w:hAnsi="Verdana" w:cs="Tahoma"/>
          <w:sz w:val="20"/>
          <w:lang w:val="pt-BR"/>
        </w:rPr>
        <w:t xml:space="preserve"> convocação</w:t>
      </w:r>
      <w:r w:rsidR="00EA12E7" w:rsidRPr="00E20F7C">
        <w:rPr>
          <w:rFonts w:ascii="Verdana" w:hAnsi="Verdana" w:cs="Tahoma"/>
          <w:sz w:val="20"/>
          <w:lang w:val="pt-BR"/>
        </w:rPr>
        <w:t xml:space="preserve"> </w:t>
      </w:r>
      <w:r w:rsidR="00FC36E3">
        <w:rPr>
          <w:rFonts w:ascii="Verdana" w:hAnsi="Verdana" w:cs="Tahoma"/>
          <w:sz w:val="20"/>
          <w:lang w:val="pt-BR"/>
        </w:rPr>
        <w:t xml:space="preserve">ou </w:t>
      </w:r>
      <w:r w:rsidR="00605331" w:rsidRPr="00965621">
        <w:rPr>
          <w:rFonts w:ascii="Verdana" w:hAnsi="Verdana" w:cs="Tahoma"/>
          <w:sz w:val="20"/>
          <w:lang w:val="pt-BR"/>
        </w:rPr>
        <w:t>50% (cinquenta por cento) mais um</w:t>
      </w:r>
      <w:r w:rsidR="00605331">
        <w:rPr>
          <w:rFonts w:ascii="Verdana" w:hAnsi="Verdana" w:cs="Tahoma"/>
          <w:sz w:val="20"/>
          <w:lang w:val="pt-BR"/>
        </w:rPr>
        <w:t>a</w:t>
      </w:r>
      <w:r w:rsidR="00605331" w:rsidRPr="00965621">
        <w:rPr>
          <w:rFonts w:ascii="Verdana" w:hAnsi="Verdana" w:cs="Tahoma"/>
          <w:sz w:val="20"/>
          <w:lang w:val="pt-BR"/>
        </w:rPr>
        <w:t xml:space="preserve"> das Debêntures em Circulação </w:t>
      </w:r>
      <w:r w:rsidR="00FC36E3">
        <w:rPr>
          <w:rFonts w:ascii="Verdana" w:hAnsi="Verdana" w:cs="Tahoma"/>
          <w:sz w:val="20"/>
          <w:lang w:val="pt-BR"/>
        </w:rPr>
        <w:t xml:space="preserve">em segunda </w:t>
      </w:r>
      <w:r w:rsidR="00EA12E7" w:rsidRPr="00E20F7C">
        <w:rPr>
          <w:rFonts w:ascii="Verdana" w:hAnsi="Verdana" w:cs="Tahoma"/>
          <w:sz w:val="20"/>
          <w:lang w:val="pt-BR"/>
        </w:rPr>
        <w:t>convocaç</w:t>
      </w:r>
      <w:r w:rsidR="00605331">
        <w:rPr>
          <w:rFonts w:ascii="Verdana" w:hAnsi="Verdana" w:cs="Tahoma"/>
          <w:sz w:val="20"/>
          <w:lang w:val="pt-BR"/>
        </w:rPr>
        <w:t>ão</w:t>
      </w:r>
      <w:r w:rsidRPr="00E20F7C">
        <w:rPr>
          <w:rFonts w:ascii="Verdana" w:hAnsi="Verdana" w:cs="Tahoma"/>
          <w:sz w:val="20"/>
          <w:lang w:val="pt-BR"/>
        </w:rPr>
        <w:t>.</w:t>
      </w:r>
      <w:r w:rsidR="00AC4C44">
        <w:rPr>
          <w:rFonts w:ascii="Verdana" w:hAnsi="Verdana" w:cs="Tahoma"/>
          <w:sz w:val="20"/>
          <w:lang w:val="pt-BR"/>
        </w:rPr>
        <w:t xml:space="preserve"> </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1B8B0774"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adicionais </w:t>
      </w:r>
      <w:r w:rsidR="00BE3DF0" w:rsidRPr="00BE3DF0">
        <w:rPr>
          <w:rFonts w:ascii="Verdana" w:hAnsi="Verdana" w:cs="Tahoma"/>
          <w:sz w:val="20"/>
          <w:lang w:val="pt-BR"/>
        </w:rPr>
        <w:t>não listadas na Cláusula 7.6.1 acima</w:t>
      </w:r>
      <w:r w:rsidR="00E14FD1" w:rsidRPr="00BE3DF0">
        <w:rPr>
          <w:rFonts w:ascii="Verdana" w:hAnsi="Verdana" w:cs="Tahoma"/>
          <w:sz w:val="20"/>
          <w:lang w:val="pt-BR"/>
        </w:rPr>
        <w:t xml:space="preserve">,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no mínimo</w:t>
      </w:r>
      <w:r w:rsidR="00FC36E3">
        <w:rPr>
          <w:rFonts w:ascii="Verdana" w:hAnsi="Verdana" w:cs="Tahoma"/>
          <w:sz w:val="20"/>
          <w:lang w:val="pt-BR"/>
        </w:rPr>
        <w:t>,</w:t>
      </w:r>
      <w:r w:rsidR="00BE3DF0">
        <w:rPr>
          <w:rFonts w:ascii="Verdana" w:hAnsi="Verdana" w:cs="Tahoma"/>
          <w:sz w:val="20"/>
          <w:lang w:val="pt-BR"/>
        </w:rPr>
        <w:t xml:space="preserve"> </w:t>
      </w:r>
      <w:r w:rsidR="00605331">
        <w:rPr>
          <w:rFonts w:ascii="Verdana" w:hAnsi="Verdana" w:cs="Tahoma"/>
          <w:sz w:val="20"/>
          <w:lang w:val="pt-BR"/>
        </w:rPr>
        <w:t>2</w:t>
      </w:r>
      <w:r w:rsidR="00BE3DF0">
        <w:rPr>
          <w:rFonts w:ascii="Verdana" w:hAnsi="Verdana" w:cs="Tahoma"/>
          <w:sz w:val="20"/>
          <w:lang w:val="pt-BR"/>
        </w:rPr>
        <w:t>0% (</w:t>
      </w:r>
      <w:r w:rsidR="00605331">
        <w:rPr>
          <w:rFonts w:ascii="Verdana" w:hAnsi="Verdana" w:cs="Tahoma"/>
          <w:sz w:val="20"/>
          <w:lang w:val="pt-BR"/>
        </w:rPr>
        <w:t>vinte</w:t>
      </w:r>
      <w:r w:rsidR="00605331">
        <w:rPr>
          <w:rFonts w:ascii="Verdana" w:hAnsi="Verdana" w:cs="Tahoma"/>
          <w:sz w:val="20"/>
          <w:lang w:val="pt-BR"/>
        </w:rPr>
        <w:t xml:space="preserve"> </w:t>
      </w:r>
      <w:r w:rsidR="00BE3DF0">
        <w:rPr>
          <w:rFonts w:ascii="Verdana" w:hAnsi="Verdana" w:cs="Tahoma"/>
          <w:sz w:val="20"/>
          <w:lang w:val="pt-BR"/>
        </w:rPr>
        <w:t>por cento)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ou coligadas da Emissora (diretas ou indiretas), controladoras (ou grupo de controle) da Emissora, sociedades sob controle comum, administradores da Emissora, incluindo, mas não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w:t>
      </w:r>
      <w:r w:rsidRPr="001F4BDE">
        <w:rPr>
          <w:rFonts w:ascii="Verdana" w:hAnsi="Verdana" w:cs="Tahoma"/>
          <w:sz w:val="20"/>
          <w:lang w:val="pt-BR"/>
        </w:rPr>
        <w:lastRenderedPageBreak/>
        <w:t>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proofErr w:type="spellStart"/>
      <w:r w:rsidRPr="001F4BDE">
        <w:rPr>
          <w:rFonts w:ascii="Verdana" w:hAnsi="Verdana" w:cs="Tahoma"/>
          <w:sz w:val="20"/>
          <w:lang w:val="pt-BR"/>
        </w:rPr>
        <w:t>é</w:t>
      </w:r>
      <w:proofErr w:type="spellEnd"/>
      <w:r w:rsidRPr="001F4BDE">
        <w:rPr>
          <w:rFonts w:ascii="Verdana" w:hAnsi="Verdana" w:cs="Tahoma"/>
          <w:sz w:val="20"/>
          <w:lang w:val="pt-BR"/>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w:t>
      </w:r>
      <w:r w:rsidRPr="001F4BDE">
        <w:rPr>
          <w:rFonts w:ascii="Verdana" w:hAnsi="Verdana" w:cs="Tahoma"/>
          <w:sz w:val="20"/>
          <w:lang w:val="pt-BR"/>
        </w:rPr>
        <w:lastRenderedPageBreak/>
        <w:t xml:space="preserve">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7162B557"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celebração, os termos e condições desta Escritura de Emissão e o cumprimento das obrigações da Garantia Real,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w:t>
      </w:r>
      <w:proofErr w:type="spellStart"/>
      <w:r w:rsidRPr="001F4BDE">
        <w:rPr>
          <w:rFonts w:ascii="Verdana" w:hAnsi="Verdana"/>
          <w:sz w:val="20"/>
          <w:lang w:val="pt-BR"/>
        </w:rPr>
        <w:t>ii</w:t>
      </w:r>
      <w:proofErr w:type="spellEnd"/>
      <w:r w:rsidRPr="001F4BDE">
        <w:rPr>
          <w:rFonts w:ascii="Verdana" w:hAnsi="Verdana"/>
          <w:sz w:val="20"/>
          <w:lang w:val="pt-BR"/>
        </w:rPr>
        <w:t>) não infringem qualquer obrigação anteriormente assumida pela Emissora; e</w:t>
      </w:r>
      <w:r w:rsidRPr="001F4BDE">
        <w:rPr>
          <w:rFonts w:ascii="Verdana" w:hAnsi="Verdana" w:cs="Tahoma"/>
          <w:sz w:val="20"/>
          <w:lang w:val="pt-BR"/>
        </w:rPr>
        <w:t xml:space="preserve"> (</w:t>
      </w:r>
      <w:proofErr w:type="spellStart"/>
      <w:r w:rsidRPr="001F4BDE">
        <w:rPr>
          <w:rFonts w:ascii="Verdana" w:hAnsi="Verdana" w:cs="Tahoma"/>
          <w:sz w:val="20"/>
          <w:lang w:val="pt-BR"/>
        </w:rPr>
        <w:t>iii</w:t>
      </w:r>
      <w:proofErr w:type="spellEnd"/>
      <w:r w:rsidRPr="001F4BDE">
        <w:rPr>
          <w:rFonts w:ascii="Verdana" w:hAnsi="Verdana" w:cs="Tahoma"/>
          <w:sz w:val="20"/>
          <w:lang w:val="pt-BR"/>
        </w:rPr>
        <w:t>) não resultarão em (1) vencimento antecipado de qualquer obrigação estabelecida em qualquer desses contratos ou instrumentos; (2) criação de qualquer ônus ou gravame sobre qualquer ativo ou bem da Emissora que afete a capacidade de pagamento no âmbito da Escritura de Emissão;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Cescon Barrieu: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w:t>
      </w:r>
      <w:proofErr w:type="spellStart"/>
      <w:r w:rsidRPr="001F4BDE">
        <w:rPr>
          <w:rFonts w:ascii="Verdana" w:hAnsi="Verdana" w:cs="Tahoma"/>
          <w:sz w:val="20"/>
          <w:lang w:val="pt-BR"/>
        </w:rPr>
        <w:t>ii</w:t>
      </w:r>
      <w:proofErr w:type="spellEnd"/>
      <w:r w:rsidRPr="001F4BDE">
        <w:rPr>
          <w:rFonts w:ascii="Verdana" w:hAnsi="Verdana" w:cs="Tahoma"/>
          <w:sz w:val="20"/>
          <w:lang w:val="pt-BR"/>
        </w:rPr>
        <w:t>)</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76FACFC4"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não tem conhecimento de qualquer notificação e/ou intimação contra si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w:t>
      </w:r>
      <w:r w:rsidR="009B150C" w:rsidRPr="001F4BDE">
        <w:rPr>
          <w:rFonts w:ascii="Verdana" w:hAnsi="Verdana" w:cs="Tahoma"/>
          <w:sz w:val="20"/>
          <w:lang w:val="pt-BR"/>
        </w:rPr>
        <w:t>pendente ou iminente</w:t>
      </w:r>
      <w:r w:rsidR="009E282F" w:rsidRPr="001F4BDE">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r w:rsidR="00FD57CD" w:rsidRPr="001F4BDE">
        <w:rPr>
          <w:rFonts w:ascii="Verdana" w:hAnsi="Verdana" w:cs="Tahoma"/>
          <w:sz w:val="20"/>
          <w:lang w:val="pt-BR"/>
        </w:rPr>
        <w:t xml:space="preserve"> </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6C3B3FC5"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omitiu nenhum fato, de qualquer natureza</w:t>
      </w:r>
      <w:r w:rsidR="00117834">
        <w:rPr>
          <w:rFonts w:ascii="Verdana" w:hAnsi="Verdana" w:cs="Tahoma"/>
          <w:sz w:val="20"/>
          <w:lang w:val="pt-BR"/>
        </w:rPr>
        <w:t>,</w:t>
      </w:r>
      <w:r w:rsidRPr="001F4BDE">
        <w:rPr>
          <w:rFonts w:ascii="Verdana" w:hAnsi="Verdana" w:cs="Tahoma"/>
          <w:sz w:val="20"/>
          <w:lang w:val="pt-BR"/>
        </w:rPr>
        <w:t xml:space="preserve"> que </w:t>
      </w:r>
      <w:r w:rsidR="00117834">
        <w:rPr>
          <w:rFonts w:ascii="Verdana" w:hAnsi="Verdana" w:cs="Tahoma"/>
          <w:sz w:val="20"/>
          <w:lang w:val="pt-BR"/>
        </w:rPr>
        <w:t xml:space="preserve">(i) </w:t>
      </w:r>
      <w:r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e/ou (</w:t>
      </w:r>
      <w:proofErr w:type="spellStart"/>
      <w:r w:rsidR="00117834">
        <w:rPr>
          <w:rFonts w:ascii="Verdana" w:hAnsi="Verdana" w:cs="Tahoma"/>
          <w:sz w:val="20"/>
          <w:lang w:val="pt-BR"/>
        </w:rPr>
        <w:t>ii</w:t>
      </w:r>
      <w:proofErr w:type="spellEnd"/>
      <w:r w:rsidR="00117834">
        <w:rPr>
          <w:rFonts w:ascii="Verdana" w:hAnsi="Verdana" w:cs="Tahoma"/>
          <w:sz w:val="20"/>
          <w:lang w:val="pt-BR"/>
        </w:rPr>
        <w:t xml:space="preserve">)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1" w:name="_DV_C340"/>
      <w:r w:rsidRPr="001F4BDE">
        <w:rPr>
          <w:rFonts w:ascii="Verdana" w:hAnsi="Verdana" w:cs="Tahoma"/>
          <w:sz w:val="20"/>
          <w:lang w:val="pt-BR"/>
        </w:rPr>
        <w:t xml:space="preserve"> da comunicação à CVM</w:t>
      </w:r>
      <w:bookmarkEnd w:id="41"/>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267F46BA" w:rsidR="00114DEA"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w:t>
      </w:r>
      <w:r w:rsidRPr="001F4BDE">
        <w:rPr>
          <w:rFonts w:ascii="Verdana" w:hAnsi="Verdana" w:cs="Tahoma"/>
          <w:sz w:val="20"/>
          <w:lang w:val="pt-BR"/>
        </w:rPr>
        <w:lastRenderedPageBreak/>
        <w:t xml:space="preserve">ou judicial referentes à prática de corrupção, suborno, lavagem de dinheiro ou atos lesivos à administração pública, conforme as Normas Anticorrupção e </w:t>
      </w:r>
      <w:proofErr w:type="spellStart"/>
      <w:r w:rsidR="0053761A" w:rsidRPr="001F4BDE">
        <w:rPr>
          <w:rFonts w:ascii="Verdana" w:hAnsi="Verdana" w:cs="Tahoma"/>
          <w:sz w:val="20"/>
          <w:lang w:val="pt-BR"/>
        </w:rPr>
        <w:t>Antilavagem</w:t>
      </w:r>
      <w:proofErr w:type="spellEnd"/>
      <w:r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32B421E3"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cumprimento d</w:t>
      </w:r>
      <w:r>
        <w:rPr>
          <w:rFonts w:ascii="Verdana" w:hAnsi="Verdana" w:cs="Tahoma"/>
          <w:sz w:val="20"/>
          <w:lang w:val="pt-BR"/>
        </w:rPr>
        <w:t xml:space="preserve">as </w:t>
      </w:r>
      <w:r w:rsidRPr="001F4BDE">
        <w:rPr>
          <w:rFonts w:ascii="Verdana" w:hAnsi="Verdana" w:cs="Tahoma"/>
          <w:sz w:val="20"/>
          <w:lang w:val="pt-BR"/>
        </w:rPr>
        <w:t xml:space="preserve">Normas Anticorrupção e </w:t>
      </w:r>
      <w:proofErr w:type="spellStart"/>
      <w:r w:rsidRPr="001F4BDE">
        <w:rPr>
          <w:rFonts w:ascii="Verdana" w:hAnsi="Verdana" w:cs="Tahoma"/>
          <w:sz w:val="20"/>
          <w:lang w:val="pt-BR"/>
        </w:rPr>
        <w:t>Antilavagem</w:t>
      </w:r>
      <w:proofErr w:type="spellEnd"/>
      <w:r>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Emissora prepar</w:t>
      </w:r>
      <w:r w:rsidR="0048628B" w:rsidRPr="001F4BDE">
        <w:rPr>
          <w:rFonts w:ascii="Verdana" w:hAnsi="Verdana" w:cs="Tahoma"/>
          <w:sz w:val="20"/>
          <w:lang w:val="pt-BR"/>
        </w:rPr>
        <w:t>ou</w:t>
      </w:r>
      <w:r w:rsidRPr="001F4BDE">
        <w:rPr>
          <w:rFonts w:ascii="Verdana" w:hAnsi="Verdana" w:cs="Tahoma"/>
          <w:sz w:val="20"/>
          <w:lang w:val="pt-BR"/>
        </w:rPr>
        <w:t xml:space="preserve"> e entreg</w:t>
      </w:r>
      <w:r w:rsidR="0048628B" w:rsidRPr="001F4BDE">
        <w:rPr>
          <w:rFonts w:ascii="Verdana" w:hAnsi="Verdana" w:cs="Tahoma"/>
          <w:sz w:val="20"/>
          <w:lang w:val="pt-BR"/>
        </w:rPr>
        <w:t>ou</w:t>
      </w:r>
      <w:r w:rsidRPr="001F4BDE">
        <w:rPr>
          <w:rFonts w:ascii="Verdana" w:hAnsi="Verdana" w:cs="Tahoma"/>
          <w:sz w:val="20"/>
          <w:lang w:val="pt-BR"/>
        </w:rPr>
        <w:t xml:space="preserve">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100A8985"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irrestritamente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cumpre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w:t>
      </w:r>
      <w:r w:rsidRPr="001F4BDE">
        <w:rPr>
          <w:rFonts w:ascii="Verdana" w:hAnsi="Verdana" w:cs="Tahoma"/>
          <w:sz w:val="20"/>
          <w:lang w:val="pt-BR"/>
        </w:rPr>
        <w:lastRenderedPageBreak/>
        <w:t>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121C23A"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tem plena ciência e concorda integralmente com a forma de divulgação e apuração do Índice Financeiro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5EBBDD10" w:rsidR="00301413" w:rsidRPr="005B0AFB"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nem a Emissora e nem suas Partes</w:t>
      </w:r>
      <w:r>
        <w:rPr>
          <w:rFonts w:ascii="Verdana" w:hAnsi="Verdana"/>
          <w:color w:val="000000"/>
          <w:sz w:val="20"/>
          <w:lang w:val="pt-BR"/>
        </w:rPr>
        <w:t xml:space="preserve"> Relacionadas </w:t>
      </w:r>
      <w:r w:rsidRPr="005B0AFB">
        <w:rPr>
          <w:rFonts w:ascii="Verdana" w:hAnsi="Verdana"/>
          <w:color w:val="000000"/>
          <w:sz w:val="20"/>
          <w:lang w:val="pt-BR"/>
        </w:rPr>
        <w:t>incorreram nas seguintes hipóteses, bem como te</w:t>
      </w:r>
      <w:r w:rsidR="005D39C3">
        <w:rPr>
          <w:rFonts w:ascii="Verdana" w:hAnsi="Verdana"/>
          <w:color w:val="000000"/>
          <w:sz w:val="20"/>
          <w:lang w:val="pt-BR"/>
        </w:rPr>
        <w:t>m</w:t>
      </w:r>
      <w:r w:rsidRPr="005B0AFB">
        <w:rPr>
          <w:rFonts w:ascii="Verdana" w:hAnsi="Verdana"/>
          <w:color w:val="000000"/>
          <w:sz w:val="20"/>
          <w:lang w:val="pt-BR"/>
        </w:rPr>
        <w:t xml:space="preserve"> ciência de que a Emissora</w:t>
      </w:r>
      <w:r>
        <w:rPr>
          <w:rFonts w:ascii="Verdana" w:hAnsi="Verdana"/>
          <w:color w:val="000000"/>
          <w:sz w:val="20"/>
          <w:lang w:val="pt-BR"/>
        </w:rPr>
        <w:t xml:space="preserve"> e suas Partes Relacionadas</w:t>
      </w:r>
      <w:r w:rsidRPr="005B0AFB">
        <w:rPr>
          <w:rFonts w:ascii="Verdana" w:hAnsi="Verdana"/>
          <w:color w:val="000000"/>
          <w:sz w:val="20"/>
          <w:lang w:val="pt-BR"/>
        </w:rPr>
        <w:t xml:space="preserve"> não podem: (i) ter utilizado ou utilizar recursos da Emissora para o pagamento de contribuições, presentes ou atividades de entretenimento ilegais ou qualquer outra despesa ilegal relativa a atividade política; (</w:t>
      </w:r>
      <w:proofErr w:type="spellStart"/>
      <w:r w:rsidRPr="005B0AFB">
        <w:rPr>
          <w:rFonts w:ascii="Verdana" w:hAnsi="Verdana"/>
          <w:color w:val="000000"/>
          <w:sz w:val="20"/>
          <w:lang w:val="pt-BR"/>
        </w:rPr>
        <w:t>ii</w:t>
      </w:r>
      <w:proofErr w:type="spellEnd"/>
      <w:r w:rsidRPr="005B0AFB">
        <w:rPr>
          <w:rFonts w:ascii="Verdana" w:hAnsi="Verdana"/>
          <w:color w:val="000000"/>
          <w:sz w:val="20"/>
          <w:lang w:val="pt-BR"/>
        </w:rPr>
        <w:t>) fazer ou ter feito qualquer pagamento ilegal, direto ou indireto, a empregados ou funcionários públicos, partidos políticos, políticos ou candidatos políticos (incluindo seus familiares), nacionais ou estrangeiros; (</w:t>
      </w:r>
      <w:proofErr w:type="spellStart"/>
      <w:r w:rsidRPr="005B0AFB">
        <w:rPr>
          <w:rFonts w:ascii="Verdana" w:hAnsi="Verdana"/>
          <w:color w:val="000000"/>
          <w:sz w:val="20"/>
          <w:lang w:val="pt-BR"/>
        </w:rPr>
        <w:t>iii</w:t>
      </w:r>
      <w:proofErr w:type="spellEnd"/>
      <w:r w:rsidRPr="005B0AFB">
        <w:rPr>
          <w:rFonts w:ascii="Verdana" w:hAnsi="Verdana"/>
          <w:color w:val="000000"/>
          <w:sz w:val="20"/>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B0AFB">
        <w:rPr>
          <w:rFonts w:ascii="Verdana" w:hAnsi="Verdana"/>
          <w:color w:val="000000"/>
          <w:sz w:val="20"/>
          <w:lang w:val="pt-BR"/>
        </w:rPr>
        <w:t>iv</w:t>
      </w:r>
      <w:proofErr w:type="spellEnd"/>
      <w:r w:rsidRPr="005B0AFB">
        <w:rPr>
          <w:rFonts w:ascii="Verdana" w:hAnsi="Verdana"/>
          <w:color w:val="000000"/>
          <w:sz w:val="20"/>
          <w:lang w:val="pt-BR"/>
        </w:rPr>
        <w:t xml:space="preserve">) praticar ou ter praticado quaisquer atos para obter ou manter qualquer negócio, transação ou vantagem comercial indevida; (v) ter realizado ou realizar qualquer pagamento ou tomar qualquer ação que viole as Normas Anticorrupção e </w:t>
      </w:r>
      <w:proofErr w:type="spellStart"/>
      <w:r w:rsidRPr="005B0AFB">
        <w:rPr>
          <w:rFonts w:ascii="Verdana" w:hAnsi="Verdana"/>
          <w:color w:val="000000"/>
          <w:sz w:val="20"/>
          <w:lang w:val="pt-BR"/>
        </w:rPr>
        <w:t>Antilavagem</w:t>
      </w:r>
      <w:proofErr w:type="spellEnd"/>
      <w:r w:rsidRPr="005B0AFB">
        <w:rPr>
          <w:rFonts w:ascii="Verdana" w:hAnsi="Verdana"/>
          <w:color w:val="000000"/>
          <w:sz w:val="20"/>
          <w:lang w:val="pt-BR"/>
        </w:rPr>
        <w:t xml:space="preserve">; ou (vi) ter realizado ou realizar um ato de corrupção, pago propina ou qualquer outro valor </w:t>
      </w:r>
      <w:r w:rsidRPr="005B0AFB">
        <w:rPr>
          <w:rFonts w:ascii="Verdana" w:hAnsi="Verdana"/>
          <w:color w:val="000000"/>
          <w:sz w:val="20"/>
          <w:lang w:val="pt-BR"/>
        </w:rPr>
        <w:lastRenderedPageBreak/>
        <w:t xml:space="preserve">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35F99F7B"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e suas </w:t>
      </w:r>
      <w:r>
        <w:rPr>
          <w:rFonts w:ascii="Verdana" w:hAnsi="Verdana"/>
          <w:color w:val="000000"/>
          <w:sz w:val="20"/>
          <w:lang w:val="pt-BR"/>
        </w:rPr>
        <w:t xml:space="preserve">Partes Relacionadas </w:t>
      </w:r>
      <w:r w:rsidRPr="005B0AFB">
        <w:rPr>
          <w:rFonts w:ascii="Verdana" w:hAnsi="Verdana"/>
          <w:color w:val="000000"/>
          <w:sz w:val="20"/>
          <w:lang w:val="pt-BR"/>
        </w:rPr>
        <w:t xml:space="preserve">estão cumprindo as </w:t>
      </w:r>
      <w:r w:rsidRPr="00C705C8">
        <w:rPr>
          <w:rFonts w:ascii="Verdana" w:hAnsi="Verdana"/>
          <w:color w:val="000000"/>
          <w:sz w:val="20"/>
          <w:lang w:val="pt-BR"/>
        </w:rPr>
        <w:t xml:space="preserve">Normas Anticorrupção e </w:t>
      </w:r>
      <w:proofErr w:type="spellStart"/>
      <w:r w:rsidRPr="00C705C8">
        <w:rPr>
          <w:rFonts w:ascii="Verdana" w:hAnsi="Verdana"/>
          <w:color w:val="000000"/>
          <w:sz w:val="20"/>
          <w:lang w:val="pt-BR"/>
        </w:rPr>
        <w:t>Antilavagem</w:t>
      </w:r>
      <w:proofErr w:type="spellEnd"/>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 xml:space="preserve">Normas Anticorrupção e </w:t>
      </w:r>
      <w:proofErr w:type="spellStart"/>
      <w:r w:rsidRPr="00C705C8">
        <w:rPr>
          <w:rFonts w:ascii="Verdana" w:hAnsi="Verdana"/>
          <w:color w:val="000000"/>
          <w:sz w:val="20"/>
          <w:lang w:val="pt-BR"/>
        </w:rPr>
        <w:t>Antilavagem</w:t>
      </w:r>
      <w:proofErr w:type="spellEnd"/>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w:t>
      </w:r>
      <w:proofErr w:type="spellStart"/>
      <w:r w:rsidRPr="001F4BDE">
        <w:rPr>
          <w:rFonts w:ascii="Verdana" w:hAnsi="Verdana"/>
          <w:sz w:val="20"/>
          <w:lang w:val="pt-BR"/>
        </w:rPr>
        <w:t>ii</w:t>
      </w:r>
      <w:proofErr w:type="spellEnd"/>
      <w:r w:rsidRPr="001F4BDE">
        <w:rPr>
          <w:rFonts w:ascii="Verdana" w:hAnsi="Verdana"/>
          <w:sz w:val="20"/>
          <w:lang w:val="pt-BR"/>
        </w:rPr>
        <w:t>) ter ciência de todas as disposições da Instrução CVM 583 a serem cumpridas pelo Agente Fiduciário; (</w:t>
      </w:r>
      <w:proofErr w:type="spellStart"/>
      <w:r w:rsidRPr="001F4BDE">
        <w:rPr>
          <w:rFonts w:ascii="Verdana" w:hAnsi="Verdana"/>
          <w:sz w:val="20"/>
          <w:lang w:val="pt-BR"/>
        </w:rPr>
        <w:t>iii</w:t>
      </w:r>
      <w:proofErr w:type="spellEnd"/>
      <w:r w:rsidRPr="001F4BDE">
        <w:rPr>
          <w:rFonts w:ascii="Verdana" w:hAnsi="Verdana"/>
          <w:sz w:val="20"/>
          <w:lang w:val="pt-BR"/>
        </w:rPr>
        <w:t>) que cumprirá todas as determinações do Agente Fiduciário vinculadas ao cumprimento das disposições previstas naquela Instrução; e (</w:t>
      </w:r>
      <w:proofErr w:type="spellStart"/>
      <w:r w:rsidRPr="001F4BDE">
        <w:rPr>
          <w:rFonts w:ascii="Verdana" w:hAnsi="Verdana"/>
          <w:sz w:val="20"/>
          <w:lang w:val="pt-BR"/>
        </w:rPr>
        <w:t>iv</w:t>
      </w:r>
      <w:proofErr w:type="spellEnd"/>
      <w:r w:rsidRPr="001F4BDE">
        <w:rPr>
          <w:rFonts w:ascii="Verdana" w:hAnsi="Verdana"/>
          <w:sz w:val="20"/>
          <w:lang w:val="pt-BR"/>
        </w:rPr>
        <w:t>)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42"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2"/>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 xml:space="preserve">Todos os documentos e as comunicações, que deverão ser sempre feitos por escrito, </w:t>
      </w:r>
      <w:r w:rsidRPr="001F4BDE">
        <w:rPr>
          <w:rFonts w:ascii="Verdana" w:hAnsi="Verdana" w:cs="Tahoma"/>
          <w:sz w:val="20"/>
          <w:szCs w:val="20"/>
          <w:lang w:val="pt-BR"/>
        </w:rPr>
        <w:lastRenderedPageBreak/>
        <w:t>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proofErr w:type="spellStart"/>
      <w:r w:rsidR="009751D4" w:rsidRPr="001F4BDE">
        <w:rPr>
          <w:rFonts w:ascii="Verdana" w:hAnsi="Verdana" w:cs="Tahoma"/>
          <w:sz w:val="20"/>
          <w:lang w:val="pt-BR"/>
        </w:rPr>
        <w:t>Enio</w:t>
      </w:r>
      <w:proofErr w:type="spellEnd"/>
      <w:r w:rsidR="009751D4" w:rsidRPr="001F4BDE">
        <w:rPr>
          <w:rFonts w:ascii="Verdana" w:hAnsi="Verdana" w:cs="Tahoma"/>
          <w:sz w:val="20"/>
          <w:lang w:val="pt-BR"/>
        </w:rPr>
        <w:t xml:space="preserve">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21"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190B6E14"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valores.mobiliários@b3.com.br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serão </w:t>
      </w:r>
      <w:r w:rsidRPr="001F4BDE">
        <w:rPr>
          <w:rFonts w:ascii="Verdana" w:hAnsi="Verdana" w:cs="Tahoma"/>
          <w:sz w:val="20"/>
          <w:szCs w:val="20"/>
          <w:lang w:val="pt-BR"/>
        </w:rPr>
        <w:lastRenderedPageBreak/>
        <w:t>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 xml:space="preserve">As Partes declaram, mútua e expressamente, que </w:t>
      </w:r>
      <w:proofErr w:type="spellStart"/>
      <w:r w:rsidRPr="001F4BDE">
        <w:rPr>
          <w:rFonts w:ascii="Verdana" w:hAnsi="Verdana" w:cs="Tahoma"/>
          <w:sz w:val="20"/>
          <w:lang w:val="pt-BR"/>
        </w:rPr>
        <w:t>esta</w:t>
      </w:r>
      <w:proofErr w:type="spellEnd"/>
      <w:r w:rsidRPr="001F4BDE">
        <w:rPr>
          <w:rFonts w:ascii="Verdana" w:hAnsi="Verdana" w:cs="Tahoma"/>
          <w:sz w:val="20"/>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quando verificado erro material, seja ele um erro grosseiro, de digitação ou aritmético; ou ainda (</w:t>
      </w:r>
      <w:proofErr w:type="spellStart"/>
      <w:r w:rsidRPr="001F4BDE">
        <w:rPr>
          <w:rFonts w:ascii="Verdana" w:hAnsi="Verdana" w:cs="Tahoma"/>
          <w:sz w:val="20"/>
          <w:lang w:val="pt-BR"/>
        </w:rPr>
        <w:t>iii</w:t>
      </w:r>
      <w:proofErr w:type="spellEnd"/>
      <w:r w:rsidRPr="001F4BDE">
        <w:rPr>
          <w:rFonts w:ascii="Verdana" w:hAnsi="Verdana" w:cs="Tahoma"/>
          <w:sz w:val="20"/>
          <w:lang w:val="pt-BR"/>
        </w:rPr>
        <w:t>)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10.5.</w:t>
      </w:r>
      <w:r w:rsidRPr="001F4BDE">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w:t>
      </w:r>
      <w:proofErr w:type="spellStart"/>
      <w:r w:rsidR="005B0AFB" w:rsidRPr="00435F6C">
        <w:rPr>
          <w:rFonts w:ascii="Verdana" w:hAnsi="Verdana" w:cs="Tahoma"/>
          <w:sz w:val="20"/>
          <w:lang w:val="pt-BR"/>
        </w:rPr>
        <w:t>ii</w:t>
      </w:r>
      <w:proofErr w:type="spellEnd"/>
      <w:r w:rsidR="005B0AFB" w:rsidRPr="00435F6C">
        <w:rPr>
          <w:rFonts w:ascii="Verdana" w:hAnsi="Verdana" w:cs="Tahoma"/>
          <w:sz w:val="20"/>
          <w:lang w:val="pt-BR"/>
        </w:rPr>
        <w:t>)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w:t>
      </w:r>
      <w:proofErr w:type="spellStart"/>
      <w:r w:rsidR="005B0AFB" w:rsidRPr="00435F6C">
        <w:rPr>
          <w:rFonts w:ascii="Verdana" w:hAnsi="Verdana" w:cs="Tahoma"/>
          <w:sz w:val="20"/>
          <w:lang w:val="pt-BR"/>
        </w:rPr>
        <w:t>iii</w:t>
      </w:r>
      <w:proofErr w:type="spellEnd"/>
      <w:r w:rsidR="005B0AFB" w:rsidRPr="00435F6C">
        <w:rPr>
          <w:rFonts w:ascii="Verdana" w:hAnsi="Verdana" w:cs="Tahoma"/>
          <w:sz w:val="20"/>
          <w:lang w:val="pt-BR"/>
        </w:rPr>
        <w:t>) de registro e de publicação de todos os atos necessários à Emissão, tais como a RCA; e (</w:t>
      </w:r>
      <w:proofErr w:type="spellStart"/>
      <w:r w:rsidR="005B0AFB" w:rsidRPr="00435F6C">
        <w:rPr>
          <w:rFonts w:ascii="Verdana" w:hAnsi="Verdana" w:cs="Tahoma"/>
          <w:sz w:val="20"/>
          <w:lang w:val="pt-BR"/>
        </w:rPr>
        <w:t>iv</w:t>
      </w:r>
      <w:proofErr w:type="spellEnd"/>
      <w:r w:rsidR="005B0AFB" w:rsidRPr="00435F6C">
        <w:rPr>
          <w:rFonts w:ascii="Verdana" w:hAnsi="Verdana" w:cs="Tahoma"/>
          <w:sz w:val="20"/>
          <w:lang w:val="pt-BR"/>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 xml:space="preserve">Esta Escritura de Emissão produz efeitos para todas as Partes a partir da data nele </w:t>
      </w:r>
      <w:r w:rsidRPr="00435F6C">
        <w:rPr>
          <w:rFonts w:ascii="Verdana" w:hAnsi="Verdana" w:cs="Tahoma"/>
          <w:sz w:val="20"/>
          <w:lang w:val="pt-BR"/>
        </w:rPr>
        <w:lastRenderedPageBreak/>
        <w:t>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proofErr w:type="spellStart"/>
      <w:r w:rsidRPr="001F4BDE">
        <w:rPr>
          <w:rFonts w:ascii="Verdana" w:hAnsi="Verdana"/>
          <w:color w:val="000000"/>
          <w:sz w:val="20"/>
        </w:rPr>
        <w:t>Testemunhas</w:t>
      </w:r>
      <w:proofErr w:type="spellEnd"/>
      <w:r w:rsidRPr="001F4BDE">
        <w:rPr>
          <w:rFonts w:ascii="Verdana" w:hAnsi="Verdana"/>
          <w:color w:val="000000"/>
          <w:sz w:val="20"/>
        </w:rPr>
        <w:t>:</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77777777" w:rsidR="00A544A7" w:rsidRPr="001F4BDE" w:rsidRDefault="00A544A7" w:rsidP="00A544A7">
      <w:pPr>
        <w:pStyle w:val="PargrafodaLista1"/>
        <w:ind w:left="0"/>
        <w:jc w:val="center"/>
        <w:rPr>
          <w:rFonts w:ascii="Verdana" w:hAnsi="Verdana"/>
          <w:sz w:val="20"/>
        </w:rPr>
      </w:pPr>
      <w:r w:rsidRPr="001F4BDE">
        <w:rPr>
          <w:rFonts w:ascii="Verdana" w:hAnsi="Verdana"/>
          <w:sz w:val="20"/>
          <w:highlight w:val="yellow"/>
        </w:rPr>
        <w:t>[A SER INSERIDO POSTERIORMENTE]</w:t>
      </w:r>
    </w:p>
    <w:p w14:paraId="77504D6F" w14:textId="77777777" w:rsidR="00A544A7" w:rsidRPr="007F6B9C" w:rsidRDefault="00A544A7" w:rsidP="00456C13">
      <w:pPr>
        <w:widowControl/>
        <w:adjustRightInd/>
        <w:spacing w:line="300" w:lineRule="exact"/>
        <w:jc w:val="left"/>
        <w:textAlignment w:val="auto"/>
        <w:rPr>
          <w:rFonts w:ascii="Verdana" w:hAnsi="Verdana"/>
          <w:sz w:val="20"/>
        </w:rPr>
      </w:pPr>
    </w:p>
    <w:sectPr w:rsidR="00A544A7" w:rsidRPr="007F6B9C" w:rsidSect="007D4E89">
      <w:headerReference w:type="default" r:id="rId22"/>
      <w:footerReference w:type="default" r:id="rId23"/>
      <w:headerReference w:type="first" r:id="rId24"/>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7CEC" w14:textId="77777777" w:rsidR="00015F1C" w:rsidRDefault="00015F1C">
      <w:pPr>
        <w:spacing w:line="240" w:lineRule="auto"/>
      </w:pPr>
      <w:r>
        <w:separator/>
      </w:r>
    </w:p>
  </w:endnote>
  <w:endnote w:type="continuationSeparator" w:id="0">
    <w:p w14:paraId="4C1A5678" w14:textId="77777777" w:rsidR="00015F1C" w:rsidRDefault="00015F1C">
      <w:pPr>
        <w:spacing w:line="240" w:lineRule="auto"/>
      </w:pPr>
      <w:r>
        <w:continuationSeparator/>
      </w:r>
    </w:p>
  </w:endnote>
  <w:endnote w:type="continuationNotice" w:id="1">
    <w:p w14:paraId="637C6D9E" w14:textId="77777777" w:rsidR="00015F1C" w:rsidRDefault="00015F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Content>
      <w:p w14:paraId="1277ACF5" w14:textId="77777777" w:rsidR="00015F1C" w:rsidRDefault="00015F1C" w:rsidP="00456C13">
        <w:pPr>
          <w:pStyle w:val="Rodap"/>
        </w:pPr>
      </w:p>
      <w:p w14:paraId="1432F9BD" w14:textId="2F9E5E8E" w:rsidR="00015F1C" w:rsidRDefault="00015F1C">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015F1C" w:rsidRPr="00BB682E" w:rsidRDefault="00015F1C">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9F59" w14:textId="77777777" w:rsidR="00015F1C" w:rsidRDefault="00015F1C">
      <w:pPr>
        <w:spacing w:line="240" w:lineRule="auto"/>
      </w:pPr>
      <w:r>
        <w:separator/>
      </w:r>
    </w:p>
  </w:footnote>
  <w:footnote w:type="continuationSeparator" w:id="0">
    <w:p w14:paraId="421CDD25" w14:textId="77777777" w:rsidR="00015F1C" w:rsidRDefault="00015F1C">
      <w:pPr>
        <w:spacing w:line="240" w:lineRule="auto"/>
      </w:pPr>
      <w:r>
        <w:continuationSeparator/>
      </w:r>
    </w:p>
  </w:footnote>
  <w:footnote w:type="continuationNotice" w:id="1">
    <w:p w14:paraId="464095B5" w14:textId="77777777" w:rsidR="00015F1C" w:rsidRDefault="00015F1C">
      <w:pPr>
        <w:spacing w:line="240" w:lineRule="auto"/>
      </w:pPr>
    </w:p>
  </w:footnote>
  <w:footnote w:id="2">
    <w:p w14:paraId="5EB79C46" w14:textId="77777777" w:rsidR="00015F1C" w:rsidRPr="00392FE1" w:rsidRDefault="00015F1C">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1A7F" w14:textId="380A6878" w:rsidR="00015F1C" w:rsidRPr="00456C13" w:rsidRDefault="00015F1C" w:rsidP="00E83553">
    <w:pPr>
      <w:pStyle w:val="Cabealho"/>
      <w:jc w:val="right"/>
      <w:rPr>
        <w:rFonts w:ascii="Verdana" w:hAnsi="Verdana"/>
        <w:i/>
      </w:rPr>
    </w:pP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sidRPr="00A12C13">
      <w:rPr>
        <w:rFonts w:ascii="Verdana" w:hAnsi="Verdana"/>
        <w:i/>
        <w:lang w:val="pt-BR"/>
      </w:rPr>
      <w:t>Comentários</w:t>
    </w:r>
    <w:r>
      <w:rPr>
        <w:rFonts w:ascii="Verdana" w:hAnsi="Verdana"/>
        <w:i/>
      </w:rPr>
      <w:t xml:space="preserve"> Machado Meyer</w:t>
    </w:r>
  </w:p>
  <w:p w14:paraId="3D4C57A6" w14:textId="02569FD6" w:rsidR="00015F1C" w:rsidRPr="00456C13" w:rsidRDefault="00015F1C" w:rsidP="00E83553">
    <w:pPr>
      <w:pStyle w:val="Cabealho"/>
      <w:jc w:val="right"/>
      <w:rPr>
        <w:rFonts w:ascii="Verdana" w:hAnsi="Verdana"/>
        <w:i/>
      </w:rPr>
    </w:pPr>
    <w:r>
      <w:rPr>
        <w:rFonts w:ascii="Verdana" w:hAnsi="Verdana"/>
        <w:i/>
      </w:rPr>
      <w:t>22.11</w:t>
    </w:r>
    <w:r w:rsidRPr="00456C13">
      <w:rPr>
        <w:rFonts w:ascii="Verdana" w:hAnsi="Verdana"/>
        <w:i/>
      </w:rPr>
      <w:t>.2020</w:t>
    </w:r>
  </w:p>
  <w:p w14:paraId="34CB4928" w14:textId="77777777" w:rsidR="00015F1C" w:rsidRPr="009F7AF3" w:rsidRDefault="00015F1C" w:rsidP="00E83553">
    <w:pPr>
      <w:pStyle w:val="Cabealho"/>
      <w:jc w:val="right"/>
      <w:rPr>
        <w:rFonts w:ascii="Georgia" w:hAnsi="Georgia"/>
        <w:i/>
      </w:rPr>
    </w:pPr>
  </w:p>
  <w:p w14:paraId="75C252CD" w14:textId="77777777" w:rsidR="00015F1C" w:rsidRPr="009F7AF3" w:rsidRDefault="00015F1C" w:rsidP="00E83553">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503E78DB" w:rsidR="00015F1C" w:rsidRPr="00456C13" w:rsidRDefault="00015F1C"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Comentários Machado Meyer</w:t>
    </w:r>
  </w:p>
  <w:p w14:paraId="54F642F3" w14:textId="07AF5889" w:rsidR="00015F1C" w:rsidRPr="00456C13" w:rsidRDefault="00015F1C" w:rsidP="00456C13">
    <w:pPr>
      <w:pStyle w:val="Cabealho"/>
      <w:jc w:val="right"/>
      <w:rPr>
        <w:rFonts w:ascii="Verdana" w:hAnsi="Verdana"/>
        <w:i/>
        <w:iCs/>
        <w:lang w:val="pt-BR"/>
      </w:rPr>
    </w:pPr>
    <w:r>
      <w:rPr>
        <w:rFonts w:ascii="Verdana" w:hAnsi="Verdana"/>
        <w:i/>
        <w:iCs/>
        <w:lang w:val="pt-BR"/>
      </w:rPr>
      <w:t>22.11</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8"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2"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4"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9"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4"/>
  </w:num>
  <w:num w:numId="2">
    <w:abstractNumId w:val="13"/>
  </w:num>
  <w:num w:numId="3">
    <w:abstractNumId w:val="20"/>
  </w:num>
  <w:num w:numId="4">
    <w:abstractNumId w:val="9"/>
  </w:num>
  <w:num w:numId="5">
    <w:abstractNumId w:val="6"/>
  </w:num>
  <w:num w:numId="6">
    <w:abstractNumId w:val="8"/>
  </w:num>
  <w:num w:numId="7">
    <w:abstractNumId w:val="15"/>
  </w:num>
  <w:num w:numId="8">
    <w:abstractNumId w:val="1"/>
  </w:num>
  <w:num w:numId="9">
    <w:abstractNumId w:val="18"/>
  </w:num>
  <w:num w:numId="10">
    <w:abstractNumId w:val="1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
  </w:num>
  <w:num w:numId="16">
    <w:abstractNumId w:val="21"/>
  </w:num>
  <w:num w:numId="17">
    <w:abstractNumId w:val="2"/>
  </w:num>
  <w:num w:numId="18">
    <w:abstractNumId w:val="11"/>
  </w:num>
  <w:num w:numId="19">
    <w:abstractNumId w:val="1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0"/>
  </w:num>
  <w:num w:numId="29">
    <w:abstractNumId w:val="10"/>
  </w:num>
  <w:num w:numId="30">
    <w:abstractNumId w:val="22"/>
  </w:num>
  <w:num w:numId="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27CD"/>
    <w:rsid w:val="00012D3D"/>
    <w:rsid w:val="00015F1C"/>
    <w:rsid w:val="00022E77"/>
    <w:rsid w:val="00026EC3"/>
    <w:rsid w:val="000374C8"/>
    <w:rsid w:val="00037ACD"/>
    <w:rsid w:val="00042AA9"/>
    <w:rsid w:val="00045C34"/>
    <w:rsid w:val="00047685"/>
    <w:rsid w:val="00053456"/>
    <w:rsid w:val="00054208"/>
    <w:rsid w:val="000554E1"/>
    <w:rsid w:val="000562D1"/>
    <w:rsid w:val="000621C3"/>
    <w:rsid w:val="00063BF7"/>
    <w:rsid w:val="00073E89"/>
    <w:rsid w:val="00093E55"/>
    <w:rsid w:val="0009706B"/>
    <w:rsid w:val="00097AF4"/>
    <w:rsid w:val="000A1023"/>
    <w:rsid w:val="000A4ED0"/>
    <w:rsid w:val="000A75B7"/>
    <w:rsid w:val="000A7BE4"/>
    <w:rsid w:val="000B24ED"/>
    <w:rsid w:val="000B2754"/>
    <w:rsid w:val="000C20F6"/>
    <w:rsid w:val="000C2F99"/>
    <w:rsid w:val="000D3608"/>
    <w:rsid w:val="000D3948"/>
    <w:rsid w:val="000D6172"/>
    <w:rsid w:val="000D62F6"/>
    <w:rsid w:val="000E062A"/>
    <w:rsid w:val="000E1E51"/>
    <w:rsid w:val="000E1E63"/>
    <w:rsid w:val="000E4D73"/>
    <w:rsid w:val="000F7A6B"/>
    <w:rsid w:val="00101E0C"/>
    <w:rsid w:val="00104B4E"/>
    <w:rsid w:val="00114DEA"/>
    <w:rsid w:val="00115078"/>
    <w:rsid w:val="00117834"/>
    <w:rsid w:val="001201C0"/>
    <w:rsid w:val="00121E46"/>
    <w:rsid w:val="00142BCC"/>
    <w:rsid w:val="001475C5"/>
    <w:rsid w:val="001508AE"/>
    <w:rsid w:val="00153686"/>
    <w:rsid w:val="00153C86"/>
    <w:rsid w:val="00153E6E"/>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5F55"/>
    <w:rsid w:val="001E29F8"/>
    <w:rsid w:val="001E3157"/>
    <w:rsid w:val="001F0163"/>
    <w:rsid w:val="001F4BDE"/>
    <w:rsid w:val="001F729A"/>
    <w:rsid w:val="00204A89"/>
    <w:rsid w:val="00204FB6"/>
    <w:rsid w:val="0020514F"/>
    <w:rsid w:val="00211135"/>
    <w:rsid w:val="00212D5E"/>
    <w:rsid w:val="00217EB1"/>
    <w:rsid w:val="002256F8"/>
    <w:rsid w:val="00233EFE"/>
    <w:rsid w:val="0024688A"/>
    <w:rsid w:val="0025102B"/>
    <w:rsid w:val="00260B38"/>
    <w:rsid w:val="002669A4"/>
    <w:rsid w:val="002741A7"/>
    <w:rsid w:val="00274BC3"/>
    <w:rsid w:val="00282218"/>
    <w:rsid w:val="00282E41"/>
    <w:rsid w:val="0028569A"/>
    <w:rsid w:val="002918F7"/>
    <w:rsid w:val="002A5D8F"/>
    <w:rsid w:val="002B6C86"/>
    <w:rsid w:val="002C7E50"/>
    <w:rsid w:val="002D6DBB"/>
    <w:rsid w:val="002E5155"/>
    <w:rsid w:val="002E60BF"/>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6171"/>
    <w:rsid w:val="003869AB"/>
    <w:rsid w:val="00387591"/>
    <w:rsid w:val="0039220E"/>
    <w:rsid w:val="00392FE1"/>
    <w:rsid w:val="00397310"/>
    <w:rsid w:val="003A76AA"/>
    <w:rsid w:val="003B007E"/>
    <w:rsid w:val="003B4C57"/>
    <w:rsid w:val="003B7502"/>
    <w:rsid w:val="003C73B0"/>
    <w:rsid w:val="003E2168"/>
    <w:rsid w:val="003E297C"/>
    <w:rsid w:val="003E4B16"/>
    <w:rsid w:val="003E7471"/>
    <w:rsid w:val="00401794"/>
    <w:rsid w:val="00410CDD"/>
    <w:rsid w:val="00416A41"/>
    <w:rsid w:val="0042020A"/>
    <w:rsid w:val="0042174E"/>
    <w:rsid w:val="004225B5"/>
    <w:rsid w:val="00422D5A"/>
    <w:rsid w:val="00425EEB"/>
    <w:rsid w:val="00426098"/>
    <w:rsid w:val="00432962"/>
    <w:rsid w:val="0043486D"/>
    <w:rsid w:val="004351B6"/>
    <w:rsid w:val="00435E00"/>
    <w:rsid w:val="00435F6C"/>
    <w:rsid w:val="00437121"/>
    <w:rsid w:val="00440C86"/>
    <w:rsid w:val="00451394"/>
    <w:rsid w:val="004517D9"/>
    <w:rsid w:val="0045364C"/>
    <w:rsid w:val="00454BF4"/>
    <w:rsid w:val="00456C13"/>
    <w:rsid w:val="00460262"/>
    <w:rsid w:val="004602A1"/>
    <w:rsid w:val="004614D8"/>
    <w:rsid w:val="00464ADC"/>
    <w:rsid w:val="004667E7"/>
    <w:rsid w:val="00476DF8"/>
    <w:rsid w:val="004773A7"/>
    <w:rsid w:val="00480006"/>
    <w:rsid w:val="00481FFD"/>
    <w:rsid w:val="004839F9"/>
    <w:rsid w:val="00484CC7"/>
    <w:rsid w:val="0048628B"/>
    <w:rsid w:val="00487946"/>
    <w:rsid w:val="004948ED"/>
    <w:rsid w:val="00495D12"/>
    <w:rsid w:val="00496DD9"/>
    <w:rsid w:val="004A06B8"/>
    <w:rsid w:val="004A255C"/>
    <w:rsid w:val="004B27CE"/>
    <w:rsid w:val="004B4104"/>
    <w:rsid w:val="004B63B8"/>
    <w:rsid w:val="004B6E13"/>
    <w:rsid w:val="004B7643"/>
    <w:rsid w:val="004D0146"/>
    <w:rsid w:val="004D1BBB"/>
    <w:rsid w:val="004D356C"/>
    <w:rsid w:val="004F1488"/>
    <w:rsid w:val="004F433C"/>
    <w:rsid w:val="004F56F2"/>
    <w:rsid w:val="00507A4C"/>
    <w:rsid w:val="00507A7C"/>
    <w:rsid w:val="00514506"/>
    <w:rsid w:val="005174B0"/>
    <w:rsid w:val="0052494F"/>
    <w:rsid w:val="0052635E"/>
    <w:rsid w:val="00531F2B"/>
    <w:rsid w:val="0053761A"/>
    <w:rsid w:val="0054031B"/>
    <w:rsid w:val="005552BD"/>
    <w:rsid w:val="005568BF"/>
    <w:rsid w:val="0056150D"/>
    <w:rsid w:val="00567043"/>
    <w:rsid w:val="005765A1"/>
    <w:rsid w:val="00581E95"/>
    <w:rsid w:val="00584AE5"/>
    <w:rsid w:val="005857BC"/>
    <w:rsid w:val="005862A3"/>
    <w:rsid w:val="00587198"/>
    <w:rsid w:val="005923EF"/>
    <w:rsid w:val="00593462"/>
    <w:rsid w:val="00597E3D"/>
    <w:rsid w:val="005A62AF"/>
    <w:rsid w:val="005B0AFB"/>
    <w:rsid w:val="005B246D"/>
    <w:rsid w:val="005B646A"/>
    <w:rsid w:val="005C2D61"/>
    <w:rsid w:val="005C4395"/>
    <w:rsid w:val="005C4B53"/>
    <w:rsid w:val="005C5406"/>
    <w:rsid w:val="005D3918"/>
    <w:rsid w:val="005D39C3"/>
    <w:rsid w:val="005D5E1C"/>
    <w:rsid w:val="005D731B"/>
    <w:rsid w:val="005E1767"/>
    <w:rsid w:val="005E59EE"/>
    <w:rsid w:val="005F06ED"/>
    <w:rsid w:val="005F3D37"/>
    <w:rsid w:val="005F5FC9"/>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594B"/>
    <w:rsid w:val="00672AD1"/>
    <w:rsid w:val="00675F24"/>
    <w:rsid w:val="00681B83"/>
    <w:rsid w:val="00683FD5"/>
    <w:rsid w:val="006845A3"/>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6551"/>
    <w:rsid w:val="00786668"/>
    <w:rsid w:val="00797D09"/>
    <w:rsid w:val="007A73DE"/>
    <w:rsid w:val="007B4EF1"/>
    <w:rsid w:val="007C1479"/>
    <w:rsid w:val="007C6E65"/>
    <w:rsid w:val="007D4E89"/>
    <w:rsid w:val="007D71D0"/>
    <w:rsid w:val="007E134F"/>
    <w:rsid w:val="007E7AC5"/>
    <w:rsid w:val="007E7B24"/>
    <w:rsid w:val="007F27A1"/>
    <w:rsid w:val="007F61FF"/>
    <w:rsid w:val="007F6B9C"/>
    <w:rsid w:val="008021AD"/>
    <w:rsid w:val="008028C1"/>
    <w:rsid w:val="008053BA"/>
    <w:rsid w:val="00806A43"/>
    <w:rsid w:val="008077FE"/>
    <w:rsid w:val="0081341D"/>
    <w:rsid w:val="008228F0"/>
    <w:rsid w:val="00825B7B"/>
    <w:rsid w:val="0083065B"/>
    <w:rsid w:val="00831885"/>
    <w:rsid w:val="00834F88"/>
    <w:rsid w:val="00836427"/>
    <w:rsid w:val="0084136B"/>
    <w:rsid w:val="00843FEB"/>
    <w:rsid w:val="008540FD"/>
    <w:rsid w:val="008627E3"/>
    <w:rsid w:val="0086592D"/>
    <w:rsid w:val="00866748"/>
    <w:rsid w:val="008669DE"/>
    <w:rsid w:val="008702D7"/>
    <w:rsid w:val="00876122"/>
    <w:rsid w:val="0088373C"/>
    <w:rsid w:val="008858EF"/>
    <w:rsid w:val="00891A7B"/>
    <w:rsid w:val="008A73EB"/>
    <w:rsid w:val="008A7655"/>
    <w:rsid w:val="008A79EE"/>
    <w:rsid w:val="008B76A2"/>
    <w:rsid w:val="008B7BB3"/>
    <w:rsid w:val="008C3783"/>
    <w:rsid w:val="008C3A2D"/>
    <w:rsid w:val="008C60CF"/>
    <w:rsid w:val="008C638A"/>
    <w:rsid w:val="008D2C69"/>
    <w:rsid w:val="008D6D1D"/>
    <w:rsid w:val="008E637F"/>
    <w:rsid w:val="009016AF"/>
    <w:rsid w:val="009038E5"/>
    <w:rsid w:val="0091297D"/>
    <w:rsid w:val="00923A58"/>
    <w:rsid w:val="0092771D"/>
    <w:rsid w:val="00931CC4"/>
    <w:rsid w:val="009326F6"/>
    <w:rsid w:val="009450C4"/>
    <w:rsid w:val="00964B36"/>
    <w:rsid w:val="00965621"/>
    <w:rsid w:val="0097404C"/>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6239"/>
    <w:rsid w:val="009C47A0"/>
    <w:rsid w:val="009C4C82"/>
    <w:rsid w:val="009C570B"/>
    <w:rsid w:val="009C75A3"/>
    <w:rsid w:val="009D1B12"/>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323D8"/>
    <w:rsid w:val="00A35B2D"/>
    <w:rsid w:val="00A40CA2"/>
    <w:rsid w:val="00A412D0"/>
    <w:rsid w:val="00A424B4"/>
    <w:rsid w:val="00A43E79"/>
    <w:rsid w:val="00A5334E"/>
    <w:rsid w:val="00A53A5E"/>
    <w:rsid w:val="00A544A7"/>
    <w:rsid w:val="00A579D5"/>
    <w:rsid w:val="00A65C21"/>
    <w:rsid w:val="00A65EE0"/>
    <w:rsid w:val="00A7653E"/>
    <w:rsid w:val="00A93434"/>
    <w:rsid w:val="00A94087"/>
    <w:rsid w:val="00A94344"/>
    <w:rsid w:val="00A95A9F"/>
    <w:rsid w:val="00AA463F"/>
    <w:rsid w:val="00AA469E"/>
    <w:rsid w:val="00AA5F70"/>
    <w:rsid w:val="00AA654B"/>
    <w:rsid w:val="00AA69E1"/>
    <w:rsid w:val="00AA7777"/>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3A65"/>
    <w:rsid w:val="00B15048"/>
    <w:rsid w:val="00B20CFB"/>
    <w:rsid w:val="00B2110D"/>
    <w:rsid w:val="00B26F25"/>
    <w:rsid w:val="00B27029"/>
    <w:rsid w:val="00B33C98"/>
    <w:rsid w:val="00B340F4"/>
    <w:rsid w:val="00B4185C"/>
    <w:rsid w:val="00B43B18"/>
    <w:rsid w:val="00B50D0D"/>
    <w:rsid w:val="00B5272B"/>
    <w:rsid w:val="00B56384"/>
    <w:rsid w:val="00B7169A"/>
    <w:rsid w:val="00B7512B"/>
    <w:rsid w:val="00B758BC"/>
    <w:rsid w:val="00B8287C"/>
    <w:rsid w:val="00B835A9"/>
    <w:rsid w:val="00B83774"/>
    <w:rsid w:val="00B9375A"/>
    <w:rsid w:val="00B93BC7"/>
    <w:rsid w:val="00BA6BFC"/>
    <w:rsid w:val="00BB5D35"/>
    <w:rsid w:val="00BC0BEE"/>
    <w:rsid w:val="00BC1949"/>
    <w:rsid w:val="00BC58BB"/>
    <w:rsid w:val="00BC71C0"/>
    <w:rsid w:val="00BE32C2"/>
    <w:rsid w:val="00BE3DF0"/>
    <w:rsid w:val="00BE7EA0"/>
    <w:rsid w:val="00BF0037"/>
    <w:rsid w:val="00BF0A4C"/>
    <w:rsid w:val="00BF4E89"/>
    <w:rsid w:val="00BF758B"/>
    <w:rsid w:val="00BF7807"/>
    <w:rsid w:val="00C0394B"/>
    <w:rsid w:val="00C235B4"/>
    <w:rsid w:val="00C3072A"/>
    <w:rsid w:val="00C33C76"/>
    <w:rsid w:val="00C350D5"/>
    <w:rsid w:val="00C35A9E"/>
    <w:rsid w:val="00C37390"/>
    <w:rsid w:val="00C42424"/>
    <w:rsid w:val="00C61469"/>
    <w:rsid w:val="00C619A1"/>
    <w:rsid w:val="00C65E5B"/>
    <w:rsid w:val="00C6649F"/>
    <w:rsid w:val="00C670A1"/>
    <w:rsid w:val="00C70034"/>
    <w:rsid w:val="00C70172"/>
    <w:rsid w:val="00C70C52"/>
    <w:rsid w:val="00C713D5"/>
    <w:rsid w:val="00C72898"/>
    <w:rsid w:val="00C7679B"/>
    <w:rsid w:val="00C800FE"/>
    <w:rsid w:val="00C8241B"/>
    <w:rsid w:val="00C8772E"/>
    <w:rsid w:val="00C91F2D"/>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FC"/>
    <w:rsid w:val="00D40A1B"/>
    <w:rsid w:val="00D41362"/>
    <w:rsid w:val="00D42375"/>
    <w:rsid w:val="00D44D91"/>
    <w:rsid w:val="00D60302"/>
    <w:rsid w:val="00D61E87"/>
    <w:rsid w:val="00D64C1B"/>
    <w:rsid w:val="00D657D3"/>
    <w:rsid w:val="00D67725"/>
    <w:rsid w:val="00D72CCD"/>
    <w:rsid w:val="00D80B90"/>
    <w:rsid w:val="00D8313B"/>
    <w:rsid w:val="00D835F4"/>
    <w:rsid w:val="00D87D9E"/>
    <w:rsid w:val="00D904D8"/>
    <w:rsid w:val="00D91B0D"/>
    <w:rsid w:val="00D934EC"/>
    <w:rsid w:val="00D95AF6"/>
    <w:rsid w:val="00DB0784"/>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3400E"/>
    <w:rsid w:val="00E34D01"/>
    <w:rsid w:val="00E42851"/>
    <w:rsid w:val="00E44EF2"/>
    <w:rsid w:val="00E46BF1"/>
    <w:rsid w:val="00E470D9"/>
    <w:rsid w:val="00E516FB"/>
    <w:rsid w:val="00E520E7"/>
    <w:rsid w:val="00E53A67"/>
    <w:rsid w:val="00E54941"/>
    <w:rsid w:val="00E63130"/>
    <w:rsid w:val="00E74CDC"/>
    <w:rsid w:val="00E752FF"/>
    <w:rsid w:val="00E8108B"/>
    <w:rsid w:val="00E83553"/>
    <w:rsid w:val="00E905B7"/>
    <w:rsid w:val="00EA12E7"/>
    <w:rsid w:val="00EB0EF4"/>
    <w:rsid w:val="00EB1475"/>
    <w:rsid w:val="00EC3EEE"/>
    <w:rsid w:val="00EC5D3F"/>
    <w:rsid w:val="00EC5F90"/>
    <w:rsid w:val="00ED3E97"/>
    <w:rsid w:val="00ED6B24"/>
    <w:rsid w:val="00EE2BD9"/>
    <w:rsid w:val="00EE3F3E"/>
    <w:rsid w:val="00EE78C8"/>
    <w:rsid w:val="00F03148"/>
    <w:rsid w:val="00F03539"/>
    <w:rsid w:val="00F0413A"/>
    <w:rsid w:val="00F142CD"/>
    <w:rsid w:val="00F17153"/>
    <w:rsid w:val="00F1729B"/>
    <w:rsid w:val="00F31E4F"/>
    <w:rsid w:val="00F349D2"/>
    <w:rsid w:val="00F34EFF"/>
    <w:rsid w:val="00F42EBF"/>
    <w:rsid w:val="00F43F80"/>
    <w:rsid w:val="00F51A72"/>
    <w:rsid w:val="00F56DD8"/>
    <w:rsid w:val="00F60068"/>
    <w:rsid w:val="00F632CD"/>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D08CC"/>
    <w:rsid w:val="00FD1D1A"/>
    <w:rsid w:val="00FD47CB"/>
    <w:rsid w:val="00FD57CD"/>
    <w:rsid w:val="00FD6A4C"/>
    <w:rsid w:val="00FE12BB"/>
    <w:rsid w:val="00FE18BD"/>
    <w:rsid w:val="00FE1920"/>
    <w:rsid w:val="00FE1A56"/>
    <w:rsid w:val="00FE7765"/>
    <w:rsid w:val="00FF4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oleObject" Target="embeddings/oleObject1.bin" Id="rId13" /><Relationship Type="http://schemas.openxmlformats.org/officeDocument/2006/relationships/hyperlink" Target="http://www.anbim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enio.stein@invepar.com.br" TargetMode="External" Id="rId21" /><Relationship Type="http://schemas.openxmlformats.org/officeDocument/2006/relationships/styles" Target="styles.xml" Id="rId7" /><Relationship Type="http://schemas.openxmlformats.org/officeDocument/2006/relationships/image" Target="media/image1.wmf" Id="rId12" /><Relationship Type="http://schemas.openxmlformats.org/officeDocument/2006/relationships/oleObject" Target="embeddings/oleObject3.bin"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3.wmf" Id="rId16" /><Relationship Type="http://schemas.openxmlformats.org/officeDocument/2006/relationships/image" Target="media/image5.pn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oleObject" Target="embeddings/oleObject2.bin"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image" Target="media/image4.png" Id="rId19" /><Relationship Type="http://schemas.openxmlformats.org/officeDocument/2006/relationships/webSettings" Target="webSettings.xml" Id="rId9" /><Relationship Type="http://schemas.openxmlformats.org/officeDocument/2006/relationships/image" Target="media/image2.wmf" Id="rId14" /><Relationship Type="http://schemas.openxmlformats.org/officeDocument/2006/relationships/header" Target="header1.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 T E X T ! 5 2 3 5 8 4 9 4 . 1 3 < / d o c u m e n t i d >  
     < s e n d e r i d > A M E < / s e n d e r i d >  
     < s e n d e r e m a i l > A G O I S @ M A C H A D O M E Y E R . C O M . B R < / s e n d e r e m a i l >  
     < l a s t m o d i f i e d > 2 0 2 0 - 1 1 - 2 2 T 2 0 : 5 9 : 0 0 . 0 0 0 0 0 0 0 - 0 3 : 0 0 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2.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6DE1E7E-0044-43E5-B62E-30FE136B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70</Pages>
  <Words>23022</Words>
  <Characters>131001</Characters>
  <Application>Microsoft Office Word</Application>
  <DocSecurity>0</DocSecurity>
  <Lines>2620</Lines>
  <Paragraphs>649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Andre Moretti de Gois | Machado Meyer Advogados</cp:lastModifiedBy>
  <cp:revision>10</cp:revision>
  <cp:lastPrinted>2020-11-22T23:59:00Z</cp:lastPrinted>
  <dcterms:created xsi:type="dcterms:W3CDTF">2020-11-22T22:13:00Z</dcterms:created>
  <dcterms:modified xsi:type="dcterms:W3CDTF">2020-11-22T23:59:00Z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