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 xml:space="preserve">à </w:t>
      </w:r>
      <w:r w:rsidR="0025102B" w:rsidRPr="001F4BDE">
        <w:rPr>
          <w:rFonts w:ascii="Verdana" w:hAnsi="Verdana" w:cs="Tahoma"/>
          <w:sz w:val="20"/>
          <w:lang w:val="pt-BR"/>
        </w:rPr>
        <w:lastRenderedPageBreak/>
        <w:t>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w:t>
      </w:r>
      <w:r w:rsidRPr="001F4BDE">
        <w:rPr>
          <w:rFonts w:ascii="Verdana" w:hAnsi="Verdana" w:cs="Tahoma"/>
          <w:sz w:val="20"/>
          <w:lang w:val="pt-BR"/>
        </w:rPr>
        <w:lastRenderedPageBreak/>
        <w:t>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79C6D740"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w:t>
      </w:r>
      <w:r w:rsidR="00E752FF" w:rsidRPr="001F4BDE">
        <w:rPr>
          <w:rFonts w:ascii="Verdana" w:hAnsi="Verdana" w:cs="Tahoma"/>
          <w:sz w:val="20"/>
          <w:lang w:val="pt-BR"/>
        </w:rPr>
        <w:t xml:space="preserve">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4057DDE5"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 (um mil e </w:t>
      </w:r>
      <w:r w:rsidR="0091297D" w:rsidRPr="001F4BDE">
        <w:rPr>
          <w:rFonts w:ascii="Verdana" w:hAnsi="Verdana" w:cs="Tahoma"/>
          <w:sz w:val="20"/>
          <w:lang w:val="pt-BR"/>
        </w:rPr>
        <w:t>duzentas</w:t>
      </w:r>
      <w:r w:rsidR="009C75A3" w:rsidRPr="001F4BDE">
        <w:rPr>
          <w:rFonts w:ascii="Verdana" w:hAnsi="Verdana" w:cs="Tahoma"/>
          <w:sz w:val="20"/>
          <w:lang w:val="pt-BR"/>
        </w:rPr>
        <w:t xml:space="preserve">)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6"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6"/>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6A3814"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7"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(“Projeto”).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6A3814"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R$ 1.300.000.000,00 (um bilhão e trezentos milhões de reais)</w:t>
            </w:r>
          </w:p>
        </w:tc>
      </w:tr>
      <w:tr w:rsidR="00005C67" w:rsidRPr="006A3814"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 xml:space="preserve">R$ </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6A3814"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6A3814"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7"/>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8" w:name="_DV_M70"/>
      <w:bookmarkStart w:id="9" w:name="_DV_M72"/>
      <w:bookmarkStart w:id="10" w:name="_DV_M73"/>
      <w:bookmarkEnd w:id="8"/>
      <w:bookmarkEnd w:id="9"/>
      <w:bookmarkEnd w:id="10"/>
      <w:r w:rsidRPr="001F4BDE">
        <w:rPr>
          <w:rFonts w:ascii="Verdana" w:hAnsi="Verdana" w:cs="Tahoma"/>
          <w:sz w:val="20"/>
          <w:lang w:val="pt-BR"/>
        </w:rPr>
        <w:lastRenderedPageBreak/>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005C67" w:rsidRPr="001F4BDE">
        <w:rPr>
          <w:rFonts w:ascii="Verdana" w:hAnsi="Verdana" w:cs="Tahoma"/>
          <w:sz w:val="20"/>
          <w:lang w:val="pt-BR"/>
        </w:rPr>
        <w:t xml:space="preserve">[-], [qualificação]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 xml:space="preserve">). </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1"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1"/>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xml:space="preserve">, devido nos termos desta Escritura de Emissão, acrescido da Remuneração (conforme abaixo definida) e dos Encargos Moratórios (conforme abaixo definido), conforme aplicável, bem como das demais obrigações pecuniárias presentes e futuras, principais e </w:t>
      </w:r>
      <w:r w:rsidR="005D3918" w:rsidRPr="001F4BDE">
        <w:rPr>
          <w:rFonts w:ascii="Verdana" w:hAnsi="Verdana" w:cs="Tahoma"/>
          <w:sz w:val="20"/>
          <w:lang w:val="pt-BR"/>
        </w:rPr>
        <w:lastRenderedPageBreak/>
        <w:t>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lastRenderedPageBreak/>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6F2BB36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2"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Simplific</w:t>
      </w:r>
      <w:proofErr w:type="spellEnd"/>
      <w:r w:rsidR="000E062A"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Pavarini</w:t>
      </w:r>
      <w:proofErr w:type="spellEnd"/>
      <w:r w:rsidR="000E062A" w:rsidRPr="003869AB">
        <w:rPr>
          <w:rFonts w:ascii="Verdana" w:hAnsi="Verdana"/>
          <w:color w:val="000000"/>
          <w:sz w:val="20"/>
          <w:lang w:val="pt-BR"/>
        </w:rPr>
        <w:t xml:space="preserve"> Distribuidora de Títulos e Valores Mobiliários Ltda, nos termos do Instrumento Particular de Contrato de Cessão Fiduciária de Direitos Creditórios e Outras Avenças, celebrado no âmbito da 8ª emissão de debêntures da Emissora </w:t>
      </w:r>
      <w:bookmarkEnd w:id="12"/>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51E4EDAF"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lastRenderedPageBreak/>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relatório a ser emitido pela SITAWI</w:t>
      </w:r>
      <w:r w:rsidR="002B6380">
        <w:rPr>
          <w:rFonts w:ascii="Verdana" w:hAnsi="Verdana" w:cs="Tahoma"/>
          <w:iCs/>
          <w:sz w:val="20"/>
          <w:lang w:val="pt-BR"/>
        </w:rPr>
        <w:t xml:space="preserve"> ou por outra consultoria especializada para tanto</w:t>
      </w:r>
      <w:r w:rsidR="002B6380" w:rsidRPr="002B6380">
        <w:rPr>
          <w:rFonts w:ascii="Verdana" w:hAnsi="Verdana" w:cs="Tahoma"/>
          <w:iCs/>
          <w:sz w:val="20"/>
          <w:lang w:val="pt-BR"/>
        </w:rPr>
        <w:t xml:space="preserve"> após 1 (um) ano da emissão do Parecer 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31517FC1" w:rsidR="002256F8" w:rsidRPr="001F4BDE" w:rsidRDefault="002256F8" w:rsidP="002256F8">
      <w:pPr>
        <w:spacing w:line="300" w:lineRule="exact"/>
        <w:rPr>
          <w:rFonts w:ascii="Verdana" w:hAnsi="Verdana" w:cs="Tahoma"/>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440C86">
        <w:rPr>
          <w:rFonts w:ascii="Verdana" w:hAnsi="Verdana" w:cs="Tahoma"/>
          <w:iCs/>
          <w:sz w:val="20"/>
          <w:lang w:val="pt-BR"/>
        </w:rPr>
        <w:t>No prazo de até 1 (um) ano a contar da Data de Emissão, a</w:t>
      </w:r>
      <w:r w:rsidR="003869A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3869A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3" w:name="_DV_M62"/>
      <w:bookmarkEnd w:id="13"/>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4" w:name="_DV_M97"/>
      <w:bookmarkEnd w:id="14"/>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w:t>
      </w:r>
      <w:r w:rsidRPr="001F4BDE">
        <w:rPr>
          <w:rFonts w:ascii="Verdana" w:hAnsi="Verdana" w:cs="Tahoma"/>
          <w:sz w:val="20"/>
          <w:lang w:val="pt-BR"/>
        </w:rPr>
        <w:lastRenderedPageBreak/>
        <w:t xml:space="preserve">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 xml:space="preserve">O investimento nas Debêntures não é adequado aos investidores que: (i) não tenham </w:t>
      </w:r>
      <w:r w:rsidRPr="001F4BDE">
        <w:rPr>
          <w:rFonts w:ascii="Verdana" w:hAnsi="Verdana" w:cs="Tahoma"/>
          <w:sz w:val="20"/>
          <w:lang w:val="pt-BR"/>
        </w:rPr>
        <w:lastRenderedPageBreak/>
        <w:t>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26666F8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O valor nominal unitário das Debêntures, na Data de Emissão, será de R</w:t>
      </w:r>
      <w:r w:rsidR="00BF758B" w:rsidRPr="001F4BDE">
        <w:rPr>
          <w:rFonts w:ascii="Verdana" w:hAnsi="Verdana" w:cs="Tahoma"/>
          <w:sz w:val="20"/>
          <w:lang w:val="pt-BR"/>
        </w:rPr>
        <w:t xml:space="preserve">$ </w:t>
      </w:r>
      <w:r w:rsidR="000C2F99" w:rsidRPr="001F4BDE">
        <w:rPr>
          <w:rFonts w:ascii="Verdana" w:hAnsi="Verdana" w:cs="Tahoma"/>
          <w:sz w:val="20"/>
          <w:lang w:val="pt-BR"/>
        </w:rPr>
        <w:t>1.000</w:t>
      </w:r>
      <w:r w:rsidR="002B6380">
        <w:rPr>
          <w:rFonts w:ascii="Verdana" w:hAnsi="Verdana" w:cs="Tahoma"/>
          <w:sz w:val="20"/>
          <w:lang w:val="pt-BR"/>
        </w:rPr>
        <w:t>.000</w:t>
      </w:r>
      <w:r w:rsidR="000C2F99" w:rsidRPr="001F4BDE">
        <w:rPr>
          <w:rFonts w:ascii="Verdana" w:hAnsi="Verdana" w:cs="Tahoma"/>
          <w:sz w:val="20"/>
          <w:lang w:val="pt-BR"/>
        </w:rPr>
        <w:t>,00 (um mil</w:t>
      </w:r>
      <w:r w:rsidR="002B6380">
        <w:rPr>
          <w:rFonts w:ascii="Verdana" w:hAnsi="Verdana" w:cs="Tahoma"/>
          <w:sz w:val="20"/>
          <w:lang w:val="pt-BR"/>
        </w:rPr>
        <w:t>hão de</w:t>
      </w:r>
      <w:r w:rsidR="000C2F99" w:rsidRPr="001F4BDE">
        <w:rPr>
          <w:rFonts w:ascii="Verdana" w:hAnsi="Verdana" w:cs="Tahoma"/>
          <w:sz w:val="20"/>
          <w:lang w:val="pt-BR"/>
        </w:rPr>
        <w:t xml:space="preserve"> reais)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w:t>
      </w:r>
      <w:r w:rsidR="00451394" w:rsidRPr="001F4BDE">
        <w:rPr>
          <w:rFonts w:ascii="Verdana" w:hAnsi="Verdana" w:cs="Tahoma"/>
          <w:sz w:val="20"/>
          <w:lang w:val="pt-BR"/>
        </w:rPr>
        <w:lastRenderedPageBreak/>
        <w:t xml:space="preserve">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53C0BBA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6A3814"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Percentual do Valor Nominal Unitário a ser Amortizado</w:t>
            </w:r>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lastRenderedPageBreak/>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15.05pt" o:ole="" fillcolor="window">
            <v:imagedata r:id="rId11" o:title=""/>
          </v:shape>
          <o:OLEObject Type="Embed" ProgID="Equation.3" ShapeID="_x0000_i1025" DrawAspect="Content" ObjectID="_1667739776" r:id="rId12"/>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2pt;height:56.95pt" o:ole="" fillcolor="window">
            <v:imagedata r:id="rId13" o:title=""/>
          </v:shape>
          <o:OLEObject Type="Embed" ProgID="Equation.3" ShapeID="_x0000_i1026" DrawAspect="Content" ObjectID="_1667739777" r:id="rId14"/>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w:t>
      </w:r>
      <w:r w:rsidRPr="001F4BDE">
        <w:rPr>
          <w:rFonts w:ascii="Verdana" w:hAnsi="Verdana"/>
          <w:sz w:val="20"/>
          <w:lang w:val="pt-BR"/>
        </w:rPr>
        <w:lastRenderedPageBreak/>
        <w:t>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1pt;height:46.05pt" o:ole="">
            <v:imagedata r:id="rId15" o:title=""/>
          </v:shape>
          <o:OLEObject Type="Embed" ProgID="Equation.3" ShapeID="_x0000_i1027" DrawAspect="Content" ObjectID="_1667739778" r:id="rId16"/>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5511826E"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7" w:history="1">
        <w:r w:rsidR="00A579D5" w:rsidRPr="00A579D5">
          <w:rPr>
            <w:rStyle w:val="Hyperlink"/>
            <w:rFonts w:ascii="Verdana" w:hAnsi="Verdana"/>
            <w:sz w:val="20"/>
            <w:lang w:val="pt-BR"/>
          </w:rPr>
          <w:t>http://www.anbima.com.br</w:t>
        </w:r>
      </w:hyperlink>
      <w:hyperlink w:history="1"/>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ou (</w:t>
      </w:r>
      <w:proofErr w:type="spellStart"/>
      <w:r w:rsidR="00A579D5" w:rsidRPr="00A579D5">
        <w:rPr>
          <w:rFonts w:ascii="Verdana" w:hAnsi="Verdana"/>
          <w:sz w:val="20"/>
          <w:lang w:val="pt-BR"/>
        </w:rPr>
        <w:t>ii</w:t>
      </w:r>
      <w:proofErr w:type="spellEnd"/>
      <w:r w:rsidR="00A579D5" w:rsidRPr="00A579D5">
        <w:rPr>
          <w:rFonts w:ascii="Verdana" w:hAnsi="Verdana"/>
          <w:sz w:val="20"/>
          <w:lang w:val="pt-BR"/>
        </w:rPr>
        <w:t xml:space="preserve">)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01C0D8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entra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lastRenderedPageBreak/>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6274A7C1"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41A294CD"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xml:space="preserve">, </w:t>
      </w:r>
      <w:r w:rsidRPr="00BE3DF0">
        <w:rPr>
          <w:rFonts w:ascii="Verdana" w:hAnsi="Verdana" w:cs="Tahoma"/>
          <w:color w:val="000000"/>
          <w:sz w:val="20"/>
          <w:lang w:val="pt-BR"/>
        </w:rPr>
        <w:lastRenderedPageBreak/>
        <w:t xml:space="preserve">ou a Data de Pagamento da Remuneração imediatamente anterior, o que tiver ocorrido por último, até a data do efetivo pagamento. Para cálculo da Remuneração aplicável às Debêntures a serem resgatadas e, consequentemente, canceladas, 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5235E7D2" w:rsidR="00E63130" w:rsidRPr="00435F6C" w:rsidRDefault="009B150C" w:rsidP="00456C13">
      <w:pPr>
        <w:spacing w:line="300" w:lineRule="exact"/>
        <w:rPr>
          <w:rFonts w:ascii="Verdana" w:hAnsi="Verdana" w:cs="Tahoma"/>
          <w:i/>
          <w:sz w:val="20"/>
          <w:lang w:val="pt-BR"/>
        </w:rPr>
      </w:pPr>
      <w:bookmarkStart w:id="15" w:name="_DV_M234"/>
      <w:bookmarkStart w:id="16" w:name="_DV_M235"/>
      <w:bookmarkEnd w:id="15"/>
      <w:bookmarkEnd w:id="16"/>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78FE0D07"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7B770E05"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lastRenderedPageBreak/>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Valor do Resgate Antecipado Facultativo</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11D2A4E9"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xml:space="preserve"> da Remuneração, calculada,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(exclusive);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07EEA7F5"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Unitário atualizado das Debêntures, acrescido dos juros,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14F326D8"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0,5000%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4227B244"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equivale à somatória da ponderação dos prazos de vencimento de cada pagamento </w:t>
      </w:r>
      <w:r w:rsidR="000374C8">
        <w:rPr>
          <w:rFonts w:ascii="Verdana" w:eastAsiaTheme="minorHAnsi" w:hAnsi="Verdana" w:cs="Arial"/>
          <w:sz w:val="20"/>
          <w:lang w:val="pt-BR" w:eastAsia="en-US"/>
        </w:rPr>
        <w:t xml:space="preserve">de amortização e </w:t>
      </w:r>
      <w:r w:rsidRPr="00435F6C">
        <w:rPr>
          <w:rFonts w:ascii="Verdana" w:eastAsiaTheme="minorHAnsi" w:hAnsi="Verdana" w:cs="Arial"/>
          <w:sz w:val="20"/>
          <w:lang w:val="pt-BR" w:eastAsia="en-US"/>
        </w:rPr>
        <w:t>juros pelo seu valor presente, calculada em anos,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094CBAC6" w:rsidR="00D0231E" w:rsidRPr="00435F6C"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r w:rsidRPr="007F6B9C">
        <w:rPr>
          <w:rFonts w:ascii="Verdana" w:hAnsi="Verdana"/>
          <w:noProof/>
          <w:sz w:val="20"/>
        </w:rPr>
        <w:drawing>
          <wp:inline distT="0" distB="0" distL="0" distR="0" wp14:anchorId="5FA5EA10" wp14:editId="2D1432DF">
            <wp:extent cx="2895600" cy="6682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15127" cy="672721"/>
                    </a:xfrm>
                    <a:prstGeom prst="rect">
                      <a:avLst/>
                    </a:prstGeom>
                  </pic:spPr>
                </pic:pic>
              </a:graphicData>
            </a:graphic>
          </wp:inline>
        </w:drawing>
      </w: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5E0AC385"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pagamento dos juros, e/ou à amortização do Valor Nominal Unitário das Debêntures, indicados por seus valores reais, ou seja,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045C85FA"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nk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número de Dias Úteis entre a Data do Resgate Antecipado Facultativo e a data de vencimento programada de cada parcela </w:t>
      </w:r>
      <w:r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1C112F67" w14:textId="315AC4AB"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lastRenderedPageBreak/>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37921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00095CFC" w14:textId="77777777" w:rsidR="00D0231E" w:rsidRPr="007F6B9C" w:rsidRDefault="00D0231E" w:rsidP="00D0231E">
      <w:pPr>
        <w:pStyle w:val="Body"/>
        <w:ind w:left="2041"/>
        <w:rPr>
          <w:rFonts w:ascii="Verdana" w:hAnsi="Verdana"/>
          <w:sz w:val="20"/>
          <w:szCs w:val="20"/>
        </w:rPr>
      </w:pPr>
      <m:oMathPara>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751AAF39" w14:textId="4DC5E66D" w:rsidR="00D0231E" w:rsidRPr="00435F6C" w:rsidRDefault="00D0231E" w:rsidP="000374C8">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sidR="000374C8">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sidR="000374C8">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p>
    <w:p w14:paraId="191D6596"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582CE1D8" w14:textId="7505D2B2"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7B70F943"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9F176ED" w14:textId="77777777" w:rsidR="00D0231E" w:rsidRPr="00435F6C" w:rsidRDefault="00D0231E" w:rsidP="00D0231E">
      <w:pPr>
        <w:pStyle w:val="PargrafodaLista"/>
        <w:spacing w:line="276" w:lineRule="auto"/>
        <w:ind w:left="709"/>
        <w:rPr>
          <w:rFonts w:ascii="Verdana" w:hAnsi="Verdana"/>
          <w:sz w:val="20"/>
        </w:rPr>
      </w:pPr>
      <m:oMathPara>
        <m:oMath>
          <m:r>
            <w:rPr>
              <w:rFonts w:ascii="Cambria Math" w:hAnsi="Cambria Math"/>
              <w:sz w:val="20"/>
            </w:rPr>
            <m:t>VP</m:t>
          </m:r>
          <m:r>
            <m:rPr>
              <m:sty m:val="p"/>
            </m:rPr>
            <w:rPr>
              <w:rFonts w:ascii="Cambria Math" w:hAnsi="Cambria Math"/>
              <w:sz w:val="20"/>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rPr>
                    <m:t xml:space="preserve"> ×</m:t>
                  </m:r>
                  <m:r>
                    <w:rPr>
                      <w:rFonts w:ascii="Cambria Math" w:hAnsi="Cambria Math"/>
                      <w:sz w:val="20"/>
                    </w:rPr>
                    <m:t>C</m:t>
                  </m:r>
                </m:e>
              </m:d>
            </m:e>
          </m:nary>
        </m:oMath>
      </m:oMathPara>
    </w:p>
    <w:p w14:paraId="59DACCD9"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4BF65D5D" w14:textId="7F6C309E"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74922B62"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45688BBB" w14:textId="269756E6"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 e</w:t>
      </w:r>
    </w:p>
    <w:p w14:paraId="16ED789E"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797AE0E" w14:textId="23C1DD1B" w:rsidR="00D0231E" w:rsidRPr="00435F6C" w:rsidRDefault="00D0231E" w:rsidP="000374C8">
      <w:pPr>
        <w:widowControl/>
        <w:autoSpaceDE w:val="0"/>
        <w:autoSpaceDN w:val="0"/>
        <w:spacing w:line="240" w:lineRule="auto"/>
        <w:textAlignment w:val="auto"/>
        <w:rPr>
          <w:rFonts w:ascii="Verdana" w:hAnsi="Verdana"/>
          <w:sz w:val="20"/>
          <w:lang w:val="pt-BR"/>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sidR="000374C8">
        <w:rPr>
          <w:rFonts w:ascii="Verdana" w:eastAsiaTheme="minorHAnsi" w:hAnsi="Verdana" w:cs="Arial"/>
          <w:sz w:val="20"/>
          <w:lang w:val="pt-BR" w:eastAsia="en-US"/>
        </w:rPr>
        <w:t xml:space="preserve">desde a Data da Primeira Integralização até a data do Resgate Antecipado Facultativo, </w:t>
      </w:r>
      <w:r w:rsidRPr="00435F6C">
        <w:rPr>
          <w:rFonts w:ascii="Verdana" w:eastAsiaTheme="minorHAnsi" w:hAnsi="Verdana" w:cs="Arial"/>
          <w:sz w:val="20"/>
          <w:lang w:val="pt-BR" w:eastAsia="en-US"/>
        </w:rPr>
        <w:t xml:space="preserve">calculado com 8 (oito) casas decimais, sem arredondamento, apurado conforme </w:t>
      </w:r>
      <w:r w:rsidR="000374C8">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115438AD" w14:textId="77777777" w:rsidR="001F729A" w:rsidRPr="00435F6C" w:rsidRDefault="001F729A" w:rsidP="001F729A">
      <w:pPr>
        <w:pStyle w:val="PargrafodaLista"/>
        <w:spacing w:line="276" w:lineRule="auto"/>
        <w:ind w:left="709"/>
        <w:rPr>
          <w:rFonts w:ascii="Verdana" w:hAnsi="Verdana"/>
          <w:sz w:val="20"/>
          <w:lang w:val="pt-BR"/>
        </w:rPr>
      </w:pPr>
    </w:p>
    <w:p w14:paraId="670F0343" w14:textId="350B1E14"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xml:space="preserve"> da Remuneração, calculada,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(exclusive);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Prêmio(B)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6A3814"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DF80BB4"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VP = acima definido; e</w:t>
      </w:r>
    </w:p>
    <w:p w14:paraId="4E84D620" w14:textId="59175F6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CE697B0" w14:textId="18B49BD4" w:rsidR="00181FA9" w:rsidRPr="001A55FF" w:rsidRDefault="00DF794B" w:rsidP="001A55FF">
      <w:pPr>
        <w:widowControl/>
        <w:autoSpaceDE w:val="0"/>
        <w:autoSpaceDN w:val="0"/>
        <w:spacing w:line="240" w:lineRule="auto"/>
        <w:ind w:left="708"/>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15334575"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Pr="005174B0">
        <w:rPr>
          <w:rFonts w:ascii="Verdana" w:eastAsiaTheme="minorHAnsi" w:hAnsi="Verdana" w:cs="Arial"/>
          <w:sz w:val="20"/>
          <w:u w:val="single"/>
          <w:lang w:val="pt-BR" w:eastAsia="en-US"/>
        </w:rPr>
        <w:t>Data do Resgate Antecipado Facultativo</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1BDE0935"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As Debêntures objeto do Resgate Antecipado Facultativo 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21F0A32"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688E953"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Enquanto não expressamente autorizada pela legislação e/ou regulamentação aplicáveis, as Debêntures não estarão sujeitas à amortização extraordinária facultativa pela Emissora</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 xml:space="preserve">Observado o disposto no artigo 1º, parágrafo 1º, inciso II, combinado com o artigo 2º, parágrafo 1º, da Lei 12.431, na Resolução 4.751, nas disposições do CMN e nas demais disposições legais e regulamentares aplicáveis, inclusive em </w:t>
      </w:r>
      <w:r w:rsidRPr="00435F6C">
        <w:rPr>
          <w:rFonts w:ascii="Verdana" w:hAnsi="Verdana"/>
          <w:sz w:val="20"/>
          <w:lang w:val="pt-BR"/>
        </w:rPr>
        <w:lastRenderedPageBreak/>
        <w:t>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7"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7"/>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8" w:name="_Ref303592513"/>
      <w:bookmarkStart w:id="19"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8"/>
      <w:bookmarkEnd w:id="19"/>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0" w:name="_DV_C308"/>
      <w:r w:rsidR="00E63130" w:rsidRPr="001F4BDE">
        <w:rPr>
          <w:rFonts w:ascii="Verdana" w:hAnsi="Verdana" w:cs="Tahoma"/>
          <w:sz w:val="20"/>
          <w:lang w:val="pt-BR"/>
        </w:rPr>
        <w:t>o disposto no artigo</w:t>
      </w:r>
      <w:bookmarkStart w:id="21" w:name="_DV_M342"/>
      <w:bookmarkEnd w:id="20"/>
      <w:bookmarkEnd w:id="21"/>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w:t>
      </w:r>
      <w:r w:rsidR="00E63130" w:rsidRPr="001F4BDE">
        <w:rPr>
          <w:rFonts w:ascii="Verdana" w:hAnsi="Verdana" w:cs="Tahoma"/>
          <w:sz w:val="20"/>
          <w:lang w:val="pt-BR"/>
        </w:rPr>
        <w:lastRenderedPageBreak/>
        <w:t>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2"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2"/>
    </w:p>
    <w:p w14:paraId="1842464D" w14:textId="1711FC60" w:rsidR="009B150C" w:rsidRDefault="009B150C" w:rsidP="00456C13">
      <w:pPr>
        <w:spacing w:line="300" w:lineRule="exact"/>
        <w:ind w:left="709" w:hanging="709"/>
        <w:rPr>
          <w:rFonts w:ascii="Verdana" w:hAnsi="Verdana" w:cs="Tahoma"/>
          <w:sz w:val="20"/>
          <w:lang w:val="pt-BR"/>
        </w:rPr>
      </w:pPr>
    </w:p>
    <w:p w14:paraId="4E945E0C" w14:textId="3457999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de pagamento</w:t>
      </w:r>
      <w:r w:rsidRPr="001F4BDE">
        <w:rPr>
          <w:rFonts w:ascii="Verdana" w:hAnsi="Verdana"/>
          <w:color w:val="000000"/>
          <w:sz w:val="20"/>
          <w:lang w:val="pt-BR"/>
        </w:rPr>
        <w:t xml:space="preserve"> pecuniári</w:t>
      </w:r>
      <w:r w:rsidR="005F3D37">
        <w:rPr>
          <w:rFonts w:ascii="Verdana" w:hAnsi="Verdana"/>
          <w:color w:val="000000"/>
          <w:sz w:val="20"/>
          <w:lang w:val="pt-BR"/>
        </w:rPr>
        <w: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1376B74E"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final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525849CA" w14:textId="2FF29E18"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00E8108B">
        <w:rPr>
          <w:rFonts w:ascii="Verdana" w:hAnsi="Verdana"/>
          <w:color w:val="000000"/>
          <w:sz w:val="20"/>
          <w:lang w:val="pt-BR"/>
        </w:rPr>
        <w:t>[</w:t>
      </w:r>
      <w:r w:rsidRPr="00AC1BCC">
        <w:rPr>
          <w:rFonts w:ascii="Verdana" w:hAnsi="Verdana"/>
          <w:color w:val="000000"/>
          <w:sz w:val="20"/>
          <w:lang w:val="pt-BR"/>
        </w:rPr>
        <w:t>R$</w:t>
      </w:r>
      <w:r w:rsidR="00E8108B">
        <w:rPr>
          <w:rFonts w:ascii="Verdana" w:hAnsi="Verdana"/>
          <w:color w:val="000000"/>
          <w:sz w:val="20"/>
          <w:lang w:val="pt-BR"/>
        </w:rPr>
        <w:t>6</w:t>
      </w:r>
      <w:r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013999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3E36A0AE"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de transferência ou cessão a terceiros,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3"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3"/>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66E18BDB" w:rsidR="009B150C" w:rsidRPr="001F4BDE" w:rsidRDefault="00AA469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w:t>
      </w:r>
      <w:r w:rsidR="00F1729B" w:rsidRPr="001F4BDE">
        <w:rPr>
          <w:rFonts w:ascii="Verdana" w:hAnsi="Verdana"/>
          <w:color w:val="000000"/>
          <w:sz w:val="20"/>
          <w:lang w:val="pt-BR"/>
        </w:rPr>
        <w:t>escumprimento</w:t>
      </w:r>
      <w:r w:rsidR="009B150C" w:rsidRPr="001F4BDE">
        <w:rPr>
          <w:rFonts w:ascii="Verdana" w:hAnsi="Verdana"/>
          <w:color w:val="000000"/>
          <w:sz w:val="20"/>
          <w:lang w:val="pt-BR"/>
        </w:rPr>
        <w:t xml:space="preserve"> de qualquer decisão administrativa de entidade regulatória</w:t>
      </w:r>
      <w:r w:rsidR="00E8108B">
        <w:rPr>
          <w:rFonts w:ascii="Verdana" w:hAnsi="Verdana"/>
          <w:color w:val="000000"/>
          <w:sz w:val="20"/>
          <w:lang w:val="pt-BR"/>
        </w:rPr>
        <w:t xml:space="preserve"> que não esteja sendo contestada judicialmente ou administrativamente cujos efeitos não tenham sido suspensos e que possa comprovadamente impactar negativamente as condições econômicas, financeiras e/ou operacionais da Emissora</w:t>
      </w:r>
      <w:r w:rsidR="00F76B4C" w:rsidRPr="001F4BDE">
        <w:rPr>
          <w:rFonts w:ascii="Verdana" w:hAnsi="Verdana"/>
          <w:color w:val="000000"/>
          <w:sz w:val="20"/>
          <w:lang w:val="pt-BR"/>
        </w:rPr>
        <w:t xml:space="preserve"> em relação à sua capacidade de cumprir as obrigações decorrentes desta </w:t>
      </w:r>
      <w:r w:rsidR="005C5406" w:rsidRPr="001F4BDE">
        <w:rPr>
          <w:rFonts w:ascii="Verdana" w:hAnsi="Verdana"/>
          <w:color w:val="000000"/>
          <w:sz w:val="20"/>
          <w:lang w:val="pt-BR"/>
        </w:rPr>
        <w:t>Emissão ou</w:t>
      </w:r>
      <w:r w:rsidR="00A247EA" w:rsidRPr="001F4BDE">
        <w:rPr>
          <w:rFonts w:ascii="Verdana" w:hAnsi="Verdana"/>
          <w:color w:val="000000"/>
          <w:sz w:val="20"/>
          <w:lang w:val="pt-BR"/>
        </w:rPr>
        <w:t xml:space="preserve"> </w:t>
      </w:r>
      <w:r w:rsidR="00212D5E">
        <w:rPr>
          <w:rFonts w:ascii="Verdana" w:hAnsi="Verdana"/>
          <w:color w:val="000000"/>
          <w:sz w:val="20"/>
          <w:lang w:val="pt-BR"/>
        </w:rPr>
        <w:t>d</w:t>
      </w:r>
      <w:r w:rsidR="009B150C" w:rsidRPr="001F4BDE">
        <w:rPr>
          <w:rFonts w:ascii="Verdana" w:hAnsi="Verdana"/>
          <w:color w:val="000000"/>
          <w:sz w:val="20"/>
          <w:lang w:val="pt-BR"/>
        </w:rPr>
        <w:t>a concessão da Emissora para explorar atividades relacionadas ao transporte metroviário do Estado do Rio de Janeiro (“</w:t>
      </w:r>
      <w:r w:rsidR="009B150C" w:rsidRPr="001F4BDE">
        <w:rPr>
          <w:rFonts w:ascii="Verdana" w:hAnsi="Verdana"/>
          <w:color w:val="000000"/>
          <w:sz w:val="20"/>
          <w:u w:val="single"/>
          <w:lang w:val="pt-BR"/>
        </w:rPr>
        <w:t>Concessão</w:t>
      </w:r>
      <w:r w:rsidR="009B150C" w:rsidRPr="001F4BDE">
        <w:rPr>
          <w:rFonts w:ascii="Verdana" w:hAnsi="Verdana"/>
          <w:color w:val="000000"/>
          <w:sz w:val="20"/>
          <w:lang w:val="pt-BR"/>
        </w:rPr>
        <w:t>”);</w:t>
      </w:r>
      <w:r w:rsidR="00E520E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14E7900A"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ou confisco de ativos permanentes 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w:t>
      </w:r>
      <w:r w:rsidR="00AA5F70" w:rsidRPr="001F4BDE">
        <w:rPr>
          <w:rFonts w:ascii="Verdana" w:hAnsi="Verdana" w:cs="Arial"/>
          <w:sz w:val="20"/>
          <w:lang w:val="pt-BR"/>
        </w:rPr>
        <w:lastRenderedPageBreak/>
        <w:t>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043373B8"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 xml:space="preserve">R$ </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68B6A4EB"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Operação BNDES, da Operação Caixa e 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e eventual saldo de conta garantida ou capitais de giro existentes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7D5DB68C"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E8108B">
        <w:rPr>
          <w:rFonts w:ascii="Verdana" w:hAnsi="Verdana"/>
          <w:color w:val="000000"/>
          <w:sz w:val="20"/>
          <w:lang w:val="pt-BR"/>
        </w:rPr>
        <w:t>[</w:t>
      </w:r>
      <w:r w:rsidR="00AC1BCC" w:rsidRPr="00AC1BCC">
        <w:rPr>
          <w:rFonts w:ascii="Verdana" w:hAnsi="Verdana"/>
          <w:color w:val="000000"/>
          <w:sz w:val="20"/>
          <w:lang w:val="pt-BR"/>
        </w:rPr>
        <w:t>R$</w:t>
      </w:r>
      <w:r w:rsidR="00E8108B">
        <w:rPr>
          <w:rFonts w:ascii="Verdana" w:hAnsi="Verdana"/>
          <w:color w:val="000000"/>
          <w:sz w:val="20"/>
          <w:lang w:val="pt-BR"/>
        </w:rPr>
        <w:t>6</w:t>
      </w:r>
      <w:r w:rsidR="00AC1BCC"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00AC1BCC"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00B04102"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E8108B">
        <w:rPr>
          <w:rFonts w:ascii="Verdana" w:hAnsi="Verdana"/>
          <w:color w:val="000000"/>
          <w:sz w:val="20"/>
          <w:lang w:val="pt-BR"/>
        </w:rPr>
        <w:t>[</w:t>
      </w:r>
      <w:r w:rsidR="00AC1BCC" w:rsidRPr="00AC1BCC">
        <w:rPr>
          <w:rFonts w:ascii="Verdana" w:hAnsi="Verdana"/>
          <w:color w:val="000000"/>
          <w:sz w:val="20"/>
          <w:lang w:val="pt-BR"/>
        </w:rPr>
        <w:t>R$</w:t>
      </w:r>
      <w:r w:rsidR="00E8108B">
        <w:rPr>
          <w:rFonts w:ascii="Verdana" w:hAnsi="Verdana"/>
          <w:color w:val="000000"/>
          <w:sz w:val="20"/>
          <w:lang w:val="pt-BR"/>
        </w:rPr>
        <w:t>6</w:t>
      </w:r>
      <w:r w:rsidR="00AC1BCC"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00AC1BCC" w:rsidRPr="00AC1BCC">
        <w:rPr>
          <w:rFonts w:ascii="Verdana" w:hAnsi="Verdana"/>
          <w:color w:val="000000"/>
          <w:sz w:val="20"/>
          <w:lang w:val="pt-BR"/>
        </w:rPr>
        <w:t>milhões de reais)</w:t>
      </w:r>
      <w:r w:rsidR="00E8108B">
        <w:rPr>
          <w:rFonts w:ascii="Verdana" w:hAnsi="Verdana"/>
          <w:color w:val="000000"/>
          <w:sz w:val="20"/>
          <w:lang w:val="pt-BR"/>
        </w:rPr>
        <w:t>]</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65C20119"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lastRenderedPageBreak/>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4F331EA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163204">
        <w:rPr>
          <w:rFonts w:ascii="Verdana" w:hAnsi="Verdana"/>
          <w:color w:val="000000"/>
          <w:sz w:val="20"/>
          <w:lang w:val="pt-BR"/>
        </w:rPr>
        <w:t>[</w:t>
      </w:r>
      <w:r w:rsidR="003E297C" w:rsidRPr="00AC1BCC">
        <w:rPr>
          <w:rFonts w:ascii="Verdana" w:hAnsi="Verdana"/>
          <w:color w:val="000000"/>
          <w:sz w:val="20"/>
          <w:lang w:val="pt-BR"/>
        </w:rPr>
        <w:t>R$</w:t>
      </w:r>
      <w:r w:rsidR="00163204">
        <w:rPr>
          <w:rFonts w:ascii="Verdana" w:hAnsi="Verdana"/>
          <w:color w:val="000000"/>
          <w:sz w:val="20"/>
          <w:lang w:val="pt-BR"/>
        </w:rPr>
        <w:t>6</w:t>
      </w:r>
      <w:r w:rsidR="003E297C" w:rsidRPr="00AC1BCC">
        <w:rPr>
          <w:rFonts w:ascii="Verdana" w:hAnsi="Verdana"/>
          <w:color w:val="000000"/>
          <w:sz w:val="20"/>
          <w:lang w:val="pt-BR"/>
        </w:rPr>
        <w:t>0.000.000,00 (</w:t>
      </w:r>
      <w:r w:rsidR="00163204">
        <w:rPr>
          <w:rFonts w:ascii="Verdana" w:hAnsi="Verdana"/>
          <w:color w:val="000000"/>
          <w:sz w:val="20"/>
          <w:lang w:val="pt-BR"/>
        </w:rPr>
        <w:t>sessenta</w:t>
      </w:r>
      <w:r w:rsidR="00163204" w:rsidRPr="00AC1BCC">
        <w:rPr>
          <w:rFonts w:ascii="Verdana" w:hAnsi="Verdana"/>
          <w:color w:val="000000"/>
          <w:sz w:val="20"/>
          <w:lang w:val="pt-BR"/>
        </w:rPr>
        <w:t xml:space="preserve"> </w:t>
      </w:r>
      <w:r w:rsidR="003E297C" w:rsidRPr="00AC1BCC">
        <w:rPr>
          <w:rFonts w:ascii="Verdana" w:hAnsi="Verdana"/>
          <w:color w:val="000000"/>
          <w:sz w:val="20"/>
          <w:lang w:val="pt-BR"/>
        </w:rPr>
        <w:t>milhões de reais)</w:t>
      </w:r>
      <w:r w:rsidR="00163204">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54A607A5"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4"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1A3467" w:rsidRPr="001F4BDE">
        <w:rPr>
          <w:rFonts w:ascii="Verdana" w:hAnsi="Verdana"/>
          <w:color w:val="000000"/>
          <w:sz w:val="20"/>
          <w:lang w:val="pt-BR"/>
        </w:rPr>
        <w:t>, empregados e demais colaboradores</w:t>
      </w:r>
      <w:r w:rsidR="00D42375" w:rsidRPr="001F4BDE">
        <w:rPr>
          <w:rFonts w:ascii="Verdana" w:hAnsi="Verdana"/>
          <w:color w:val="000000"/>
          <w:sz w:val="20"/>
          <w:lang w:val="pt-BR"/>
        </w:rPr>
        <w:t xml:space="preserve">, todos agindo </w:t>
      </w:r>
      <w:r w:rsidR="00AE2071" w:rsidRPr="001F4BDE">
        <w:rPr>
          <w:rFonts w:ascii="Verdana" w:hAnsi="Verdana"/>
          <w:color w:val="000000"/>
          <w:sz w:val="20"/>
          <w:lang w:val="pt-BR"/>
        </w:rPr>
        <w:t>em tal</w:t>
      </w:r>
      <w:r w:rsidR="00D42375" w:rsidRPr="001F4BDE">
        <w:rPr>
          <w:rFonts w:ascii="Verdana" w:hAnsi="Verdana"/>
          <w:color w:val="000000"/>
          <w:sz w:val="20"/>
          <w:lang w:val="pt-BR"/>
        </w:rPr>
        <w:t xml:space="preserve"> capacidade (“</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4"/>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 xml:space="preserve">Normas Anticorrupção e </w:t>
      </w:r>
      <w:proofErr w:type="spellStart"/>
      <w:r w:rsidR="00CC150B" w:rsidRPr="001F4BDE">
        <w:rPr>
          <w:rFonts w:ascii="Verdana" w:hAnsi="Verdana"/>
          <w:color w:val="000000"/>
          <w:sz w:val="20"/>
          <w:u w:val="single"/>
          <w:lang w:val="pt-BR"/>
        </w:rPr>
        <w:t>Antilavagem</w:t>
      </w:r>
      <w:proofErr w:type="spellEnd"/>
      <w:r w:rsidR="00CC150B" w:rsidRPr="001F4BDE">
        <w:rPr>
          <w:rFonts w:ascii="Verdana" w:hAnsi="Verdana"/>
          <w:color w:val="000000"/>
          <w:sz w:val="20"/>
          <w:lang w:val="pt-BR"/>
        </w:rPr>
        <w:t>”</w:t>
      </w:r>
      <w:r w:rsidRPr="001F4BDE">
        <w:rPr>
          <w:rFonts w:ascii="Verdana" w:hAnsi="Verdana"/>
          <w:color w:val="000000"/>
          <w:sz w:val="20"/>
          <w:lang w:val="pt-BR"/>
        </w:rPr>
        <w:t>);</w:t>
      </w:r>
      <w:r w:rsidR="001A6BA2" w:rsidRPr="001F4BDE">
        <w:rPr>
          <w:rFonts w:ascii="Verdana" w:hAnsi="Verdana"/>
          <w:color w:val="000000"/>
          <w:sz w:val="20"/>
          <w:lang w:val="pt-BR"/>
        </w:rPr>
        <w:t xml:space="preserve"> </w:t>
      </w:r>
    </w:p>
    <w:p w14:paraId="372FCAAB" w14:textId="77777777" w:rsidR="00217EB1" w:rsidRPr="00121E46" w:rsidRDefault="00217EB1" w:rsidP="00121E46">
      <w:pPr>
        <w:rPr>
          <w:rFonts w:ascii="Verdana" w:hAnsi="Verdana"/>
          <w:color w:val="000000"/>
          <w:sz w:val="20"/>
          <w:lang w:val="pt-BR"/>
        </w:rPr>
      </w:pPr>
    </w:p>
    <w:p w14:paraId="46382737" w14:textId="02ECBDED"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decisão judicial final e com efeitos imediatos em favor dos referidos terceiros</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37BBCD92"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do Índice Financeiro indicado a seguir (“</w:t>
      </w:r>
      <w:r w:rsidR="006B6C2C" w:rsidRPr="001F4BDE">
        <w:rPr>
          <w:rFonts w:ascii="Verdana" w:hAnsi="Verdana"/>
          <w:color w:val="000000"/>
          <w:sz w:val="20"/>
          <w:u w:val="single"/>
          <w:lang w:val="pt-BR"/>
        </w:rPr>
        <w:t>Índice Financeiro</w:t>
      </w:r>
      <w:r w:rsidR="006B6C2C" w:rsidRPr="001F4BDE">
        <w:rPr>
          <w:rFonts w:ascii="Verdana" w:hAnsi="Verdana"/>
          <w:color w:val="000000"/>
          <w:sz w:val="20"/>
          <w:lang w:val="pt-BR"/>
        </w:rPr>
        <w:t>”)</w:t>
      </w:r>
      <w:r w:rsidRPr="001F4BDE">
        <w:rPr>
          <w:rFonts w:ascii="Verdana" w:hAnsi="Verdana"/>
          <w:color w:val="000000"/>
          <w:sz w:val="20"/>
          <w:lang w:val="pt-BR"/>
        </w:rPr>
        <w:t xml:space="preserve">, calculado com base nas demonstrações financeiras auditadas da Emissora, a ser </w:t>
      </w:r>
      <w:r w:rsidR="004D0146">
        <w:rPr>
          <w:rFonts w:ascii="Verdana" w:hAnsi="Verdana"/>
          <w:color w:val="000000"/>
          <w:sz w:val="20"/>
          <w:lang w:val="pt-BR"/>
        </w:rPr>
        <w:t xml:space="preserve">semestralmente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F3A7028" w14:textId="2D8C9E3E" w:rsidR="008702D7" w:rsidRPr="001F4BDE" w:rsidRDefault="006B6C2C" w:rsidP="00834F88">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3E297C">
        <w:rPr>
          <w:rFonts w:ascii="Verdana" w:hAnsi="Verdana"/>
          <w:color w:val="000000"/>
          <w:sz w:val="20"/>
          <w:lang w:val="pt-BR"/>
        </w:rPr>
        <w:t>1,</w:t>
      </w:r>
      <w:r w:rsidR="00605331">
        <w:rPr>
          <w:rFonts w:ascii="Verdana" w:hAnsi="Verdana"/>
          <w:color w:val="000000"/>
          <w:sz w:val="20"/>
          <w:lang w:val="pt-BR"/>
        </w:rPr>
        <w:t>1</w:t>
      </w:r>
      <w:r w:rsidR="0024688A" w:rsidRPr="003E297C">
        <w:rPr>
          <w:rFonts w:ascii="Verdana" w:hAnsi="Verdana"/>
          <w:color w:val="000000"/>
          <w:sz w:val="20"/>
          <w:lang w:val="pt-BR"/>
        </w:rPr>
        <w:t xml:space="preserve"> (um inteiro e </w:t>
      </w:r>
      <w:r w:rsidR="00605331">
        <w:rPr>
          <w:rFonts w:ascii="Verdana" w:hAnsi="Verdana"/>
          <w:color w:val="000000"/>
          <w:sz w:val="20"/>
          <w:lang w:val="pt-BR"/>
        </w:rPr>
        <w:t>um</w:t>
      </w:r>
      <w:r w:rsidR="00605331" w:rsidRPr="003E297C">
        <w:rPr>
          <w:rFonts w:ascii="Verdana" w:hAnsi="Verdana"/>
          <w:color w:val="000000"/>
          <w:sz w:val="20"/>
          <w:lang w:val="pt-BR"/>
        </w:rPr>
        <w:t xml:space="preserve"> </w:t>
      </w:r>
      <w:r w:rsidR="0024688A" w:rsidRPr="003E297C">
        <w:rPr>
          <w:rFonts w:ascii="Verdana" w:hAnsi="Verdana"/>
          <w:color w:val="000000"/>
          <w:sz w:val="20"/>
          <w:lang w:val="pt-BR"/>
        </w:rPr>
        <w:t>décimo</w:t>
      </w:r>
      <w:r w:rsidR="00F42EBF" w:rsidRPr="00E20F7C">
        <w:rPr>
          <w:rFonts w:ascii="Verdana" w:hAnsi="Verdana"/>
          <w:color w:val="000000"/>
          <w:sz w:val="20"/>
          <w:lang w:val="pt-BR"/>
        </w:rPr>
        <w:t>.</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77777777"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Índice Financeiro: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77777777" w:rsidR="0056150D" w:rsidRPr="001F4BDE" w:rsidRDefault="0056150D" w:rsidP="009016AF">
      <w:pPr>
        <w:pStyle w:val="PargrafodaLista"/>
        <w:spacing w:line="720" w:lineRule="auto"/>
        <w:rPr>
          <w:rFonts w:ascii="Verdana" w:hAnsi="Verdana"/>
          <w:color w:val="000000"/>
          <w:sz w:val="20"/>
          <w:lang w:val="pt-BR"/>
        </w:rPr>
      </w:pPr>
      <m:oMathPara>
        <m:oMath>
          <m:r>
            <m:rPr>
              <m:nor/>
            </m:rPr>
            <w:rPr>
              <w:rFonts w:ascii="Verdana" w:hAnsi="Verdana"/>
              <w:color w:val="000000"/>
              <w:sz w:val="20"/>
              <w:lang w:val="pt-BR"/>
            </w:rPr>
            <m:t>ICSD</m:t>
          </m:r>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01DD6E21"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45EE2F5F" w:rsidR="005F3D37"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w:t>
      </w:r>
      <w:r w:rsidRPr="001F4BDE">
        <w:rPr>
          <w:rFonts w:ascii="Verdana" w:hAnsi="Verdana"/>
          <w:color w:val="000000"/>
          <w:sz w:val="20"/>
          <w:lang w:val="pt-BR"/>
        </w:rPr>
        <w:lastRenderedPageBreak/>
        <w:t>resultem na mudança de controle acionário da Emissora, sem a prévia e expressa anuência dos Debenturistas</w:t>
      </w:r>
      <w:r>
        <w:rPr>
          <w:rFonts w:ascii="Verdana" w:hAnsi="Verdana"/>
          <w:color w:val="000000"/>
          <w:sz w:val="20"/>
          <w:lang w:val="pt-BR"/>
        </w:rPr>
        <w:t>, exceto nas seguintes hipóteses, desde já aprovadas e sem necessidade de aprovação adicional pelos Debenturistas: (i) o controle acionário direto ou indireto da Emissora seja mantido pela Investimentos e Participações em Infraestrutura S.A. – INVEPAR; ou (</w:t>
      </w:r>
      <w:proofErr w:type="spellStart"/>
      <w:r>
        <w:rPr>
          <w:rFonts w:ascii="Verdana" w:hAnsi="Verdana"/>
          <w:color w:val="000000"/>
          <w:sz w:val="20"/>
          <w:lang w:val="pt-BR"/>
        </w:rPr>
        <w:t>ii</w:t>
      </w:r>
      <w:proofErr w:type="spellEnd"/>
      <w:r>
        <w:rPr>
          <w:rFonts w:ascii="Verdana" w:hAnsi="Verdana"/>
          <w:color w:val="000000"/>
          <w:sz w:val="20"/>
          <w:lang w:val="pt-BR"/>
        </w:rPr>
        <w:t>) o controle acionário direto ou indireto da Emissora seja transferido ou alienado</w:t>
      </w:r>
      <w:r w:rsidR="002B6380">
        <w:rPr>
          <w:rFonts w:ascii="Verdana" w:hAnsi="Verdana"/>
          <w:color w:val="000000"/>
          <w:sz w:val="20"/>
          <w:lang w:val="pt-BR"/>
        </w:rPr>
        <w:t>, direta ou indiretamente,</w:t>
      </w:r>
      <w:r>
        <w:rPr>
          <w:rFonts w:ascii="Verdana" w:hAnsi="Verdana"/>
          <w:color w:val="000000"/>
          <w:sz w:val="20"/>
          <w:lang w:val="pt-BR"/>
        </w:rPr>
        <w:t xml:space="preserve"> para </w:t>
      </w:r>
      <w:r w:rsidR="002B6380">
        <w:rPr>
          <w:rFonts w:ascii="Verdana" w:hAnsi="Verdana"/>
          <w:color w:val="000000"/>
          <w:sz w:val="20"/>
          <w:lang w:val="pt-BR"/>
        </w:rPr>
        <w:t xml:space="preserve">os </w:t>
      </w:r>
      <w:r>
        <w:rPr>
          <w:rFonts w:ascii="Verdana" w:hAnsi="Verdana"/>
          <w:color w:val="000000"/>
          <w:sz w:val="20"/>
          <w:lang w:val="pt-BR"/>
        </w:rPr>
        <w:t>credores atuais da Investimentos e Participações em Infraestrutura S.A. – INVEPAR;</w:t>
      </w:r>
    </w:p>
    <w:p w14:paraId="7D5D0385" w14:textId="47F02CD4" w:rsidR="00E8108B" w:rsidRDefault="00E8108B" w:rsidP="006161AD">
      <w:pPr>
        <w:pStyle w:val="PargrafodaLista"/>
        <w:spacing w:line="300" w:lineRule="exact"/>
        <w:ind w:left="1418"/>
        <w:rPr>
          <w:rFonts w:ascii="Verdana" w:hAnsi="Verdana"/>
          <w:color w:val="000000"/>
          <w:sz w:val="20"/>
          <w:lang w:val="pt-BR"/>
        </w:rPr>
      </w:pPr>
    </w:p>
    <w:p w14:paraId="44755EE1" w14:textId="2A45C353"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Pr="00AC1BCC">
        <w:rPr>
          <w:rFonts w:ascii="Verdana" w:hAnsi="Verdana"/>
          <w:color w:val="000000"/>
          <w:sz w:val="20"/>
          <w:lang w:val="pt-BR"/>
        </w:rPr>
        <w:t>R$</w:t>
      </w:r>
      <w:r w:rsidR="002B6380">
        <w:rPr>
          <w:rFonts w:ascii="Verdana" w:hAnsi="Verdana"/>
          <w:color w:val="000000"/>
          <w:sz w:val="20"/>
          <w:lang w:val="pt-BR"/>
        </w:rPr>
        <w:t>[60</w:t>
      </w:r>
      <w:r w:rsidRPr="00AC1BCC">
        <w:rPr>
          <w:rFonts w:ascii="Verdana" w:hAnsi="Verdana"/>
          <w:color w:val="000000"/>
          <w:sz w:val="20"/>
          <w:lang w:val="pt-BR"/>
        </w:rPr>
        <w:t>.000.000,00 (</w:t>
      </w:r>
      <w:r w:rsidR="002B6380">
        <w:rPr>
          <w:rFonts w:ascii="Verdana" w:hAnsi="Verdana"/>
          <w:color w:val="000000"/>
          <w:sz w:val="20"/>
          <w:lang w:val="pt-BR"/>
        </w:rPr>
        <w:t>sessenta</w:t>
      </w:r>
      <w:r w:rsidRPr="00AC1BCC">
        <w:rPr>
          <w:rFonts w:ascii="Verdana" w:hAnsi="Verdana"/>
          <w:color w:val="000000"/>
          <w:sz w:val="20"/>
          <w:lang w:val="pt-BR"/>
        </w:rPr>
        <w:t xml:space="preserve"> milhões de reais)</w:t>
      </w:r>
      <w:r w:rsidR="002B6380">
        <w:rPr>
          <w:rFonts w:ascii="Verdana" w:hAnsi="Verdana"/>
          <w:color w:val="000000"/>
          <w:sz w:val="20"/>
          <w:lang w:val="pt-BR"/>
        </w:rPr>
        <w:t>]</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776880F5"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Pr>
          <w:rFonts w:ascii="Verdana" w:hAnsi="Verdana"/>
          <w:color w:val="000000"/>
          <w:sz w:val="20"/>
          <w:lang w:val="pt-BR"/>
        </w:rPr>
        <w:t>[</w:t>
      </w:r>
      <w:r w:rsidRPr="00AC1BCC">
        <w:rPr>
          <w:rFonts w:ascii="Verdana" w:hAnsi="Verdana"/>
          <w:color w:val="000000"/>
          <w:sz w:val="20"/>
          <w:lang w:val="pt-BR"/>
        </w:rPr>
        <w:t>R$</w:t>
      </w:r>
      <w:r>
        <w:rPr>
          <w:rFonts w:ascii="Verdana" w:hAnsi="Verdana"/>
          <w:color w:val="000000"/>
          <w:sz w:val="20"/>
          <w:lang w:val="pt-BR"/>
        </w:rPr>
        <w:t>6</w:t>
      </w:r>
      <w:r w:rsidRPr="00AC1BCC">
        <w:rPr>
          <w:rFonts w:ascii="Verdana" w:hAnsi="Verdana"/>
          <w:color w:val="000000"/>
          <w:sz w:val="20"/>
          <w:lang w:val="pt-BR"/>
        </w:rPr>
        <w:t>0.000.000,00 (</w:t>
      </w:r>
      <w:r>
        <w:rPr>
          <w:rFonts w:ascii="Verdana" w:hAnsi="Verdana"/>
          <w:color w:val="000000"/>
          <w:sz w:val="20"/>
          <w:lang w:val="pt-BR"/>
        </w:rPr>
        <w:t>sessenta</w:t>
      </w:r>
      <w:r w:rsidRPr="00AC1BCC">
        <w:rPr>
          <w:rFonts w:ascii="Verdana" w:hAnsi="Verdana"/>
          <w:color w:val="000000"/>
          <w:sz w:val="20"/>
          <w:lang w:val="pt-BR"/>
        </w:rPr>
        <w:t xml:space="preserve"> milhões de reais)</w:t>
      </w:r>
      <w:r>
        <w:rPr>
          <w:rFonts w:ascii="Verdana" w:hAnsi="Verdana"/>
          <w:color w:val="000000"/>
          <w:sz w:val="20"/>
          <w:lang w:val="pt-BR"/>
        </w:rPr>
        <w:t>]</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r>
        <w:rPr>
          <w:rFonts w:ascii="Verdana" w:hAnsi="Verdana"/>
          <w:color w:val="000000"/>
          <w:sz w:val="20"/>
          <w:lang w:val="pt-BR"/>
        </w:rPr>
        <w:t xml:space="preserve"> e</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54D59526" w:rsidR="002B6380" w:rsidRPr="001F4BDE"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resgate ou amortização de ações, pagamento de dividendos (incluindo o pagamento do dividendo mínimo obrigatório previsto no artigo 202 da Lei das Sociedades por Ações), juros sobre capital próprio ou quaisquer outras formas similares de remessa de recursos aos acionistas caso </w:t>
      </w:r>
      <w:r>
        <w:rPr>
          <w:rFonts w:ascii="Verdana" w:hAnsi="Verdana"/>
          <w:color w:val="000000"/>
          <w:sz w:val="20"/>
          <w:lang w:val="pt-BR"/>
        </w:rPr>
        <w:t xml:space="preserve">a Emissora esteja inadimplente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de pagamento pecuniárias </w:t>
      </w:r>
      <w:r w:rsidRPr="001F4BDE">
        <w:rPr>
          <w:rFonts w:ascii="Verdana" w:hAnsi="Verdana"/>
          <w:color w:val="000000"/>
          <w:sz w:val="20"/>
          <w:lang w:val="pt-BR"/>
        </w:rPr>
        <w:t>estabelecidas nesta Escritura de Emissão e/ou no Contrato de Cessão Fiduciária ou caso o ICSD esteja inferior a 1,30 (um inteiro e trinta centésimos)</w:t>
      </w:r>
      <w:r>
        <w:rPr>
          <w:rFonts w:ascii="Verdana" w:hAnsi="Verdana"/>
          <w:color w:val="000000"/>
          <w:sz w:val="20"/>
          <w:lang w:val="pt-BR"/>
        </w:rPr>
        <w:t>.</w:t>
      </w:r>
    </w:p>
    <w:p w14:paraId="39669098" w14:textId="77777777" w:rsidR="002B6380" w:rsidRPr="006161AD" w:rsidRDefault="002B6380" w:rsidP="00370997">
      <w:pPr>
        <w:pStyle w:val="PargrafodaLista"/>
        <w:spacing w:line="300" w:lineRule="exact"/>
        <w:ind w:left="1418"/>
        <w:rPr>
          <w:rFonts w:ascii="Verdana" w:hAnsi="Verdana"/>
          <w:color w:val="000000"/>
          <w:sz w:val="20"/>
          <w:lang w:val="pt-BR"/>
        </w:rPr>
      </w:pPr>
    </w:p>
    <w:p w14:paraId="40ECC18B" w14:textId="77777777"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5"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5"/>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6"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26"/>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44A1D57F"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w:t>
      </w:r>
      <w:r w:rsidRPr="00965621">
        <w:rPr>
          <w:rFonts w:ascii="Verdana" w:hAnsi="Verdana" w:cs="Tahoma"/>
          <w:sz w:val="20"/>
          <w:szCs w:val="20"/>
          <w:lang w:val="pt-BR"/>
        </w:rPr>
        <w:lastRenderedPageBreak/>
        <w:t xml:space="preserve">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605331">
        <w:rPr>
          <w:rFonts w:ascii="Verdana" w:hAnsi="Verdana" w:cs="Tahoma"/>
          <w:sz w:val="20"/>
          <w:szCs w:val="20"/>
          <w:lang w:val="pt-BR"/>
        </w:rPr>
        <w:t>20</w:t>
      </w:r>
      <w:r w:rsidR="00965621">
        <w:rPr>
          <w:rFonts w:ascii="Verdana" w:hAnsi="Verdana" w:cs="Tahoma"/>
          <w:sz w:val="20"/>
          <w:szCs w:val="20"/>
          <w:lang w:val="pt-BR"/>
        </w:rPr>
        <w:t>% (</w:t>
      </w:r>
      <w:r w:rsidR="00605331">
        <w:rPr>
          <w:rFonts w:ascii="Verdana" w:hAnsi="Verdana" w:cs="Tahoma"/>
          <w:sz w:val="20"/>
          <w:szCs w:val="20"/>
          <w:lang w:val="pt-BR"/>
        </w:rPr>
        <w:t xml:space="preserve">vinte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77D4799E"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D422D0">
        <w:rPr>
          <w:rFonts w:ascii="Verdana" w:hAnsi="Verdana" w:cs="Tahoma"/>
          <w:sz w:val="20"/>
          <w:szCs w:val="20"/>
          <w:lang w:val="pt-BR"/>
        </w:rPr>
        <w:t>5</w:t>
      </w:r>
      <w:r w:rsidR="00AA69E1" w:rsidRPr="001F4BDE">
        <w:rPr>
          <w:rFonts w:ascii="Verdana" w:hAnsi="Verdana" w:cs="Tahoma"/>
          <w:sz w:val="20"/>
          <w:szCs w:val="20"/>
          <w:lang w:val="pt-BR"/>
        </w:rPr>
        <w:t xml:space="preserve"> (</w:t>
      </w:r>
      <w:r w:rsidR="00D422D0">
        <w:rPr>
          <w:rFonts w:ascii="Verdana" w:hAnsi="Verdana" w:cs="Tahoma"/>
          <w:sz w:val="20"/>
          <w:szCs w:val="20"/>
          <w:lang w:val="pt-BR"/>
        </w:rPr>
        <w:t>cinco</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7B32FAE4"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 alínea </w:t>
      </w:r>
      <w:r w:rsidR="004D0146">
        <w:rPr>
          <w:rFonts w:ascii="Verdana" w:hAnsi="Verdana" w:cs="Tahoma"/>
          <w:sz w:val="20"/>
          <w:szCs w:val="20"/>
          <w:lang w:val="pt-BR"/>
        </w:rPr>
        <w:t>(</w:t>
      </w:r>
      <w:proofErr w:type="spellStart"/>
      <w:r w:rsidR="004D0146">
        <w:rPr>
          <w:rFonts w:ascii="Verdana" w:hAnsi="Verdana" w:cs="Tahoma"/>
          <w:sz w:val="20"/>
          <w:szCs w:val="20"/>
          <w:lang w:val="pt-BR"/>
        </w:rPr>
        <w:t>vii</w:t>
      </w:r>
      <w:proofErr w:type="spellEnd"/>
      <w:r w:rsidR="004D0146">
        <w:rPr>
          <w:rFonts w:ascii="Verdana" w:hAnsi="Verdana" w:cs="Tahoma"/>
          <w:sz w:val="20"/>
          <w:szCs w:val="20"/>
          <w:lang w:val="pt-BR"/>
        </w:rPr>
        <w:t>)</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D422D0">
        <w:rPr>
          <w:rFonts w:ascii="Verdana" w:hAnsi="Verdana" w:cs="Tahoma"/>
          <w:sz w:val="20"/>
          <w:szCs w:val="20"/>
          <w:lang w:val="pt-BR"/>
        </w:rPr>
        <w:t>(</w:t>
      </w:r>
      <w:proofErr w:type="spellStart"/>
      <w:r w:rsidR="00D422D0">
        <w:rPr>
          <w:rFonts w:ascii="Verdana" w:hAnsi="Verdana" w:cs="Tahoma"/>
          <w:sz w:val="20"/>
          <w:szCs w:val="20"/>
          <w:lang w:val="pt-BR"/>
        </w:rPr>
        <w:t>vii</w:t>
      </w:r>
      <w:proofErr w:type="spellEnd"/>
      <w:r w:rsidR="00D422D0">
        <w:rPr>
          <w:rFonts w:ascii="Verdana" w:hAnsi="Verdana" w:cs="Tahoma"/>
          <w:sz w:val="20"/>
          <w:szCs w:val="20"/>
          <w:lang w:val="pt-BR"/>
        </w:rPr>
        <w:t xml:space="preserve">), </w:t>
      </w:r>
      <w:r w:rsidR="004D0146">
        <w:rPr>
          <w:rFonts w:ascii="Verdana" w:hAnsi="Verdana" w:cs="Tahoma"/>
          <w:sz w:val="20"/>
          <w:szCs w:val="20"/>
          <w:lang w:val="pt-BR"/>
        </w:rPr>
        <w:t>(</w:t>
      </w:r>
      <w:proofErr w:type="spellStart"/>
      <w:r w:rsidR="004D0146">
        <w:rPr>
          <w:rFonts w:ascii="Verdana" w:hAnsi="Verdana" w:cs="Tahoma"/>
          <w:sz w:val="20"/>
          <w:szCs w:val="20"/>
          <w:lang w:val="pt-BR"/>
        </w:rPr>
        <w:t>ix</w:t>
      </w:r>
      <w:proofErr w:type="spellEnd"/>
      <w:r w:rsidR="004D0146">
        <w:rPr>
          <w:rFonts w:ascii="Verdana" w:hAnsi="Verdana" w:cs="Tahoma"/>
          <w:sz w:val="20"/>
          <w:szCs w:val="20"/>
          <w:lang w:val="pt-BR"/>
        </w:rPr>
        <w:t>)</w:t>
      </w:r>
      <w:r w:rsidR="00D422D0">
        <w:rPr>
          <w:rFonts w:ascii="Verdana" w:hAnsi="Verdana" w:cs="Tahoma"/>
          <w:sz w:val="20"/>
          <w:szCs w:val="20"/>
          <w:lang w:val="pt-BR"/>
        </w:rPr>
        <w:t>,</w:t>
      </w:r>
      <w:r w:rsidR="004D0146">
        <w:rPr>
          <w:rFonts w:ascii="Verdana" w:hAnsi="Verdana" w:cs="Tahoma"/>
          <w:sz w:val="20"/>
          <w:szCs w:val="20"/>
          <w:lang w:val="pt-BR"/>
        </w:rPr>
        <w:t xml:space="preserve"> (x)</w:t>
      </w:r>
      <w:r w:rsidR="00D422D0">
        <w:rPr>
          <w:rFonts w:ascii="Verdana" w:hAnsi="Verdana" w:cs="Tahoma"/>
          <w:sz w:val="20"/>
          <w:szCs w:val="20"/>
          <w:lang w:val="pt-BR"/>
        </w:rPr>
        <w:t>, (</w:t>
      </w:r>
      <w:proofErr w:type="spellStart"/>
      <w:r w:rsidR="00D422D0">
        <w:rPr>
          <w:rFonts w:ascii="Verdana" w:hAnsi="Verdana" w:cs="Tahoma"/>
          <w:sz w:val="20"/>
          <w:szCs w:val="20"/>
          <w:lang w:val="pt-BR"/>
        </w:rPr>
        <w:t>xii</w:t>
      </w:r>
      <w:proofErr w:type="spellEnd"/>
      <w:r w:rsidR="00D422D0">
        <w:rPr>
          <w:rFonts w:ascii="Verdana" w:hAnsi="Verdana" w:cs="Tahoma"/>
          <w:sz w:val="20"/>
          <w:szCs w:val="20"/>
          <w:lang w:val="pt-BR"/>
        </w:rPr>
        <w:t>), (</w:t>
      </w:r>
      <w:proofErr w:type="spellStart"/>
      <w:r w:rsidR="00D422D0">
        <w:rPr>
          <w:rFonts w:ascii="Verdana" w:hAnsi="Verdana" w:cs="Tahoma"/>
          <w:sz w:val="20"/>
          <w:szCs w:val="20"/>
          <w:lang w:val="pt-BR"/>
        </w:rPr>
        <w:t>xviii</w:t>
      </w:r>
      <w:proofErr w:type="spellEnd"/>
      <w:r w:rsidR="00D422D0">
        <w:rPr>
          <w:rFonts w:ascii="Verdana" w:hAnsi="Verdana" w:cs="Tahoma"/>
          <w:sz w:val="20"/>
          <w:szCs w:val="20"/>
          <w:lang w:val="pt-BR"/>
        </w:rPr>
        <w:t>), (</w:t>
      </w:r>
      <w:proofErr w:type="spellStart"/>
      <w:r w:rsidR="00D422D0">
        <w:rPr>
          <w:rFonts w:ascii="Verdana" w:hAnsi="Verdana" w:cs="Tahoma"/>
          <w:sz w:val="20"/>
          <w:szCs w:val="20"/>
          <w:lang w:val="pt-BR"/>
        </w:rPr>
        <w:t>xx</w:t>
      </w:r>
      <w:proofErr w:type="spellEnd"/>
      <w:r w:rsidR="00D422D0">
        <w:rPr>
          <w:rFonts w:ascii="Verdana" w:hAnsi="Verdana" w:cs="Tahoma"/>
          <w:sz w:val="20"/>
          <w:szCs w:val="20"/>
          <w:lang w:val="pt-BR"/>
        </w:rPr>
        <w:t>) e (</w:t>
      </w:r>
      <w:proofErr w:type="spellStart"/>
      <w:r w:rsidR="00D422D0">
        <w:rPr>
          <w:rFonts w:ascii="Verdana" w:hAnsi="Verdana" w:cs="Tahoma"/>
          <w:sz w:val="20"/>
          <w:szCs w:val="20"/>
          <w:lang w:val="pt-BR"/>
        </w:rPr>
        <w:t>xxi</w:t>
      </w:r>
      <w:proofErr w:type="spellEnd"/>
      <w:r w:rsidR="00D422D0">
        <w:rPr>
          <w:rFonts w:ascii="Verdana" w:hAnsi="Verdana" w:cs="Tahoma"/>
          <w:sz w:val="20"/>
          <w:szCs w:val="20"/>
          <w:lang w:val="pt-BR"/>
        </w:rPr>
        <w:t>)</w:t>
      </w:r>
      <w:r w:rsidR="00121E46"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w:t>
      </w:r>
      <w:r w:rsidRPr="001F4BDE">
        <w:rPr>
          <w:rFonts w:ascii="Verdana" w:hAnsi="Verdana" w:cs="Tahoma"/>
          <w:sz w:val="20"/>
          <w:lang w:val="pt-BR"/>
        </w:rPr>
        <w:lastRenderedPageBreak/>
        <w:t xml:space="preserve">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7" w:name="_DV_M404"/>
      <w:bookmarkEnd w:id="27"/>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lastRenderedPageBreak/>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Agente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5DA9BEFB"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(1) em até 90 (noventa) dias da data do encerramento de cada exercício social </w:t>
      </w:r>
      <w:r w:rsidR="00C3305E">
        <w:rPr>
          <w:rFonts w:ascii="Verdana" w:hAnsi="Verdana" w:cs="Tahoma"/>
          <w:sz w:val="20"/>
          <w:lang w:val="pt-BR"/>
        </w:rPr>
        <w:t>e em até 45</w:t>
      </w:r>
      <w:r w:rsidR="00C3305E" w:rsidRPr="001F4BDE">
        <w:rPr>
          <w:rFonts w:ascii="Verdana" w:hAnsi="Verdana" w:cs="Tahoma"/>
          <w:sz w:val="20"/>
          <w:lang w:val="pt-BR"/>
        </w:rPr>
        <w:t xml:space="preserve"> (</w:t>
      </w:r>
      <w:r w:rsidR="00C3305E">
        <w:rPr>
          <w:rFonts w:ascii="Verdana" w:hAnsi="Verdana" w:cs="Tahoma"/>
          <w:sz w:val="20"/>
          <w:lang w:val="pt-BR"/>
        </w:rPr>
        <w:t>quarenta e cinco</w:t>
      </w:r>
      <w:r w:rsidR="00C3305E" w:rsidRPr="001F4BDE">
        <w:rPr>
          <w:rFonts w:ascii="Verdana" w:hAnsi="Verdana" w:cs="Tahoma"/>
          <w:sz w:val="20"/>
          <w:lang w:val="pt-BR"/>
        </w:rPr>
        <w:t xml:space="preserve">) dias da data do encerramento de cada </w:t>
      </w:r>
      <w:r w:rsidR="00C3305E">
        <w:rPr>
          <w:rFonts w:ascii="Verdana" w:hAnsi="Verdana" w:cs="Tahoma"/>
          <w:sz w:val="20"/>
          <w:lang w:val="pt-BR"/>
        </w:rPr>
        <w:t xml:space="preserve">semestre,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w:t>
      </w:r>
      <w:r w:rsidR="00370997">
        <w:rPr>
          <w:rFonts w:ascii="Verdana" w:hAnsi="Verdana"/>
          <w:sz w:val="20"/>
          <w:lang w:val="pt-BR"/>
        </w:rPr>
        <w:t>vi</w:t>
      </w:r>
      <w:proofErr w:type="spellEnd"/>
      <w:r w:rsidRPr="001F4BDE">
        <w:rPr>
          <w:rFonts w:ascii="Verdana" w:hAnsi="Verdana"/>
          <w:sz w:val="20"/>
          <w:lang w:val="pt-BR"/>
        </w:rPr>
        <w:t>”</w:t>
      </w:r>
      <w:r w:rsidRPr="001F4BDE">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lastRenderedPageBreak/>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541092C0"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comunicar, em até 10 (dez)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w:t>
      </w:r>
      <w:r w:rsidRPr="001F4BDE">
        <w:rPr>
          <w:rFonts w:ascii="Verdana" w:hAnsi="Verdana" w:cs="Tahoma"/>
          <w:sz w:val="20"/>
          <w:lang w:val="pt-BR"/>
        </w:rPr>
        <w:lastRenderedPageBreak/>
        <w:t>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8"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28"/>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9"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29"/>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1A0BC39C"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 xml:space="preserve">qualquer outra forma de cessão ou </w:t>
      </w:r>
      <w:r>
        <w:rPr>
          <w:rFonts w:ascii="Verdana" w:hAnsi="Verdana"/>
          <w:color w:val="000000"/>
          <w:sz w:val="20"/>
          <w:lang w:val="pt-BR"/>
        </w:rPr>
        <w:t xml:space="preserve">transferência ou </w:t>
      </w:r>
      <w:r w:rsidRPr="001F4BDE">
        <w:rPr>
          <w:rFonts w:ascii="Verdana" w:hAnsi="Verdana"/>
          <w:color w:val="000000"/>
          <w:sz w:val="20"/>
          <w:lang w:val="pt-BR"/>
        </w:rPr>
        <w:t>cessão a terceiros,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0"/>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2" w:name="_DV_C379"/>
      <w:bookmarkEnd w:id="31"/>
    </w:p>
    <w:bookmarkEnd w:id="32"/>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239C625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à saúde e </w:t>
      </w:r>
      <w:r w:rsidRPr="001F4BDE">
        <w:rPr>
          <w:rFonts w:ascii="Verdana" w:hAnsi="Verdana" w:cs="Tahoma"/>
          <w:sz w:val="20"/>
          <w:lang w:val="pt-BR"/>
        </w:rPr>
        <w:lastRenderedPageBreak/>
        <w:t>segurança ocupacional, não utilização de mão-de-obra infantil ou análoga à escravidão e ao meio ambiente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utilizar os recursos obtidos por meio da Emissão das Debêntures conforme </w:t>
      </w:r>
      <w:r w:rsidRPr="001F4BDE">
        <w:rPr>
          <w:rFonts w:ascii="Verdana" w:hAnsi="Verdana" w:cs="Tahoma"/>
          <w:sz w:val="20"/>
          <w:lang w:val="pt-BR"/>
        </w:rPr>
        <w:lastRenderedPageBreak/>
        <w:t>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77777777"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bem como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271EA088" w:rsidR="009B150C"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w:t>
      </w:r>
      <w:r w:rsidRPr="001F4BDE">
        <w:rPr>
          <w:rFonts w:ascii="Verdana" w:hAnsi="Verdana"/>
          <w:sz w:val="20"/>
          <w:lang w:val="pt-BR"/>
        </w:rPr>
        <w:t>as normas relativas a atos de corrupção em geral, incluindo, mas não se limitando às</w:t>
      </w:r>
      <w:r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w:t>
      </w:r>
      <w:proofErr w:type="spellStart"/>
      <w:r w:rsidR="0053761A" w:rsidRPr="001F4BDE">
        <w:rPr>
          <w:rFonts w:ascii="Verdana" w:hAnsi="Verdana" w:cs="Tahoma"/>
          <w:sz w:val="20"/>
          <w:lang w:val="pt-BR"/>
        </w:rPr>
        <w:t>Antilavagem</w:t>
      </w:r>
      <w:proofErr w:type="spellEnd"/>
      <w:r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Pr="001F4BDE">
        <w:rPr>
          <w:rFonts w:ascii="Verdana" w:hAnsi="Verdana" w:cs="Tahoma"/>
          <w:sz w:val="20"/>
          <w:lang w:val="pt-BR"/>
        </w:rPr>
        <w:t>manter políticas e procedimentos internos que asseguram integral cumprimento de tais normas;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dar pleno conhecimento de tais normas </w:t>
      </w:r>
      <w:r w:rsidRPr="001F4BDE">
        <w:rPr>
          <w:rFonts w:ascii="Verdana" w:hAnsi="Verdana" w:cs="Tahoma"/>
          <w:sz w:val="20"/>
          <w:lang w:val="pt-BR"/>
        </w:rPr>
        <w:lastRenderedPageBreak/>
        <w:t>a todos os profissionais que venham a se relacionar; (</w:t>
      </w:r>
      <w:proofErr w:type="spellStart"/>
      <w:r w:rsidRPr="001F4BDE">
        <w:rPr>
          <w:rFonts w:ascii="Verdana" w:hAnsi="Verdana" w:cs="Tahoma"/>
          <w:sz w:val="20"/>
          <w:lang w:val="pt-BR"/>
        </w:rPr>
        <w:t>iii</w:t>
      </w:r>
      <w:proofErr w:type="spellEnd"/>
      <w:r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4AC9FB53"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23186003"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w:t>
      </w:r>
      <w:r w:rsidRPr="001F4BDE">
        <w:rPr>
          <w:rFonts w:ascii="Verdana" w:hAnsi="Verdana"/>
          <w:color w:val="000000"/>
          <w:sz w:val="20"/>
          <w:lang w:val="pt-BR"/>
        </w:rPr>
        <w:lastRenderedPageBreak/>
        <w:t xml:space="preserve">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 xml:space="preserve">não alegar a ocorrência de caso fortuito e/ou força maior em decorrência da pandemia de Covid-19 para justificar o inadimplemento de suas obrigações decorrentes da presente </w:t>
      </w:r>
      <w:r w:rsidRPr="001F4BDE">
        <w:rPr>
          <w:rFonts w:ascii="Verdana" w:hAnsi="Verdana" w:cs="Tahoma"/>
          <w:sz w:val="20"/>
          <w:lang w:val="pt-BR"/>
        </w:rPr>
        <w:lastRenderedPageBreak/>
        <w:t>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bookmarkStart w:id="33" w:name="_GoBack"/>
      <w:bookmarkEnd w:id="33"/>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4" w:name="_DV_C423"/>
      <w:r w:rsidRPr="001F4BDE">
        <w:rPr>
          <w:rFonts w:ascii="Verdana" w:hAnsi="Verdana" w:cs="Tahoma"/>
          <w:sz w:val="20"/>
          <w:lang w:val="pt-BR"/>
        </w:rPr>
        <w:t>está devidamente qualificado a exercer as atividades de agente fiduciário, nos termos da regulamentação aplicável vigente;</w:t>
      </w:r>
      <w:bookmarkEnd w:id="34"/>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4"/>
      <w:r w:rsidRPr="001F4BDE">
        <w:rPr>
          <w:rFonts w:ascii="Verdana" w:hAnsi="Verdana" w:cs="Tahoma"/>
          <w:sz w:val="20"/>
          <w:lang w:val="pt-BR"/>
        </w:rPr>
        <w:t xml:space="preserve">que </w:t>
      </w:r>
      <w:bookmarkStart w:id="36" w:name="_DV_X465"/>
      <w:bookmarkStart w:id="37" w:name="_DV_C425"/>
      <w:bookmarkEnd w:id="35"/>
      <w:r w:rsidRPr="001F4BDE">
        <w:rPr>
          <w:rFonts w:ascii="Verdana" w:hAnsi="Verdana" w:cs="Tahoma"/>
          <w:sz w:val="20"/>
          <w:lang w:val="pt-BR"/>
        </w:rPr>
        <w:t>esta Escritura de Emissão constitui uma obrigação legal, válida</w:t>
      </w:r>
      <w:bookmarkStart w:id="38" w:name="_DV_C426"/>
      <w:bookmarkEnd w:id="36"/>
      <w:bookmarkEnd w:id="37"/>
      <w:r w:rsidRPr="001F4BDE">
        <w:rPr>
          <w:rFonts w:ascii="Verdana" w:hAnsi="Verdana" w:cs="Tahoma"/>
          <w:sz w:val="20"/>
          <w:lang w:val="pt-BR"/>
        </w:rPr>
        <w:t>, vinculativa e eficaz</w:t>
      </w:r>
      <w:bookmarkStart w:id="39" w:name="_DV_X467"/>
      <w:bookmarkStart w:id="40" w:name="_DV_C427"/>
      <w:bookmarkEnd w:id="38"/>
      <w:r w:rsidRPr="001F4BDE">
        <w:rPr>
          <w:rFonts w:ascii="Verdana" w:hAnsi="Verdana" w:cs="Tahoma"/>
          <w:sz w:val="20"/>
          <w:lang w:val="pt-BR"/>
        </w:rPr>
        <w:t xml:space="preserve"> do Agente Fiduciário, exequível de acordo com os seus termos e condições;</w:t>
      </w:r>
      <w:bookmarkEnd w:id="39"/>
      <w:bookmarkEnd w:id="40"/>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xml:space="preserve">,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w:t>
      </w:r>
      <w:r w:rsidRPr="000374C8">
        <w:rPr>
          <w:rFonts w:ascii="Verdana" w:hAnsi="Verdana" w:cs="Tahoma"/>
          <w:i/>
          <w:sz w:val="20"/>
          <w:lang w:val="pt-BR"/>
        </w:rPr>
        <w:lastRenderedPageBreak/>
        <w:t>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 xml:space="preserve">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4239FEA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parcelas anuais de R$ </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w:t>
      </w:r>
      <w:r w:rsidRPr="001F4BDE">
        <w:rPr>
          <w:rFonts w:ascii="Verdana" w:hAnsi="Verdana" w:cs="Tahoma"/>
          <w:sz w:val="20"/>
          <w:lang w:val="pt-BR"/>
        </w:rPr>
        <w:lastRenderedPageBreak/>
        <w:t xml:space="preserve">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9BBF1A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R$ 400,00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w:t>
      </w:r>
      <w:r w:rsidRPr="00801D32">
        <w:rPr>
          <w:rFonts w:ascii="Verdana" w:hAnsi="Verdana" w:cs="Tahoma"/>
          <w:sz w:val="20"/>
          <w:lang w:val="pt-BR"/>
        </w:rPr>
        <w:lastRenderedPageBreak/>
        <w:t xml:space="preserve">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 xml:space="preserve">Além de outros previstos em lei, em ato normativo da CVM ou nesta Escritura de </w:t>
      </w:r>
      <w:r w:rsidRPr="001F4BDE">
        <w:rPr>
          <w:rFonts w:ascii="Verdana" w:hAnsi="Verdana" w:cs="Tahoma"/>
          <w:sz w:val="20"/>
          <w:lang w:val="pt-BR"/>
        </w:rPr>
        <w:lastRenderedPageBreak/>
        <w:t>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convocar, quando necessário, a Assembleia Geral de Debenturistas, mediante </w:t>
      </w:r>
      <w:r w:rsidRPr="001F4BDE">
        <w:rPr>
          <w:rFonts w:ascii="Verdana" w:hAnsi="Verdana" w:cs="Tahoma"/>
          <w:sz w:val="20"/>
          <w:lang w:val="pt-BR"/>
        </w:rPr>
        <w:lastRenderedPageBreak/>
        <w:t>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w:t>
      </w:r>
      <w:r w:rsidRPr="001F4BDE">
        <w:rPr>
          <w:rFonts w:ascii="Verdana" w:hAnsi="Verdana" w:cs="Tahoma"/>
          <w:sz w:val="20"/>
          <w:lang w:val="pt-BR"/>
        </w:rPr>
        <w:lastRenderedPageBreak/>
        <w:t xml:space="preserve">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 xml:space="preserve">Na hipótese de não poder o Agente Fiduciário continuar a exercer as suas </w:t>
      </w:r>
      <w:r w:rsidRPr="001F4BDE">
        <w:rPr>
          <w:rFonts w:ascii="Verdana" w:hAnsi="Verdana" w:cs="Tahoma"/>
          <w:sz w:val="20"/>
          <w:lang w:val="pt-BR"/>
        </w:rPr>
        <w:lastRenderedPageBreak/>
        <w:t>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 xml:space="preserve">A Assembleia Geral de Debenturistas poderá ser convocada pelo Agente Fiduciário, pela </w:t>
      </w:r>
      <w:r w:rsidRPr="001F4BDE">
        <w:rPr>
          <w:rFonts w:ascii="Verdana" w:hAnsi="Verdana" w:cs="Tahoma"/>
          <w:sz w:val="20"/>
          <w:lang w:val="pt-BR"/>
        </w:rPr>
        <w:lastRenderedPageBreak/>
        <w:t>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26A1311D" w14:textId="0D76A86A" w:rsidR="009A7FB9" w:rsidRPr="00370997" w:rsidRDefault="00FC772C" w:rsidP="00456C13">
      <w:pPr>
        <w:spacing w:line="300" w:lineRule="exact"/>
        <w:rPr>
          <w:rFonts w:ascii="Verdana" w:hAnsi="Verdana" w:cs="Tahoma"/>
          <w:b/>
          <w:bCs/>
          <w:sz w:val="20"/>
          <w:lang w:val="pt-BR"/>
        </w:rPr>
      </w:pPr>
      <w:r w:rsidRPr="00370997">
        <w:rPr>
          <w:rFonts w:ascii="Verdana" w:hAnsi="Verdana" w:cs="Tahoma"/>
          <w:b/>
          <w:bCs/>
          <w:sz w:val="20"/>
          <w:highlight w:val="yellow"/>
          <w:lang w:val="pt-BR"/>
        </w:rPr>
        <w:t xml:space="preserve">[Nota </w:t>
      </w:r>
      <w:proofErr w:type="spellStart"/>
      <w:r w:rsidRPr="00370997">
        <w:rPr>
          <w:rFonts w:ascii="Verdana" w:hAnsi="Verdana" w:cs="Tahoma"/>
          <w:b/>
          <w:bCs/>
          <w:sz w:val="20"/>
          <w:highlight w:val="yellow"/>
          <w:lang w:val="pt-BR"/>
        </w:rPr>
        <w:t>Invepar</w:t>
      </w:r>
      <w:proofErr w:type="spellEnd"/>
      <w:r w:rsidRPr="00370997">
        <w:rPr>
          <w:rFonts w:ascii="Verdana" w:hAnsi="Verdana" w:cs="Tahoma"/>
          <w:b/>
          <w:bCs/>
          <w:sz w:val="20"/>
          <w:highlight w:val="yellow"/>
          <w:lang w:val="pt-BR"/>
        </w:rPr>
        <w:t xml:space="preserve">: </w:t>
      </w:r>
      <w:r>
        <w:rPr>
          <w:rFonts w:ascii="Verdana" w:hAnsi="Verdana" w:cs="Tahoma"/>
          <w:b/>
          <w:bCs/>
          <w:sz w:val="20"/>
          <w:highlight w:val="yellow"/>
          <w:lang w:val="pt-BR"/>
        </w:rPr>
        <w:t>Companhia</w:t>
      </w:r>
      <w:r w:rsidRPr="00370997">
        <w:rPr>
          <w:rFonts w:ascii="Verdana" w:hAnsi="Verdana" w:cs="Tahoma"/>
          <w:b/>
          <w:bCs/>
          <w:sz w:val="20"/>
          <w:highlight w:val="yellow"/>
          <w:lang w:val="pt-BR"/>
        </w:rPr>
        <w:t xml:space="preserve"> estaria de acordo com </w:t>
      </w:r>
      <w:r>
        <w:rPr>
          <w:rFonts w:ascii="Verdana" w:hAnsi="Verdana" w:cs="Tahoma"/>
          <w:b/>
          <w:bCs/>
          <w:sz w:val="20"/>
          <w:highlight w:val="yellow"/>
          <w:lang w:val="pt-BR"/>
        </w:rPr>
        <w:t>os</w:t>
      </w:r>
      <w:r w:rsidRPr="00370997">
        <w:rPr>
          <w:rFonts w:ascii="Verdana" w:hAnsi="Verdana" w:cs="Tahoma"/>
          <w:b/>
          <w:bCs/>
          <w:sz w:val="20"/>
          <w:highlight w:val="yellow"/>
          <w:lang w:val="pt-BR"/>
        </w:rPr>
        <w:t xml:space="preserve"> quóruns </w:t>
      </w:r>
      <w:r>
        <w:rPr>
          <w:rFonts w:ascii="Verdana" w:hAnsi="Verdana" w:cs="Tahoma"/>
          <w:b/>
          <w:bCs/>
          <w:sz w:val="20"/>
          <w:highlight w:val="yellow"/>
          <w:lang w:val="pt-BR"/>
        </w:rPr>
        <w:t xml:space="preserve">previstos abaixo </w:t>
      </w:r>
      <w:r w:rsidRPr="00370997">
        <w:rPr>
          <w:rFonts w:ascii="Verdana" w:hAnsi="Verdana" w:cs="Tahoma"/>
          <w:b/>
          <w:bCs/>
          <w:sz w:val="20"/>
          <w:highlight w:val="yellow"/>
          <w:lang w:val="pt-BR"/>
        </w:rPr>
        <w:t xml:space="preserve">considerando </w:t>
      </w:r>
      <w:r w:rsidR="00370997">
        <w:rPr>
          <w:rFonts w:ascii="Verdana" w:hAnsi="Verdana" w:cs="Tahoma"/>
          <w:b/>
          <w:bCs/>
          <w:sz w:val="20"/>
          <w:highlight w:val="yellow"/>
          <w:lang w:val="pt-BR"/>
        </w:rPr>
        <w:t xml:space="preserve">(i) </w:t>
      </w:r>
      <w:r w:rsidRPr="00370997">
        <w:rPr>
          <w:rFonts w:ascii="Verdana" w:hAnsi="Verdana" w:cs="Tahoma"/>
          <w:b/>
          <w:bCs/>
          <w:sz w:val="20"/>
          <w:highlight w:val="yellow"/>
          <w:lang w:val="pt-BR"/>
        </w:rPr>
        <w:t xml:space="preserve">que as </w:t>
      </w:r>
      <w:proofErr w:type="spellStart"/>
      <w:r w:rsidRPr="00370997">
        <w:rPr>
          <w:rFonts w:ascii="Verdana" w:hAnsi="Verdana" w:cs="Tahoma"/>
          <w:b/>
          <w:bCs/>
          <w:sz w:val="20"/>
          <w:highlight w:val="yellow"/>
          <w:lang w:val="pt-BR"/>
        </w:rPr>
        <w:t>AGDs</w:t>
      </w:r>
      <w:proofErr w:type="spellEnd"/>
      <w:r w:rsidRPr="00370997">
        <w:rPr>
          <w:rFonts w:ascii="Verdana" w:hAnsi="Verdana" w:cs="Tahoma"/>
          <w:b/>
          <w:bCs/>
          <w:sz w:val="20"/>
          <w:highlight w:val="yellow"/>
          <w:lang w:val="pt-BR"/>
        </w:rPr>
        <w:t xml:space="preserve"> precisam ser convocadas e votar a favor</w:t>
      </w:r>
      <w:r w:rsidR="00F56D47">
        <w:rPr>
          <w:rFonts w:ascii="Verdana" w:hAnsi="Verdana" w:cs="Tahoma"/>
          <w:b/>
          <w:bCs/>
          <w:sz w:val="20"/>
          <w:highlight w:val="yellow"/>
          <w:lang w:val="pt-BR"/>
        </w:rPr>
        <w:t xml:space="preserve"> d</w:t>
      </w:r>
      <w:r w:rsidRPr="00370997">
        <w:rPr>
          <w:rFonts w:ascii="Verdana" w:hAnsi="Verdana" w:cs="Tahoma"/>
          <w:b/>
          <w:bCs/>
          <w:sz w:val="20"/>
          <w:highlight w:val="yellow"/>
          <w:lang w:val="pt-BR"/>
        </w:rPr>
        <w:t>o V</w:t>
      </w:r>
      <w:r w:rsidR="00F56D47">
        <w:rPr>
          <w:rFonts w:ascii="Verdana" w:hAnsi="Verdana" w:cs="Tahoma"/>
          <w:b/>
          <w:bCs/>
          <w:sz w:val="20"/>
          <w:highlight w:val="yellow"/>
          <w:lang w:val="pt-BR"/>
        </w:rPr>
        <w:t xml:space="preserve">encimento </w:t>
      </w:r>
      <w:r w:rsidRPr="00370997">
        <w:rPr>
          <w:rFonts w:ascii="Verdana" w:hAnsi="Verdana" w:cs="Tahoma"/>
          <w:b/>
          <w:bCs/>
          <w:sz w:val="20"/>
          <w:highlight w:val="yellow"/>
          <w:lang w:val="pt-BR"/>
        </w:rPr>
        <w:t>A</w:t>
      </w:r>
      <w:r w:rsidR="00F56D47">
        <w:rPr>
          <w:rFonts w:ascii="Verdana" w:hAnsi="Verdana" w:cs="Tahoma"/>
          <w:b/>
          <w:bCs/>
          <w:sz w:val="20"/>
          <w:highlight w:val="yellow"/>
          <w:lang w:val="pt-BR"/>
        </w:rPr>
        <w:t xml:space="preserve">ntecipado </w:t>
      </w:r>
      <w:r w:rsidRPr="00370997">
        <w:rPr>
          <w:rFonts w:ascii="Verdana" w:hAnsi="Verdana" w:cs="Tahoma"/>
          <w:b/>
          <w:bCs/>
          <w:sz w:val="20"/>
          <w:highlight w:val="yellow"/>
          <w:lang w:val="pt-BR"/>
        </w:rPr>
        <w:t>(quórum invertido</w:t>
      </w:r>
      <w:r w:rsidR="00F56D47">
        <w:rPr>
          <w:rFonts w:ascii="Verdana" w:hAnsi="Verdana" w:cs="Tahoma"/>
          <w:b/>
          <w:bCs/>
          <w:sz w:val="20"/>
          <w:highlight w:val="yellow"/>
          <w:lang w:val="pt-BR"/>
        </w:rPr>
        <w:t>, conforme proposto nas cláusulas 4.14.3.1, 4.14.3.2 e 4.14.4</w:t>
      </w:r>
      <w:r w:rsidR="00370997">
        <w:rPr>
          <w:rFonts w:ascii="Verdana" w:hAnsi="Verdana" w:cs="Tahoma"/>
          <w:b/>
          <w:bCs/>
          <w:sz w:val="20"/>
          <w:highlight w:val="yellow"/>
          <w:lang w:val="pt-BR"/>
        </w:rPr>
        <w:t xml:space="preserve"> acima</w:t>
      </w:r>
      <w:r w:rsidRPr="00370997">
        <w:rPr>
          <w:rFonts w:ascii="Verdana" w:hAnsi="Verdana" w:cs="Tahoma"/>
          <w:b/>
          <w:bCs/>
          <w:sz w:val="20"/>
          <w:highlight w:val="yellow"/>
          <w:lang w:val="pt-BR"/>
        </w:rPr>
        <w:t xml:space="preserve">) e </w:t>
      </w:r>
      <w:r w:rsidR="00370997">
        <w:rPr>
          <w:rFonts w:ascii="Verdana" w:hAnsi="Verdana" w:cs="Tahoma"/>
          <w:b/>
          <w:bCs/>
          <w:sz w:val="20"/>
          <w:highlight w:val="yellow"/>
          <w:lang w:val="pt-BR"/>
        </w:rPr>
        <w:t>(</w:t>
      </w:r>
      <w:proofErr w:type="spellStart"/>
      <w:r w:rsidR="00370997">
        <w:rPr>
          <w:rFonts w:ascii="Verdana" w:hAnsi="Verdana" w:cs="Tahoma"/>
          <w:b/>
          <w:bCs/>
          <w:sz w:val="20"/>
          <w:highlight w:val="yellow"/>
          <w:lang w:val="pt-BR"/>
        </w:rPr>
        <w:t>ii</w:t>
      </w:r>
      <w:proofErr w:type="spellEnd"/>
      <w:r w:rsidR="00370997">
        <w:rPr>
          <w:rFonts w:ascii="Verdana" w:hAnsi="Verdana" w:cs="Tahoma"/>
          <w:b/>
          <w:bCs/>
          <w:sz w:val="20"/>
          <w:highlight w:val="yellow"/>
          <w:lang w:val="pt-BR"/>
        </w:rPr>
        <w:t xml:space="preserve">) </w:t>
      </w:r>
      <w:r w:rsidRPr="00370997">
        <w:rPr>
          <w:rFonts w:ascii="Verdana" w:hAnsi="Verdana" w:cs="Tahoma"/>
          <w:b/>
          <w:bCs/>
          <w:sz w:val="20"/>
          <w:highlight w:val="yellow"/>
          <w:lang w:val="pt-BR"/>
        </w:rPr>
        <w:t>a</w:t>
      </w:r>
      <w:r w:rsidR="00370997">
        <w:rPr>
          <w:rFonts w:ascii="Verdana" w:hAnsi="Verdana" w:cs="Tahoma"/>
          <w:b/>
          <w:bCs/>
          <w:sz w:val="20"/>
          <w:highlight w:val="yellow"/>
          <w:lang w:val="pt-BR"/>
        </w:rPr>
        <w:t>s</w:t>
      </w:r>
      <w:r w:rsidRPr="00370997">
        <w:rPr>
          <w:rFonts w:ascii="Verdana" w:hAnsi="Verdana" w:cs="Tahoma"/>
          <w:b/>
          <w:bCs/>
          <w:sz w:val="20"/>
          <w:highlight w:val="yellow"/>
          <w:lang w:val="pt-BR"/>
        </w:rPr>
        <w:t xml:space="preserve"> alteraç</w:t>
      </w:r>
      <w:r w:rsidR="00370997">
        <w:rPr>
          <w:rFonts w:ascii="Verdana" w:hAnsi="Verdana" w:cs="Tahoma"/>
          <w:b/>
          <w:bCs/>
          <w:sz w:val="20"/>
          <w:highlight w:val="yellow"/>
          <w:lang w:val="pt-BR"/>
        </w:rPr>
        <w:t>ões</w:t>
      </w:r>
      <w:r w:rsidRPr="00370997">
        <w:rPr>
          <w:rFonts w:ascii="Verdana" w:hAnsi="Verdana" w:cs="Tahoma"/>
          <w:b/>
          <w:bCs/>
          <w:sz w:val="20"/>
          <w:highlight w:val="yellow"/>
          <w:lang w:val="pt-BR"/>
        </w:rPr>
        <w:t xml:space="preserve"> solicitas de vencimento antecipado automático]</w:t>
      </w:r>
    </w:p>
    <w:p w14:paraId="10E5E24E" w14:textId="51F46CA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w:t>
      </w:r>
      <w:r w:rsidR="00965621">
        <w:rPr>
          <w:rFonts w:ascii="Verdana" w:hAnsi="Verdana" w:cs="Tahoma"/>
          <w:sz w:val="20"/>
          <w:lang w:val="pt-BR"/>
        </w:rPr>
        <w:lastRenderedPageBreak/>
        <w:t>mínimo</w:t>
      </w:r>
      <w:r w:rsidR="004D0146">
        <w:rPr>
          <w:rFonts w:ascii="Verdana" w:hAnsi="Verdana" w:cs="Tahoma"/>
          <w:sz w:val="20"/>
          <w:lang w:val="pt-BR"/>
        </w:rPr>
        <w:t>,</w:t>
      </w:r>
      <w:r w:rsidR="00965621">
        <w:rPr>
          <w:rFonts w:ascii="Verdana" w:hAnsi="Verdana" w:cs="Tahoma"/>
          <w:sz w:val="20"/>
          <w:lang w:val="pt-BR"/>
        </w:rPr>
        <w:t xml:space="preserve"> </w:t>
      </w:r>
      <w:r w:rsidR="00605331">
        <w:rPr>
          <w:rFonts w:ascii="Verdana" w:hAnsi="Verdana" w:cs="Tahoma"/>
          <w:sz w:val="20"/>
          <w:lang w:val="pt-BR"/>
        </w:rPr>
        <w:t>2</w:t>
      </w:r>
      <w:r w:rsidR="00965621">
        <w:rPr>
          <w:rFonts w:ascii="Verdana" w:hAnsi="Verdana" w:cs="Tahoma"/>
          <w:sz w:val="20"/>
          <w:lang w:val="pt-BR"/>
        </w:rPr>
        <w:t>0% (</w:t>
      </w:r>
      <w:r w:rsidR="00605331">
        <w:rPr>
          <w:rFonts w:ascii="Verdana" w:hAnsi="Verdana" w:cs="Tahoma"/>
          <w:sz w:val="20"/>
          <w:lang w:val="pt-BR"/>
        </w:rPr>
        <w:t xml:space="preserve">vinte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1DDBA5AF"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Qualquer alteração (i) no prazo de vigência das Debêntures; (</w:t>
      </w:r>
      <w:proofErr w:type="spellStart"/>
      <w:r w:rsidRPr="001F4BDE">
        <w:rPr>
          <w:rFonts w:ascii="Verdana" w:hAnsi="Verdana" w:cs="Tahoma"/>
          <w:sz w:val="20"/>
          <w:lang w:val="pt-BR"/>
        </w:rPr>
        <w:t>ii</w:t>
      </w:r>
      <w:proofErr w:type="spellEnd"/>
      <w:r w:rsidRPr="001F4BDE">
        <w:rPr>
          <w:rFonts w:ascii="Verdana" w:hAnsi="Verdana" w:cs="Tahoma"/>
          <w:sz w:val="20"/>
          <w:lang w:val="pt-BR"/>
        </w:rPr>
        <w:t>) na Data de Vencimento;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w:t>
      </w:r>
      <w:r w:rsidR="00FC772C">
        <w:rPr>
          <w:rFonts w:ascii="Verdana" w:hAnsi="Verdana" w:cs="Tahoma"/>
          <w:sz w:val="20"/>
          <w:lang w:val="pt-BR"/>
        </w:rPr>
        <w:t>que reduza a</w:t>
      </w:r>
      <w:r w:rsidRPr="001F4BDE">
        <w:rPr>
          <w:rFonts w:ascii="Verdana" w:hAnsi="Verdana" w:cs="Tahoma"/>
          <w:sz w:val="20"/>
          <w:lang w:val="pt-BR"/>
        </w:rPr>
        <w:t xml:space="preserve"> Remuneração; </w:t>
      </w:r>
      <w:r w:rsidR="000374C8">
        <w:rPr>
          <w:rFonts w:ascii="Verdana" w:hAnsi="Verdana" w:cs="Tahoma"/>
          <w:sz w:val="20"/>
          <w:lang w:val="pt-BR"/>
        </w:rPr>
        <w:t>(</w:t>
      </w:r>
      <w:proofErr w:type="spellStart"/>
      <w:r w:rsidR="000374C8">
        <w:rPr>
          <w:rFonts w:ascii="Verdana" w:hAnsi="Verdana" w:cs="Tahoma"/>
          <w:sz w:val="20"/>
          <w:lang w:val="pt-BR"/>
        </w:rPr>
        <w:t>iv</w:t>
      </w:r>
      <w:proofErr w:type="spellEnd"/>
      <w:r w:rsidR="000374C8">
        <w:rPr>
          <w:rFonts w:ascii="Verdana" w:hAnsi="Verdana" w:cs="Tahoma"/>
          <w:sz w:val="20"/>
          <w:lang w:val="pt-BR"/>
        </w:rPr>
        <w:t xml:space="preserve">) no cronograma de </w:t>
      </w:r>
      <w:r w:rsidR="00DF1E09">
        <w:rPr>
          <w:rFonts w:ascii="Verdana" w:hAnsi="Verdana" w:cs="Tahoma"/>
          <w:sz w:val="20"/>
          <w:lang w:val="pt-BR"/>
        </w:rPr>
        <w:t>amortização de principal e juros</w:t>
      </w:r>
      <w:r w:rsidR="000374C8">
        <w:rPr>
          <w:rFonts w:ascii="Verdana" w:hAnsi="Verdana" w:cs="Tahoma"/>
          <w:sz w:val="20"/>
          <w:lang w:val="pt-BR"/>
        </w:rPr>
        <w:t xml:space="preserve">; (v) na </w:t>
      </w:r>
      <w:r w:rsidR="00FC772C">
        <w:rPr>
          <w:rFonts w:ascii="Verdana" w:hAnsi="Verdana" w:cs="Tahoma"/>
          <w:sz w:val="20"/>
          <w:lang w:val="pt-BR"/>
        </w:rPr>
        <w:t xml:space="preserve">redução da </w:t>
      </w:r>
      <w:r w:rsidR="000374C8">
        <w:rPr>
          <w:rFonts w:ascii="Verdana" w:hAnsi="Verdana" w:cs="Tahoma"/>
          <w:sz w:val="20"/>
          <w:lang w:val="pt-BR"/>
        </w:rPr>
        <w:t xml:space="preserve">Garantia Real; </w:t>
      </w:r>
      <w:r w:rsidRPr="001F4BDE">
        <w:rPr>
          <w:rFonts w:ascii="Verdana" w:hAnsi="Verdana" w:cs="Tahoma"/>
          <w:sz w:val="20"/>
          <w:lang w:val="pt-BR"/>
        </w:rPr>
        <w:t>(v</w:t>
      </w:r>
      <w:r w:rsidR="000374C8">
        <w:rPr>
          <w:rFonts w:ascii="Verdana" w:hAnsi="Verdana" w:cs="Tahoma"/>
          <w:sz w:val="20"/>
          <w:lang w:val="pt-BR"/>
        </w:rPr>
        <w:t>i</w:t>
      </w:r>
      <w:r w:rsidRPr="001F4BDE">
        <w:rPr>
          <w:rFonts w:ascii="Verdana" w:hAnsi="Verdana" w:cs="Tahoma"/>
          <w:sz w:val="20"/>
          <w:lang w:val="pt-BR"/>
        </w:rPr>
        <w:t xml:space="preserve">) no quórum de deliberação das </w:t>
      </w:r>
      <w:r w:rsidRPr="00BE3DF0">
        <w:rPr>
          <w:rFonts w:ascii="Verdana" w:hAnsi="Verdana" w:cs="Tahoma"/>
          <w:sz w:val="20"/>
          <w:lang w:val="pt-BR"/>
        </w:rPr>
        <w:t>Assembleias Gerais de Debenturistas</w:t>
      </w:r>
      <w:r w:rsidR="00BE3DF0" w:rsidRPr="00BE3DF0">
        <w:rPr>
          <w:rFonts w:ascii="Verdana" w:hAnsi="Verdana" w:cs="Tahoma"/>
          <w:sz w:val="20"/>
          <w:lang w:val="pt-BR"/>
        </w:rPr>
        <w:t xml:space="preserve">; </w:t>
      </w:r>
      <w:r w:rsidR="00FC772C">
        <w:rPr>
          <w:rFonts w:ascii="Verdana" w:hAnsi="Verdana" w:cs="Tahoma"/>
          <w:sz w:val="20"/>
          <w:lang w:val="pt-BR"/>
        </w:rPr>
        <w:t xml:space="preserve">ou </w:t>
      </w:r>
      <w:r w:rsidR="00BE3DF0" w:rsidRPr="00BE3DF0">
        <w:rPr>
          <w:rFonts w:ascii="Verdana" w:hAnsi="Verdana" w:cs="Tahoma"/>
          <w:sz w:val="20"/>
          <w:lang w:val="pt-BR"/>
        </w:rPr>
        <w:t>(</w:t>
      </w:r>
      <w:proofErr w:type="spellStart"/>
      <w:r w:rsidR="00BE3DF0" w:rsidRPr="00BE3DF0">
        <w:rPr>
          <w:rFonts w:ascii="Verdana" w:hAnsi="Verdana" w:cs="Tahoma"/>
          <w:sz w:val="20"/>
          <w:lang w:val="pt-BR"/>
        </w:rPr>
        <w:t>vii</w:t>
      </w:r>
      <w:proofErr w:type="spellEnd"/>
      <w:r w:rsidR="00BE3DF0" w:rsidRPr="00BE3DF0">
        <w:rPr>
          <w:rFonts w:ascii="Verdana" w:hAnsi="Verdana" w:cs="Tahoma"/>
          <w:sz w:val="20"/>
          <w:lang w:val="pt-BR"/>
        </w:rPr>
        <w:t xml:space="preserve">) nas </w:t>
      </w:r>
      <w:r w:rsidR="001A55FF">
        <w:rPr>
          <w:rFonts w:ascii="Verdana" w:hAnsi="Verdana" w:cs="Tahoma"/>
          <w:sz w:val="20"/>
          <w:lang w:val="pt-BR"/>
        </w:rPr>
        <w:t>H</w:t>
      </w:r>
      <w:r w:rsidR="00BE3DF0" w:rsidRPr="00BE3DF0">
        <w:rPr>
          <w:rFonts w:ascii="Verdana" w:hAnsi="Verdana" w:cs="Tahoma"/>
          <w:sz w:val="20"/>
          <w:lang w:val="pt-BR"/>
        </w:rPr>
        <w:t>ipóteses de Vencimento Antecipado</w:t>
      </w:r>
      <w:r w:rsidR="004D0146">
        <w:rPr>
          <w:rFonts w:ascii="Verdana" w:hAnsi="Verdana" w:cs="Tahoma"/>
          <w:sz w:val="20"/>
          <w:lang w:val="pt-BR"/>
        </w:rPr>
        <w:t xml:space="preserve"> </w:t>
      </w:r>
      <w:r w:rsidR="00FC36E3">
        <w:rPr>
          <w:rFonts w:ascii="Verdana" w:hAnsi="Verdana" w:cs="Tahoma"/>
          <w:sz w:val="20"/>
          <w:lang w:val="pt-BR"/>
        </w:rPr>
        <w:t xml:space="preserve">previstas nas Cláusulas 4.14.1 e 4.14.2 acima </w:t>
      </w:r>
      <w:r w:rsidR="004D0146" w:rsidRPr="004D0146">
        <w:rPr>
          <w:rFonts w:ascii="Verdana" w:hAnsi="Verdana" w:cs="Tahoma"/>
          <w:sz w:val="20"/>
          <w:lang w:val="pt-BR"/>
        </w:rPr>
        <w:t>(para a exclusão e/ou alteração de suas respectivas redações)</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convocação</w:t>
      </w:r>
      <w:r w:rsidR="00EA12E7" w:rsidRPr="00E20F7C">
        <w:rPr>
          <w:rFonts w:ascii="Verdana" w:hAnsi="Verdana" w:cs="Tahoma"/>
          <w:sz w:val="20"/>
          <w:lang w:val="pt-BR"/>
        </w:rPr>
        <w:t xml:space="preserve"> </w:t>
      </w:r>
      <w:r w:rsidR="00FC36E3">
        <w:rPr>
          <w:rFonts w:ascii="Verdana" w:hAnsi="Verdana" w:cs="Tahoma"/>
          <w:sz w:val="20"/>
          <w:lang w:val="pt-BR"/>
        </w:rPr>
        <w:t xml:space="preserve">ou </w:t>
      </w:r>
      <w:r w:rsidR="00605331" w:rsidRPr="00965621">
        <w:rPr>
          <w:rFonts w:ascii="Verdana" w:hAnsi="Verdana" w:cs="Tahoma"/>
          <w:sz w:val="20"/>
          <w:lang w:val="pt-BR"/>
        </w:rPr>
        <w:t>50% (cinquenta por cento) mais um</w:t>
      </w:r>
      <w:r w:rsidR="00605331">
        <w:rPr>
          <w:rFonts w:ascii="Verdana" w:hAnsi="Verdana" w:cs="Tahoma"/>
          <w:sz w:val="20"/>
          <w:lang w:val="pt-BR"/>
        </w:rPr>
        <w:t>a</w:t>
      </w:r>
      <w:r w:rsidR="00605331" w:rsidRPr="00965621">
        <w:rPr>
          <w:rFonts w:ascii="Verdana" w:hAnsi="Verdana" w:cs="Tahoma"/>
          <w:sz w:val="20"/>
          <w:lang w:val="pt-BR"/>
        </w:rPr>
        <w:t xml:space="preserve"> das Debêntures </w:t>
      </w:r>
      <w:r w:rsidR="00FC772C" w:rsidRPr="001F4BDE">
        <w:rPr>
          <w:rFonts w:ascii="Verdana" w:hAnsi="Verdana" w:cs="Tahoma"/>
          <w:sz w:val="20"/>
          <w:lang w:val="pt-BR"/>
        </w:rPr>
        <w:t>presentes em segunda convocação</w:t>
      </w:r>
      <w:r w:rsidR="00FC772C">
        <w:rPr>
          <w:rFonts w:ascii="Verdana" w:hAnsi="Verdana" w:cs="Tahoma"/>
          <w:sz w:val="20"/>
          <w:lang w:val="pt-BR"/>
        </w:rPr>
        <w:t>, desde que os Debenturistas presentes representem, no mínimo, 35% (trinta e cinco por cento) das Debêntures em Circulação</w:t>
      </w:r>
      <w:r w:rsidR="00AC4C44">
        <w:rPr>
          <w:rFonts w:ascii="Verdana" w:hAnsi="Verdana" w:cs="Tahoma"/>
          <w:sz w:val="20"/>
          <w:lang w:val="pt-BR"/>
        </w:rPr>
        <w:t xml:space="preserve"> </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792156CA"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no mínimo</w:t>
      </w:r>
      <w:r w:rsidR="00FC36E3">
        <w:rPr>
          <w:rFonts w:ascii="Verdana" w:hAnsi="Verdana" w:cs="Tahoma"/>
          <w:sz w:val="20"/>
          <w:lang w:val="pt-BR"/>
        </w:rPr>
        <w:t>,</w:t>
      </w:r>
      <w:r w:rsidR="00BE3DF0">
        <w:rPr>
          <w:rFonts w:ascii="Verdana" w:hAnsi="Verdana" w:cs="Tahoma"/>
          <w:sz w:val="20"/>
          <w:lang w:val="pt-BR"/>
        </w:rPr>
        <w:t xml:space="preserve"> </w:t>
      </w:r>
      <w:r w:rsidR="00605331">
        <w:rPr>
          <w:rFonts w:ascii="Verdana" w:hAnsi="Verdana" w:cs="Tahoma"/>
          <w:sz w:val="20"/>
          <w:lang w:val="pt-BR"/>
        </w:rPr>
        <w:t>2</w:t>
      </w:r>
      <w:r w:rsidR="00BE3DF0">
        <w:rPr>
          <w:rFonts w:ascii="Verdana" w:hAnsi="Verdana" w:cs="Tahoma"/>
          <w:sz w:val="20"/>
          <w:lang w:val="pt-BR"/>
        </w:rPr>
        <w:t>0% (</w:t>
      </w:r>
      <w:r w:rsidR="00605331">
        <w:rPr>
          <w:rFonts w:ascii="Verdana" w:hAnsi="Verdana" w:cs="Tahoma"/>
          <w:sz w:val="20"/>
          <w:lang w:val="pt-BR"/>
        </w:rPr>
        <w:t xml:space="preserve">vinte </w:t>
      </w:r>
      <w:r w:rsidR="00BE3DF0">
        <w:rPr>
          <w:rFonts w:ascii="Verdana" w:hAnsi="Verdana" w:cs="Tahoma"/>
          <w:sz w:val="20"/>
          <w:lang w:val="pt-BR"/>
        </w:rPr>
        <w:t>por cento)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0F0B887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 controladoras</w:t>
      </w:r>
      <w:r w:rsidR="00664E16">
        <w:rPr>
          <w:rFonts w:ascii="Verdana" w:hAnsi="Verdana" w:cs="Tahoma"/>
          <w:sz w:val="20"/>
          <w:lang w:val="pt-BR"/>
        </w:rPr>
        <w:t xml:space="preserve"> diretas</w:t>
      </w:r>
      <w:r w:rsidRPr="001F4BDE">
        <w:rPr>
          <w:rFonts w:ascii="Verdana" w:hAnsi="Verdana" w:cs="Tahoma"/>
          <w:sz w:val="20"/>
          <w:lang w:val="pt-BR"/>
        </w:rPr>
        <w:t xml:space="preserve"> (ou grupo de controle)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 xml:space="preserve">O Agente Fiduciário deverá comparecer às Assembleias Gerais de Debenturistas para </w:t>
      </w:r>
      <w:r w:rsidRPr="001F4BDE">
        <w:rPr>
          <w:rFonts w:ascii="Verdana" w:hAnsi="Verdana" w:cs="Tahoma"/>
          <w:sz w:val="20"/>
          <w:lang w:val="pt-BR"/>
        </w:rPr>
        <w:lastRenderedPageBreak/>
        <w:t>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 xml:space="preserve">com exceção das hipóteses em que sua execução poderá estar limitada por leis relativas à falência, insolvência, recuperação, liquidação ou leis similares afetando a execução de </w:t>
      </w:r>
      <w:r w:rsidRPr="001F4BDE">
        <w:rPr>
          <w:rFonts w:ascii="Verdana" w:hAnsi="Verdana" w:cs="Tahoma"/>
          <w:sz w:val="20"/>
          <w:lang w:val="pt-BR"/>
        </w:rPr>
        <w:lastRenderedPageBreak/>
        <w:t>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40CF7E8A"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celebração, os termos e condições desta Escritura de Emissão e o cumprimento das obrigações da Garantia Real,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w:t>
      </w:r>
      <w:proofErr w:type="spellStart"/>
      <w:r w:rsidR="00D657D3" w:rsidRPr="00D657D3">
        <w:rPr>
          <w:rFonts w:ascii="Verdana" w:hAnsi="Verdana" w:cs="Tahoma"/>
          <w:b/>
          <w:bCs/>
          <w:sz w:val="20"/>
          <w:highlight w:val="yellow"/>
          <w:lang w:val="pt-BR"/>
        </w:rPr>
        <w:t>Cescon</w:t>
      </w:r>
      <w:proofErr w:type="spellEnd"/>
      <w:r w:rsidR="00D657D3" w:rsidRPr="00D657D3">
        <w:rPr>
          <w:rFonts w:ascii="Verdana" w:hAnsi="Verdana" w:cs="Tahoma"/>
          <w:b/>
          <w:bCs/>
          <w:sz w:val="20"/>
          <w:highlight w:val="yellow"/>
          <w:lang w:val="pt-BR"/>
        </w:rPr>
        <w:t xml:space="preserve"> </w:t>
      </w:r>
      <w:proofErr w:type="spellStart"/>
      <w:r w:rsidR="00D657D3" w:rsidRPr="00D657D3">
        <w:rPr>
          <w:rFonts w:ascii="Verdana" w:hAnsi="Verdana" w:cs="Tahoma"/>
          <w:b/>
          <w:bCs/>
          <w:sz w:val="20"/>
          <w:highlight w:val="yellow"/>
          <w:lang w:val="pt-BR"/>
        </w:rPr>
        <w:t>Barrieu</w:t>
      </w:r>
      <w:proofErr w:type="spellEnd"/>
      <w:r w:rsidR="00D657D3" w:rsidRPr="00D657D3">
        <w:rPr>
          <w:rFonts w:ascii="Verdana" w:hAnsi="Verdana" w:cs="Tahoma"/>
          <w:b/>
          <w:bCs/>
          <w:sz w:val="20"/>
          <w:highlight w:val="yellow"/>
          <w:lang w:val="pt-BR"/>
        </w:rPr>
        <w:t xml:space="preserve">: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3F767325"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que tenha sido citado,</w:t>
      </w:r>
      <w:r w:rsidRPr="001F4BDE">
        <w:rPr>
          <w:rFonts w:ascii="Verdana" w:hAnsi="Verdana" w:cs="Tahoma"/>
          <w:sz w:val="20"/>
          <w:lang w:val="pt-BR"/>
        </w:rPr>
        <w:t xml:space="preserve">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lastRenderedPageBreak/>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r w:rsidR="00FD57CD" w:rsidRPr="001F4BDE">
        <w:rPr>
          <w:rFonts w:ascii="Verdana" w:hAnsi="Verdana" w:cs="Tahoma"/>
          <w:sz w:val="20"/>
          <w:lang w:val="pt-BR"/>
        </w:rPr>
        <w:t xml:space="preserve"> </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67D5C0DD"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omitiu nenhum fato, de qualquer natureza</w:t>
      </w:r>
      <w:r w:rsidR="00117834">
        <w:rPr>
          <w:rFonts w:ascii="Verdana" w:hAnsi="Verdana" w:cs="Tahoma"/>
          <w:sz w:val="20"/>
          <w:lang w:val="pt-BR"/>
        </w:rPr>
        <w:t>,</w:t>
      </w:r>
      <w:r w:rsidRPr="001F4BDE">
        <w:rPr>
          <w:rFonts w:ascii="Verdana" w:hAnsi="Verdana" w:cs="Tahoma"/>
          <w:sz w:val="20"/>
          <w:lang w:val="pt-BR"/>
        </w:rPr>
        <w:t xml:space="preserve"> que </w:t>
      </w:r>
      <w:r w:rsidR="00F56D47">
        <w:rPr>
          <w:rFonts w:ascii="Verdana" w:hAnsi="Verdana" w:cs="Tahoma"/>
          <w:sz w:val="20"/>
          <w:lang w:val="pt-BR"/>
        </w:rPr>
        <w:t xml:space="preserve">tenha sido citada e que </w:t>
      </w:r>
      <w:r w:rsidR="00117834">
        <w:rPr>
          <w:rFonts w:ascii="Verdana" w:hAnsi="Verdana" w:cs="Tahoma"/>
          <w:sz w:val="20"/>
          <w:lang w:val="pt-BR"/>
        </w:rPr>
        <w:t xml:space="preserve">(i) </w:t>
      </w:r>
      <w:r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1" w:name="_DV_C340"/>
      <w:r w:rsidRPr="001F4BDE">
        <w:rPr>
          <w:rFonts w:ascii="Verdana" w:hAnsi="Verdana" w:cs="Tahoma"/>
          <w:sz w:val="20"/>
          <w:lang w:val="pt-BR"/>
        </w:rPr>
        <w:t xml:space="preserve"> da comunicação à CVM</w:t>
      </w:r>
      <w:bookmarkEnd w:id="41"/>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159274C6" w:rsidR="00114DEA"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w:t>
      </w:r>
      <w:r w:rsidR="00F56D47">
        <w:rPr>
          <w:rFonts w:ascii="Verdana" w:hAnsi="Verdana" w:cs="Tahoma"/>
          <w:sz w:val="20"/>
          <w:lang w:val="pt-BR"/>
        </w:rPr>
        <w:t xml:space="preserve">que tenha sido citado, </w:t>
      </w:r>
      <w:r w:rsidRPr="001F4BDE">
        <w:rPr>
          <w:rFonts w:ascii="Verdana" w:hAnsi="Verdana" w:cs="Tahoma"/>
          <w:sz w:val="20"/>
          <w:lang w:val="pt-BR"/>
        </w:rPr>
        <w:t>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referentes à prática de corrupção, suborno, lavagem de dinheiro ou atos lesivos à administração pública, conforme as Normas Anticorrupção e </w:t>
      </w:r>
      <w:proofErr w:type="spellStart"/>
      <w:r w:rsidR="0053761A" w:rsidRPr="001F4BDE">
        <w:rPr>
          <w:rFonts w:ascii="Verdana" w:hAnsi="Verdana" w:cs="Tahoma"/>
          <w:sz w:val="20"/>
          <w:lang w:val="pt-BR"/>
        </w:rPr>
        <w:t>Antilavagem</w:t>
      </w:r>
      <w:proofErr w:type="spellEnd"/>
      <w:r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w:t>
      </w:r>
      <w:r w:rsidRPr="001F4BDE">
        <w:rPr>
          <w:rFonts w:ascii="Verdana" w:hAnsi="Verdana" w:cs="Tahoma"/>
          <w:sz w:val="20"/>
          <w:lang w:val="pt-BR"/>
        </w:rPr>
        <w:lastRenderedPageBreak/>
        <w:t>cumprimento d</w:t>
      </w:r>
      <w:r>
        <w:rPr>
          <w:rFonts w:ascii="Verdana" w:hAnsi="Verdana" w:cs="Tahoma"/>
          <w:sz w:val="20"/>
          <w:lang w:val="pt-BR"/>
        </w:rPr>
        <w:t xml:space="preserve">as </w:t>
      </w:r>
      <w:r w:rsidRPr="001F4BDE">
        <w:rPr>
          <w:rFonts w:ascii="Verdana" w:hAnsi="Verdana" w:cs="Tahoma"/>
          <w:sz w:val="20"/>
          <w:lang w:val="pt-BR"/>
        </w:rPr>
        <w:t xml:space="preserve">Normas Anticorrupção e </w:t>
      </w:r>
      <w:proofErr w:type="spellStart"/>
      <w:r w:rsidRPr="001F4BDE">
        <w:rPr>
          <w:rFonts w:ascii="Verdana" w:hAnsi="Verdana" w:cs="Tahoma"/>
          <w:sz w:val="20"/>
          <w:lang w:val="pt-BR"/>
        </w:rPr>
        <w:t>Antilavagem</w:t>
      </w:r>
      <w:proofErr w:type="spellEnd"/>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os documentos e informações fornecidos ao Agente Fiduciário são corretos e estão atualizados até a data em que foram fornecidos e incluem os documentos </w:t>
      </w:r>
      <w:r w:rsidRPr="001F4BDE">
        <w:rPr>
          <w:rFonts w:ascii="Verdana" w:hAnsi="Verdana" w:cs="Tahoma"/>
          <w:sz w:val="20"/>
          <w:lang w:val="pt-BR"/>
        </w:rPr>
        <w:lastRenderedPageBreak/>
        <w:t>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121C23A"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tem plena ciência e concorda integralmente com a forma de divulgação e apuração do Índice Financeiro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253D7FA8" w:rsidR="00301413" w:rsidRPr="005B0AFB"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Emissora </w:t>
      </w:r>
      <w:r w:rsidR="00F56D47">
        <w:rPr>
          <w:rFonts w:ascii="Verdana" w:hAnsi="Verdana"/>
          <w:color w:val="000000"/>
          <w:sz w:val="20"/>
          <w:lang w:val="pt-BR"/>
        </w:rPr>
        <w:t xml:space="preserve">não </w:t>
      </w:r>
      <w:r w:rsidRPr="005B0AFB">
        <w:rPr>
          <w:rFonts w:ascii="Verdana" w:hAnsi="Verdana"/>
          <w:color w:val="000000"/>
          <w:sz w:val="20"/>
          <w:lang w:val="pt-BR"/>
        </w:rPr>
        <w:t>incorre</w:t>
      </w:r>
      <w:r w:rsidR="00F56D47">
        <w:rPr>
          <w:rFonts w:ascii="Verdana" w:hAnsi="Verdana"/>
          <w:color w:val="000000"/>
          <w:sz w:val="20"/>
          <w:lang w:val="pt-BR"/>
        </w:rPr>
        <w:t>u</w:t>
      </w:r>
      <w:r w:rsidRPr="005B0AFB">
        <w:rPr>
          <w:rFonts w:ascii="Verdana" w:hAnsi="Verdana"/>
          <w:color w:val="000000"/>
          <w:sz w:val="20"/>
          <w:lang w:val="pt-BR"/>
        </w:rPr>
        <w:t xml:space="preserve"> nas seguintes hipóteses, bem como te</w:t>
      </w:r>
      <w:r w:rsidR="005D39C3">
        <w:rPr>
          <w:rFonts w:ascii="Verdana" w:hAnsi="Verdana"/>
          <w:color w:val="000000"/>
          <w:sz w:val="20"/>
          <w:lang w:val="pt-BR"/>
        </w:rPr>
        <w:t>m</w:t>
      </w:r>
      <w:r w:rsidRPr="005B0AFB">
        <w:rPr>
          <w:rFonts w:ascii="Verdana" w:hAnsi="Verdana"/>
          <w:color w:val="000000"/>
          <w:sz w:val="20"/>
          <w:lang w:val="pt-BR"/>
        </w:rPr>
        <w:t xml:space="preserve"> ciência de que a Emissora</w:t>
      </w:r>
      <w:r>
        <w:rPr>
          <w:rFonts w:ascii="Verdana" w:hAnsi="Verdana"/>
          <w:color w:val="000000"/>
          <w:sz w:val="20"/>
          <w:lang w:val="pt-BR"/>
        </w:rPr>
        <w:t xml:space="preserve"> </w:t>
      </w:r>
      <w:r w:rsidRPr="005B0AFB">
        <w:rPr>
          <w:rFonts w:ascii="Verdana" w:hAnsi="Verdana"/>
          <w:color w:val="000000"/>
          <w:sz w:val="20"/>
          <w:lang w:val="pt-BR"/>
        </w:rPr>
        <w:t>não pode: (i) ter utilizado ou utilizar recursos da Emissora para o pagamento de contribuições, presentes ou atividades de entretenimento ilegais ou qualquer outra despesa ilegal relativa a atividade política; (</w:t>
      </w:r>
      <w:proofErr w:type="spellStart"/>
      <w:r w:rsidRPr="005B0AFB">
        <w:rPr>
          <w:rFonts w:ascii="Verdana" w:hAnsi="Verdana"/>
          <w:color w:val="000000"/>
          <w:sz w:val="20"/>
          <w:lang w:val="pt-BR"/>
        </w:rPr>
        <w:t>ii</w:t>
      </w:r>
      <w:proofErr w:type="spellEnd"/>
      <w:r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Pr="005B0AFB">
        <w:rPr>
          <w:rFonts w:ascii="Verdana" w:hAnsi="Verdana"/>
          <w:color w:val="000000"/>
          <w:sz w:val="20"/>
          <w:lang w:val="pt-BR"/>
        </w:rPr>
        <w:t>iii</w:t>
      </w:r>
      <w:proofErr w:type="spellEnd"/>
      <w:r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B0AFB">
        <w:rPr>
          <w:rFonts w:ascii="Verdana" w:hAnsi="Verdana"/>
          <w:color w:val="000000"/>
          <w:sz w:val="20"/>
          <w:lang w:val="pt-BR"/>
        </w:rPr>
        <w:t>iv</w:t>
      </w:r>
      <w:proofErr w:type="spellEnd"/>
      <w:r w:rsidRPr="005B0AFB">
        <w:rPr>
          <w:rFonts w:ascii="Verdana" w:hAnsi="Verdana"/>
          <w:color w:val="000000"/>
          <w:sz w:val="20"/>
          <w:lang w:val="pt-BR"/>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5B0AFB">
        <w:rPr>
          <w:rFonts w:ascii="Verdana" w:hAnsi="Verdana"/>
          <w:color w:val="000000"/>
          <w:sz w:val="20"/>
          <w:lang w:val="pt-BR"/>
        </w:rPr>
        <w:t>Antilavagem</w:t>
      </w:r>
      <w:proofErr w:type="spellEnd"/>
      <w:r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61828346"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a Emissora est</w:t>
      </w:r>
      <w:r w:rsidR="00F56D47">
        <w:rPr>
          <w:rFonts w:ascii="Verdana" w:hAnsi="Verdana"/>
          <w:color w:val="000000"/>
          <w:sz w:val="20"/>
          <w:lang w:val="pt-BR"/>
        </w:rPr>
        <w:t>á</w:t>
      </w:r>
      <w:r w:rsidRPr="005B0AFB">
        <w:rPr>
          <w:rFonts w:ascii="Verdana" w:hAnsi="Verdana"/>
          <w:color w:val="000000"/>
          <w:sz w:val="20"/>
          <w:lang w:val="pt-BR"/>
        </w:rPr>
        <w:t xml:space="preserve"> cumprindo as </w:t>
      </w:r>
      <w:r w:rsidRPr="00C705C8">
        <w:rPr>
          <w:rFonts w:ascii="Verdana" w:hAnsi="Verdana"/>
          <w:color w:val="000000"/>
          <w:sz w:val="20"/>
          <w:lang w:val="pt-BR"/>
        </w:rPr>
        <w:t xml:space="preserve">Normas Anticorrupção e </w:t>
      </w:r>
      <w:proofErr w:type="spellStart"/>
      <w:r w:rsidRPr="00C705C8">
        <w:rPr>
          <w:rFonts w:ascii="Verdana" w:hAnsi="Verdana"/>
          <w:color w:val="000000"/>
          <w:sz w:val="20"/>
          <w:lang w:val="pt-BR"/>
        </w:rPr>
        <w:t>Antilavagem</w:t>
      </w:r>
      <w:proofErr w:type="spellEnd"/>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w:t>
      </w:r>
      <w:r w:rsidRPr="005B0AFB">
        <w:rPr>
          <w:rFonts w:ascii="Verdana" w:hAnsi="Verdana"/>
          <w:color w:val="000000"/>
          <w:sz w:val="20"/>
          <w:lang w:val="pt-BR"/>
        </w:rPr>
        <w:lastRenderedPageBreak/>
        <w:t xml:space="preserve">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 xml:space="preserve">Normas Anticorrupção e </w:t>
      </w:r>
      <w:proofErr w:type="spellStart"/>
      <w:r w:rsidRPr="00C705C8">
        <w:rPr>
          <w:rFonts w:ascii="Verdana" w:hAnsi="Verdana"/>
          <w:color w:val="000000"/>
          <w:sz w:val="20"/>
          <w:lang w:val="pt-BR"/>
        </w:rPr>
        <w:t>Antilavagem</w:t>
      </w:r>
      <w:proofErr w:type="spellEnd"/>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2"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2"/>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lastRenderedPageBreak/>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r w:rsidR="009751D4" w:rsidRPr="001F4BDE">
        <w:rPr>
          <w:rFonts w:ascii="Verdana" w:hAnsi="Verdana" w:cs="Tahoma"/>
          <w:sz w:val="20"/>
          <w:lang w:val="pt-BR"/>
        </w:rPr>
        <w:t>Enio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0"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190B6E14"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valores.mobiliários@b3.com.br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lastRenderedPageBreak/>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 xml:space="preserve">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w:t>
      </w:r>
      <w:r w:rsidRPr="001F4BDE">
        <w:rPr>
          <w:rFonts w:ascii="Verdana" w:hAnsi="Verdana" w:cs="Tahoma"/>
          <w:sz w:val="20"/>
          <w:lang w:val="pt-BR"/>
        </w:rPr>
        <w:lastRenderedPageBreak/>
        <w:t>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 RCA;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lastRenderedPageBreak/>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Default="00A544A7" w:rsidP="00A544A7">
      <w:pPr>
        <w:pStyle w:val="PargrafodaLista1"/>
        <w:ind w:left="0"/>
        <w:jc w:val="center"/>
        <w:rPr>
          <w:rFonts w:ascii="Verdana" w:hAnsi="Verdana"/>
          <w:sz w:val="20"/>
          <w:highlight w:val="yellow"/>
        </w:rPr>
      </w:pPr>
      <w:r w:rsidRPr="001F4BDE">
        <w:rPr>
          <w:rFonts w:ascii="Verdana" w:hAnsi="Verdana"/>
          <w:sz w:val="20"/>
          <w:highlight w:val="yellow"/>
        </w:rPr>
        <w:t>[A SER INSERIDO POSTERIORMENTE]</w:t>
      </w:r>
    </w:p>
    <w:p w14:paraId="0963F269" w14:textId="77777777" w:rsidR="00E37B54" w:rsidRDefault="00E37B54">
      <w:pPr>
        <w:widowControl/>
        <w:adjustRightInd/>
        <w:spacing w:after="160" w:line="259" w:lineRule="auto"/>
        <w:jc w:val="left"/>
        <w:textAlignment w:val="auto"/>
        <w:rPr>
          <w:rFonts w:ascii="Verdana" w:hAnsi="Verdana"/>
          <w:sz w:val="20"/>
          <w:highlight w:val="yellow"/>
        </w:rPr>
      </w:pPr>
      <w:r>
        <w:rPr>
          <w:rFonts w:ascii="Verdana" w:hAnsi="Verdana"/>
          <w:sz w:val="20"/>
          <w:highlight w:val="yellow"/>
        </w:rPr>
        <w:br w:type="page"/>
      </w:r>
    </w:p>
    <w:p w14:paraId="27CB8758" w14:textId="2009E992" w:rsidR="00A544A7" w:rsidRPr="00370997" w:rsidRDefault="00E37B54" w:rsidP="00A544A7">
      <w:pPr>
        <w:pStyle w:val="PargrafodaLista1"/>
        <w:ind w:left="0"/>
        <w:jc w:val="center"/>
        <w:rPr>
          <w:rFonts w:ascii="Verdana" w:hAnsi="Verdana"/>
          <w:b/>
          <w:bCs/>
          <w:sz w:val="20"/>
        </w:rPr>
      </w:pPr>
      <w:r w:rsidRPr="00370997">
        <w:rPr>
          <w:rFonts w:ascii="Verdana" w:hAnsi="Verdana"/>
          <w:b/>
          <w:bCs/>
          <w:sz w:val="20"/>
        </w:rPr>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even" r:id="rId21"/>
      <w:headerReference w:type="default" r:id="rId22"/>
      <w:footerReference w:type="even" r:id="rId23"/>
      <w:footerReference w:type="default" r:id="rId24"/>
      <w:headerReference w:type="first" r:id="rId25"/>
      <w:footerReference w:type="first" r:id="rId26"/>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7CEC" w14:textId="77777777" w:rsidR="006A3814" w:rsidRDefault="006A3814">
      <w:pPr>
        <w:spacing w:line="240" w:lineRule="auto"/>
      </w:pPr>
      <w:r>
        <w:separator/>
      </w:r>
    </w:p>
  </w:endnote>
  <w:endnote w:type="continuationSeparator" w:id="0">
    <w:p w14:paraId="4C1A5678" w14:textId="77777777" w:rsidR="006A3814" w:rsidRDefault="006A3814">
      <w:pPr>
        <w:spacing w:line="240" w:lineRule="auto"/>
      </w:pPr>
      <w:r>
        <w:continuationSeparator/>
      </w:r>
    </w:p>
  </w:endnote>
  <w:endnote w:type="continuationNotice" w:id="1">
    <w:p w14:paraId="637C6D9E" w14:textId="77777777" w:rsidR="006A3814" w:rsidRDefault="006A38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DBDB" w14:textId="77777777" w:rsidR="00BD709C" w:rsidRDefault="00BD70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6A3814" w:rsidRDefault="006A3814" w:rsidP="00456C13">
        <w:pPr>
          <w:pStyle w:val="Rodap"/>
        </w:pPr>
      </w:p>
      <w:p w14:paraId="1432F9BD" w14:textId="2F9E5E8E" w:rsidR="006A3814" w:rsidRDefault="006A3814">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6A3814" w:rsidRPr="00BB682E" w:rsidRDefault="006A3814">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1502" w14:textId="77777777" w:rsidR="00BD709C" w:rsidRDefault="00BD70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9F59" w14:textId="77777777" w:rsidR="006A3814" w:rsidRDefault="006A3814">
      <w:pPr>
        <w:spacing w:line="240" w:lineRule="auto"/>
      </w:pPr>
      <w:r>
        <w:separator/>
      </w:r>
    </w:p>
  </w:footnote>
  <w:footnote w:type="continuationSeparator" w:id="0">
    <w:p w14:paraId="421CDD25" w14:textId="77777777" w:rsidR="006A3814" w:rsidRDefault="006A3814">
      <w:pPr>
        <w:spacing w:line="240" w:lineRule="auto"/>
      </w:pPr>
      <w:r>
        <w:continuationSeparator/>
      </w:r>
    </w:p>
  </w:footnote>
  <w:footnote w:type="continuationNotice" w:id="1">
    <w:p w14:paraId="464095B5" w14:textId="77777777" w:rsidR="006A3814" w:rsidRDefault="006A3814">
      <w:pPr>
        <w:spacing w:line="240" w:lineRule="auto"/>
      </w:pPr>
    </w:p>
  </w:footnote>
  <w:footnote w:id="2">
    <w:p w14:paraId="5EB79C46" w14:textId="77777777" w:rsidR="006A3814" w:rsidRPr="00392FE1" w:rsidRDefault="006A3814">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7EBF" w14:textId="77777777" w:rsidR="00BD709C" w:rsidRDefault="00BD70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1A7F" w14:textId="12608B15" w:rsidR="006A3814" w:rsidRPr="00456C13" w:rsidRDefault="006A3814" w:rsidP="00E83553">
    <w:pPr>
      <w:pStyle w:val="Cabealho"/>
      <w:jc w:val="right"/>
      <w:rPr>
        <w:rFonts w:ascii="Verdana" w:hAnsi="Verdana"/>
        <w:i/>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lang w:val="pt-BR"/>
      </w:rPr>
      <w:t>Minuta</w:t>
    </w:r>
    <w:r>
      <w:rPr>
        <w:rFonts w:ascii="Verdana" w:hAnsi="Verdana"/>
        <w:i/>
      </w:rPr>
      <w:t xml:space="preserve"> Machado Meyer</w:t>
    </w:r>
  </w:p>
  <w:p w14:paraId="3D4C57A6" w14:textId="1CC4716F" w:rsidR="006A3814" w:rsidRPr="00456C13" w:rsidRDefault="006A3814" w:rsidP="00E83553">
    <w:pPr>
      <w:pStyle w:val="Cabealho"/>
      <w:jc w:val="right"/>
      <w:rPr>
        <w:rFonts w:ascii="Verdana" w:hAnsi="Verdana"/>
        <w:i/>
      </w:rPr>
    </w:pPr>
    <w:r>
      <w:rPr>
        <w:rFonts w:ascii="Verdana" w:hAnsi="Verdana"/>
        <w:i/>
      </w:rPr>
      <w:t>24.11</w:t>
    </w:r>
    <w:r w:rsidRPr="00456C13">
      <w:rPr>
        <w:rFonts w:ascii="Verdana" w:hAnsi="Verdana"/>
        <w:i/>
      </w:rPr>
      <w:t>.2020</w:t>
    </w:r>
  </w:p>
  <w:p w14:paraId="34CB4928" w14:textId="77777777" w:rsidR="006A3814" w:rsidRPr="009F7AF3" w:rsidRDefault="006A3814" w:rsidP="00E83553">
    <w:pPr>
      <w:pStyle w:val="Cabealho"/>
      <w:jc w:val="right"/>
      <w:rPr>
        <w:rFonts w:ascii="Georgia" w:hAnsi="Georgia"/>
        <w:i/>
      </w:rPr>
    </w:pPr>
  </w:p>
  <w:p w14:paraId="75C252CD" w14:textId="77777777" w:rsidR="006A3814" w:rsidRPr="009F7AF3" w:rsidRDefault="006A3814" w:rsidP="00E83553">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3D26781E" w:rsidR="006A3814" w:rsidRPr="00456C13" w:rsidRDefault="006A3814"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Machado Meyer</w:t>
    </w:r>
  </w:p>
  <w:p w14:paraId="54F642F3" w14:textId="07DAF0AB" w:rsidR="006A3814" w:rsidRPr="00456C13" w:rsidRDefault="006A3814" w:rsidP="00456C13">
    <w:pPr>
      <w:pStyle w:val="Cabealho"/>
      <w:jc w:val="right"/>
      <w:rPr>
        <w:rFonts w:ascii="Verdana" w:hAnsi="Verdana"/>
        <w:i/>
        <w:iCs/>
        <w:lang w:val="pt-BR"/>
      </w:rPr>
    </w:pPr>
    <w:r>
      <w:rPr>
        <w:rFonts w:ascii="Verdana" w:hAnsi="Verdana"/>
        <w:i/>
        <w:iCs/>
        <w:lang w:val="pt-BR"/>
      </w:rPr>
      <w:t>24.11</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27CD"/>
    <w:rsid w:val="00012D3D"/>
    <w:rsid w:val="00015F1C"/>
    <w:rsid w:val="00022E77"/>
    <w:rsid w:val="00026EC3"/>
    <w:rsid w:val="000374C8"/>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A7BE4"/>
    <w:rsid w:val="000B24ED"/>
    <w:rsid w:val="000B2754"/>
    <w:rsid w:val="000C20F6"/>
    <w:rsid w:val="000C2F99"/>
    <w:rsid w:val="000D3608"/>
    <w:rsid w:val="000D3948"/>
    <w:rsid w:val="000D6172"/>
    <w:rsid w:val="000D62F6"/>
    <w:rsid w:val="000E062A"/>
    <w:rsid w:val="000E1E51"/>
    <w:rsid w:val="000E1E63"/>
    <w:rsid w:val="000E4D73"/>
    <w:rsid w:val="000F7A6B"/>
    <w:rsid w:val="00101E0C"/>
    <w:rsid w:val="00104B4E"/>
    <w:rsid w:val="00114DEA"/>
    <w:rsid w:val="00115078"/>
    <w:rsid w:val="00117834"/>
    <w:rsid w:val="001201C0"/>
    <w:rsid w:val="00121E46"/>
    <w:rsid w:val="00142BCC"/>
    <w:rsid w:val="001475C5"/>
    <w:rsid w:val="001508AE"/>
    <w:rsid w:val="00153686"/>
    <w:rsid w:val="00153C86"/>
    <w:rsid w:val="00153E6E"/>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56F8"/>
    <w:rsid w:val="00233EFE"/>
    <w:rsid w:val="0024688A"/>
    <w:rsid w:val="0025102B"/>
    <w:rsid w:val="00260B38"/>
    <w:rsid w:val="002669A4"/>
    <w:rsid w:val="002741A7"/>
    <w:rsid w:val="00274BC3"/>
    <w:rsid w:val="00282218"/>
    <w:rsid w:val="00282E41"/>
    <w:rsid w:val="0028569A"/>
    <w:rsid w:val="002918F7"/>
    <w:rsid w:val="002A5D8F"/>
    <w:rsid w:val="002B6380"/>
    <w:rsid w:val="002B6C86"/>
    <w:rsid w:val="002C7E50"/>
    <w:rsid w:val="002D6DBB"/>
    <w:rsid w:val="002E5155"/>
    <w:rsid w:val="002E60BF"/>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869AB"/>
    <w:rsid w:val="00387591"/>
    <w:rsid w:val="0039220E"/>
    <w:rsid w:val="00392FE1"/>
    <w:rsid w:val="00397310"/>
    <w:rsid w:val="003A76AA"/>
    <w:rsid w:val="003B007E"/>
    <w:rsid w:val="003B4C57"/>
    <w:rsid w:val="003B7502"/>
    <w:rsid w:val="003C73B0"/>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E00"/>
    <w:rsid w:val="00435F6C"/>
    <w:rsid w:val="00437121"/>
    <w:rsid w:val="00440C86"/>
    <w:rsid w:val="00451394"/>
    <w:rsid w:val="004517D9"/>
    <w:rsid w:val="0045364C"/>
    <w:rsid w:val="00454BF4"/>
    <w:rsid w:val="00456C13"/>
    <w:rsid w:val="00460262"/>
    <w:rsid w:val="004602A1"/>
    <w:rsid w:val="004614D8"/>
    <w:rsid w:val="00464ADC"/>
    <w:rsid w:val="004667E7"/>
    <w:rsid w:val="00476DF8"/>
    <w:rsid w:val="004773A7"/>
    <w:rsid w:val="00480006"/>
    <w:rsid w:val="00481FFD"/>
    <w:rsid w:val="004839F9"/>
    <w:rsid w:val="00484CC7"/>
    <w:rsid w:val="0048628B"/>
    <w:rsid w:val="00487946"/>
    <w:rsid w:val="004948ED"/>
    <w:rsid w:val="00495D12"/>
    <w:rsid w:val="00496DD9"/>
    <w:rsid w:val="004A06B8"/>
    <w:rsid w:val="004A255C"/>
    <w:rsid w:val="004B27CE"/>
    <w:rsid w:val="004B4104"/>
    <w:rsid w:val="004B63B8"/>
    <w:rsid w:val="004B6E13"/>
    <w:rsid w:val="004B7643"/>
    <w:rsid w:val="004D0146"/>
    <w:rsid w:val="004D1BBB"/>
    <w:rsid w:val="004D356C"/>
    <w:rsid w:val="004F1488"/>
    <w:rsid w:val="004F433C"/>
    <w:rsid w:val="004F56F2"/>
    <w:rsid w:val="00507A4C"/>
    <w:rsid w:val="00507A7C"/>
    <w:rsid w:val="00514506"/>
    <w:rsid w:val="005174B0"/>
    <w:rsid w:val="0052494F"/>
    <w:rsid w:val="0052635E"/>
    <w:rsid w:val="00531F2B"/>
    <w:rsid w:val="0053761A"/>
    <w:rsid w:val="0054031B"/>
    <w:rsid w:val="005552BD"/>
    <w:rsid w:val="005568BF"/>
    <w:rsid w:val="0056150D"/>
    <w:rsid w:val="00567043"/>
    <w:rsid w:val="005765A1"/>
    <w:rsid w:val="00581E95"/>
    <w:rsid w:val="00584AE5"/>
    <w:rsid w:val="005857BC"/>
    <w:rsid w:val="005862A3"/>
    <w:rsid w:val="00587198"/>
    <w:rsid w:val="005923EF"/>
    <w:rsid w:val="00593462"/>
    <w:rsid w:val="00597E3D"/>
    <w:rsid w:val="005A62AF"/>
    <w:rsid w:val="005B0AFB"/>
    <w:rsid w:val="005B246D"/>
    <w:rsid w:val="005B646A"/>
    <w:rsid w:val="005C2D61"/>
    <w:rsid w:val="005C4395"/>
    <w:rsid w:val="005C4B53"/>
    <w:rsid w:val="005C5406"/>
    <w:rsid w:val="005D3918"/>
    <w:rsid w:val="005D39C3"/>
    <w:rsid w:val="005D5E1C"/>
    <w:rsid w:val="005D731B"/>
    <w:rsid w:val="005E1767"/>
    <w:rsid w:val="005E59EE"/>
    <w:rsid w:val="005F06ED"/>
    <w:rsid w:val="005F3D37"/>
    <w:rsid w:val="005F5FC9"/>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6551"/>
    <w:rsid w:val="00786668"/>
    <w:rsid w:val="00797D09"/>
    <w:rsid w:val="007A73DE"/>
    <w:rsid w:val="007B4EF1"/>
    <w:rsid w:val="007C1479"/>
    <w:rsid w:val="007C6E65"/>
    <w:rsid w:val="007D4E89"/>
    <w:rsid w:val="007D71D0"/>
    <w:rsid w:val="007E134F"/>
    <w:rsid w:val="007E7AC5"/>
    <w:rsid w:val="007E7B24"/>
    <w:rsid w:val="007F27A1"/>
    <w:rsid w:val="007F61FF"/>
    <w:rsid w:val="007F6B9C"/>
    <w:rsid w:val="008021AD"/>
    <w:rsid w:val="008028C1"/>
    <w:rsid w:val="008053BA"/>
    <w:rsid w:val="00806A43"/>
    <w:rsid w:val="008077FE"/>
    <w:rsid w:val="0081341D"/>
    <w:rsid w:val="008228F0"/>
    <w:rsid w:val="00825B7B"/>
    <w:rsid w:val="0083065B"/>
    <w:rsid w:val="00831885"/>
    <w:rsid w:val="00834F88"/>
    <w:rsid w:val="00836427"/>
    <w:rsid w:val="0084136B"/>
    <w:rsid w:val="00843FEB"/>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6D1D"/>
    <w:rsid w:val="008E637F"/>
    <w:rsid w:val="009016AF"/>
    <w:rsid w:val="009038E5"/>
    <w:rsid w:val="0091297D"/>
    <w:rsid w:val="00923A58"/>
    <w:rsid w:val="0092771D"/>
    <w:rsid w:val="00931CC4"/>
    <w:rsid w:val="009326F6"/>
    <w:rsid w:val="009450C4"/>
    <w:rsid w:val="00964B36"/>
    <w:rsid w:val="00965621"/>
    <w:rsid w:val="0097404C"/>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6239"/>
    <w:rsid w:val="009C47A0"/>
    <w:rsid w:val="009C4C82"/>
    <w:rsid w:val="009C570B"/>
    <w:rsid w:val="009C75A3"/>
    <w:rsid w:val="009D1B12"/>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5C21"/>
    <w:rsid w:val="00A65EE0"/>
    <w:rsid w:val="00A7653E"/>
    <w:rsid w:val="00A93434"/>
    <w:rsid w:val="00A94087"/>
    <w:rsid w:val="00A94344"/>
    <w:rsid w:val="00A95A9F"/>
    <w:rsid w:val="00AA463F"/>
    <w:rsid w:val="00AA469E"/>
    <w:rsid w:val="00AA5F70"/>
    <w:rsid w:val="00AA654B"/>
    <w:rsid w:val="00AA69E1"/>
    <w:rsid w:val="00AA7777"/>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7169A"/>
    <w:rsid w:val="00B7512B"/>
    <w:rsid w:val="00B758BC"/>
    <w:rsid w:val="00B8287C"/>
    <w:rsid w:val="00B835A9"/>
    <w:rsid w:val="00B83774"/>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A9E"/>
    <w:rsid w:val="00C37390"/>
    <w:rsid w:val="00C42424"/>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FC"/>
    <w:rsid w:val="00D40A1B"/>
    <w:rsid w:val="00D41362"/>
    <w:rsid w:val="00D422D0"/>
    <w:rsid w:val="00D42375"/>
    <w:rsid w:val="00D44D91"/>
    <w:rsid w:val="00D60302"/>
    <w:rsid w:val="00D61E87"/>
    <w:rsid w:val="00D64C1B"/>
    <w:rsid w:val="00D657D3"/>
    <w:rsid w:val="00D67725"/>
    <w:rsid w:val="00D72CCD"/>
    <w:rsid w:val="00D80B90"/>
    <w:rsid w:val="00D8313B"/>
    <w:rsid w:val="00D835F4"/>
    <w:rsid w:val="00D87D9E"/>
    <w:rsid w:val="00D904D8"/>
    <w:rsid w:val="00D91B0D"/>
    <w:rsid w:val="00D934EC"/>
    <w:rsid w:val="00D95AF6"/>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3400E"/>
    <w:rsid w:val="00E34D01"/>
    <w:rsid w:val="00E37B54"/>
    <w:rsid w:val="00E42851"/>
    <w:rsid w:val="00E44EF2"/>
    <w:rsid w:val="00E46BF1"/>
    <w:rsid w:val="00E470D9"/>
    <w:rsid w:val="00E516FB"/>
    <w:rsid w:val="00E520E7"/>
    <w:rsid w:val="00E53A67"/>
    <w:rsid w:val="00E54941"/>
    <w:rsid w:val="00E63130"/>
    <w:rsid w:val="00E74CDC"/>
    <w:rsid w:val="00E752FF"/>
    <w:rsid w:val="00E8108B"/>
    <w:rsid w:val="00E83553"/>
    <w:rsid w:val="00E905B7"/>
    <w:rsid w:val="00EA12E7"/>
    <w:rsid w:val="00EB0EF4"/>
    <w:rsid w:val="00EB1475"/>
    <w:rsid w:val="00EC3EEE"/>
    <w:rsid w:val="00EC5D3F"/>
    <w:rsid w:val="00EC5F90"/>
    <w:rsid w:val="00ED3E97"/>
    <w:rsid w:val="00ED6B24"/>
    <w:rsid w:val="00EE2BD9"/>
    <w:rsid w:val="00EE3F3E"/>
    <w:rsid w:val="00EE78C8"/>
    <w:rsid w:val="00F03148"/>
    <w:rsid w:val="00F03539"/>
    <w:rsid w:val="00F0413A"/>
    <w:rsid w:val="00F142CD"/>
    <w:rsid w:val="00F17153"/>
    <w:rsid w:val="00F1729B"/>
    <w:rsid w:val="00F31E4F"/>
    <w:rsid w:val="00F349D2"/>
    <w:rsid w:val="00F34EFF"/>
    <w:rsid w:val="00F42EBF"/>
    <w:rsid w:val="00F43F80"/>
    <w:rsid w:val="00F51A72"/>
    <w:rsid w:val="00F56D47"/>
    <w:rsid w:val="00F56DD8"/>
    <w:rsid w:val="00F60068"/>
    <w:rsid w:val="00F614A5"/>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7765"/>
    <w:rsid w:val="00FF4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wmf" Id="rId13" /><Relationship Type="http://schemas.openxmlformats.org/officeDocument/2006/relationships/image" Target="media/image4.png"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oleObject" Target="embeddings/oleObject3.bin" Id="rId16" /><Relationship Type="http://schemas.openxmlformats.org/officeDocument/2006/relationships/hyperlink" Target="mailto:enio.stein@invepar.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3.wmf"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oleObject" Target="embeddings/oleObject2.bin"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 T E X T ! 5 2 3 5 8 4 9 4 . 1 4 < / d o c u m e n t i d >  
     < s e n d e r i d > F C Y < / s e n d e r i d >  
     < s e n d e r e m a i l > F M E S S I A S @ M A C H A D O M E Y E R . C O M . B R < / s e n d e r e m a i l >  
     < l a s t m o d i f i e d > 2 0 2 0 - 1 1 - 2 4 T 1 6 : 1 6 : 0 0 . 0 0 0 0 0 0 0 - 0 3 : 0 0 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2.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071B2-5338-4362-935F-515878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70</Pages>
  <Words>23109</Words>
  <Characters>131492</Characters>
  <Application>Microsoft Office Word</Application>
  <DocSecurity>0</DocSecurity>
  <Lines>2629</Lines>
  <Paragraphs>646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Fernanda Cury Messias | Machado Meyer Advogados</cp:lastModifiedBy>
  <cp:revision>6</cp:revision>
  <cp:lastPrinted>2020-11-22T23:59:00Z</cp:lastPrinted>
  <dcterms:created xsi:type="dcterms:W3CDTF">2020-11-24T18:52:00Z</dcterms:created>
  <dcterms:modified xsi:type="dcterms:W3CDTF">2020-11-24T19:16:00Z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