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customXml/itemProps1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0B" w:rsidRPr="001E66A9" w:rsidRDefault="001068B6">
      <w:pPr>
        <w:pStyle w:val="Heading"/>
        <w:widowControl w:val="0"/>
        <w:spacing w:before="140" w:after="0" w:line="276" w:lineRule="auto"/>
      </w:pPr>
      <w:r w:rsidRPr="001E66A9">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4C620B" w:rsidRPr="001E66A9" w:rsidRDefault="001068B6">
      <w:pPr>
        <w:pStyle w:val="Body"/>
        <w:widowControl w:val="0"/>
        <w:spacing w:before="140" w:after="0" w:line="276" w:lineRule="auto"/>
        <w:rPr>
          <w:sz w:val="22"/>
        </w:rPr>
      </w:pPr>
      <w:r w:rsidRPr="001E66A9">
        <w:rPr>
          <w:sz w:val="22"/>
        </w:rPr>
        <w:t>Celebram este "</w:t>
      </w:r>
      <w:r w:rsidRPr="001E66A9">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1E66A9">
        <w:rPr>
          <w:i/>
          <w:snapToGrid w:val="0"/>
          <w:sz w:val="22"/>
        </w:rPr>
        <w:t>da Concessionária Linha Universidade S.A.</w:t>
      </w:r>
      <w:r w:rsidRPr="001E66A9">
        <w:rPr>
          <w:sz w:val="22"/>
        </w:rPr>
        <w:t>" (“</w:t>
      </w:r>
      <w:r w:rsidRPr="001E66A9">
        <w:rPr>
          <w:b/>
          <w:sz w:val="22"/>
        </w:rPr>
        <w:t>Escritura de Emissão</w:t>
      </w:r>
      <w:r w:rsidRPr="001E66A9">
        <w:rPr>
          <w:sz w:val="22"/>
        </w:rPr>
        <w:t>”):</w:t>
      </w:r>
    </w:p>
    <w:p w:rsidR="004C620B" w:rsidRPr="001E66A9" w:rsidRDefault="001068B6">
      <w:pPr>
        <w:pStyle w:val="Parties"/>
        <w:widowControl w:val="0"/>
        <w:spacing w:before="140" w:after="0" w:line="276" w:lineRule="auto"/>
        <w:ind w:left="0" w:firstLine="0"/>
        <w:rPr>
          <w:sz w:val="22"/>
        </w:rPr>
      </w:pPr>
      <w:r w:rsidRPr="001E66A9">
        <w:rPr>
          <w:b/>
          <w:smallCaps/>
          <w:snapToGrid w:val="0"/>
          <w:sz w:val="22"/>
        </w:rPr>
        <w:t>CONCESSIONÁRIA LINHA UNIVERSIDADE S.A.</w:t>
      </w:r>
      <w:r w:rsidRPr="001E66A9">
        <w:rPr>
          <w:sz w:val="22"/>
        </w:rPr>
        <w:t>, sociedade por ações sem registro de emissor de valores mobiliários perante a CVM (conforme definido abaixo), com sede na Cidade de São Paulo, Estado de São Paulo, na Rua Olimpíadas, nº 134, conjunto 72, sala H, 7º</w:t>
      </w:r>
      <w:r w:rsidR="00844F33">
        <w:rPr>
          <w:sz w:val="22"/>
        </w:rPr>
        <w:t xml:space="preserve"> </w:t>
      </w:r>
      <w:r w:rsidRPr="001E66A9">
        <w:rPr>
          <w:sz w:val="22"/>
        </w:rPr>
        <w:t xml:space="preserve">andar, Condomínio Alpha Tower, Vila Olímpia, 04551-000, inscrita no CNPJ (conforme definido abaixo) sob </w:t>
      </w:r>
      <w:proofErr w:type="gramStart"/>
      <w:r w:rsidRPr="001E66A9">
        <w:rPr>
          <w:sz w:val="22"/>
        </w:rPr>
        <w:t>o</w:t>
      </w:r>
      <w:proofErr w:type="gramEnd"/>
      <w:r w:rsidRPr="001E66A9">
        <w:rPr>
          <w:sz w:val="22"/>
        </w:rPr>
        <w:t xml:space="preserve"> </w:t>
      </w:r>
      <w:proofErr w:type="gramStart"/>
      <w:r w:rsidRPr="001E66A9">
        <w:rPr>
          <w:sz w:val="22"/>
        </w:rPr>
        <w:t>nº</w:t>
      </w:r>
      <w:proofErr w:type="gramEnd"/>
      <w:r w:rsidRPr="001E66A9">
        <w:rPr>
          <w:sz w:val="22"/>
        </w:rPr>
        <w:t> 35.588.161/0001-22, com seus atos constitutivos registrados perante a JUCESP (conforme definido abaixo) sob o NIRE nº 35.300.545.044, neste ato representada nos termos de seu estatuto social (“</w:t>
      </w:r>
      <w:r w:rsidRPr="001E66A9">
        <w:rPr>
          <w:b/>
          <w:sz w:val="22"/>
        </w:rPr>
        <w:t>Companhia</w:t>
      </w:r>
      <w:r w:rsidRPr="001E66A9">
        <w:rPr>
          <w:sz w:val="22"/>
        </w:rPr>
        <w:t xml:space="preserve">”), como emissora e ofertante das Debêntures (conforme definido abaixo); e </w:t>
      </w:r>
    </w:p>
    <w:p w:rsidR="004C620B" w:rsidRPr="001E66A9" w:rsidRDefault="00CF1555">
      <w:pPr>
        <w:pStyle w:val="Parties"/>
        <w:widowControl w:val="0"/>
        <w:spacing w:before="140" w:after="0" w:line="276" w:lineRule="auto"/>
        <w:ind w:left="0" w:firstLine="0"/>
        <w:rPr>
          <w:sz w:val="22"/>
        </w:rPr>
      </w:pPr>
      <w:r>
        <w:rPr>
          <w:b/>
          <w:bCs/>
          <w:smallCaps/>
          <w:sz w:val="22"/>
        </w:rPr>
        <w:t>SIMPLIFIC PAVARINI DISTRIBUIDORA DE TÍTULOS E VALORES MOBILIÁRIOS LTDA.</w:t>
      </w:r>
      <w:r w:rsidR="001068B6" w:rsidRPr="001E66A9">
        <w:rPr>
          <w:bCs/>
          <w:smallCaps/>
          <w:sz w:val="22"/>
        </w:rPr>
        <w:t xml:space="preserve">, </w:t>
      </w:r>
      <w:r w:rsidR="001068B6" w:rsidRPr="001E66A9">
        <w:rPr>
          <w:sz w:val="22"/>
        </w:rPr>
        <w:t xml:space="preserve">instituição financeira, localizada na Cidade do </w:t>
      </w:r>
      <w:r>
        <w:rPr>
          <w:sz w:val="22"/>
        </w:rPr>
        <w:t>Rio de Janeiro</w:t>
      </w:r>
      <w:r w:rsidR="001068B6" w:rsidRPr="001E66A9">
        <w:rPr>
          <w:sz w:val="22"/>
        </w:rPr>
        <w:t xml:space="preserve">, Estado </w:t>
      </w:r>
      <w:r>
        <w:rPr>
          <w:sz w:val="22"/>
        </w:rPr>
        <w:t>do Rio de Janeiro</w:t>
      </w:r>
      <w:r w:rsidR="001068B6" w:rsidRPr="001E66A9">
        <w:rPr>
          <w:sz w:val="22"/>
        </w:rPr>
        <w:t>, na</w:t>
      </w:r>
      <w:r>
        <w:rPr>
          <w:sz w:val="22"/>
        </w:rPr>
        <w:t xml:space="preserve"> Rua Sete de Setembro, nº 99, 24º andar, CEP 20050-005</w:t>
      </w:r>
      <w:r w:rsidR="001068B6" w:rsidRPr="001E66A9">
        <w:rPr>
          <w:sz w:val="22"/>
        </w:rPr>
        <w:t xml:space="preserve">, inscrita no CNPJ sob o nº </w:t>
      </w:r>
      <w:r>
        <w:rPr>
          <w:sz w:val="22"/>
        </w:rPr>
        <w:t>15.227.994/0001-50</w:t>
      </w:r>
      <w:r w:rsidR="001068B6" w:rsidRPr="001E66A9">
        <w:rPr>
          <w:sz w:val="22"/>
        </w:rPr>
        <w:t xml:space="preserve">, na qualidade de agente fiduciário, representando a comunhão dos interesses dos titulares das debêntures da presente emissão, neste </w:t>
      </w:r>
      <w:proofErr w:type="gramStart"/>
      <w:r w:rsidR="001068B6" w:rsidRPr="001E66A9">
        <w:rPr>
          <w:sz w:val="22"/>
        </w:rPr>
        <w:t>ato representada na forma do seu estatuto social</w:t>
      </w:r>
      <w:r w:rsidR="001068B6" w:rsidRPr="001E66A9">
        <w:rPr>
          <w:b/>
          <w:smallCaps/>
          <w:sz w:val="22"/>
        </w:rPr>
        <w:t xml:space="preserve"> </w:t>
      </w:r>
      <w:r w:rsidR="001068B6" w:rsidRPr="001E66A9">
        <w:rPr>
          <w:sz w:val="22"/>
        </w:rPr>
        <w:t>(“</w:t>
      </w:r>
      <w:r w:rsidR="001068B6" w:rsidRPr="001E66A9">
        <w:rPr>
          <w:b/>
          <w:sz w:val="22"/>
        </w:rPr>
        <w:t>Agente Fiduciário</w:t>
      </w:r>
      <w:r w:rsidR="001068B6" w:rsidRPr="001E66A9">
        <w:rPr>
          <w:sz w:val="22"/>
        </w:rPr>
        <w:t>”, em conjunto com a Companhia, denominados “</w:t>
      </w:r>
      <w:r w:rsidR="001068B6" w:rsidRPr="001E66A9">
        <w:rPr>
          <w:b/>
          <w:sz w:val="22"/>
        </w:rPr>
        <w:t>Partes</w:t>
      </w:r>
      <w:r w:rsidR="001068B6" w:rsidRPr="001E66A9">
        <w:rPr>
          <w:sz w:val="22"/>
        </w:rPr>
        <w:t>”, e, quando referidos individualmente “</w:t>
      </w:r>
      <w:r w:rsidR="001068B6" w:rsidRPr="001E66A9">
        <w:rPr>
          <w:b/>
          <w:sz w:val="22"/>
        </w:rPr>
        <w:t>Parte</w:t>
      </w:r>
      <w:r w:rsidR="001068B6" w:rsidRPr="001E66A9">
        <w:rPr>
          <w:sz w:val="22"/>
        </w:rPr>
        <w:t>”)</w:t>
      </w:r>
      <w:proofErr w:type="gramEnd"/>
      <w:r w:rsidR="001068B6" w:rsidRPr="001E66A9">
        <w:rPr>
          <w:sz w:val="22"/>
        </w:rPr>
        <w:t xml:space="preserve">, como agente fiduciário, nomeado nesta Escritura de Emissão, representando a comunhão dos Debenturistas (conforme definido abaixo); </w:t>
      </w:r>
    </w:p>
    <w:p w:rsidR="004C620B" w:rsidRPr="001E66A9" w:rsidRDefault="00E95BE1">
      <w:pPr>
        <w:pStyle w:val="Body"/>
        <w:widowControl w:val="0"/>
        <w:spacing w:before="140" w:after="0" w:line="276" w:lineRule="auto"/>
        <w:rPr>
          <w:sz w:val="22"/>
        </w:rPr>
      </w:pPr>
      <w:proofErr w:type="gramStart"/>
      <w:r w:rsidRPr="00E95BE1">
        <w:rPr>
          <w:sz w:val="22"/>
        </w:rPr>
        <w:t>de</w:t>
      </w:r>
      <w:proofErr w:type="gramEnd"/>
      <w:r w:rsidRPr="00E95BE1">
        <w:rPr>
          <w:sz w:val="22"/>
        </w:rPr>
        <w:t xml:space="preserve"> acordo com os seguintes termos e condições:</w:t>
      </w:r>
    </w:p>
    <w:p w:rsidR="004C620B" w:rsidRPr="001E66A9" w:rsidRDefault="00605EA1">
      <w:pPr>
        <w:pStyle w:val="Level1"/>
        <w:keepNext w:val="0"/>
        <w:keepLines w:val="0"/>
        <w:widowControl w:val="0"/>
        <w:spacing w:before="140" w:after="0" w:line="276" w:lineRule="auto"/>
        <w:ind w:left="0" w:firstLine="0"/>
      </w:pPr>
      <w:r w:rsidRPr="00605EA1">
        <w:t>DEFINIÇÕES</w:t>
      </w:r>
    </w:p>
    <w:p w:rsidR="004C620B" w:rsidRPr="001E66A9" w:rsidRDefault="00E95BE1">
      <w:pPr>
        <w:pStyle w:val="Level2"/>
        <w:widowControl w:val="0"/>
        <w:spacing w:before="140" w:after="0" w:line="276" w:lineRule="auto"/>
        <w:ind w:left="0" w:firstLine="0"/>
        <w:rPr>
          <w:rFonts w:cs="Arial"/>
          <w:smallCaps/>
          <w:sz w:val="22"/>
          <w:szCs w:val="22"/>
          <w:u w:val="single"/>
        </w:rPr>
      </w:pPr>
      <w:bookmarkStart w:id="0" w:name="_Ref167514799"/>
      <w:r>
        <w:rPr>
          <w:rFonts w:cs="Arial"/>
          <w:sz w:val="22"/>
          <w:szCs w:val="22"/>
        </w:rPr>
        <w:t xml:space="preserve">Sem prejuízo das outras definições estabelecidas ao longo desta Escritura de Emissão, serão considerados termos definidos, no singular ou no plural, os </w:t>
      </w:r>
      <w:r>
        <w:rPr>
          <w:rFonts w:cs="Arial"/>
          <w:sz w:val="22"/>
          <w:szCs w:val="22"/>
        </w:rPr>
        <w:lastRenderedPageBreak/>
        <w:t>termos a seguir.</w:t>
      </w:r>
      <w:bookmarkEnd w:id="0"/>
      <w:r>
        <w:rPr>
          <w:rFonts w:cs="Arial"/>
          <w:sz w:val="22"/>
          <w:szCs w:val="22"/>
        </w:rPr>
        <w:t xml:space="preserve"> </w:t>
      </w:r>
      <w:r>
        <w:rPr>
          <w:rFonts w:cs="Arial"/>
          <w:b/>
          <w:i/>
          <w:sz w:val="22"/>
          <w:szCs w:val="22"/>
          <w:highlight w:val="yellow"/>
        </w:rPr>
        <w:t>[Nota MF: Definições a serem revistas e ajustadas ao decorrer das discussões.</w:t>
      </w:r>
      <w:proofErr w:type="gramStart"/>
      <w:r>
        <w:rPr>
          <w:rFonts w:cs="Arial"/>
          <w:b/>
          <w:i/>
          <w:sz w:val="22"/>
          <w:szCs w:val="22"/>
          <w:highlight w:val="yellow"/>
        </w:rPr>
        <w:t>]</w:t>
      </w:r>
      <w:proofErr w:type="gramEnd"/>
      <w:r>
        <w:rPr>
          <w:rFonts w:cs="Arial"/>
          <w:sz w:val="22"/>
          <w:szCs w:val="22"/>
        </w:rPr>
        <w:t xml:space="preserve"> </w:t>
      </w:r>
    </w:p>
    <w:p w:rsidR="004C620B" w:rsidRPr="001E66A9" w:rsidRDefault="00605EA1">
      <w:pPr>
        <w:pStyle w:val="Level4"/>
        <w:widowControl w:val="0"/>
        <w:tabs>
          <w:tab w:val="clear" w:pos="2041"/>
          <w:tab w:val="num" w:pos="851"/>
          <w:tab w:val="num" w:pos="2807"/>
        </w:tabs>
        <w:spacing w:before="140" w:after="0" w:line="276" w:lineRule="auto"/>
        <w:ind w:left="0" w:firstLine="0"/>
        <w:rPr>
          <w:sz w:val="22"/>
          <w:szCs w:val="22"/>
          <w:lang w:val="es-ES"/>
        </w:rPr>
      </w:pPr>
      <w:r w:rsidRPr="00605EA1">
        <w:rPr>
          <w:sz w:val="22"/>
          <w:szCs w:val="22"/>
          <w:lang w:val="es-ES"/>
        </w:rPr>
        <w:t>“</w:t>
      </w:r>
      <w:r w:rsidRPr="00605EA1">
        <w:rPr>
          <w:b/>
          <w:sz w:val="22"/>
          <w:szCs w:val="22"/>
          <w:lang w:val="es-ES"/>
        </w:rPr>
        <w:t>Acciona Concesiones</w:t>
      </w:r>
      <w:r w:rsidRPr="00605EA1">
        <w:rPr>
          <w:sz w:val="22"/>
          <w:szCs w:val="22"/>
          <w:lang w:val="es-ES"/>
        </w:rPr>
        <w:t>” significa a Acciona Conce</w:t>
      </w:r>
      <w:r w:rsidR="001D2960" w:rsidRPr="001E66A9">
        <w:rPr>
          <w:sz w:val="22"/>
          <w:szCs w:val="22"/>
          <w:lang w:val="es-ES"/>
        </w:rPr>
        <w:t>s</w:t>
      </w:r>
      <w:r w:rsidRPr="00605EA1">
        <w:rPr>
          <w:sz w:val="22"/>
          <w:szCs w:val="22"/>
          <w:lang w:val="es-ES"/>
        </w:rPr>
        <w:t>iones, SL</w:t>
      </w:r>
    </w:p>
    <w:p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lang w:val="es-ES"/>
        </w:rPr>
      </w:pPr>
      <w:r w:rsidRPr="001E66A9">
        <w:rPr>
          <w:sz w:val="22"/>
          <w:szCs w:val="22"/>
          <w:lang w:val="es-ES"/>
        </w:rPr>
        <w:t>“</w:t>
      </w:r>
      <w:r w:rsidR="00E95BE1">
        <w:rPr>
          <w:b/>
          <w:sz w:val="22"/>
          <w:szCs w:val="22"/>
          <w:lang w:val="es-ES"/>
        </w:rPr>
        <w:t>Acciona Construcción</w:t>
      </w:r>
      <w:r w:rsidR="00E95BE1">
        <w:rPr>
          <w:sz w:val="22"/>
          <w:szCs w:val="22"/>
          <w:lang w:val="es-ES"/>
        </w:rPr>
        <w:t>” significa a Acciona Construcción, S.A.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Acionistas</w:t>
      </w:r>
      <w:r>
        <w:rPr>
          <w:sz w:val="22"/>
          <w:szCs w:val="22"/>
        </w:rPr>
        <w:t xml:space="preserve">” </w:t>
      </w:r>
      <w:proofErr w:type="gramStart"/>
      <w:r>
        <w:rPr>
          <w:sz w:val="22"/>
          <w:szCs w:val="22"/>
        </w:rPr>
        <w:t>significa</w:t>
      </w:r>
      <w:proofErr w:type="gramEnd"/>
      <w:r>
        <w:rPr>
          <w:sz w:val="22"/>
          <w:szCs w:val="22"/>
        </w:rPr>
        <w:t xml:space="preserve"> a Acciona Concesiones, a Acciona Construcción e a Linha Universidade.</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Aditamento ao Contrato de Concessão</w:t>
      </w:r>
      <w:r>
        <w:rPr>
          <w:sz w:val="22"/>
          <w:szCs w:val="22"/>
        </w:rPr>
        <w:t xml:space="preserve">” significa o “Termo Aditivo nº </w:t>
      </w:r>
      <w:proofErr w:type="gramStart"/>
      <w:r>
        <w:rPr>
          <w:sz w:val="22"/>
          <w:szCs w:val="22"/>
        </w:rPr>
        <w:t>2 ao Contrato de Concessão Patrocinada nº</w:t>
      </w:r>
      <w:proofErr w:type="gramEnd"/>
      <w:r>
        <w:rPr>
          <w:sz w:val="22"/>
          <w:szCs w:val="22"/>
        </w:rPr>
        <w:t xml:space="preserve"> 015/2013”, celebrado entre a Companhia e o Poder Concedente em [•] de [•] de 2020.</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4C620B" w:rsidRPr="001E66A9" w:rsidRDefault="00E95BE1">
      <w:pPr>
        <w:pStyle w:val="Level4"/>
        <w:widowControl w:val="0"/>
        <w:tabs>
          <w:tab w:val="clear" w:pos="2041"/>
          <w:tab w:val="num" w:pos="851"/>
          <w:tab w:val="num" w:pos="2807"/>
        </w:tabs>
        <w:spacing w:before="140" w:after="0" w:line="276" w:lineRule="auto"/>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rsidR="004C620B" w:rsidRPr="001E66A9" w:rsidRDefault="00E95BE1">
      <w:pPr>
        <w:pStyle w:val="Level4"/>
        <w:widowControl w:val="0"/>
        <w:tabs>
          <w:tab w:val="clear" w:pos="2041"/>
          <w:tab w:val="num" w:pos="851"/>
          <w:tab w:val="num" w:pos="2807"/>
        </w:tabs>
        <w:spacing w:before="140" w:after="0" w:line="276" w:lineRule="auto"/>
        <w:ind w:left="0" w:firstLine="0"/>
        <w:rPr>
          <w:bCs/>
          <w:sz w:val="22"/>
          <w:szCs w:val="22"/>
        </w:rPr>
      </w:pPr>
      <w:r>
        <w:rPr>
          <w:b/>
          <w:sz w:val="22"/>
          <w:szCs w:val="22"/>
        </w:rPr>
        <w:t xml:space="preserve">“AGE Linha Universidade” </w:t>
      </w:r>
      <w:r>
        <w:rPr>
          <w:sz w:val="22"/>
          <w:szCs w:val="22"/>
        </w:rPr>
        <w:t xml:space="preserve">tem o significado previsto na Cláusula </w:t>
      </w:r>
      <w:fldSimple w:instr=" REF _Ref37878694 \r \h  \* MERGEFORMAT ">
        <w:r>
          <w:rPr>
            <w:sz w:val="22"/>
            <w:szCs w:val="22"/>
          </w:rPr>
          <w:t>2.2</w:t>
        </w:r>
      </w:fldSimple>
      <w:r w:rsidR="001068B6" w:rsidRPr="001E66A9">
        <w:rPr>
          <w:sz w:val="22"/>
          <w:szCs w:val="22"/>
        </w:rPr>
        <w:t xml:space="preserve"> abaixo.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8.1.2 abaixo. </w:t>
      </w:r>
    </w:p>
    <w:p w:rsidR="004C620B" w:rsidRPr="001E66A9" w:rsidRDefault="00E95BE1">
      <w:pPr>
        <w:pStyle w:val="Level4"/>
        <w:widowControl w:val="0"/>
        <w:tabs>
          <w:tab w:val="clear" w:pos="2041"/>
          <w:tab w:val="num" w:pos="851"/>
          <w:tab w:val="num" w:pos="2807"/>
        </w:tabs>
        <w:spacing w:before="140" w:after="0" w:line="276" w:lineRule="auto"/>
        <w:ind w:left="0" w:firstLine="0"/>
        <w:rPr>
          <w:b/>
          <w:sz w:val="22"/>
          <w:szCs w:val="22"/>
        </w:rPr>
      </w:pPr>
      <w:r>
        <w:rPr>
          <w:sz w:val="22"/>
          <w:szCs w:val="22"/>
        </w:rPr>
        <w:t xml:space="preserve"> </w:t>
      </w:r>
      <w:r w:rsidR="00605EA1" w:rsidRPr="00605EA1">
        <w:rPr>
          <w:sz w:val="22"/>
          <w:szCs w:val="22"/>
        </w:rPr>
        <w:t>“</w:t>
      </w:r>
      <w:r>
        <w:rPr>
          <w:b/>
          <w:sz w:val="22"/>
          <w:szCs w:val="22"/>
        </w:rPr>
        <w:t>Amortização Obrigatória Parcial</w:t>
      </w:r>
      <w:r w:rsidR="00605EA1" w:rsidRPr="00605EA1">
        <w:rPr>
          <w:sz w:val="22"/>
          <w:szCs w:val="22"/>
        </w:rPr>
        <w:t>”</w:t>
      </w:r>
      <w:r w:rsidR="001068B6" w:rsidRPr="001E66A9">
        <w:rPr>
          <w:sz w:val="22"/>
          <w:szCs w:val="22"/>
        </w:rPr>
        <w:t xml:space="preserve"> tem o significado atribuído na Cláusula </w:t>
      </w:r>
      <w:fldSimple w:instr=" REF _Ref37877429 \r \h  \* MERGEFORMAT ">
        <w:r>
          <w:rPr>
            <w:sz w:val="22"/>
            <w:szCs w:val="22"/>
          </w:rPr>
          <w:t>7.15</w:t>
        </w:r>
      </w:fldSimple>
      <w:r w:rsidR="001068B6" w:rsidRPr="001E66A9">
        <w:rPr>
          <w:sz w:val="22"/>
          <w:szCs w:val="22"/>
        </w:rPr>
        <w:t xml:space="preserve"> abaixo</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ANBIMA</w:t>
      </w:r>
      <w:r>
        <w:rPr>
          <w:sz w:val="22"/>
          <w:szCs w:val="22"/>
        </w:rPr>
        <w:t xml:space="preserve">” significa ANBIMA – Associação Brasileira das Entidades dos </w:t>
      </w:r>
      <w:proofErr w:type="gramStart"/>
      <w:r>
        <w:rPr>
          <w:sz w:val="22"/>
          <w:szCs w:val="22"/>
        </w:rPr>
        <w:t>Mercados Financeiro</w:t>
      </w:r>
      <w:proofErr w:type="gramEnd"/>
      <w:r>
        <w:rPr>
          <w:sz w:val="22"/>
          <w:szCs w:val="22"/>
        </w:rPr>
        <w:t xml:space="preserve"> e de Capitais.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Assembleias Gerais</w:t>
      </w:r>
      <w:r>
        <w:rPr>
          <w:sz w:val="22"/>
          <w:szCs w:val="22"/>
        </w:rPr>
        <w:t xml:space="preserve">” tem o significado previsto na Cláusula </w:t>
      </w:r>
      <w:fldSimple w:instr=" REF _Ref379625198 \r \h  \* MERGEFORMAT ">
        <w:r>
          <w:rPr>
            <w:sz w:val="22"/>
            <w:szCs w:val="22"/>
          </w:rPr>
          <w:t>11.1</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w:t>
      </w:r>
      <w:proofErr w:type="gramStart"/>
      <w:r>
        <w:rPr>
          <w:sz w:val="22"/>
          <w:szCs w:val="22"/>
        </w:rPr>
        <w:t>PricewaterhouseCoopers</w:t>
      </w:r>
      <w:proofErr w:type="gramEnd"/>
      <w:r>
        <w:rPr>
          <w:sz w:val="22"/>
          <w:szCs w:val="22"/>
        </w:rPr>
        <w:t xml:space="preserve"> Auditores Independentes.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B3</w:t>
      </w:r>
      <w:r>
        <w:rPr>
          <w:sz w:val="22"/>
          <w:szCs w:val="22"/>
        </w:rPr>
        <w:t>” significa B3 S.A. – Brasil, Bolsa, Balcão ou B3 S.A. – Brasil, Bolsa, Balcão – Segmento CETIP UTVM, conforme aplicável.</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Banco Liquidante</w:t>
      </w:r>
      <w:r>
        <w:rPr>
          <w:rFonts w:hint="eastAsia"/>
          <w:sz w:val="22"/>
          <w:szCs w:val="22"/>
        </w:rPr>
        <w:t>”</w:t>
      </w:r>
      <w:r>
        <w:rPr>
          <w:rFonts w:hint="eastAsia"/>
          <w:sz w:val="22"/>
          <w:szCs w:val="22"/>
        </w:rPr>
        <w:t xml:space="preserve"> significa [</w:t>
      </w:r>
      <w:r>
        <w:rPr>
          <w:rFonts w:hint="eastAsia"/>
          <w:sz w:val="22"/>
          <w:szCs w:val="22"/>
        </w:rPr>
        <w:t>●</w:t>
      </w:r>
      <w:r>
        <w:rPr>
          <w:rFonts w:hint="eastAsia"/>
          <w:sz w:val="22"/>
          <w:szCs w:val="22"/>
        </w:rPr>
        <w:t xml:space="preserve">], instituição financeira com sede na </w:t>
      </w:r>
      <w:r>
        <w:rPr>
          <w:rFonts w:hint="eastAsia"/>
          <w:sz w:val="22"/>
          <w:szCs w:val="22"/>
        </w:rPr>
        <w:lastRenderedPageBreak/>
        <w:t>Cidade de [</w:t>
      </w:r>
      <w:r>
        <w:rPr>
          <w:rFonts w:hint="eastAsia"/>
          <w:sz w:val="22"/>
          <w:szCs w:val="22"/>
        </w:rPr>
        <w:t>●</w:t>
      </w:r>
      <w:r>
        <w:rPr>
          <w:rFonts w:hint="eastAsia"/>
          <w:sz w:val="22"/>
          <w:szCs w:val="22"/>
        </w:rPr>
        <w:t>], Estado de São Paulo, no [</w:t>
      </w:r>
      <w:r>
        <w:rPr>
          <w:rFonts w:hint="eastAsia"/>
          <w:sz w:val="22"/>
          <w:szCs w:val="22"/>
        </w:rPr>
        <w:t>●</w:t>
      </w:r>
      <w:r>
        <w:rPr>
          <w:rFonts w:hint="eastAsia"/>
          <w:sz w:val="22"/>
          <w:szCs w:val="22"/>
        </w:rPr>
        <w:t>], inscrita no CNPJ sob o n</w:t>
      </w:r>
      <w:r>
        <w:rPr>
          <w:rFonts w:hint="eastAsia"/>
          <w:sz w:val="22"/>
          <w:szCs w:val="22"/>
        </w:rPr>
        <w:t>º</w:t>
      </w:r>
      <w:r>
        <w:rPr>
          <w:rFonts w:hint="eastAsia"/>
          <w:sz w:val="22"/>
          <w:szCs w:val="22"/>
        </w:rPr>
        <w:t> [</w:t>
      </w:r>
      <w:r>
        <w:rPr>
          <w:rFonts w:hint="eastAsia"/>
          <w:sz w:val="22"/>
          <w:szCs w:val="22"/>
        </w:rPr>
        <w:t>●</w:t>
      </w:r>
      <w:r>
        <w:rPr>
          <w:rFonts w:hint="eastAsia"/>
          <w:sz w:val="22"/>
          <w:szCs w:val="22"/>
        </w:rPr>
        <w:t xml:space="preserve">], </w:t>
      </w:r>
      <w:r>
        <w:rPr>
          <w:rFonts w:eastAsia="Arial Unicode MS"/>
          <w:color w:val="000000"/>
          <w:sz w:val="22"/>
          <w:szCs w:val="22"/>
        </w:rPr>
        <w:t>sendo que essa definição inclui qualquer outra instituição que venha a suceder o Banco Liquidante</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iCs/>
          <w:sz w:val="22"/>
          <w:szCs w:val="22"/>
        </w:rPr>
        <w:t>CCBs</w:t>
      </w:r>
      <w:r>
        <w:rPr>
          <w:iCs/>
          <w:sz w:val="22"/>
          <w:szCs w:val="22"/>
        </w:rPr>
        <w:t xml:space="preserve">” significam as Cédulas de Crédito Bancário emitidas pela Companhia em favor dos Credores Existentes, em </w:t>
      </w:r>
      <w:r>
        <w:rPr>
          <w:rFonts w:hint="eastAsia"/>
          <w:sz w:val="22"/>
          <w:szCs w:val="22"/>
        </w:rPr>
        <w:t>[</w:t>
      </w:r>
      <w:r>
        <w:rPr>
          <w:rFonts w:hint="eastAsia"/>
          <w:sz w:val="22"/>
          <w:szCs w:val="22"/>
        </w:rPr>
        <w:t>●</w:t>
      </w:r>
      <w:r>
        <w:rPr>
          <w:rFonts w:hint="eastAsia"/>
          <w:sz w:val="22"/>
          <w:szCs w:val="22"/>
        </w:rPr>
        <w:t>].</w:t>
      </w:r>
      <w:r>
        <w:rPr>
          <w:b/>
          <w:i/>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fldSimple w:instr=" REF _Ref279333767 \n \p \h  \* MERGEFORMAT ">
        <w:r>
          <w:rPr>
            <w:sz w:val="22"/>
            <w:szCs w:val="22"/>
          </w:rPr>
          <w:t>9.1 abaixo</w:t>
        </w:r>
      </w:fldSimple>
      <w:r w:rsidR="001068B6" w:rsidRPr="001E66A9">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ANBIMA</w:t>
      </w:r>
      <w:r>
        <w:rPr>
          <w:sz w:val="22"/>
          <w:szCs w:val="22"/>
        </w:rPr>
        <w:t xml:space="preserve">” significa o “Código ANBIMA de Regulação e Melhores Práticas para Estruturação, Coordenação e Distribuição de Ofertas Públicas de Valores Mobiliários e Ofertas Públicas de Aquisição de Valores Mobiliários”, vigente a partir de </w:t>
      </w:r>
      <w:proofErr w:type="gramStart"/>
      <w:r>
        <w:rPr>
          <w:sz w:val="22"/>
          <w:szCs w:val="22"/>
        </w:rPr>
        <w:t>3</w:t>
      </w:r>
      <w:proofErr w:type="gramEnd"/>
      <w:r>
        <w:rPr>
          <w:sz w:val="22"/>
          <w:szCs w:val="22"/>
        </w:rPr>
        <w:t> de junho de 2019.</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Compartilhamento de Garantias Reais</w:t>
      </w:r>
      <w:r>
        <w:rPr>
          <w:sz w:val="22"/>
          <w:szCs w:val="22"/>
        </w:rPr>
        <w:t>” tem o significado previsto na Cláusula 8.1.3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fldSimple w:instr=" REF _Ref37080392 \r \h  \* MERGEFORMAT ">
        <w:r>
          <w:rPr>
            <w:sz w:val="22"/>
            <w:szCs w:val="22"/>
          </w:rPr>
          <w:t>7.14</w:t>
        </w:r>
      </w:fldSimple>
      <w:r w:rsidR="001068B6" w:rsidRPr="001E66A9">
        <w:rPr>
          <w:sz w:val="22"/>
          <w:szCs w:val="22"/>
        </w:rPr>
        <w:t xml:space="preserve"> abaixo</w:t>
      </w:r>
      <w:r>
        <w:rPr>
          <w:b/>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Concessão</w:t>
      </w:r>
      <w:r>
        <w:rPr>
          <w:sz w:val="22"/>
          <w:szCs w:val="22"/>
        </w:rPr>
        <w:t xml:space="preserve">” tem o significado previsto na Cláusula 4.1. </w:t>
      </w:r>
      <w:proofErr w:type="gramStart"/>
      <w:r>
        <w:rPr>
          <w:sz w:val="22"/>
          <w:szCs w:val="22"/>
        </w:rPr>
        <w:t>abaixo</w:t>
      </w:r>
      <w:proofErr w:type="gramEnd"/>
      <w:r>
        <w:rPr>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Contas Cedidas</w:t>
      </w:r>
      <w:r>
        <w:rPr>
          <w:sz w:val="22"/>
          <w:szCs w:val="22"/>
        </w:rPr>
        <w:t xml:space="preserve">” tem o significado previsto na Cláusula 8.2.1. </w:t>
      </w:r>
      <w:proofErr w:type="gramStart"/>
      <w:r>
        <w:rPr>
          <w:sz w:val="22"/>
          <w:szCs w:val="22"/>
        </w:rPr>
        <w:t>abaixo</w:t>
      </w:r>
      <w:proofErr w:type="gramEnd"/>
      <w:r>
        <w:rPr>
          <w:sz w:val="22"/>
          <w:szCs w:val="22"/>
        </w:rPr>
        <w:t>.</w:t>
      </w:r>
    </w:p>
    <w:p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w:t>
      </w:r>
      <w:r>
        <w:rPr>
          <w:sz w:val="22"/>
          <w:szCs w:val="22"/>
        </w:rPr>
        <w:lastRenderedPageBreak/>
        <w:t>na Cláusula 8.2.2 abaixo.</w:t>
      </w:r>
    </w:p>
    <w:p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Compartilhamento de Garantias</w:t>
      </w:r>
      <w:r>
        <w:rPr>
          <w:sz w:val="22"/>
          <w:szCs w:val="22"/>
        </w:rPr>
        <w:t>” tem o significado previsto na Cláusula 8.2.3 abaixo.</w:t>
      </w:r>
    </w:p>
    <w:p w:rsidR="004C620B"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rsidR="00261921" w:rsidRPr="001E66A9" w:rsidRDefault="0026192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sidR="00605EA1" w:rsidRPr="00605EA1">
        <w:rPr>
          <w:b/>
          <w:sz w:val="22"/>
          <w:szCs w:val="22"/>
        </w:rPr>
        <w:t>Contrato de Cessão</w:t>
      </w:r>
      <w:r>
        <w:rPr>
          <w:sz w:val="22"/>
          <w:szCs w:val="22"/>
        </w:rPr>
        <w:t xml:space="preserve">” </w:t>
      </w:r>
      <w:r w:rsidRPr="00261921">
        <w:rPr>
          <w:sz w:val="22"/>
          <w:szCs w:val="22"/>
        </w:rPr>
        <w:t>significa o</w:t>
      </w:r>
      <w:r>
        <w:rPr>
          <w:sz w:val="22"/>
          <w:szCs w:val="22"/>
        </w:rPr>
        <w:t xml:space="preserve"> “</w:t>
      </w:r>
      <w:r w:rsidRPr="00261921">
        <w:rPr>
          <w:sz w:val="22"/>
          <w:szCs w:val="22"/>
        </w:rPr>
        <w:t>Instrumento Particular de Cessão e Outras Avenças</w:t>
      </w:r>
      <w:r>
        <w:rPr>
          <w:sz w:val="22"/>
          <w:szCs w:val="22"/>
        </w:rPr>
        <w:t xml:space="preserve">” celebrado entre a </w:t>
      </w:r>
      <w:r w:rsidR="004A14C7">
        <w:rPr>
          <w:sz w:val="22"/>
          <w:szCs w:val="22"/>
        </w:rPr>
        <w:t>Companhia</w:t>
      </w:r>
      <w:r>
        <w:rPr>
          <w:sz w:val="22"/>
          <w:szCs w:val="22"/>
        </w:rPr>
        <w:t xml:space="preserve"> e a Concessionária Move São Paulo S.A., entre outras partes, em </w:t>
      </w:r>
      <w:proofErr w:type="gramStart"/>
      <w:r w:rsidR="004A14C7">
        <w:rPr>
          <w:sz w:val="22"/>
          <w:szCs w:val="22"/>
        </w:rPr>
        <w:t>4</w:t>
      </w:r>
      <w:proofErr w:type="gramEnd"/>
      <w:r w:rsidR="004A14C7">
        <w:rPr>
          <w:sz w:val="22"/>
          <w:szCs w:val="22"/>
        </w:rPr>
        <w:t xml:space="preserve"> de fevereiro de 2020.</w:t>
      </w:r>
    </w:p>
    <w:p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Concessão</w:t>
      </w:r>
      <w:r>
        <w:rPr>
          <w:sz w:val="22"/>
          <w:szCs w:val="22"/>
        </w:rPr>
        <w:t xml:space="preserve">” tem o significado previsto na Cláusula </w:t>
      </w:r>
      <w:fldSimple w:instr=" REF _Ref37879059 \r \h  \* MERGEFORMAT ">
        <w:r>
          <w:rPr>
            <w:sz w:val="22"/>
            <w:szCs w:val="22"/>
          </w:rPr>
          <w:t>4.1</w:t>
        </w:r>
      </w:fldSimple>
      <w:r w:rsidR="001068B6" w:rsidRPr="001E66A9">
        <w:rPr>
          <w:sz w:val="22"/>
          <w:szCs w:val="22"/>
        </w:rPr>
        <w:t xml:space="preserve"> abaixo. </w:t>
      </w:r>
    </w:p>
    <w:p w:rsidR="00CA12D7"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sidR="00605EA1" w:rsidRPr="00605EA1">
        <w:rPr>
          <w:b/>
          <w:sz w:val="22"/>
          <w:szCs w:val="22"/>
        </w:rPr>
        <w:t>Contrato EP</w:t>
      </w:r>
      <w:r w:rsidR="006A4BD3" w:rsidRPr="001E66A9">
        <w:rPr>
          <w:b/>
          <w:sz w:val="22"/>
          <w:szCs w:val="22"/>
        </w:rPr>
        <w:t>C</w:t>
      </w:r>
      <w:r>
        <w:rPr>
          <w:sz w:val="22"/>
          <w:szCs w:val="22"/>
        </w:rPr>
        <w:t>” significa o “Engineeri</w:t>
      </w:r>
      <w:r w:rsidR="00605EA1" w:rsidRPr="00605EA1">
        <w:rPr>
          <w:sz w:val="22"/>
          <w:szCs w:val="22"/>
        </w:rPr>
        <w:t>n</w:t>
      </w:r>
      <w:r w:rsidR="009A73D8" w:rsidRPr="001E66A9">
        <w:rPr>
          <w:sz w:val="22"/>
          <w:szCs w:val="22"/>
        </w:rPr>
        <w:t xml:space="preserve">g, Procurement </w:t>
      </w:r>
      <w:r>
        <w:rPr>
          <w:sz w:val="22"/>
          <w:szCs w:val="22"/>
        </w:rPr>
        <w:t>and</w:t>
      </w:r>
      <w:r w:rsidR="00605EA1" w:rsidRPr="00605EA1">
        <w:rPr>
          <w:sz w:val="22"/>
          <w:szCs w:val="22"/>
        </w:rPr>
        <w:t xml:space="preserve"> Construction Contract”, </w:t>
      </w:r>
      <w:r w:rsidR="006A4BD3" w:rsidRPr="001E66A9">
        <w:rPr>
          <w:sz w:val="22"/>
          <w:szCs w:val="22"/>
        </w:rPr>
        <w:t xml:space="preserve">a ser </w:t>
      </w:r>
      <w:r w:rsidR="00605EA1" w:rsidRPr="00605EA1">
        <w:rPr>
          <w:sz w:val="22"/>
          <w:szCs w:val="22"/>
        </w:rPr>
        <w:t xml:space="preserve">celebrado entre a </w:t>
      </w:r>
      <w:r w:rsidR="009A73D8" w:rsidRPr="001E66A9">
        <w:rPr>
          <w:sz w:val="22"/>
          <w:szCs w:val="22"/>
        </w:rPr>
        <w:t xml:space="preserve">Companhia, na qualidade de </w:t>
      </w:r>
      <w:r>
        <w:rPr>
          <w:sz w:val="22"/>
          <w:szCs w:val="22"/>
        </w:rPr>
        <w:t>contratante e a Acciona Constucción, na qualidade de construtora.</w:t>
      </w:r>
    </w:p>
    <w:p w:rsidR="004C620B" w:rsidRPr="001E66A9" w:rsidRDefault="00E95BE1">
      <w:pPr>
        <w:pStyle w:val="Level4"/>
        <w:widowControl w:val="0"/>
        <w:tabs>
          <w:tab w:val="clear" w:pos="2041"/>
          <w:tab w:val="num" w:pos="851"/>
          <w:tab w:val="num" w:pos="1418"/>
        </w:tabs>
        <w:spacing w:before="140" w:after="0" w:line="276" w:lineRule="auto"/>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fldSimple w:instr=" REF _Ref37879943 \r \h  \* MERGEFORMAT ">
        <w:r>
          <w:rPr>
            <w:sz w:val="22"/>
            <w:szCs w:val="22"/>
          </w:rPr>
          <w:t>8.1</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fldSimple w:instr=" REF _Ref37879035 \r \h  \* MERGEFORMAT ">
        <w:r>
          <w:rPr>
            <w:sz w:val="22"/>
            <w:szCs w:val="22"/>
          </w:rPr>
          <w:t>8.2.</w:t>
        </w:r>
      </w:fldSimple>
      <w:r w:rsidR="001068B6" w:rsidRPr="001E66A9">
        <w:rPr>
          <w:sz w:val="22"/>
          <w:szCs w:val="22"/>
        </w:rPr>
        <w:t xml:space="preserve">abaixo.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Coordenador Líder</w:t>
      </w:r>
      <w:r>
        <w:rPr>
          <w:sz w:val="22"/>
          <w:szCs w:val="22"/>
        </w:rPr>
        <w:t xml:space="preserve">” significa a instituição integrante do sistema de </w:t>
      </w:r>
      <w:r>
        <w:rPr>
          <w:sz w:val="22"/>
          <w:szCs w:val="22"/>
        </w:rPr>
        <w:lastRenderedPageBreak/>
        <w:t>distribuição de valores mobiliários contratada para coordenar e intermediar a Oferta, sendo a instituição líder da distribuição.</w:t>
      </w:r>
    </w:p>
    <w:p w:rsidR="004C620B" w:rsidRPr="001E66A9" w:rsidRDefault="00E95BE1">
      <w:pPr>
        <w:pStyle w:val="Level4"/>
        <w:widowControl w:val="0"/>
        <w:tabs>
          <w:tab w:val="clear" w:pos="2041"/>
          <w:tab w:val="num" w:pos="851"/>
          <w:tab w:val="num" w:pos="2807"/>
        </w:tabs>
        <w:spacing w:before="140" w:line="276" w:lineRule="auto"/>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CVM</w:t>
      </w:r>
      <w:r>
        <w:rPr>
          <w:sz w:val="22"/>
          <w:szCs w:val="22"/>
        </w:rPr>
        <w:t>” significa Comissão de Valores Mobiliários.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Emissão</w:t>
      </w:r>
      <w:r>
        <w:rPr>
          <w:sz w:val="22"/>
          <w:szCs w:val="22"/>
        </w:rPr>
        <w:t>” tem o significado previsto na Cláusula </w:t>
      </w:r>
      <w:fldSimple w:instr=" REF _Ref264653840 \r \h  \* MERGEFORMAT ">
        <w:r>
          <w:rPr>
            <w:sz w:val="22"/>
            <w:szCs w:val="22"/>
          </w:rPr>
          <w:t>7.9</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Integralização</w:t>
      </w:r>
      <w:r>
        <w:rPr>
          <w:sz w:val="22"/>
          <w:szCs w:val="22"/>
        </w:rPr>
        <w:t>” tem o significado previsto na Cláusula </w:t>
      </w:r>
      <w:fldSimple w:instr=" REF _Ref529293817 \r \h  \* MERGEFORMAT ">
        <w:r>
          <w:rPr>
            <w:sz w:val="22"/>
            <w:szCs w:val="22"/>
          </w:rPr>
          <w:t>6.3</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Data de Vencimento</w:t>
      </w:r>
      <w:r>
        <w:rPr>
          <w:sz w:val="22"/>
          <w:szCs w:val="22"/>
        </w:rPr>
        <w:t>” tem o significado previsto na Cláusula </w:t>
      </w:r>
      <w:fldSimple w:instr=" REF _Ref272250319 \r \h  \* MERGEFORMAT ">
        <w:r>
          <w:rPr>
            <w:sz w:val="22"/>
            <w:szCs w:val="22"/>
          </w:rPr>
          <w:t>7.10</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fldSimple w:instr=" REF _Ref37878838 \r \h  \* MERGEFORMAT ">
        <w:r>
          <w:rPr>
            <w:sz w:val="22"/>
            <w:szCs w:val="22"/>
          </w:rPr>
          <w:t>2.3</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fldSimple w:instr=" REF _Ref262552287 \r \h  \* MERGEFORMAT ">
        <w:r>
          <w:rPr>
            <w:sz w:val="22"/>
            <w:szCs w:val="22"/>
          </w:rPr>
          <w:t>9.1(i)</w:t>
        </w:r>
      </w:fldSimple>
      <w:r w:rsidR="001068B6" w:rsidRPr="001E66A9">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fldSimple w:instr=" REF _Ref37080392 \r \h  \* MERGEFORMAT ">
        <w:r>
          <w:rPr>
            <w:sz w:val="22"/>
            <w:szCs w:val="22"/>
          </w:rPr>
          <w:t>7.14</w:t>
        </w:r>
      </w:fldSimple>
      <w:r w:rsidR="001068B6" w:rsidRPr="001E66A9">
        <w:rPr>
          <w:sz w:val="22"/>
          <w:szCs w:val="22"/>
        </w:rPr>
        <w:t xml:space="preserve"> abaixo</w:t>
      </w:r>
      <w:r>
        <w:rPr>
          <w:b/>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lastRenderedPageBreak/>
        <w:t>“</w:t>
      </w:r>
      <w:r>
        <w:rPr>
          <w:b/>
          <w:sz w:val="22"/>
          <w:szCs w:val="22"/>
        </w:rPr>
        <w:t>Dia Útil</w:t>
      </w:r>
      <w:r>
        <w:rPr>
          <w:sz w:val="22"/>
          <w:szCs w:val="22"/>
        </w:rPr>
        <w:t xml:space="preserve">” </w:t>
      </w:r>
      <w:bookmarkStart w:id="1" w:name="_Hlk38573230"/>
      <w:r>
        <w:rPr>
          <w:sz w:val="22"/>
          <w:szCs w:val="22"/>
        </w:rPr>
        <w:t>significa (i) com relação a qualquer obrigação pecuniária realizada por meio da B3, e para fins de cálculo, qualquer dia que não seja sábado, domingo ou feriado declarado nacional; (</w:t>
      </w:r>
      <w:proofErr w:type="gramStart"/>
      <w:r>
        <w:rPr>
          <w:sz w:val="22"/>
          <w:szCs w:val="22"/>
        </w:rPr>
        <w:t>ii</w:t>
      </w:r>
      <w:proofErr w:type="gramEnd"/>
      <w:r>
        <w:rPr>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
    </w:p>
    <w:p w:rsidR="006C135E"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sidR="00605EA1" w:rsidRPr="00605EA1">
        <w:rPr>
          <w:b/>
          <w:sz w:val="22"/>
          <w:szCs w:val="22"/>
        </w:rPr>
        <w:t>Distrato EPC</w:t>
      </w:r>
      <w:r w:rsidR="006C135E" w:rsidRPr="001E66A9">
        <w:rPr>
          <w:sz w:val="22"/>
          <w:szCs w:val="22"/>
        </w:rPr>
        <w:t>”</w:t>
      </w:r>
      <w:r>
        <w:rPr>
          <w:sz w:val="22"/>
          <w:szCs w:val="22"/>
        </w:rPr>
        <w:t xml:space="preserve"> significa o Instrumento de Distrato a ser celebrado pela Concessionária Move São Paulo S.A.,</w:t>
      </w:r>
      <w:proofErr w:type="gramStart"/>
      <w:r>
        <w:rPr>
          <w:sz w:val="22"/>
          <w:szCs w:val="22"/>
        </w:rPr>
        <w:t xml:space="preserve">  </w:t>
      </w:r>
      <w:proofErr w:type="gramEnd"/>
      <w:r>
        <w:rPr>
          <w:sz w:val="22"/>
          <w:szCs w:val="22"/>
        </w:rPr>
        <w:t>pelo Consórcio Expresso Linha 6, com interveniência anuência da Companhia e da Acciona Construcción.</w:t>
      </w:r>
    </w:p>
    <w:p w:rsidR="004C620B" w:rsidRPr="001E66A9" w:rsidRDefault="00605EA1">
      <w:pPr>
        <w:pStyle w:val="Level4"/>
        <w:widowControl w:val="0"/>
        <w:tabs>
          <w:tab w:val="clear" w:pos="2041"/>
          <w:tab w:val="num" w:pos="851"/>
          <w:tab w:val="num" w:pos="2807"/>
        </w:tabs>
        <w:spacing w:before="140" w:after="0" w:line="276" w:lineRule="auto"/>
        <w:ind w:left="0" w:firstLine="0"/>
        <w:rPr>
          <w:b/>
          <w:sz w:val="22"/>
          <w:szCs w:val="22"/>
        </w:rPr>
      </w:pPr>
      <w:r w:rsidRPr="00605EA1">
        <w:rPr>
          <w:rFonts w:eastAsia="Arial,Bold"/>
          <w:b/>
          <w:bCs/>
          <w:i/>
          <w:sz w:val="22"/>
          <w:szCs w:val="22"/>
          <w:highlight w:val="yellow"/>
        </w:rPr>
        <w:t xml:space="preserve">[Nota MF: Entendemos não ser aplicável o cumprimento de um covenant financeiro para um financiamento bridge, ainda mais limitando o nível de endividamento da Companhia. A Escritura de Emissão já veda contratação de novos endividamentos pela Companhia (exceto os endividamentos permitidos), outorga de novas garantias pela Companhia, </w:t>
      </w:r>
      <w:r w:rsidR="009477E2" w:rsidRPr="001E66A9">
        <w:rPr>
          <w:rFonts w:eastAsia="Arial,Bold"/>
          <w:b/>
          <w:bCs/>
          <w:i/>
          <w:sz w:val="22"/>
          <w:szCs w:val="22"/>
          <w:highlight w:val="yellow"/>
        </w:rPr>
        <w:t>distribuição de dividendos e/ou redu</w:t>
      </w:r>
      <w:r w:rsidR="00E95BE1">
        <w:rPr>
          <w:rFonts w:eastAsia="Arial,Bold"/>
          <w:b/>
          <w:bCs/>
          <w:i/>
          <w:szCs w:val="22"/>
          <w:highlight w:val="yellow"/>
        </w:rPr>
        <w:t xml:space="preserve">ção de CS, </w:t>
      </w:r>
      <w:r w:rsidRPr="00605EA1">
        <w:rPr>
          <w:rFonts w:eastAsia="Arial,Bold"/>
          <w:b/>
          <w:bCs/>
          <w:i/>
          <w:sz w:val="22"/>
          <w:szCs w:val="22"/>
          <w:highlight w:val="yellow"/>
        </w:rPr>
        <w:t xml:space="preserve">o que já seria uma forma de resguardar os debenturistas.] </w:t>
      </w:r>
      <w:r w:rsidR="001068B6" w:rsidRPr="001E66A9">
        <w:rPr>
          <w:sz w:val="22"/>
          <w:szCs w:val="22"/>
        </w:rPr>
        <w:t>“</w:t>
      </w:r>
      <w:r w:rsidR="00E95BE1">
        <w:rPr>
          <w:b/>
          <w:sz w:val="22"/>
          <w:szCs w:val="22"/>
        </w:rPr>
        <w:t>Dívida de Longo Prazo</w:t>
      </w:r>
      <w:r w:rsidR="00E95BE1">
        <w:rPr>
          <w:sz w:val="22"/>
          <w:szCs w:val="22"/>
        </w:rPr>
        <w:t xml:space="preserve">” tem o significado previsto na Cláusula </w:t>
      </w:r>
      <w:fldSimple w:instr=" REF _Ref37080392 \r \h  \* MERGEFORMAT ">
        <w:r w:rsidR="00E95BE1">
          <w:rPr>
            <w:sz w:val="22"/>
            <w:szCs w:val="22"/>
          </w:rPr>
          <w:t>7.14</w:t>
        </w:r>
      </w:fldSimple>
      <w:r w:rsidR="001068B6" w:rsidRPr="001E66A9">
        <w:rPr>
          <w:sz w:val="22"/>
          <w:szCs w:val="22"/>
        </w:rPr>
        <w:t xml:space="preserve"> abaixo.  </w:t>
      </w:r>
    </w:p>
    <w:p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rPr>
      </w:pPr>
      <w:r w:rsidRPr="001E66A9">
        <w:rPr>
          <w:sz w:val="22"/>
          <w:szCs w:val="22"/>
        </w:rPr>
        <w:t>“</w:t>
      </w:r>
      <w:r w:rsidR="00E95BE1">
        <w:rPr>
          <w:b/>
          <w:sz w:val="22"/>
          <w:szCs w:val="22"/>
        </w:rPr>
        <w:t>DOE</w:t>
      </w:r>
      <w:r w:rsidRPr="001E66A9">
        <w:rPr>
          <w:b/>
          <w:sz w:val="22"/>
          <w:szCs w:val="22"/>
        </w:rPr>
        <w:t>SP</w:t>
      </w:r>
      <w:r w:rsidR="00E95BE1">
        <w:rPr>
          <w:sz w:val="22"/>
          <w:szCs w:val="22"/>
        </w:rPr>
        <w:t>” significa Diário Oficial do Estado de São Paulo.</w:t>
      </w:r>
    </w:p>
    <w:p w:rsidR="004C620B" w:rsidRPr="001E66A9" w:rsidRDefault="00E95BE1">
      <w:pPr>
        <w:pStyle w:val="Level4"/>
        <w:widowControl w:val="0"/>
        <w:tabs>
          <w:tab w:val="clear" w:pos="2041"/>
          <w:tab w:val="num" w:pos="0"/>
          <w:tab w:val="num" w:pos="851"/>
        </w:tabs>
        <w:spacing w:before="140" w:after="0" w:line="276" w:lineRule="auto"/>
        <w:ind w:left="0" w:firstLine="58"/>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w:t>
      </w:r>
      <w:proofErr w:type="gramStart"/>
      <w:r>
        <w:rPr>
          <w:sz w:val="22"/>
          <w:szCs w:val="22"/>
        </w:rPr>
        <w:t>econômico financeira da Emissora e/ou da Garantidora de cumprir qualquer de suas obrigações nos termos desta Escritura de Emissão e/ou dos Contratos de Garantia</w:t>
      </w:r>
      <w:proofErr w:type="gramEnd"/>
      <w:r>
        <w:rPr>
          <w:sz w:val="22"/>
          <w:szCs w:val="22"/>
        </w:rPr>
        <w:t>, conforme o caso.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Emissão</w:t>
      </w:r>
      <w:r>
        <w:rPr>
          <w:sz w:val="22"/>
          <w:szCs w:val="22"/>
        </w:rPr>
        <w:t xml:space="preserve">” significa a emissão das Debêntures nos termos da Lei das </w:t>
      </w:r>
      <w:r>
        <w:rPr>
          <w:sz w:val="22"/>
          <w:szCs w:val="22"/>
        </w:rPr>
        <w:lastRenderedPageBreak/>
        <w:t>Sociedades por Ações.</w:t>
      </w:r>
    </w:p>
    <w:p w:rsidR="00FA2815"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sidR="00605EA1" w:rsidRPr="00605EA1">
        <w:rPr>
          <w:b/>
          <w:sz w:val="22"/>
          <w:szCs w:val="22"/>
        </w:rPr>
        <w:t>Endividamentos Permitidos</w:t>
      </w:r>
      <w:r w:rsidR="00FA2815" w:rsidRPr="001E66A9">
        <w:rPr>
          <w:sz w:val="22"/>
          <w:szCs w:val="22"/>
        </w:rPr>
        <w:t>” significa, em conjunto, o Contra</w:t>
      </w:r>
      <w:r>
        <w:rPr>
          <w:sz w:val="22"/>
          <w:szCs w:val="22"/>
        </w:rPr>
        <w:t>to de Cessão</w:t>
      </w:r>
      <w:r w:rsidR="00FA2815" w:rsidRPr="001E66A9">
        <w:rPr>
          <w:sz w:val="22"/>
          <w:szCs w:val="22"/>
        </w:rPr>
        <w:t>,</w:t>
      </w:r>
      <w:r>
        <w:rPr>
          <w:sz w:val="22"/>
          <w:szCs w:val="22"/>
        </w:rPr>
        <w:t xml:space="preserve"> o Distrato EPC, as CCBs e a Dívida de Longo Prazo.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Encargos Moratórios</w:t>
      </w:r>
      <w:r>
        <w:rPr>
          <w:sz w:val="22"/>
          <w:szCs w:val="22"/>
        </w:rPr>
        <w:t>” tem o significado previsto na Cláusula </w:t>
      </w:r>
      <w:fldSimple w:instr=" REF _Ref279851957 \r \h  \* MERGEFORMAT ">
        <w:r>
          <w:rPr>
            <w:sz w:val="22"/>
            <w:szCs w:val="22"/>
          </w:rPr>
          <w:t>7.20</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Escriturador</w:t>
      </w:r>
      <w:r>
        <w:rPr>
          <w:sz w:val="22"/>
          <w:szCs w:val="22"/>
        </w:rPr>
        <w:t xml:space="preserve">” significa o </w:t>
      </w:r>
      <w:r>
        <w:rPr>
          <w:rFonts w:hint="eastAsia"/>
          <w:sz w:val="22"/>
          <w:szCs w:val="22"/>
        </w:rPr>
        <w:t>[</w:t>
      </w:r>
      <w:r>
        <w:rPr>
          <w:rFonts w:hint="eastAsia"/>
          <w:sz w:val="22"/>
          <w:szCs w:val="22"/>
        </w:rPr>
        <w:t>●</w:t>
      </w:r>
      <w:r>
        <w:rPr>
          <w:rFonts w:hint="eastAsia"/>
          <w:sz w:val="22"/>
          <w:szCs w:val="22"/>
        </w:rPr>
        <w:t>],</w:t>
      </w:r>
      <w:r>
        <w:rPr>
          <w:sz w:val="22"/>
          <w:szCs w:val="22"/>
        </w:rPr>
        <w:t xml:space="preserve"> [</w:t>
      </w:r>
      <w:r>
        <w:rPr>
          <w:sz w:val="22"/>
          <w:szCs w:val="22"/>
          <w:highlight w:val="yellow"/>
        </w:rPr>
        <w:t>qualificação completa</w:t>
      </w:r>
      <w:r>
        <w:rPr>
          <w:sz w:val="22"/>
          <w:szCs w:val="22"/>
        </w:rPr>
        <w:t xml:space="preserve">], </w:t>
      </w:r>
      <w:r>
        <w:rPr>
          <w:rFonts w:eastAsia="Arial Unicode MS"/>
          <w:color w:val="000000"/>
          <w:sz w:val="22"/>
          <w:szCs w:val="22"/>
        </w:rPr>
        <w:t>sendo que essa definição inclui qualquer outra instituição que venha a suceder o Escriturador</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 de Vencimento Antecipado</w:t>
      </w:r>
      <w:r>
        <w:rPr>
          <w:sz w:val="22"/>
          <w:szCs w:val="22"/>
        </w:rPr>
        <w:t>” tem o significado previsto na Cláusula </w:t>
      </w:r>
      <w:fldSimple w:instr=" REF _Ref37878946 \r \h  \* MERGEFORMAT ">
        <w:r>
          <w:rPr>
            <w:sz w:val="22"/>
            <w:szCs w:val="22"/>
          </w:rPr>
          <w:t>7.25</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fldSimple w:instr=" REF _Ref356481657 \r \h  \* MERGEFORMAT ">
        <w:r>
          <w:rPr>
            <w:sz w:val="22"/>
            <w:szCs w:val="22"/>
          </w:rPr>
          <w:t>7.23.1</w:t>
        </w:r>
      </w:fldSimple>
      <w:r w:rsidR="001068B6" w:rsidRPr="001E66A9">
        <w:rPr>
          <w:sz w:val="22"/>
          <w:szCs w:val="22"/>
        </w:rPr>
        <w:t xml:space="preserve"> abaixo</w:t>
      </w:r>
      <w:r>
        <w:rPr>
          <w:b/>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fldSimple w:instr=" REF _Ref356481704 \r \h  \* MERGEFORMAT ">
        <w:r>
          <w:rPr>
            <w:sz w:val="22"/>
            <w:szCs w:val="22"/>
          </w:rPr>
          <w:t>7.23.2</w:t>
        </w:r>
      </w:fldSimple>
      <w:r w:rsidR="001068B6" w:rsidRPr="001E66A9">
        <w:rPr>
          <w:sz w:val="22"/>
          <w:szCs w:val="22"/>
        </w:rPr>
        <w:t xml:space="preserve"> abaixo.</w:t>
      </w:r>
    </w:p>
    <w:p w:rsidR="004C620B" w:rsidRPr="001E66A9" w:rsidRDefault="00E95BE1">
      <w:pPr>
        <w:pStyle w:val="Level4"/>
        <w:widowControl w:val="0"/>
        <w:tabs>
          <w:tab w:val="clear" w:pos="2041"/>
          <w:tab w:val="num" w:pos="0"/>
          <w:tab w:val="num" w:pos="851"/>
        </w:tabs>
        <w:spacing w:before="140" w:after="0" w:line="276" w:lineRule="auto"/>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4C620B" w:rsidRPr="001E66A9" w:rsidRDefault="00E95BE1">
      <w:pPr>
        <w:pStyle w:val="Level4"/>
        <w:widowControl w:val="0"/>
        <w:tabs>
          <w:tab w:val="clear" w:pos="2041"/>
          <w:tab w:val="num" w:pos="0"/>
          <w:tab w:val="num" w:pos="851"/>
        </w:tabs>
        <w:spacing w:before="140" w:after="0" w:line="276" w:lineRule="auto"/>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4C620B" w:rsidRPr="00B56DAE" w:rsidRDefault="00E95BE1">
      <w:pPr>
        <w:pStyle w:val="Level4"/>
        <w:widowControl w:val="0"/>
        <w:tabs>
          <w:tab w:val="clear" w:pos="2041"/>
          <w:tab w:val="num" w:pos="851"/>
          <w:tab w:val="num" w:pos="2807"/>
        </w:tabs>
        <w:spacing w:before="140" w:after="0" w:line="276" w:lineRule="auto"/>
        <w:ind w:left="0" w:firstLine="0"/>
        <w:rPr>
          <w:sz w:val="22"/>
          <w:szCs w:val="22"/>
          <w:lang w:val="es-ES"/>
        </w:rPr>
      </w:pPr>
      <w:r w:rsidRPr="00B56DAE">
        <w:rPr>
          <w:sz w:val="22"/>
          <w:szCs w:val="22"/>
          <w:lang w:val="es-ES"/>
        </w:rPr>
        <w:t>“</w:t>
      </w:r>
      <w:r w:rsidRPr="00B56DAE">
        <w:rPr>
          <w:b/>
          <w:sz w:val="22"/>
          <w:szCs w:val="22"/>
          <w:lang w:val="es-ES"/>
        </w:rPr>
        <w:t>Garantidora</w:t>
      </w:r>
      <w:r w:rsidRPr="00B56DAE">
        <w:rPr>
          <w:sz w:val="22"/>
          <w:szCs w:val="22"/>
          <w:lang w:val="es-ES"/>
        </w:rPr>
        <w:t xml:space="preserve">” significa a </w:t>
      </w:r>
      <w:bookmarkStart w:id="2" w:name="_Hlk38571858"/>
      <w:r w:rsidRPr="00B56DAE">
        <w:rPr>
          <w:sz w:val="22"/>
          <w:szCs w:val="22"/>
          <w:lang w:val="es-ES"/>
        </w:rPr>
        <w:t>Acciona Construcci</w:t>
      </w:r>
      <w:r w:rsidR="001D10A9" w:rsidRPr="00B56DAE">
        <w:rPr>
          <w:sz w:val="22"/>
          <w:szCs w:val="22"/>
          <w:lang w:val="es-ES"/>
        </w:rPr>
        <w:t>ó</w:t>
      </w:r>
      <w:r w:rsidRPr="00B56DAE">
        <w:rPr>
          <w:sz w:val="22"/>
          <w:szCs w:val="22"/>
          <w:lang w:val="es-ES"/>
        </w:rPr>
        <w:t>n</w:t>
      </w:r>
      <w:bookmarkEnd w:id="2"/>
      <w:r w:rsidRPr="00B56DAE">
        <w:rPr>
          <w:sz w:val="22"/>
          <w:szCs w:val="22"/>
          <w:lang w:val="es-ES"/>
        </w:rPr>
        <w:t xml:space="preserve">.  </w:t>
      </w:r>
    </w:p>
    <w:p w:rsidR="004C620B" w:rsidRPr="001E66A9" w:rsidRDefault="001068B6">
      <w:pPr>
        <w:pStyle w:val="Level4"/>
        <w:widowControl w:val="0"/>
        <w:tabs>
          <w:tab w:val="clear" w:pos="2041"/>
          <w:tab w:val="num" w:pos="851"/>
          <w:tab w:val="num" w:pos="2807"/>
        </w:tabs>
        <w:spacing w:before="140" w:after="0" w:line="276" w:lineRule="auto"/>
        <w:ind w:left="0" w:firstLine="0"/>
        <w:rPr>
          <w:sz w:val="22"/>
          <w:szCs w:val="22"/>
        </w:rPr>
      </w:pPr>
      <w:r w:rsidRPr="001E66A9">
        <w:rPr>
          <w:sz w:val="22"/>
          <w:szCs w:val="22"/>
        </w:rPr>
        <w:t>“</w:t>
      </w:r>
      <w:r w:rsidR="00E95BE1">
        <w:rPr>
          <w:b/>
          <w:sz w:val="22"/>
          <w:szCs w:val="22"/>
        </w:rPr>
        <w:t>Instrução CVM 358</w:t>
      </w:r>
      <w:r w:rsidR="00E95BE1">
        <w:rPr>
          <w:sz w:val="22"/>
          <w:szCs w:val="22"/>
        </w:rPr>
        <w:t xml:space="preserve">” significa Instrução da CVM nº 358, de </w:t>
      </w:r>
      <w:proofErr w:type="gramStart"/>
      <w:r w:rsidR="00E95BE1">
        <w:rPr>
          <w:sz w:val="22"/>
          <w:szCs w:val="22"/>
        </w:rPr>
        <w:t>3</w:t>
      </w:r>
      <w:proofErr w:type="gramEnd"/>
      <w:r w:rsidR="00E95BE1">
        <w:rPr>
          <w:sz w:val="22"/>
          <w:szCs w:val="22"/>
        </w:rPr>
        <w:t> de janeiro de 2002,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6A2DB5"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sidR="00605EA1" w:rsidRPr="00605EA1">
        <w:rPr>
          <w:b/>
          <w:sz w:val="22"/>
          <w:szCs w:val="22"/>
        </w:rPr>
        <w:t>Instrução CVM 620</w:t>
      </w:r>
      <w:r w:rsidR="006A2DB5" w:rsidRPr="001E66A9">
        <w:rPr>
          <w:sz w:val="22"/>
          <w:szCs w:val="22"/>
        </w:rPr>
        <w:t xml:space="preserve">” significa a Instrução da CVM nº 620, de </w:t>
      </w:r>
      <w:r>
        <w:rPr>
          <w:sz w:val="22"/>
          <w:szCs w:val="22"/>
        </w:rPr>
        <w:t>17 de março de 2020.</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proofErr w:type="gramStart"/>
      <w:r>
        <w:rPr>
          <w:b/>
          <w:sz w:val="22"/>
          <w:szCs w:val="22"/>
        </w:rPr>
        <w:t>Investidores Qualificados</w:t>
      </w:r>
      <w:r>
        <w:rPr>
          <w:sz w:val="22"/>
          <w:szCs w:val="22"/>
        </w:rPr>
        <w:t>”</w:t>
      </w:r>
      <w:proofErr w:type="gramEnd"/>
      <w:r>
        <w:rPr>
          <w:sz w:val="22"/>
          <w:szCs w:val="22"/>
        </w:rPr>
        <w:t xml:space="preserve"> tem o significado previsto no artigo 9º</w:t>
      </w:r>
      <w:r>
        <w:rPr>
          <w:sz w:val="22"/>
          <w:szCs w:val="22"/>
        </w:rPr>
        <w:noBreakHyphen/>
        <w:t xml:space="preserve">B da </w:t>
      </w:r>
      <w:r>
        <w:rPr>
          <w:sz w:val="22"/>
          <w:szCs w:val="22"/>
        </w:rPr>
        <w:lastRenderedPageBreak/>
        <w:t>Instrução CVM 539.</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JUCE</w:t>
      </w:r>
      <w:r w:rsidR="001068B6" w:rsidRPr="001E66A9">
        <w:rPr>
          <w:b/>
          <w:sz w:val="22"/>
          <w:szCs w:val="22"/>
        </w:rPr>
        <w:t>SP</w:t>
      </w:r>
      <w:r>
        <w:rPr>
          <w:sz w:val="22"/>
          <w:szCs w:val="22"/>
        </w:rPr>
        <w:t>” significa Junta Comercial do Estado de São Paulo.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Legislação Anticorrupção</w:t>
      </w:r>
      <w:r>
        <w:rPr>
          <w:sz w:val="22"/>
          <w:szCs w:val="22"/>
        </w:rPr>
        <w:t>” significam as disposições legais e regulamentares relacionadas à prática de corrupção e atos lesivos à administração pública e ao patrimônio público, incluindo</w:t>
      </w:r>
      <w:proofErr w:type="gramStart"/>
      <w:r>
        <w:rPr>
          <w:sz w:val="22"/>
          <w:szCs w:val="22"/>
        </w:rPr>
        <w:t xml:space="preserve"> mas</w:t>
      </w:r>
      <w:proofErr w:type="gramEnd"/>
      <w:r>
        <w:rPr>
          <w:sz w:val="22"/>
          <w:szCs w:val="22"/>
        </w:rPr>
        <w:t xml:space="preserve">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Lei do Mercado de Valores Mobiliários</w:t>
      </w:r>
      <w:r>
        <w:rPr>
          <w:sz w:val="22"/>
          <w:szCs w:val="22"/>
        </w:rPr>
        <w:t xml:space="preserve">” significa a Lei nº 6.385, de </w:t>
      </w:r>
      <w:proofErr w:type="gramStart"/>
      <w:r>
        <w:rPr>
          <w:sz w:val="22"/>
          <w:szCs w:val="22"/>
        </w:rPr>
        <w:t>7</w:t>
      </w:r>
      <w:proofErr w:type="gramEnd"/>
      <w:r>
        <w:rPr>
          <w:sz w:val="22"/>
          <w:szCs w:val="22"/>
        </w:rPr>
        <w:t> de dezembro de 1976, conforme alterada.</w:t>
      </w:r>
    </w:p>
    <w:p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r>
        <w:rPr>
          <w:iCs/>
          <w:sz w:val="22"/>
          <w:szCs w:val="22"/>
        </w:rPr>
        <w:t>“</w:t>
      </w:r>
      <w:r>
        <w:rPr>
          <w:b/>
          <w:iCs/>
          <w:sz w:val="22"/>
          <w:szCs w:val="22"/>
        </w:rPr>
        <w:t>Linha Universidade</w:t>
      </w:r>
      <w:r>
        <w:rPr>
          <w:iCs/>
          <w:sz w:val="22"/>
          <w:szCs w:val="22"/>
        </w:rPr>
        <w:t xml:space="preserve">” significa a </w:t>
      </w:r>
      <w:proofErr w:type="gramStart"/>
      <w:r>
        <w:rPr>
          <w:iCs/>
          <w:sz w:val="22"/>
          <w:szCs w:val="22"/>
        </w:rPr>
        <w:t>“Linha Universidade Investimentos S.A.</w:t>
      </w:r>
    </w:p>
    <w:p w:rsidR="004C620B" w:rsidRPr="001E66A9" w:rsidRDefault="00E95BE1">
      <w:pPr>
        <w:pStyle w:val="Level4"/>
        <w:widowControl w:val="0"/>
        <w:tabs>
          <w:tab w:val="clear" w:pos="2041"/>
          <w:tab w:val="num" w:pos="851"/>
          <w:tab w:val="num" w:pos="2807"/>
        </w:tabs>
        <w:spacing w:before="140" w:after="0" w:line="276" w:lineRule="auto"/>
        <w:ind w:left="0" w:firstLine="0"/>
        <w:rPr>
          <w:iCs/>
          <w:sz w:val="22"/>
          <w:szCs w:val="22"/>
        </w:rPr>
      </w:pPr>
      <w:proofErr w:type="gramEnd"/>
      <w:r>
        <w:rPr>
          <w:iCs/>
          <w:sz w:val="22"/>
          <w:szCs w:val="22"/>
        </w:rPr>
        <w:t>“</w:t>
      </w:r>
      <w:r>
        <w:rPr>
          <w:b/>
          <w:iCs/>
          <w:sz w:val="22"/>
          <w:szCs w:val="22"/>
        </w:rPr>
        <w:t>MDA</w:t>
      </w:r>
      <w:r>
        <w:rPr>
          <w:iCs/>
          <w:sz w:val="22"/>
          <w:szCs w:val="22"/>
        </w:rPr>
        <w:t>” significa MDA – Módulo de Distribuição de Ativos, administrado e operacionalizado pela B3.</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fldSimple w:instr=" REF _Ref37080663 \r \h  \* MERGEFORMAT ">
        <w:r>
          <w:rPr>
            <w:sz w:val="22"/>
            <w:szCs w:val="22"/>
          </w:rPr>
          <w:t>8.1</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lastRenderedPageBreak/>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Projeto</w:t>
      </w:r>
      <w:r>
        <w:rPr>
          <w:sz w:val="22"/>
          <w:szCs w:val="22"/>
        </w:rPr>
        <w:t xml:space="preserve">” tem o significado previsto na Cláusula 4.1. </w:t>
      </w:r>
      <w:proofErr w:type="gramStart"/>
      <w:r>
        <w:rPr>
          <w:sz w:val="22"/>
          <w:szCs w:val="22"/>
        </w:rPr>
        <w:t>abaixo</w:t>
      </w:r>
      <w:proofErr w:type="gramEnd"/>
      <w:r>
        <w:rPr>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Recebíveis</w:t>
      </w:r>
      <w:r>
        <w:rPr>
          <w:sz w:val="22"/>
          <w:szCs w:val="22"/>
        </w:rPr>
        <w:t xml:space="preserve">” tem o significado previsto na Cláusula </w:t>
      </w:r>
      <w:fldSimple w:instr=" REF _Ref37080690 \r \h  \* MERGEFORMAT ">
        <w:r>
          <w:rPr>
            <w:sz w:val="22"/>
            <w:szCs w:val="22"/>
          </w:rPr>
          <w:t>8.1.1</w:t>
        </w:r>
      </w:fldSimple>
      <w:r w:rsidR="001068B6" w:rsidRPr="001E66A9">
        <w:rPr>
          <w:sz w:val="22"/>
          <w:szCs w:val="22"/>
        </w:rPr>
        <w:t xml:space="preserve"> </w:t>
      </w:r>
      <w:r>
        <w:rPr>
          <w:sz w:val="22"/>
          <w:szCs w:val="22"/>
        </w:rPr>
        <w:t>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Remuneração</w:t>
      </w:r>
      <w:r>
        <w:rPr>
          <w:sz w:val="22"/>
          <w:szCs w:val="22"/>
        </w:rPr>
        <w:t>" tem o significado previsto na Cláusula </w:t>
      </w:r>
      <w:fldSimple w:instr=" REF _Ref328665579 \r \h  \* MERGEFORMAT ">
        <w:r>
          <w:rPr>
            <w:sz w:val="22"/>
            <w:szCs w:val="22"/>
          </w:rPr>
          <w:t>7.12.2</w:t>
        </w:r>
      </w:fldSimple>
      <w:r w:rsidR="001068B6" w:rsidRPr="001E66A9">
        <w:rPr>
          <w:sz w:val="22"/>
          <w:szCs w:val="22"/>
        </w:rPr>
        <w:t xml:space="preserve"> abaixo.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fldSimple w:instr=" REF _Ref37080779 \r \h  \* MERGEFORMAT ">
        <w:r>
          <w:rPr>
            <w:sz w:val="22"/>
            <w:szCs w:val="22"/>
          </w:rPr>
          <w:t>7.23.2(i)</w:t>
        </w:r>
      </w:fldSimple>
      <w:r w:rsidR="001068B6" w:rsidRPr="001E66A9">
        <w:rPr>
          <w:sz w:val="22"/>
          <w:szCs w:val="22"/>
        </w:rPr>
        <w:t xml:space="preserve"> ab</w:t>
      </w:r>
      <w:r>
        <w:rPr>
          <w:sz w:val="22"/>
          <w:szCs w:val="22"/>
        </w:rPr>
        <w:t>aixo.</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 xml:space="preserve"> “</w:t>
      </w:r>
      <w:r>
        <w:rPr>
          <w:b/>
          <w:sz w:val="22"/>
          <w:szCs w:val="22"/>
        </w:rPr>
        <w:t>Resgate Antecipado Obrigatório</w:t>
      </w:r>
      <w:r w:rsidR="00605EA1" w:rsidRPr="00605EA1">
        <w:rPr>
          <w:sz w:val="22"/>
          <w:szCs w:val="22"/>
        </w:rPr>
        <w:t>”</w:t>
      </w:r>
      <w:r w:rsidR="001068B6" w:rsidRPr="001E66A9">
        <w:rPr>
          <w:b/>
          <w:sz w:val="22"/>
          <w:szCs w:val="22"/>
        </w:rPr>
        <w:t xml:space="preserve"> </w:t>
      </w:r>
      <w:r>
        <w:rPr>
          <w:sz w:val="22"/>
          <w:szCs w:val="22"/>
        </w:rPr>
        <w:t xml:space="preserve">tem o significado previsto na Cláusula </w:t>
      </w:r>
      <w:fldSimple w:instr=" REF _Ref37080392 \r \h  \* MERGEFORMAT ">
        <w:r>
          <w:rPr>
            <w:sz w:val="22"/>
            <w:szCs w:val="22"/>
          </w:rPr>
          <w:t>7.14</w:t>
        </w:r>
      </w:fldSimple>
      <w:r w:rsidR="001068B6" w:rsidRPr="001E66A9">
        <w:rPr>
          <w:sz w:val="22"/>
          <w:szCs w:val="22"/>
        </w:rPr>
        <w:t xml:space="preserve"> abaixo.</w:t>
      </w:r>
      <w:r>
        <w:rPr>
          <w:b/>
          <w:sz w:val="22"/>
          <w:szCs w:val="22"/>
        </w:rPr>
        <w:t xml:space="preserve">  </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b/>
          <w:sz w:val="22"/>
          <w:szCs w:val="22"/>
        </w:rPr>
        <w:t>“Sanções</w:t>
      </w:r>
      <w:r>
        <w:rPr>
          <w:sz w:val="22"/>
          <w:szCs w:val="22"/>
        </w:rPr>
        <w:t>” significa quaisquer leis, regulações, ordens, diretivas, licenças, decisões ou medidas restritivas relacionadas a sanções econômicas ou financeiras ou restrições adotadas, impostas, promulgadas, administradas ou aplicadas de tempos em tempos pelo Conselho de Segurança das Nações Unidas, os Estados Unidos da América (incluindo</w:t>
      </w:r>
      <w:proofErr w:type="gramStart"/>
      <w:r>
        <w:rPr>
          <w:sz w:val="22"/>
          <w:szCs w:val="22"/>
        </w:rPr>
        <w:t xml:space="preserve"> mas</w:t>
      </w:r>
      <w:proofErr w:type="gramEnd"/>
      <w:r>
        <w:rPr>
          <w:sz w:val="22"/>
          <w:szCs w:val="22"/>
        </w:rPr>
        <w:t xml:space="preserve">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xml:space="preserve">), a União Europeia ou os seus Estados-membros, o Reino Unido para proibir ou restringir negócios, ou impor consequências adversas em relação a negócios com certos países, territórios, governos, indivíduos, grupos, companhias, embarcações ou outras entidades. </w:t>
      </w:r>
      <w:bookmarkStart w:id="3" w:name="_Hlk38573595"/>
      <w:r w:rsidR="00605EA1" w:rsidRPr="00605EA1">
        <w:rPr>
          <w:b/>
          <w:i/>
          <w:sz w:val="22"/>
          <w:szCs w:val="22"/>
          <w:highlight w:val="yellow"/>
        </w:rPr>
        <w:t>[Nota MF: Pendente revisão Acciona.</w:t>
      </w:r>
      <w:proofErr w:type="gramStart"/>
      <w:r w:rsidR="00605EA1" w:rsidRPr="00605EA1">
        <w:rPr>
          <w:b/>
          <w:i/>
          <w:sz w:val="22"/>
          <w:szCs w:val="22"/>
          <w:highlight w:val="yellow"/>
        </w:rPr>
        <w:t>]</w:t>
      </w:r>
      <w:bookmarkEnd w:id="3"/>
      <w:proofErr w:type="gramEnd"/>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4C620B" w:rsidRPr="001E66A9" w:rsidRDefault="00E95BE1">
      <w:pPr>
        <w:pStyle w:val="Level4"/>
        <w:widowControl w:val="0"/>
        <w:tabs>
          <w:tab w:val="clear" w:pos="2041"/>
          <w:tab w:val="num" w:pos="851"/>
          <w:tab w:val="num" w:pos="2807"/>
        </w:tabs>
        <w:spacing w:before="140" w:after="0" w:line="276" w:lineRule="auto"/>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 xml:space="preserve">over </w:t>
      </w:r>
      <w:proofErr w:type="gramStart"/>
      <w:r>
        <w:rPr>
          <w:i/>
          <w:sz w:val="22"/>
          <w:szCs w:val="22"/>
        </w:rPr>
        <w:t>extra-grupo</w:t>
      </w:r>
      <w:proofErr w:type="gramEnd"/>
      <w:r>
        <w:rPr>
          <w:sz w:val="22"/>
          <w:szCs w:val="22"/>
        </w:rPr>
        <w:t>", expressas na forma percentual ao ano, base 252 (duzentos e cinquenta e dois) dias úteis, calculadas e divulgadas diariamente pela B3, no informativo diário disponível em sua página na Internet (</w:t>
      </w:r>
      <w:r>
        <w:rPr>
          <w:rStyle w:val="Hyperlink"/>
          <w:sz w:val="22"/>
          <w:szCs w:val="22"/>
        </w:rPr>
        <w:t>http://www.b3.com.br</w:t>
      </w:r>
      <w:r w:rsidR="00605EA1" w:rsidRPr="00605EA1">
        <w:rPr>
          <w:sz w:val="22"/>
          <w:szCs w:val="22"/>
        </w:rPr>
        <w:t>).</w:t>
      </w:r>
    </w:p>
    <w:p w:rsidR="004C620B" w:rsidRPr="001E66A9" w:rsidRDefault="00605EA1">
      <w:pPr>
        <w:pStyle w:val="Level4"/>
        <w:widowControl w:val="0"/>
        <w:tabs>
          <w:tab w:val="clear" w:pos="2041"/>
          <w:tab w:val="num" w:pos="851"/>
          <w:tab w:val="num" w:pos="2807"/>
        </w:tabs>
        <w:spacing w:before="140" w:after="0" w:line="276" w:lineRule="auto"/>
        <w:ind w:left="0" w:firstLine="0"/>
        <w:rPr>
          <w:sz w:val="22"/>
          <w:szCs w:val="22"/>
        </w:rPr>
      </w:pPr>
      <w:r w:rsidRPr="00605EA1">
        <w:rPr>
          <w:sz w:val="22"/>
          <w:szCs w:val="22"/>
        </w:rPr>
        <w:lastRenderedPageBreak/>
        <w:t xml:space="preserve"> “</w:t>
      </w:r>
      <w:r w:rsidRPr="00605EA1">
        <w:rPr>
          <w:b/>
          <w:sz w:val="22"/>
          <w:szCs w:val="22"/>
        </w:rPr>
        <w:t>Valor do Resgate Obrigatório</w:t>
      </w:r>
      <w:r w:rsidRPr="00605EA1">
        <w:rPr>
          <w:sz w:val="22"/>
          <w:szCs w:val="22"/>
        </w:rPr>
        <w:t xml:space="preserve">” tem o significado previsto na Cláusula </w:t>
      </w:r>
      <w:fldSimple w:instr=" REF _Ref37080739 \r \h  \* MERGEFORMAT ">
        <w:r w:rsidRPr="00605EA1">
          <w:rPr>
            <w:sz w:val="22"/>
            <w:szCs w:val="22"/>
          </w:rPr>
          <w:t>7.14.2</w:t>
        </w:r>
      </w:fldSimple>
      <w:r w:rsidR="001068B6" w:rsidRPr="001E66A9">
        <w:rPr>
          <w:sz w:val="22"/>
          <w:szCs w:val="22"/>
        </w:rPr>
        <w:t xml:space="preserve"> a</w:t>
      </w:r>
      <w:r w:rsidRPr="00605EA1">
        <w:rPr>
          <w:sz w:val="22"/>
          <w:szCs w:val="22"/>
        </w:rPr>
        <w:t xml:space="preserve">baixo.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sz w:val="22"/>
          <w:szCs w:val="22"/>
        </w:rPr>
        <w:t>“</w:t>
      </w:r>
      <w:r w:rsidRPr="00605EA1">
        <w:rPr>
          <w:b/>
          <w:sz w:val="22"/>
          <w:szCs w:val="22"/>
        </w:rPr>
        <w:t>Valor Nominal Unitário</w:t>
      </w:r>
      <w:r w:rsidRPr="00605EA1">
        <w:rPr>
          <w:sz w:val="22"/>
          <w:szCs w:val="22"/>
        </w:rPr>
        <w:t>" tem o significado previsto na Cláusula </w:t>
      </w:r>
      <w:fldSimple w:instr=" REF _Ref264653613 \r \h  \* MERGEFORMAT ">
        <w:r w:rsidRPr="00605EA1">
          <w:rPr>
            <w:sz w:val="22"/>
            <w:szCs w:val="22"/>
          </w:rPr>
          <w:t>7.4</w:t>
        </w:r>
      </w:fldSimple>
      <w:r w:rsidR="001068B6" w:rsidRPr="001E66A9">
        <w:rPr>
          <w:sz w:val="22"/>
          <w:szCs w:val="22"/>
        </w:rPr>
        <w:t xml:space="preserve"> abaixo.</w:t>
      </w:r>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4" w:name="_Ref532040236"/>
      <w:r w:rsidRPr="00605EA1">
        <w:rPr>
          <w:smallCaps/>
        </w:rPr>
        <w:t>AUTORIZAÇÕES</w:t>
      </w:r>
    </w:p>
    <w:bookmarkEnd w:id="4"/>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xml:space="preserve">] </w:t>
      </w:r>
      <w:r w:rsidR="001068B6" w:rsidRPr="001E66A9">
        <w:rPr>
          <w:rFonts w:cs="Arial"/>
          <w:sz w:val="22"/>
          <w:szCs w:val="22"/>
        </w:rPr>
        <w:t>de 2020 (“</w:t>
      </w:r>
      <w:r w:rsidRPr="00605EA1">
        <w:rPr>
          <w:rFonts w:cs="Arial"/>
          <w:b/>
          <w:sz w:val="22"/>
          <w:szCs w:val="22"/>
        </w:rPr>
        <w:t>AGE Companhia</w:t>
      </w:r>
      <w:r w:rsidRPr="00605EA1">
        <w:rPr>
          <w:rFonts w:cs="Arial"/>
          <w:sz w:val="22"/>
          <w:szCs w:val="22"/>
        </w:rPr>
        <w:t>”).</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5" w:name="_Ref37878694"/>
      <w:r w:rsidRPr="00605EA1">
        <w:rPr>
          <w:rFonts w:cs="Arial"/>
          <w:sz w:val="22"/>
          <w:szCs w:val="22"/>
        </w:rPr>
        <w:t>A constituição da Alienação Fiduciária de Ações, bem como a celebração do Contrato de Alienação Fiduciária de Ações será realizada com base nas deliberações da assembleia geral de acionistas da Linha Universidade realizada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xml:space="preserve">] </w:t>
      </w:r>
      <w:r w:rsidR="001068B6" w:rsidRPr="001E66A9">
        <w:rPr>
          <w:rFonts w:cs="Arial"/>
          <w:sz w:val="22"/>
          <w:szCs w:val="22"/>
        </w:rPr>
        <w:t>de 2020 (“</w:t>
      </w:r>
      <w:r w:rsidRPr="00605EA1">
        <w:rPr>
          <w:rFonts w:cs="Arial"/>
          <w:b/>
          <w:sz w:val="22"/>
          <w:szCs w:val="22"/>
        </w:rPr>
        <w:t>AGE Linha Universidade</w:t>
      </w:r>
      <w:r w:rsidRPr="00605EA1">
        <w:rPr>
          <w:rFonts w:cs="Arial"/>
          <w:sz w:val="22"/>
          <w:szCs w:val="22"/>
        </w:rPr>
        <w:t>").</w:t>
      </w:r>
      <w:bookmarkEnd w:id="5"/>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6" w:name="_Hlk38570429"/>
      <w:r w:rsidRPr="00605EA1">
        <w:rPr>
          <w:rFonts w:cs="Arial"/>
          <w:sz w:val="22"/>
          <w:szCs w:val="22"/>
        </w:rPr>
        <w:t>A constituição da Garantia Fidejussória será realizada com base nas deliberações da Acciona Construcción tomadas em sede de [</w:t>
      </w:r>
      <w:r w:rsidRPr="00605EA1">
        <w:rPr>
          <w:rFonts w:cs="Arial" w:hint="eastAsia"/>
          <w:sz w:val="22"/>
          <w:szCs w:val="22"/>
        </w:rPr>
        <w:t>●</w:t>
      </w:r>
      <w:r w:rsidRPr="00605EA1">
        <w:rPr>
          <w:rFonts w:cs="Arial"/>
          <w:sz w:val="22"/>
          <w:szCs w:val="22"/>
        </w:rPr>
        <w:t>], realizada em [</w:t>
      </w:r>
      <w:r w:rsidRPr="00605EA1">
        <w:rPr>
          <w:rFonts w:cs="Arial" w:hint="eastAsia"/>
          <w:sz w:val="22"/>
          <w:szCs w:val="22"/>
        </w:rPr>
        <w:t>●</w:t>
      </w:r>
      <w:r w:rsidRPr="00605EA1">
        <w:rPr>
          <w:rFonts w:cs="Arial"/>
          <w:sz w:val="22"/>
          <w:szCs w:val="22"/>
        </w:rPr>
        <w:t>].</w:t>
      </w:r>
      <w:bookmarkEnd w:id="6"/>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7" w:name="_Ref330905317"/>
      <w:r w:rsidRPr="00605EA1">
        <w:rPr>
          <w:smallCaps/>
        </w:rPr>
        <w:t>REQUISITOS</w:t>
      </w:r>
      <w:bookmarkEnd w:id="7"/>
    </w:p>
    <w:p w:rsidR="004C620B" w:rsidRPr="001E66A9" w:rsidRDefault="00605EA1">
      <w:pPr>
        <w:pStyle w:val="Level2"/>
        <w:widowControl w:val="0"/>
        <w:numPr>
          <w:ilvl w:val="0"/>
          <w:numId w:val="0"/>
        </w:numPr>
        <w:spacing w:before="140" w:after="0" w:line="276" w:lineRule="auto"/>
        <w:rPr>
          <w:rFonts w:cs="Arial"/>
          <w:sz w:val="22"/>
          <w:szCs w:val="22"/>
        </w:rPr>
      </w:pPr>
      <w:bookmarkStart w:id="8" w:name="_Ref376965967"/>
      <w:r w:rsidRPr="00605EA1">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8"/>
    </w:p>
    <w:p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iCs/>
          <w:sz w:val="22"/>
          <w:szCs w:val="22"/>
        </w:rPr>
        <w:t>Arquivamento e publicação das atas dos atos societários</w:t>
      </w:r>
      <w:r w:rsidRPr="00605EA1">
        <w:rPr>
          <w:rFonts w:cs="Arial"/>
          <w:b/>
          <w:iCs/>
          <w:sz w:val="22"/>
          <w:szCs w:val="22"/>
        </w:rPr>
        <w:t>.</w:t>
      </w:r>
      <w:r w:rsidRPr="00605EA1">
        <w:rPr>
          <w:rFonts w:cs="Arial"/>
          <w:b/>
          <w:sz w:val="22"/>
          <w:szCs w:val="22"/>
        </w:rPr>
        <w:t xml:space="preserve"> </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Nos termos do artigo 62, inciso I, e do artigo 289, parágrafo 1</w:t>
      </w:r>
      <w:r w:rsidRPr="00605EA1">
        <w:rPr>
          <w:rFonts w:hint="eastAsia"/>
          <w:sz w:val="22"/>
          <w:szCs w:val="22"/>
        </w:rPr>
        <w:t>º</w:t>
      </w:r>
      <w:r w:rsidRPr="00605EA1">
        <w:rPr>
          <w:sz w:val="22"/>
          <w:szCs w:val="22"/>
        </w:rPr>
        <w:t xml:space="preserve">, da Lei das Sociedades por Ações, a ata da AGE Companhia será arquivada na JUCESP e publicada no DOESP e no jornal </w:t>
      </w:r>
      <w:r w:rsidRPr="00605EA1">
        <w:rPr>
          <w:rFonts w:hint="eastAsia"/>
          <w:sz w:val="22"/>
          <w:szCs w:val="22"/>
        </w:rPr>
        <w:t>“</w:t>
      </w:r>
      <w:r w:rsidRPr="00605EA1">
        <w:rPr>
          <w:sz w:val="22"/>
          <w:szCs w:val="22"/>
        </w:rPr>
        <w:t>[</w:t>
      </w:r>
      <w:r w:rsidRPr="00605EA1">
        <w:rPr>
          <w:rFonts w:hint="eastAsia"/>
          <w:sz w:val="22"/>
          <w:szCs w:val="22"/>
        </w:rPr>
        <w:t>●</w:t>
      </w:r>
      <w:r w:rsidRPr="00605EA1">
        <w:rPr>
          <w:sz w:val="22"/>
          <w:szCs w:val="22"/>
        </w:rPr>
        <w:t>]</w:t>
      </w:r>
      <w:r w:rsidRPr="00605EA1">
        <w:rPr>
          <w:rFonts w:hint="eastAsia"/>
          <w:sz w:val="22"/>
          <w:szCs w:val="22"/>
        </w:rPr>
        <w:t>”</w:t>
      </w:r>
      <w:r w:rsidRPr="00605EA1">
        <w:rPr>
          <w:sz w:val="22"/>
          <w:szCs w:val="22"/>
        </w:rPr>
        <w:t xml:space="preserve">, observado os termos do artigo </w:t>
      </w:r>
      <w:proofErr w:type="gramStart"/>
      <w:r w:rsidRPr="00605EA1">
        <w:rPr>
          <w:sz w:val="22"/>
          <w:szCs w:val="22"/>
        </w:rPr>
        <w:t>6</w:t>
      </w:r>
      <w:proofErr w:type="gramEnd"/>
      <w:r w:rsidRPr="00605EA1">
        <w:rPr>
          <w:sz w:val="22"/>
          <w:szCs w:val="22"/>
        </w:rPr>
        <w:t xml:space="preserve"> da Medida Provisória 931. </w:t>
      </w:r>
    </w:p>
    <w:p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bookmarkStart w:id="9" w:name="_Ref528689374"/>
      <w:bookmarkStart w:id="10" w:name="_Ref411417147"/>
      <w:r w:rsidRPr="00605EA1">
        <w:rPr>
          <w:rFonts w:cs="Arial"/>
          <w:b/>
          <w:i/>
          <w:sz w:val="22"/>
          <w:szCs w:val="22"/>
        </w:rPr>
        <w:t>Inscrição desta Escritura de Emissão e seus aditamentos</w:t>
      </w:r>
      <w:r w:rsidRPr="00605EA1">
        <w:rPr>
          <w:rFonts w:cs="Arial"/>
          <w:b/>
          <w:sz w:val="22"/>
          <w:szCs w:val="22"/>
        </w:rPr>
        <w:t>.</w:t>
      </w:r>
      <w:bookmarkEnd w:id="9"/>
      <w:r w:rsidRPr="00605EA1">
        <w:rPr>
          <w:rFonts w:cs="Arial"/>
          <w:b/>
          <w:sz w:val="22"/>
          <w:szCs w:val="22"/>
        </w:rPr>
        <w:t xml:space="preserve"> </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1" w:name="_Ref528683189"/>
      <w:r w:rsidRPr="00605EA1">
        <w:rPr>
          <w:sz w:val="22"/>
          <w:szCs w:val="22"/>
        </w:rPr>
        <w:t>Nos termos do artigo 62, inciso II e parágrafo 3º, da Lei das Sociedades por Ações, esta Escritura de Emissão e seus aditamentos serão inscritos na JUCE</w:t>
      </w:r>
      <w:bookmarkEnd w:id="10"/>
      <w:bookmarkEnd w:id="11"/>
      <w:r w:rsidR="001068B6" w:rsidRPr="001E66A9">
        <w:rPr>
          <w:sz w:val="22"/>
          <w:szCs w:val="22"/>
        </w:rPr>
        <w:t xml:space="preserve">SP, observado os termos do artigo </w:t>
      </w:r>
      <w:proofErr w:type="gramStart"/>
      <w:r w:rsidR="001068B6" w:rsidRPr="001E66A9">
        <w:rPr>
          <w:sz w:val="22"/>
          <w:szCs w:val="22"/>
        </w:rPr>
        <w:t>6</w:t>
      </w:r>
      <w:proofErr w:type="gramEnd"/>
      <w:r w:rsidR="001068B6" w:rsidRPr="001E66A9">
        <w:rPr>
          <w:sz w:val="22"/>
          <w:szCs w:val="22"/>
        </w:rPr>
        <w:t xml:space="preserve"> da Medida Provisória 931.</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Caso a Companhia não realize, nos termos previstos nesta Escritura de Emissão, as formalidades previstas na Cláusula </w:t>
      </w:r>
      <w:fldSimple w:instr=" REF _Ref528683189 \r \h  \* MERGEFORMAT ">
        <w:r w:rsidRPr="00605EA1">
          <w:rPr>
            <w:sz w:val="22"/>
            <w:szCs w:val="22"/>
          </w:rPr>
          <w:t>3.2.1</w:t>
        </w:r>
      </w:fldSimple>
      <w:r w:rsidR="001068B6" w:rsidRPr="001E66A9">
        <w:rPr>
          <w:sz w:val="22"/>
          <w:szCs w:val="22"/>
        </w:rPr>
        <w:t xml:space="preserve"> acima, o Agente Fiduciário </w:t>
      </w:r>
      <w:r w:rsidR="001068B6" w:rsidRPr="001E66A9">
        <w:rPr>
          <w:sz w:val="22"/>
          <w:szCs w:val="22"/>
        </w:rPr>
        <w:lastRenderedPageBreak/>
        <w:t>fica, desde já, autorizado e constituído de todos os poderes</w:t>
      </w:r>
      <w:r w:rsidRPr="00605EA1">
        <w:rPr>
          <w:sz w:val="22"/>
          <w:szCs w:val="22"/>
        </w:rPr>
        <w:t xml:space="preserve"> para, em nome da Companhia, promover o registro desta Escritura de Emissão e de seus eventuais aditamentos, </w:t>
      </w:r>
      <w:proofErr w:type="gramStart"/>
      <w:r w:rsidRPr="00605EA1">
        <w:rPr>
          <w:sz w:val="22"/>
          <w:szCs w:val="22"/>
        </w:rPr>
        <w:t>às expensas da</w:t>
      </w:r>
      <w:proofErr w:type="gramEnd"/>
      <w:r w:rsidRPr="00605EA1">
        <w:rPr>
          <w:sz w:val="22"/>
          <w:szCs w:val="22"/>
        </w:rPr>
        <w:t xml:space="preserve"> Companhia, nos termos do artigo 62, parágrafo 2º, da Lei das Sociedades por Ações.</w:t>
      </w:r>
    </w:p>
    <w:p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bookmarkStart w:id="12" w:name="_Ref201729546"/>
      <w:bookmarkStart w:id="13" w:name="_Ref500505971"/>
      <w:r w:rsidRPr="00605EA1">
        <w:rPr>
          <w:rFonts w:cs="Arial"/>
          <w:b/>
          <w:i/>
          <w:sz w:val="22"/>
          <w:szCs w:val="22"/>
        </w:rPr>
        <w:t>Depósito para distribuição</w:t>
      </w:r>
      <w:r w:rsidRPr="00605EA1">
        <w:rPr>
          <w:rFonts w:cs="Arial"/>
          <w:b/>
          <w:sz w:val="22"/>
          <w:szCs w:val="22"/>
        </w:rPr>
        <w:t xml:space="preserve">. </w:t>
      </w:r>
    </w:p>
    <w:bookmarkEnd w:id="12"/>
    <w:p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As Debêntures serão depositadas para distribuição no mercado primário por meio do </w:t>
      </w:r>
      <w:r w:rsidRPr="00605EA1">
        <w:rPr>
          <w:iCs/>
          <w:sz w:val="22"/>
          <w:szCs w:val="22"/>
        </w:rPr>
        <w:t xml:space="preserve">MDA, sendo a distribuição </w:t>
      </w:r>
      <w:r w:rsidRPr="00605EA1">
        <w:rPr>
          <w:sz w:val="22"/>
          <w:szCs w:val="22"/>
        </w:rPr>
        <w:t xml:space="preserve">das Debêntures </w:t>
      </w:r>
      <w:r w:rsidRPr="00605EA1">
        <w:rPr>
          <w:iCs/>
          <w:sz w:val="22"/>
          <w:szCs w:val="22"/>
        </w:rPr>
        <w:t>liquidada financeiramente por meio da B3</w:t>
      </w:r>
      <w:r w:rsidRPr="00605EA1">
        <w:rPr>
          <w:sz w:val="22"/>
          <w:szCs w:val="22"/>
        </w:rPr>
        <w:t>;</w:t>
      </w:r>
      <w:bookmarkEnd w:id="13"/>
    </w:p>
    <w:p w:rsidR="004C620B" w:rsidRPr="001E66A9" w:rsidRDefault="00605EA1">
      <w:pPr>
        <w:pStyle w:val="Level2"/>
        <w:keepNext/>
        <w:widowControl w:val="0"/>
        <w:tabs>
          <w:tab w:val="clear" w:pos="680"/>
          <w:tab w:val="num" w:pos="851"/>
        </w:tabs>
        <w:spacing w:before="140" w:after="0" w:line="276" w:lineRule="auto"/>
        <w:ind w:left="0" w:firstLine="0"/>
        <w:rPr>
          <w:rFonts w:cs="Arial"/>
          <w:b/>
          <w:sz w:val="22"/>
          <w:szCs w:val="22"/>
        </w:rPr>
      </w:pPr>
      <w:bookmarkStart w:id="14" w:name="_Ref529290575"/>
      <w:r w:rsidRPr="00605EA1">
        <w:rPr>
          <w:rFonts w:cs="Arial"/>
          <w:b/>
          <w:i/>
          <w:sz w:val="22"/>
          <w:szCs w:val="22"/>
        </w:rPr>
        <w:t>Depósito para negociação e custódia eletrônica</w:t>
      </w:r>
      <w:r w:rsidRPr="00605EA1">
        <w:rPr>
          <w:rFonts w:cs="Arial"/>
          <w:b/>
          <w:sz w:val="22"/>
          <w:szCs w:val="22"/>
        </w:rPr>
        <w:t>.</w:t>
      </w:r>
      <w:bookmarkEnd w:id="14"/>
      <w:r w:rsidRPr="00605EA1">
        <w:rPr>
          <w:rFonts w:cs="Arial"/>
          <w:b/>
          <w:sz w:val="22"/>
          <w:szCs w:val="22"/>
        </w:rPr>
        <w:t xml:space="preserve"> </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5" w:name="_Ref528003806"/>
      <w:r w:rsidRPr="00605EA1">
        <w:rPr>
          <w:sz w:val="22"/>
          <w:szCs w:val="22"/>
        </w:rPr>
        <w:t xml:space="preserve">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w:t>
      </w:r>
      <w:proofErr w:type="gramStart"/>
      <w:r w:rsidRPr="00605EA1">
        <w:rPr>
          <w:sz w:val="22"/>
          <w:szCs w:val="22"/>
        </w:rPr>
        <w:t>4</w:t>
      </w:r>
      <w:proofErr w:type="gramEnd"/>
      <w:r w:rsidRPr="00605EA1">
        <w:rPr>
          <w:sz w:val="22"/>
          <w:szCs w:val="22"/>
        </w:rPr>
        <w:t xml:space="preserve">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5"/>
      <w:r w:rsidRPr="00605EA1">
        <w:rPr>
          <w:sz w:val="22"/>
          <w:szCs w:val="22"/>
        </w:rPr>
        <w:t xml:space="preserve"> </w:t>
      </w:r>
      <w:bookmarkStart w:id="16" w:name="_Ref523149590"/>
    </w:p>
    <w:p w:rsidR="004C620B" w:rsidRPr="001E66A9" w:rsidRDefault="00605EA1">
      <w:pPr>
        <w:pStyle w:val="Level3"/>
        <w:widowControl w:val="0"/>
        <w:tabs>
          <w:tab w:val="clear" w:pos="1361"/>
          <w:tab w:val="num" w:pos="851"/>
        </w:tabs>
        <w:spacing w:before="140" w:after="0" w:line="276" w:lineRule="auto"/>
        <w:ind w:left="0" w:firstLine="0"/>
        <w:rPr>
          <w:sz w:val="22"/>
          <w:szCs w:val="22"/>
        </w:rPr>
      </w:pPr>
      <w:r w:rsidRPr="00605EA1">
        <w:rPr>
          <w:sz w:val="22"/>
          <w:szCs w:val="22"/>
        </w:rPr>
        <w:t xml:space="preserve">Não obstante o disposto na Cláusula </w:t>
      </w:r>
      <w:fldSimple w:instr=" REF _Ref528003806 \r \h  \* MERGEFORMAT ">
        <w:r w:rsidRPr="00605EA1">
          <w:rPr>
            <w:sz w:val="22"/>
            <w:szCs w:val="22"/>
          </w:rPr>
          <w:t>3.4.1</w:t>
        </w:r>
      </w:fldSimple>
      <w:r w:rsidR="001068B6" w:rsidRPr="001E66A9">
        <w:rPr>
          <w:sz w:val="22"/>
          <w:szCs w:val="22"/>
        </w:rPr>
        <w:t xml:space="preserve"> acima, </w:t>
      </w:r>
      <w:bookmarkEnd w:id="16"/>
      <w:r w:rsidRPr="00605EA1">
        <w:rPr>
          <w:color w:val="000000"/>
          <w:sz w:val="22"/>
          <w:szCs w:val="22"/>
        </w:rPr>
        <w:t xml:space="preserve">o prazo de 90 (noventa) dias para </w:t>
      </w:r>
      <w:proofErr w:type="gramStart"/>
      <w:r w:rsidRPr="00605EA1">
        <w:rPr>
          <w:color w:val="000000"/>
          <w:sz w:val="22"/>
          <w:szCs w:val="22"/>
        </w:rPr>
        <w:t>restrição de negociação das Debêntures referido</w:t>
      </w:r>
      <w:proofErr w:type="gramEnd"/>
      <w:r w:rsidRPr="00605EA1">
        <w:rPr>
          <w:color w:val="000000"/>
          <w:sz w:val="22"/>
          <w:szCs w:val="22"/>
        </w:rPr>
        <w:t xml:space="preserve"> acima não será aplicável ao Coordenador Líder para </w:t>
      </w:r>
      <w:r w:rsidRPr="00605EA1">
        <w:rPr>
          <w:sz w:val="22"/>
          <w:szCs w:val="22"/>
        </w:rPr>
        <w:t xml:space="preserve">as Debêntures que tenham sido subscritas e integralizadas pelo </w:t>
      </w:r>
      <w:r w:rsidRPr="00605EA1">
        <w:rPr>
          <w:color w:val="000000"/>
          <w:sz w:val="22"/>
          <w:szCs w:val="22"/>
        </w:rPr>
        <w:t xml:space="preserve">Coordenador Líder </w:t>
      </w:r>
      <w:r w:rsidRPr="00605EA1">
        <w:rPr>
          <w:sz w:val="22"/>
          <w:szCs w:val="22"/>
        </w:rPr>
        <w:t>em razão do exercício da garantia firme de colocação, nos termos do Contrato de Distribuição, observado o disposto nos</w:t>
      </w:r>
      <w:r w:rsidRPr="00605EA1">
        <w:rPr>
          <w:color w:val="000000"/>
          <w:sz w:val="22"/>
          <w:szCs w:val="22"/>
        </w:rPr>
        <w:t xml:space="preserve"> artigos 13 e 15 da Instrução CVM 476</w:t>
      </w:r>
      <w:r w:rsidRPr="00605EA1">
        <w:rPr>
          <w:sz w:val="22"/>
          <w:szCs w:val="22"/>
        </w:rPr>
        <w:t>.</w:t>
      </w:r>
    </w:p>
    <w:p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r w:rsidRPr="00605EA1">
        <w:rPr>
          <w:rFonts w:cs="Arial"/>
          <w:b/>
          <w:i/>
          <w:sz w:val="22"/>
          <w:szCs w:val="22"/>
        </w:rPr>
        <w:t xml:space="preserve">Registro da Oferta pela CVM. </w:t>
      </w:r>
    </w:p>
    <w:p w:rsidR="004C620B" w:rsidRPr="001E66A9" w:rsidRDefault="00605EA1">
      <w:pPr>
        <w:pStyle w:val="Level3"/>
        <w:widowControl w:val="0"/>
        <w:tabs>
          <w:tab w:val="clear" w:pos="1361"/>
          <w:tab w:val="left" w:pos="851"/>
        </w:tabs>
        <w:spacing w:before="140" w:after="0" w:line="276" w:lineRule="auto"/>
        <w:ind w:left="0" w:firstLine="0"/>
        <w:rPr>
          <w:sz w:val="22"/>
          <w:szCs w:val="22"/>
        </w:rPr>
      </w:pPr>
      <w:r w:rsidRPr="00605EA1">
        <w:rPr>
          <w:sz w:val="22"/>
          <w:szCs w:val="22"/>
        </w:rPr>
        <w:t xml:space="preserve">A Oferta está automaticamente dispensada de registro pela CVM, nos termos do artigo 6º da Instrução CVM 476 e do artigo 19, parágrafo 5º, inciso I, da </w:t>
      </w:r>
      <w:r w:rsidRPr="00605EA1">
        <w:rPr>
          <w:sz w:val="22"/>
          <w:szCs w:val="22"/>
        </w:rPr>
        <w:lastRenderedPageBreak/>
        <w:t>Lei do Mercado de Valores Mobiliários, por se tratar de oferta pública de distribuição com esforços restritos.</w:t>
      </w:r>
    </w:p>
    <w:p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sz w:val="22"/>
          <w:szCs w:val="22"/>
        </w:rPr>
        <w:t>Registro da Oferta pela ANBIMA</w:t>
      </w:r>
      <w:r w:rsidRPr="00605EA1">
        <w:rPr>
          <w:rFonts w:cs="Arial"/>
          <w:b/>
          <w:sz w:val="22"/>
          <w:szCs w:val="22"/>
        </w:rPr>
        <w:t xml:space="preserve">. </w:t>
      </w:r>
    </w:p>
    <w:p w:rsidR="004C620B" w:rsidRPr="001E66A9" w:rsidRDefault="00605EA1">
      <w:pPr>
        <w:pStyle w:val="Level3"/>
        <w:widowControl w:val="0"/>
        <w:tabs>
          <w:tab w:val="num" w:pos="851"/>
        </w:tabs>
        <w:spacing w:before="140" w:after="0" w:line="276" w:lineRule="auto"/>
        <w:ind w:left="0" w:firstLine="0"/>
        <w:rPr>
          <w:sz w:val="22"/>
          <w:szCs w:val="22"/>
        </w:rPr>
      </w:pPr>
      <w:r w:rsidRPr="00605EA1">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4C620B" w:rsidRPr="001E66A9" w:rsidRDefault="00605EA1">
      <w:pPr>
        <w:pStyle w:val="Level2"/>
        <w:widowControl w:val="0"/>
        <w:tabs>
          <w:tab w:val="clear" w:pos="680"/>
          <w:tab w:val="num" w:pos="851"/>
        </w:tabs>
        <w:spacing w:before="140" w:after="0" w:line="276" w:lineRule="auto"/>
        <w:ind w:left="0" w:firstLine="0"/>
        <w:rPr>
          <w:rFonts w:cs="Arial"/>
          <w:b/>
          <w:sz w:val="22"/>
          <w:szCs w:val="22"/>
        </w:rPr>
      </w:pPr>
      <w:r w:rsidRPr="00605EA1">
        <w:rPr>
          <w:rFonts w:cs="Arial"/>
          <w:b/>
          <w:i/>
          <w:sz w:val="22"/>
          <w:szCs w:val="22"/>
        </w:rPr>
        <w:t>Registro dos Contratos de Garantia nos Cartórios de Registro de Títulos e Documentos</w:t>
      </w:r>
      <w:r w:rsidRPr="00605EA1">
        <w:rPr>
          <w:rFonts w:cs="Arial"/>
          <w:b/>
          <w:sz w:val="22"/>
          <w:szCs w:val="22"/>
        </w:rPr>
        <w:t xml:space="preserve">. </w:t>
      </w:r>
    </w:p>
    <w:p w:rsidR="004C620B" w:rsidRPr="001E66A9" w:rsidRDefault="00605EA1">
      <w:pPr>
        <w:pStyle w:val="Level3"/>
        <w:widowControl w:val="0"/>
        <w:tabs>
          <w:tab w:val="num" w:pos="851"/>
        </w:tabs>
        <w:spacing w:before="140" w:after="0" w:line="276" w:lineRule="auto"/>
        <w:ind w:left="0" w:firstLine="0"/>
        <w:rPr>
          <w:sz w:val="22"/>
          <w:szCs w:val="22"/>
        </w:rPr>
      </w:pPr>
      <w:r w:rsidRPr="00605EA1">
        <w:rPr>
          <w:sz w:val="22"/>
          <w:szCs w:val="22"/>
        </w:rPr>
        <w:t xml:space="preserve">Os Contratos de Garantia, assim como quaisquer aditamentos subsequentes aos Contratos de Garantia, serão levados </w:t>
      </w:r>
      <w:proofErr w:type="gramStart"/>
      <w:r w:rsidRPr="00605EA1">
        <w:rPr>
          <w:sz w:val="22"/>
          <w:szCs w:val="22"/>
        </w:rPr>
        <w:t>a registro</w:t>
      </w:r>
      <w:proofErr w:type="gramEnd"/>
      <w:r w:rsidRPr="00605EA1">
        <w:rPr>
          <w:sz w:val="22"/>
          <w:szCs w:val="22"/>
        </w:rPr>
        <w:t xml:space="preserve"> no competente Cartório de Registro de Títulos e Documentos, conforme prazos e termos indicados nos respectivos Contratos de Garantia.</w:t>
      </w:r>
    </w:p>
    <w:p w:rsidR="004C620B" w:rsidRPr="001E66A9" w:rsidRDefault="00605EA1" w:rsidP="001068B6">
      <w:pPr>
        <w:pStyle w:val="Level3"/>
        <w:widowControl w:val="0"/>
        <w:tabs>
          <w:tab w:val="num" w:pos="851"/>
        </w:tabs>
        <w:spacing w:before="140" w:after="0" w:line="276" w:lineRule="auto"/>
        <w:ind w:left="0" w:firstLine="0"/>
        <w:rPr>
          <w:sz w:val="22"/>
          <w:szCs w:val="22"/>
        </w:rPr>
      </w:pPr>
      <w:bookmarkStart w:id="17" w:name="_Ref447279616"/>
      <w:r w:rsidRPr="00605EA1">
        <w:rPr>
          <w:sz w:val="22"/>
          <w:szCs w:val="22"/>
        </w:rPr>
        <w:t xml:space="preserve">A Alienação Fiduciária de Ações que vier a ser constituída por meio do Contrato de Alienação Fiduciária de Ações será averbada nos respectivos Livros de Registro de Ações Nominativas da Companhia </w:t>
      </w:r>
      <w:proofErr w:type="gramStart"/>
      <w:r w:rsidRPr="00605EA1">
        <w:rPr>
          <w:sz w:val="22"/>
          <w:szCs w:val="22"/>
        </w:rPr>
        <w:t>e e</w:t>
      </w:r>
      <w:proofErr w:type="gramEnd"/>
      <w:r w:rsidRPr="00605EA1">
        <w:rPr>
          <w:sz w:val="22"/>
          <w:szCs w:val="22"/>
        </w:rPr>
        <w:t xml:space="preserv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7"/>
      <w:r w:rsidRPr="00605EA1">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r w:rsidRPr="00605EA1">
        <w:rPr>
          <w:rFonts w:cs="Arial"/>
          <w:b/>
          <w:i/>
          <w:sz w:val="22"/>
          <w:szCs w:val="22"/>
        </w:rPr>
        <w:t>Eficácia da Garantia Fidejussória</w:t>
      </w:r>
    </w:p>
    <w:p w:rsidR="004C620B" w:rsidRPr="001E66A9" w:rsidRDefault="00605EA1">
      <w:pPr>
        <w:pStyle w:val="Level3"/>
        <w:widowControl w:val="0"/>
        <w:tabs>
          <w:tab w:val="num" w:pos="851"/>
        </w:tabs>
        <w:spacing w:before="140" w:after="0" w:line="276" w:lineRule="auto"/>
        <w:ind w:left="0" w:firstLine="0"/>
        <w:rPr>
          <w:b/>
          <w:i/>
          <w:sz w:val="22"/>
          <w:szCs w:val="22"/>
        </w:rPr>
      </w:pPr>
      <w:bookmarkStart w:id="18" w:name="_Hlk38571142"/>
      <w:r w:rsidRPr="00605EA1">
        <w:rPr>
          <w:sz w:val="22"/>
          <w:szCs w:val="22"/>
        </w:rPr>
        <w:t>A Garantia Fidejussória deverá estar existente, válida e eficaz nos termos das leis estrangeiras aplicáveis.</w:t>
      </w:r>
      <w:bookmarkEnd w:id="18"/>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OBJETO SOCIAL DA COMPANHIA</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9" w:name="_Ref37879059"/>
      <w:r w:rsidRPr="00605EA1">
        <w:rPr>
          <w:rFonts w:cs="Arial"/>
          <w:sz w:val="22"/>
          <w:szCs w:val="22"/>
        </w:rPr>
        <w:t xml:space="preserve">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w:t>
      </w:r>
      <w:r w:rsidRPr="00605EA1">
        <w:rPr>
          <w:rFonts w:cs="Arial"/>
          <w:sz w:val="22"/>
          <w:szCs w:val="22"/>
        </w:rPr>
        <w:lastRenderedPageBreak/>
        <w:t>operação, conservação, manutenção, exploração e expansão da Linha 6 – Laranja (“</w:t>
      </w:r>
      <w:r w:rsidRPr="00605EA1">
        <w:rPr>
          <w:rFonts w:cs="Arial"/>
          <w:b/>
          <w:sz w:val="22"/>
          <w:szCs w:val="22"/>
        </w:rPr>
        <w:t>Projeto</w:t>
      </w:r>
      <w:r w:rsidRPr="00605EA1">
        <w:rPr>
          <w:rFonts w:cs="Arial"/>
          <w:sz w:val="22"/>
          <w:szCs w:val="22"/>
        </w:rPr>
        <w:t>”), nos termos e condições do Contrato de Concessão Patrocinada nº 015/2013, conforme aditado, firmado com o Estado de São Paulo (“</w:t>
      </w:r>
      <w:r w:rsidRPr="00605EA1">
        <w:rPr>
          <w:rFonts w:cs="Arial"/>
          <w:b/>
          <w:sz w:val="22"/>
          <w:szCs w:val="22"/>
        </w:rPr>
        <w:t>Poder Concedente</w:t>
      </w:r>
      <w:r w:rsidRPr="00605EA1">
        <w:rPr>
          <w:rFonts w:cs="Arial"/>
          <w:sz w:val="22"/>
          <w:szCs w:val="22"/>
        </w:rPr>
        <w:t>”), por intermédio da sua Secretaria de Estado dos Transportes Metropolitanos (“</w:t>
      </w:r>
      <w:r w:rsidRPr="00605EA1">
        <w:rPr>
          <w:rFonts w:cs="Arial"/>
          <w:b/>
          <w:sz w:val="22"/>
          <w:szCs w:val="22"/>
        </w:rPr>
        <w:t>STM</w:t>
      </w:r>
      <w:r w:rsidRPr="00605EA1">
        <w:rPr>
          <w:rFonts w:cs="Arial"/>
          <w:sz w:val="22"/>
          <w:szCs w:val="22"/>
        </w:rPr>
        <w:t>”), e a Companhia, em razão do procedimento licitatório promovido pelo Poder Concedente nos termos do Edital de Concessão nº 004/2013 (“</w:t>
      </w:r>
      <w:r w:rsidRPr="00605EA1">
        <w:rPr>
          <w:rFonts w:cs="Arial"/>
          <w:b/>
          <w:sz w:val="22"/>
          <w:szCs w:val="22"/>
        </w:rPr>
        <w:t>Edita</w:t>
      </w:r>
      <w:r w:rsidRPr="00605EA1">
        <w:rPr>
          <w:rFonts w:cs="Arial"/>
          <w:sz w:val="22"/>
          <w:szCs w:val="22"/>
        </w:rPr>
        <w:t>l” e “</w:t>
      </w:r>
      <w:r w:rsidRPr="00605EA1">
        <w:rPr>
          <w:rFonts w:cs="Arial"/>
          <w:b/>
          <w:sz w:val="22"/>
          <w:szCs w:val="22"/>
        </w:rPr>
        <w:t>Contrato de Concessão</w:t>
      </w:r>
      <w:r w:rsidRPr="00605EA1">
        <w:rPr>
          <w:rFonts w:cs="Arial"/>
          <w:sz w:val="22"/>
          <w:szCs w:val="22"/>
        </w:rPr>
        <w:t>”, respectivamente).</w:t>
      </w:r>
      <w:bookmarkEnd w:id="19"/>
    </w:p>
    <w:p w:rsidR="004C620B" w:rsidRPr="001E66A9" w:rsidRDefault="00605EA1">
      <w:pPr>
        <w:pStyle w:val="Level1"/>
        <w:keepNext w:val="0"/>
        <w:keepLines w:val="0"/>
        <w:widowControl w:val="0"/>
        <w:spacing w:before="140" w:after="0" w:line="276" w:lineRule="auto"/>
        <w:ind w:left="0" w:firstLine="0"/>
      </w:pPr>
      <w:bookmarkStart w:id="20" w:name="_Ref368578037"/>
      <w:r w:rsidRPr="00605EA1">
        <w:t>DESTINAÇÃO DOS RECURSOS</w:t>
      </w:r>
      <w:bookmarkEnd w:id="20"/>
    </w:p>
    <w:p w:rsidR="004C620B" w:rsidRPr="001E66A9" w:rsidRDefault="00605EA1">
      <w:pPr>
        <w:pStyle w:val="Level2"/>
        <w:widowControl w:val="0"/>
        <w:tabs>
          <w:tab w:val="clear" w:pos="680"/>
          <w:tab w:val="num" w:pos="851"/>
        </w:tabs>
        <w:spacing w:before="140" w:after="0" w:line="276" w:lineRule="auto"/>
        <w:ind w:left="0" w:firstLine="0"/>
        <w:rPr>
          <w:rFonts w:cs="Arial"/>
          <w:b/>
          <w:i/>
          <w:sz w:val="22"/>
          <w:szCs w:val="22"/>
        </w:rPr>
      </w:pPr>
      <w:bookmarkStart w:id="21" w:name="_Ref264564155"/>
      <w:bookmarkStart w:id="22" w:name="_Ref164254172"/>
      <w:r w:rsidRPr="00605EA1">
        <w:rPr>
          <w:rFonts w:cs="Arial"/>
          <w:sz w:val="22"/>
          <w:szCs w:val="22"/>
        </w:rPr>
        <w:t xml:space="preserve">Os recursos líquidos obtidos pela Companhia com a Emissão serão integralmente utilizados para </w:t>
      </w:r>
      <w:bookmarkEnd w:id="21"/>
      <w:r w:rsidRPr="00605EA1">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sidRPr="00605EA1">
        <w:rPr>
          <w:rFonts w:cs="Arial"/>
          <w:i/>
          <w:sz w:val="22"/>
          <w:szCs w:val="22"/>
        </w:rPr>
        <w:t>capex</w:t>
      </w:r>
      <w:r w:rsidRPr="00605EA1">
        <w:rPr>
          <w:rFonts w:cs="Arial"/>
          <w:sz w:val="22"/>
          <w:szCs w:val="22"/>
        </w:rPr>
        <w:t xml:space="preserve">) no valor total de R$ 705.785.000,00 (setecentos e cinco milhões e setecentos e oitenta e cinco mil reais). </w:t>
      </w:r>
      <w:r w:rsidRPr="00605EA1">
        <w:rPr>
          <w:rFonts w:cs="Arial"/>
          <w:b/>
          <w:i/>
          <w:sz w:val="22"/>
          <w:szCs w:val="22"/>
        </w:rPr>
        <w:t>[</w:t>
      </w:r>
      <w:r w:rsidRPr="00605EA1">
        <w:rPr>
          <w:rFonts w:cs="Arial"/>
          <w:b/>
          <w:i/>
          <w:sz w:val="22"/>
          <w:szCs w:val="22"/>
          <w:highlight w:val="yellow"/>
        </w:rPr>
        <w:t>Nota MF: A ser confirmado pela Acciona.</w:t>
      </w:r>
      <w:proofErr w:type="gramStart"/>
      <w:r w:rsidRPr="00605EA1">
        <w:rPr>
          <w:rFonts w:cs="Arial"/>
          <w:b/>
          <w:i/>
          <w:sz w:val="22"/>
          <w:szCs w:val="22"/>
        </w:rPr>
        <w:t>]</w:t>
      </w:r>
      <w:proofErr w:type="gramEnd"/>
      <w:r w:rsidRPr="00605EA1">
        <w:rPr>
          <w:rFonts w:cs="Arial"/>
          <w:b/>
          <w:i/>
          <w:sz w:val="22"/>
          <w:szCs w:val="22"/>
        </w:rPr>
        <w:t xml:space="preserve"> </w:t>
      </w:r>
    </w:p>
    <w:bookmarkEnd w:id="22"/>
    <w:p w:rsidR="004C620B" w:rsidRPr="001E66A9" w:rsidRDefault="001068B6">
      <w:pPr>
        <w:pStyle w:val="Level1"/>
        <w:keepNext w:val="0"/>
        <w:keepLines w:val="0"/>
        <w:widowControl w:val="0"/>
        <w:tabs>
          <w:tab w:val="clear" w:pos="680"/>
          <w:tab w:val="num" w:pos="851"/>
        </w:tabs>
        <w:spacing w:before="140" w:after="0" w:line="276" w:lineRule="auto"/>
        <w:ind w:left="0" w:firstLine="0"/>
        <w:rPr>
          <w:smallCaps/>
        </w:rPr>
      </w:pPr>
      <w:r w:rsidRPr="001E66A9">
        <w:rPr>
          <w:smallCaps/>
        </w:rPr>
        <w:t>CARACTERÍSTICAS DA OFERTA</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3" w:name="_Ref488943219"/>
      <w:r w:rsidRPr="00605EA1">
        <w:rPr>
          <w:rFonts w:cs="Arial"/>
          <w:i/>
          <w:sz w:val="22"/>
          <w:szCs w:val="22"/>
        </w:rPr>
        <w:t>Colocação</w:t>
      </w:r>
      <w:r w:rsidRPr="00605EA1">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605EA1">
        <w:rPr>
          <w:rFonts w:cs="Arial"/>
          <w:bCs/>
          <w:sz w:val="22"/>
          <w:szCs w:val="22"/>
        </w:rPr>
        <w:t>, e</w:t>
      </w:r>
      <w:r w:rsidRPr="00605EA1">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3"/>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4" w:name="_Ref529268539"/>
      <w:r w:rsidRPr="00605EA1">
        <w:rPr>
          <w:rFonts w:cs="Arial"/>
          <w:i/>
          <w:sz w:val="22"/>
          <w:szCs w:val="22"/>
        </w:rPr>
        <w:t>Prazo de Subscrição</w:t>
      </w:r>
      <w:r w:rsidRPr="00605EA1">
        <w:rPr>
          <w:rFonts w:cs="Arial"/>
          <w:sz w:val="22"/>
          <w:szCs w:val="22"/>
        </w:rPr>
        <w:t xml:space="preserve">. Respeitado o atendimento dos requisitos a que se refere </w:t>
      </w:r>
      <w:proofErr w:type="gramStart"/>
      <w:r w:rsidRPr="00605EA1">
        <w:rPr>
          <w:rFonts w:cs="Arial"/>
          <w:sz w:val="22"/>
          <w:szCs w:val="22"/>
        </w:rPr>
        <w:t>a</w:t>
      </w:r>
      <w:proofErr w:type="gramEnd"/>
      <w:r w:rsidRPr="00605EA1">
        <w:rPr>
          <w:rFonts w:cs="Arial"/>
          <w:sz w:val="22"/>
          <w:szCs w:val="22"/>
        </w:rPr>
        <w:t xml:space="preserve"> Cláusula </w:t>
      </w:r>
      <w:fldSimple w:instr=" REF _Ref330905317 \n \p \h  \* MERGEFORMAT ">
        <w:r w:rsidRPr="00605EA1">
          <w:rPr>
            <w:rFonts w:cs="Arial"/>
            <w:sz w:val="22"/>
            <w:szCs w:val="22"/>
          </w:rPr>
          <w:t>3 acima</w:t>
        </w:r>
      </w:fldSimple>
      <w:r w:rsidR="001068B6" w:rsidRPr="001E66A9">
        <w:rPr>
          <w:rFonts w:cs="Arial"/>
          <w:sz w:val="22"/>
          <w:szCs w:val="22"/>
        </w:rPr>
        <w:t xml:space="preserve">, as Debêntures serão subscritas, a qualquer tempo, a partir da data de início de distribuição da Oferta, no prazo máximo de 24 (vinte e quatro) meses contados da data </w:t>
      </w:r>
      <w:r w:rsidRPr="00605EA1">
        <w:rPr>
          <w:rFonts w:cs="Arial"/>
          <w:sz w:val="22"/>
          <w:szCs w:val="22"/>
        </w:rPr>
        <w:t>de início da Oferta, observado o disposto nos artigos 7º</w:t>
      </w:r>
      <w:r w:rsidRPr="00605EA1">
        <w:rPr>
          <w:rFonts w:cs="Arial"/>
          <w:sz w:val="22"/>
          <w:szCs w:val="22"/>
        </w:rPr>
        <w:noBreakHyphen/>
        <w:t>A, 8º, parágrafo 2º, e 8º-A da Instrução CVM 476.</w:t>
      </w:r>
      <w:bookmarkEnd w:id="24"/>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25" w:name="_Ref312315490"/>
      <w:bookmarkStart w:id="26" w:name="_Ref529293817"/>
      <w:r w:rsidRPr="00605EA1">
        <w:rPr>
          <w:rFonts w:cs="Arial"/>
          <w:i/>
          <w:sz w:val="22"/>
          <w:szCs w:val="22"/>
        </w:rPr>
        <w:t>Forma de Subscrição e de Integralização e Preço de Integralização</w:t>
      </w:r>
      <w:r w:rsidRPr="00605EA1">
        <w:rPr>
          <w:rFonts w:cs="Arial"/>
          <w:sz w:val="22"/>
          <w:szCs w:val="22"/>
        </w:rPr>
        <w:t>. As Debêntures serão subscritas e integralizadas por meio do MDA, sendo a distribuição liquidada financeiramente por meio da B3, por, no máximo, 50 (cinquenta) Investidores Profissionais (a) à vista, no ato da subscrição (“</w:t>
      </w:r>
      <w:r w:rsidRPr="00605EA1">
        <w:rPr>
          <w:rFonts w:cs="Arial"/>
          <w:b/>
          <w:sz w:val="22"/>
          <w:szCs w:val="22"/>
        </w:rPr>
        <w:t>Data de Subscrição</w:t>
      </w:r>
      <w:r w:rsidRPr="00605EA1">
        <w:rPr>
          <w:rFonts w:cs="Arial"/>
          <w:sz w:val="22"/>
          <w:szCs w:val="22"/>
        </w:rPr>
        <w:t>”), e em moeda corrente nacional, pelo Valor Nominal Unitário</w:t>
      </w:r>
      <w:bookmarkEnd w:id="25"/>
      <w:r w:rsidRPr="00605EA1">
        <w:rPr>
          <w:rFonts w:cs="Arial"/>
          <w:sz w:val="22"/>
          <w:szCs w:val="22"/>
        </w:rPr>
        <w:t xml:space="preserve">; ou (b) pelo Valor Nominal Unitário, acrescido da Remuneração, calculada </w:t>
      </w:r>
      <w:r w:rsidRPr="00605EA1">
        <w:rPr>
          <w:rFonts w:cs="Arial"/>
          <w:i/>
          <w:sz w:val="22"/>
          <w:szCs w:val="22"/>
        </w:rPr>
        <w:t>pro rata temporis</w:t>
      </w:r>
      <w:r w:rsidRPr="00605EA1">
        <w:rPr>
          <w:rFonts w:cs="Arial"/>
          <w:sz w:val="22"/>
          <w:szCs w:val="22"/>
        </w:rPr>
        <w:t xml:space="preserve">, desde a Data de Subscrição até a respectiva data de integralização, no </w:t>
      </w:r>
      <w:r w:rsidRPr="00605EA1">
        <w:rPr>
          <w:rFonts w:cs="Arial"/>
          <w:sz w:val="22"/>
          <w:szCs w:val="22"/>
        </w:rPr>
        <w:lastRenderedPageBreak/>
        <w:t xml:space="preserve">caso das integralizações que ocorram após a Data de Subscrição, observado que tais integralizações deverão ocorrer em até </w:t>
      </w:r>
      <w:proofErr w:type="gramStart"/>
      <w:r w:rsidRPr="00605EA1">
        <w:rPr>
          <w:rFonts w:cs="Arial"/>
          <w:sz w:val="22"/>
          <w:szCs w:val="22"/>
        </w:rPr>
        <w:t>1</w:t>
      </w:r>
      <w:proofErr w:type="gramEnd"/>
      <w:r w:rsidRPr="00605EA1">
        <w:rPr>
          <w:rFonts w:cs="Arial"/>
          <w:sz w:val="22"/>
          <w:szCs w:val="22"/>
        </w:rPr>
        <w:t xml:space="preserve"> (um) mês contado da Data de Subscrição, em até [</w:t>
      </w:r>
      <w:r w:rsidRPr="00605EA1">
        <w:rPr>
          <w:rFonts w:cs="Arial" w:hint="eastAsia"/>
          <w:sz w:val="22"/>
          <w:szCs w:val="22"/>
        </w:rPr>
        <w:t>●</w:t>
      </w:r>
      <w:r w:rsidRPr="00605EA1">
        <w:rPr>
          <w:rFonts w:cs="Arial"/>
          <w:sz w:val="22"/>
          <w:szCs w:val="22"/>
        </w:rPr>
        <w:t>] ([</w:t>
      </w:r>
      <w:r w:rsidRPr="00605EA1">
        <w:rPr>
          <w:rFonts w:cs="Arial" w:hint="eastAsia"/>
          <w:sz w:val="22"/>
          <w:szCs w:val="22"/>
        </w:rPr>
        <w:t>●</w:t>
      </w:r>
      <w:r w:rsidRPr="00605EA1">
        <w:rPr>
          <w:rFonts w:cs="Arial"/>
          <w:sz w:val="22"/>
          <w:szCs w:val="22"/>
        </w:rPr>
        <w:t>]) eventos diferentes (cada evento, uma “</w:t>
      </w:r>
      <w:r w:rsidRPr="00605EA1">
        <w:rPr>
          <w:rFonts w:cs="Arial"/>
          <w:b/>
          <w:sz w:val="22"/>
          <w:szCs w:val="22"/>
        </w:rPr>
        <w:t>Data de Integralização</w:t>
      </w:r>
      <w:r w:rsidRPr="00605EA1">
        <w:rPr>
          <w:rFonts w:cs="Arial"/>
          <w:sz w:val="22"/>
          <w:szCs w:val="22"/>
        </w:rPr>
        <w:t>”).</w:t>
      </w:r>
      <w:bookmarkEnd w:id="26"/>
      <w:r w:rsidRPr="00605EA1">
        <w:rPr>
          <w:rFonts w:cs="Arial"/>
          <w:sz w:val="22"/>
          <w:szCs w:val="22"/>
        </w:rPr>
        <w:t xml:space="preserve"> As Datas de Integralização serão as seguintes: </w:t>
      </w:r>
    </w:p>
    <w:p w:rsidR="004C620B" w:rsidRPr="001E66A9" w:rsidRDefault="004C620B">
      <w:pPr>
        <w:pStyle w:val="Level2"/>
        <w:widowControl w:val="0"/>
        <w:numPr>
          <w:ilvl w:val="0"/>
          <w:numId w:val="0"/>
        </w:numPr>
        <w:spacing w:before="140" w:after="0" w:line="276" w:lineRule="auto"/>
        <w:rPr>
          <w:rFonts w:cs="Arial"/>
          <w:sz w:val="22"/>
          <w:szCs w:val="22"/>
        </w:rPr>
      </w:pPr>
    </w:p>
    <w:tbl>
      <w:tblPr>
        <w:tblStyle w:val="Tabelacomgrade"/>
        <w:tblW w:w="0" w:type="auto"/>
        <w:tblInd w:w="680" w:type="dxa"/>
        <w:tblLook w:val="04A0"/>
      </w:tblPr>
      <w:tblGrid>
        <w:gridCol w:w="7740"/>
      </w:tblGrid>
      <w:tr w:rsidR="004C620B" w:rsidRPr="001E66A9">
        <w:tc>
          <w:tcPr>
            <w:tcW w:w="8194" w:type="dxa"/>
          </w:tcPr>
          <w:p w:rsidR="004C620B" w:rsidRPr="001E66A9" w:rsidRDefault="00605EA1">
            <w:pPr>
              <w:pStyle w:val="Level2"/>
              <w:widowControl w:val="0"/>
              <w:numPr>
                <w:ilvl w:val="0"/>
                <w:numId w:val="0"/>
              </w:numPr>
              <w:spacing w:before="140" w:after="0" w:line="276" w:lineRule="auto"/>
              <w:jc w:val="center"/>
              <w:rPr>
                <w:rFonts w:cs="Arial"/>
                <w:b/>
                <w:sz w:val="22"/>
                <w:szCs w:val="22"/>
              </w:rPr>
            </w:pPr>
            <w:r w:rsidRPr="00605EA1">
              <w:rPr>
                <w:rFonts w:cs="Arial"/>
                <w:b/>
                <w:sz w:val="22"/>
                <w:szCs w:val="22"/>
              </w:rPr>
              <w:t>Datas de Integralização</w:t>
            </w:r>
          </w:p>
        </w:tc>
      </w:tr>
      <w:tr w:rsidR="004C620B" w:rsidRPr="001E66A9">
        <w:tc>
          <w:tcPr>
            <w:tcW w:w="8194" w:type="dxa"/>
          </w:tcPr>
          <w:p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Data de Subscrição</w:t>
            </w:r>
          </w:p>
        </w:tc>
      </w:tr>
      <w:tr w:rsidR="004C620B" w:rsidRPr="001E66A9">
        <w:tc>
          <w:tcPr>
            <w:tcW w:w="8194" w:type="dxa"/>
          </w:tcPr>
          <w:p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r w:rsidR="004C620B" w:rsidRPr="001E66A9">
        <w:tc>
          <w:tcPr>
            <w:tcW w:w="8194" w:type="dxa"/>
          </w:tcPr>
          <w:p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r w:rsidR="004C620B" w:rsidRPr="001E66A9">
        <w:tc>
          <w:tcPr>
            <w:tcW w:w="8194" w:type="dxa"/>
          </w:tcPr>
          <w:p w:rsidR="004C620B" w:rsidRPr="001E66A9" w:rsidRDefault="001068B6">
            <w:pPr>
              <w:pStyle w:val="Level2"/>
              <w:widowControl w:val="0"/>
              <w:numPr>
                <w:ilvl w:val="0"/>
                <w:numId w:val="0"/>
              </w:numPr>
              <w:spacing w:before="140" w:after="0" w:line="276" w:lineRule="auto"/>
              <w:jc w:val="center"/>
              <w:rPr>
                <w:rFonts w:cs="Arial"/>
                <w:sz w:val="22"/>
                <w:szCs w:val="22"/>
              </w:rPr>
            </w:pPr>
            <w:r w:rsidRPr="001E66A9">
              <w:rPr>
                <w:rFonts w:cs="Arial"/>
                <w:sz w:val="22"/>
                <w:szCs w:val="22"/>
              </w:rPr>
              <w:t>[●]</w:t>
            </w:r>
          </w:p>
        </w:tc>
      </w:tr>
    </w:tbl>
    <w:p w:rsidR="004C620B" w:rsidRPr="001E66A9" w:rsidRDefault="004C620B">
      <w:pPr>
        <w:pStyle w:val="Level2"/>
        <w:widowControl w:val="0"/>
        <w:numPr>
          <w:ilvl w:val="0"/>
          <w:numId w:val="0"/>
        </w:numPr>
        <w:spacing w:before="140" w:after="0" w:line="276" w:lineRule="auto"/>
        <w:rPr>
          <w:rFonts w:cs="Arial"/>
          <w:sz w:val="22"/>
          <w:szCs w:val="22"/>
        </w:rPr>
      </w:pPr>
    </w:p>
    <w:p w:rsidR="004C620B" w:rsidRPr="001E66A9" w:rsidRDefault="00605EA1">
      <w:pPr>
        <w:pStyle w:val="Level3"/>
        <w:tabs>
          <w:tab w:val="clear" w:pos="1361"/>
          <w:tab w:val="num" w:pos="851"/>
        </w:tabs>
        <w:spacing w:line="276" w:lineRule="auto"/>
        <w:ind w:left="0" w:firstLine="0"/>
        <w:rPr>
          <w:sz w:val="22"/>
          <w:szCs w:val="22"/>
        </w:rPr>
      </w:pPr>
      <w:bookmarkStart w:id="27" w:name="_Hlk38571284"/>
      <w:bookmarkStart w:id="28" w:name="_Ref264481789"/>
      <w:bookmarkStart w:id="29" w:name="_Ref310606049"/>
      <w:r w:rsidRPr="00605EA1">
        <w:rPr>
          <w:sz w:val="22"/>
          <w:szCs w:val="22"/>
        </w:rPr>
        <w:t xml:space="preserve">Caso a quantidade de Debêntures correspondente ao Valor Total da Emissão já esteja integralizada em qualquer Data de Integralização, </w:t>
      </w:r>
      <w:proofErr w:type="gramStart"/>
      <w:r w:rsidRPr="00605EA1">
        <w:rPr>
          <w:sz w:val="22"/>
          <w:szCs w:val="22"/>
        </w:rPr>
        <w:t>poderão</w:t>
      </w:r>
      <w:proofErr w:type="gramEnd"/>
      <w:r w:rsidRPr="00605EA1">
        <w:rPr>
          <w:sz w:val="22"/>
          <w:szCs w:val="22"/>
        </w:rPr>
        <w:t xml:space="preserve"> ser desconsideradas a referida Data de Integralização e a(s) subsequente(s), se houver.</w:t>
      </w:r>
      <w:bookmarkEnd w:id="27"/>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Negociação</w:t>
      </w:r>
      <w:r w:rsidRPr="00605EA1">
        <w:rPr>
          <w:rFonts w:cs="Arial"/>
          <w:sz w:val="22"/>
          <w:szCs w:val="22"/>
        </w:rPr>
        <w:t xml:space="preserve">. A negociação das Debêntures se dará nos termos da Cláusula </w:t>
      </w:r>
      <w:fldSimple w:instr=" REF _Ref529290575 \r \h  \* MERGEFORMAT ">
        <w:r w:rsidRPr="00605EA1">
          <w:rPr>
            <w:rFonts w:cs="Arial"/>
            <w:sz w:val="22"/>
            <w:szCs w:val="22"/>
          </w:rPr>
          <w:t>3.4</w:t>
        </w:r>
      </w:fldSimple>
      <w:r w:rsidR="001068B6" w:rsidRPr="001E66A9">
        <w:rPr>
          <w:rFonts w:cs="Arial"/>
          <w:sz w:val="22"/>
          <w:szCs w:val="22"/>
        </w:rPr>
        <w:t xml:space="preserve"> acima</w:t>
      </w:r>
      <w:bookmarkEnd w:id="28"/>
      <w:r w:rsidR="001068B6" w:rsidRPr="001E66A9">
        <w:rPr>
          <w:rFonts w:cs="Arial"/>
          <w:sz w:val="22"/>
          <w:szCs w:val="22"/>
        </w:rPr>
        <w:t>.</w:t>
      </w:r>
      <w:bookmarkEnd w:id="29"/>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CARACTERÍSTICAS DA EMISSÃO E DAS DEBÊNTURES</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Número da Emissão</w:t>
      </w:r>
      <w:r w:rsidRPr="00605EA1">
        <w:rPr>
          <w:rFonts w:cs="Arial"/>
          <w:sz w:val="22"/>
          <w:szCs w:val="22"/>
        </w:rPr>
        <w:t xml:space="preserve">. </w:t>
      </w:r>
      <w:bookmarkStart w:id="30" w:name="_Ref130282607"/>
      <w:r w:rsidRPr="00605EA1">
        <w:rPr>
          <w:rFonts w:cs="Arial"/>
          <w:sz w:val="22"/>
          <w:szCs w:val="22"/>
        </w:rPr>
        <w:t xml:space="preserve">As Debêntures representam a 1ª (primeira) emissão de debêntures da Companhia.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Valor Total da Emissão</w:t>
      </w:r>
      <w:r w:rsidRPr="00605EA1">
        <w:rPr>
          <w:rFonts w:cs="Arial"/>
          <w:sz w:val="22"/>
          <w:szCs w:val="22"/>
        </w:rPr>
        <w:t>. O valor total da Emissão será de R$1.000.000.000,00 (um bilhão de reais de reais) na Data de Emissão.</w:t>
      </w:r>
      <w:bookmarkEnd w:id="30"/>
      <w:r w:rsidRPr="00605EA1">
        <w:rPr>
          <w:rFonts w:cs="Arial"/>
          <w:sz w:val="22"/>
          <w:szCs w:val="22"/>
        </w:rPr>
        <w:t xml:space="preserve">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1" w:name="_Ref130282609"/>
      <w:bookmarkStart w:id="32" w:name="_Ref191891558"/>
      <w:bookmarkStart w:id="33" w:name="_Ref310951543"/>
      <w:r w:rsidRPr="00605EA1">
        <w:rPr>
          <w:rFonts w:cs="Arial"/>
          <w:i/>
          <w:sz w:val="22"/>
          <w:szCs w:val="22"/>
        </w:rPr>
        <w:t>Quantidade</w:t>
      </w:r>
      <w:r w:rsidRPr="00605EA1">
        <w:rPr>
          <w:rFonts w:cs="Arial"/>
          <w:sz w:val="22"/>
          <w:szCs w:val="22"/>
        </w:rPr>
        <w:t>. Serão emitidas 1.000.000 (um milhão) de Debêntures</w:t>
      </w:r>
      <w:bookmarkEnd w:id="31"/>
      <w:bookmarkEnd w:id="32"/>
      <w:r w:rsidRPr="00605EA1">
        <w:rPr>
          <w:rFonts w:cs="Arial"/>
          <w:sz w:val="22"/>
          <w:szCs w:val="22"/>
        </w:rPr>
        <w:t>.</w:t>
      </w:r>
      <w:bookmarkEnd w:id="33"/>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4" w:name="_Ref264653613"/>
      <w:r w:rsidRPr="00605EA1">
        <w:rPr>
          <w:rFonts w:cs="Arial"/>
          <w:i/>
          <w:sz w:val="22"/>
          <w:szCs w:val="22"/>
        </w:rPr>
        <w:t>Valor Nominal Unitário</w:t>
      </w:r>
      <w:r w:rsidRPr="00605EA1">
        <w:rPr>
          <w:rFonts w:cs="Arial"/>
          <w:sz w:val="22"/>
          <w:szCs w:val="22"/>
        </w:rPr>
        <w:t>. As Debêntures terão valor nominal unitário de R$1.000,00 (mil reais), na Data de Emissão (“</w:t>
      </w:r>
      <w:r w:rsidRPr="00605EA1">
        <w:rPr>
          <w:rFonts w:cs="Arial"/>
          <w:b/>
          <w:sz w:val="22"/>
          <w:szCs w:val="22"/>
        </w:rPr>
        <w:t>Valor Nominal Unitário</w:t>
      </w:r>
      <w:bookmarkEnd w:id="34"/>
      <w:r w:rsidRPr="00605EA1">
        <w:rPr>
          <w:rFonts w:cs="Arial"/>
          <w:sz w:val="22"/>
          <w:szCs w:val="22"/>
        </w:rPr>
        <w:t>”).</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5" w:name="_Ref137548372"/>
      <w:bookmarkStart w:id="36" w:name="_Ref168458019"/>
      <w:bookmarkStart w:id="37" w:name="_Ref191891571"/>
      <w:bookmarkStart w:id="38" w:name="_Ref130363099"/>
      <w:r w:rsidRPr="00605EA1">
        <w:rPr>
          <w:rFonts w:cs="Arial"/>
          <w:i/>
          <w:sz w:val="22"/>
          <w:szCs w:val="22"/>
        </w:rPr>
        <w:t>Séries</w:t>
      </w:r>
      <w:r w:rsidRPr="00605EA1">
        <w:rPr>
          <w:rFonts w:cs="Arial"/>
          <w:sz w:val="22"/>
          <w:szCs w:val="22"/>
        </w:rPr>
        <w:t xml:space="preserve">. </w:t>
      </w:r>
      <w:bookmarkEnd w:id="35"/>
      <w:r w:rsidRPr="00605EA1">
        <w:rPr>
          <w:rFonts w:cs="Arial"/>
          <w:sz w:val="22"/>
          <w:szCs w:val="22"/>
        </w:rPr>
        <w:t>A Emissão será realizada em série única.</w:t>
      </w:r>
      <w:bookmarkEnd w:id="36"/>
      <w:bookmarkEnd w:id="37"/>
      <w:r w:rsidRPr="00605EA1">
        <w:rPr>
          <w:rFonts w:cs="Arial"/>
          <w:sz w:val="22"/>
          <w:szCs w:val="22"/>
        </w:rPr>
        <w:t xml:space="preserve"> </w:t>
      </w:r>
    </w:p>
    <w:bookmarkEnd w:id="38"/>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Forma e Comprovação de Titularidade</w:t>
      </w:r>
      <w:r w:rsidRPr="00605EA1">
        <w:rPr>
          <w:rFonts w:cs="Arial"/>
          <w:sz w:val="22"/>
          <w:szCs w:val="22"/>
        </w:rPr>
        <w:t xml:space="preserve">. As Debêntures serão emitidas sob a forma nominativa, escritural, sem emissão de certificados, sendo que, para todos os fins de direito, a titularidade das Debêntures será comprovada pelo extrato </w:t>
      </w:r>
      <w:r w:rsidRPr="00605EA1">
        <w:rPr>
          <w:rFonts w:cs="Arial"/>
          <w:sz w:val="22"/>
          <w:szCs w:val="22"/>
        </w:rPr>
        <w:lastRenderedPageBreak/>
        <w:t xml:space="preserve">emitido pelo Escriturador, e, adicionalmente, com relação às Debêntures que estiverem custodiadas </w:t>
      </w:r>
      <w:r w:rsidRPr="00605EA1">
        <w:rPr>
          <w:rFonts w:cs="Arial"/>
          <w:iCs/>
          <w:sz w:val="22"/>
          <w:szCs w:val="22"/>
        </w:rPr>
        <w:t xml:space="preserve">eletronicamente </w:t>
      </w:r>
      <w:r w:rsidRPr="00605EA1">
        <w:rPr>
          <w:rFonts w:cs="Arial"/>
          <w:sz w:val="22"/>
          <w:szCs w:val="22"/>
        </w:rPr>
        <w:t>na B3, será comprovada pelo extrato expedido pela B3 em nome do Debenturista.</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Conversibilidade</w:t>
      </w:r>
      <w:r w:rsidRPr="00605EA1">
        <w:rPr>
          <w:rFonts w:cs="Arial"/>
          <w:sz w:val="22"/>
          <w:szCs w:val="22"/>
        </w:rPr>
        <w:t>. As Debêntures não serão conversíveis em ações de emissão da Companhia.</w:t>
      </w:r>
    </w:p>
    <w:p w:rsidR="004C620B" w:rsidRPr="001E66A9" w:rsidRDefault="00605EA1">
      <w:pPr>
        <w:pStyle w:val="Level2"/>
        <w:widowControl w:val="0"/>
        <w:tabs>
          <w:tab w:val="clear" w:pos="680"/>
          <w:tab w:val="num" w:pos="851"/>
        </w:tabs>
        <w:spacing w:before="140" w:line="276" w:lineRule="auto"/>
        <w:ind w:left="0" w:firstLine="0"/>
        <w:rPr>
          <w:rFonts w:cs="Arial"/>
          <w:sz w:val="22"/>
          <w:szCs w:val="22"/>
        </w:rPr>
      </w:pPr>
      <w:r w:rsidRPr="00605EA1">
        <w:rPr>
          <w:rFonts w:cs="Arial"/>
          <w:i/>
          <w:sz w:val="22"/>
          <w:szCs w:val="22"/>
        </w:rPr>
        <w:t>Espécie</w:t>
      </w:r>
      <w:r w:rsidRPr="00605EA1">
        <w:rPr>
          <w:rFonts w:cs="Arial"/>
          <w:sz w:val="22"/>
          <w:szCs w:val="22"/>
        </w:rPr>
        <w:t xml:space="preserve">. As Debêntures serão da espécie quirografária, a ser convolada em espécie com garantia real, nos termos do artigo 58 da Lei das Sociedades por Ações, por meio de aditamento </w:t>
      </w:r>
      <w:proofErr w:type="gramStart"/>
      <w:r w:rsidRPr="00605EA1">
        <w:rPr>
          <w:rFonts w:cs="Arial"/>
          <w:sz w:val="22"/>
          <w:szCs w:val="22"/>
        </w:rPr>
        <w:t>à</w:t>
      </w:r>
      <w:proofErr w:type="gramEnd"/>
      <w:r w:rsidRPr="00605EA1">
        <w:rPr>
          <w:rFonts w:cs="Arial"/>
          <w:sz w:val="22"/>
          <w:szCs w:val="22"/>
        </w:rPr>
        <w:t xml:space="preserve"> presente Escritura de Emissão.</w:t>
      </w:r>
    </w:p>
    <w:p w:rsidR="004C620B" w:rsidRPr="001E66A9" w:rsidRDefault="00605EA1">
      <w:pPr>
        <w:pStyle w:val="Level3"/>
        <w:tabs>
          <w:tab w:val="clear" w:pos="1361"/>
          <w:tab w:val="left" w:pos="851"/>
        </w:tabs>
        <w:spacing w:line="276" w:lineRule="auto"/>
        <w:ind w:left="0" w:firstLine="0"/>
        <w:rPr>
          <w:sz w:val="22"/>
          <w:szCs w:val="22"/>
        </w:rPr>
      </w:pPr>
      <w:r w:rsidRPr="00605EA1">
        <w:rPr>
          <w:i/>
          <w:sz w:val="22"/>
          <w:szCs w:val="22"/>
        </w:rPr>
        <w:t>Convolação da Espécie das Debêntures</w:t>
      </w:r>
      <w:r w:rsidRPr="00605EA1">
        <w:rPr>
          <w:sz w:val="22"/>
          <w:szCs w:val="22"/>
        </w:rPr>
        <w:t xml:space="preserve">. As Debêntures passarão a ser da espécie com garantia real, nos termos do artigo 58, caput, da Lei das Sociedades por Ações, após a constituição das garantias conforme descritas na Cláusula </w:t>
      </w:r>
      <w:proofErr w:type="gramStart"/>
      <w:r w:rsidRPr="00605EA1">
        <w:rPr>
          <w:sz w:val="22"/>
          <w:szCs w:val="22"/>
        </w:rPr>
        <w:t>8</w:t>
      </w:r>
      <w:proofErr w:type="gramEnd"/>
      <w:r w:rsidRPr="00605EA1">
        <w:rPr>
          <w:sz w:val="22"/>
          <w:szCs w:val="22"/>
        </w:rPr>
        <w:t xml:space="preserve"> abaixo, dispensada a realização de qualquer ato societário ou assembleia geral de Debenturistas para tal fim, observado os termos do </w:t>
      </w:r>
      <w:r w:rsidRPr="00605EA1">
        <w:rPr>
          <w:b/>
          <w:sz w:val="22"/>
          <w:szCs w:val="22"/>
          <w:u w:val="single"/>
        </w:rPr>
        <w:t>Anexo B</w:t>
      </w:r>
      <w:r w:rsidRPr="00605EA1">
        <w:rPr>
          <w:sz w:val="22"/>
          <w:szCs w:val="22"/>
        </w:rPr>
        <w:t xml:space="preserve"> à presente Escritura de Emissão.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39" w:name="_Ref264653840"/>
      <w:bookmarkStart w:id="40" w:name="_Ref278297550"/>
      <w:bookmarkStart w:id="41" w:name="_Ref279826913"/>
      <w:r w:rsidRPr="00605EA1">
        <w:rPr>
          <w:rFonts w:cs="Arial"/>
          <w:i/>
          <w:sz w:val="22"/>
          <w:szCs w:val="22"/>
        </w:rPr>
        <w:t>Data de Emissão</w:t>
      </w:r>
      <w:r w:rsidRPr="00605EA1">
        <w:rPr>
          <w:rFonts w:cs="Arial"/>
          <w:sz w:val="22"/>
          <w:szCs w:val="22"/>
        </w:rPr>
        <w:t>. Para todos os efeitos legais, a data de emissão das Debêntures será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de 2020 (“</w:t>
      </w:r>
      <w:r w:rsidRPr="00605EA1">
        <w:rPr>
          <w:rFonts w:cs="Arial"/>
          <w:b/>
          <w:sz w:val="22"/>
          <w:szCs w:val="22"/>
        </w:rPr>
        <w:t>Data de Emissão</w:t>
      </w:r>
      <w:bookmarkStart w:id="42" w:name="_Ref535067474"/>
      <w:bookmarkEnd w:id="39"/>
      <w:bookmarkEnd w:id="40"/>
      <w:bookmarkEnd w:id="41"/>
      <w:r w:rsidRPr="00605EA1">
        <w:rPr>
          <w:rFonts w:cs="Arial"/>
          <w:sz w:val="22"/>
          <w:szCs w:val="22"/>
        </w:rPr>
        <w:t xml:space="preserve">”).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3" w:name="_Ref272250319"/>
      <w:r w:rsidRPr="00605EA1">
        <w:rPr>
          <w:rFonts w:cs="Arial"/>
          <w:i/>
          <w:sz w:val="22"/>
          <w:szCs w:val="22"/>
        </w:rPr>
        <w:t>Prazo e Data de Vencimento</w:t>
      </w:r>
      <w:r w:rsidRPr="00605EA1">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proofErr w:type="gramStart"/>
      <w:r w:rsidRPr="00605EA1">
        <w:rPr>
          <w:rFonts w:cs="Arial"/>
          <w:sz w:val="22"/>
          <w:szCs w:val="22"/>
        </w:rPr>
        <w:t>1</w:t>
      </w:r>
      <w:proofErr w:type="gramEnd"/>
      <w:r w:rsidRPr="00605EA1">
        <w:rPr>
          <w:rFonts w:cs="Arial"/>
          <w:sz w:val="22"/>
          <w:szCs w:val="22"/>
        </w:rPr>
        <w:t xml:space="preserve"> (um) ano contado da Data de Emissão, vencendo-se, portanto, em [</w:t>
      </w:r>
      <w:r w:rsidRPr="00605EA1">
        <w:rPr>
          <w:rFonts w:cs="Arial" w:hint="eastAsia"/>
          <w:sz w:val="22"/>
          <w:szCs w:val="22"/>
        </w:rPr>
        <w:t>●</w:t>
      </w:r>
      <w:r w:rsidRPr="00605EA1">
        <w:rPr>
          <w:rFonts w:cs="Arial"/>
          <w:sz w:val="22"/>
          <w:szCs w:val="22"/>
        </w:rPr>
        <w:t>] de [</w:t>
      </w:r>
      <w:r w:rsidRPr="00605EA1">
        <w:rPr>
          <w:rFonts w:cs="Arial" w:hint="eastAsia"/>
          <w:sz w:val="22"/>
          <w:szCs w:val="22"/>
        </w:rPr>
        <w:t>●</w:t>
      </w:r>
      <w:r w:rsidRPr="00605EA1">
        <w:rPr>
          <w:rFonts w:cs="Arial"/>
          <w:sz w:val="22"/>
          <w:szCs w:val="22"/>
        </w:rPr>
        <w:t>] de 2021 (“</w:t>
      </w:r>
      <w:r w:rsidRPr="00605EA1">
        <w:rPr>
          <w:rFonts w:cs="Arial"/>
          <w:b/>
          <w:sz w:val="22"/>
          <w:szCs w:val="22"/>
        </w:rPr>
        <w:t>Data de Vencimento</w:t>
      </w:r>
      <w:bookmarkEnd w:id="43"/>
      <w:r w:rsidRPr="00605EA1">
        <w:rPr>
          <w:rFonts w:cs="Arial"/>
          <w:sz w:val="22"/>
          <w:szCs w:val="22"/>
        </w:rPr>
        <w:t xml:space="preserve">”).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4" w:name="_Ref499717905"/>
      <w:bookmarkStart w:id="45" w:name="_Ref528595098"/>
      <w:bookmarkStart w:id="46" w:name="_Ref264560361"/>
      <w:r w:rsidRPr="00605EA1">
        <w:rPr>
          <w:rFonts w:cs="Arial"/>
          <w:i/>
          <w:sz w:val="22"/>
          <w:szCs w:val="22"/>
        </w:rPr>
        <w:t>Pagamento do Valor Nominal Unitário</w:t>
      </w:r>
      <w:r w:rsidRPr="00605EA1">
        <w:rPr>
          <w:rFonts w:cs="Arial"/>
          <w:sz w:val="22"/>
          <w:szCs w:val="22"/>
        </w:rPr>
        <w:t xml:space="preserve">. Sem prejuízo dos pagamentos em decorrência do Resgate Antecipado Obrigatório, Amortização Facultativa Parcial, [Amortização Obrigatória Parcial] ou de vencimento antecipado das obrigações decorrentes das Debêntures, nos termos previstos nesta Escritura de Emissão, o Valor Nominal Unitário será amortizado em </w:t>
      </w:r>
      <w:bookmarkEnd w:id="44"/>
      <w:r w:rsidRPr="00605EA1">
        <w:rPr>
          <w:rFonts w:cs="Arial"/>
          <w:sz w:val="22"/>
          <w:szCs w:val="22"/>
        </w:rPr>
        <w:t xml:space="preserve">uma única parcela, na Data de Vencimento. </w:t>
      </w:r>
      <w:bookmarkEnd w:id="45"/>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47" w:name="_Ref137107211"/>
      <w:bookmarkStart w:id="48" w:name="_Ref264551489"/>
      <w:bookmarkStart w:id="49" w:name="_Ref279826774"/>
      <w:bookmarkEnd w:id="46"/>
      <w:r w:rsidRPr="00605EA1">
        <w:rPr>
          <w:rFonts w:cs="Arial"/>
          <w:i/>
          <w:sz w:val="22"/>
          <w:szCs w:val="22"/>
        </w:rPr>
        <w:t>Remuneração</w:t>
      </w:r>
      <w:r w:rsidRPr="00605EA1">
        <w:rPr>
          <w:rFonts w:cs="Arial"/>
          <w:sz w:val="22"/>
          <w:szCs w:val="22"/>
        </w:rPr>
        <w:t>.</w:t>
      </w:r>
      <w:bookmarkEnd w:id="47"/>
      <w:r w:rsidRPr="00605EA1">
        <w:rPr>
          <w:rFonts w:cs="Arial"/>
          <w:sz w:val="22"/>
          <w:szCs w:val="22"/>
        </w:rPr>
        <w:t xml:space="preserve"> </w:t>
      </w:r>
      <w:bookmarkStart w:id="50" w:name="_Ref260242522"/>
      <w:bookmarkStart w:id="51" w:name="_Ref130286776"/>
      <w:bookmarkStart w:id="52" w:name="_Ref130611431"/>
      <w:bookmarkStart w:id="53" w:name="_Ref168843122"/>
      <w:bookmarkStart w:id="54" w:name="_Ref130282854"/>
      <w:bookmarkEnd w:id="48"/>
      <w:r w:rsidRPr="00605EA1">
        <w:rPr>
          <w:rFonts w:cs="Arial"/>
          <w:sz w:val="22"/>
          <w:szCs w:val="22"/>
        </w:rPr>
        <w:t>A remuneração das Debêntures será a seguinte:</w:t>
      </w:r>
      <w:bookmarkEnd w:id="49"/>
      <w:bookmarkEnd w:id="50"/>
      <w:r w:rsidRPr="00605EA1">
        <w:rPr>
          <w:rFonts w:cs="Arial"/>
          <w:sz w:val="22"/>
          <w:szCs w:val="22"/>
        </w:rPr>
        <w:t xml:space="preserve"> </w:t>
      </w:r>
    </w:p>
    <w:p w:rsidR="00000000" w:rsidRDefault="00605EA1">
      <w:pPr>
        <w:pStyle w:val="Level3"/>
        <w:widowControl w:val="0"/>
        <w:tabs>
          <w:tab w:val="clear" w:pos="1361"/>
          <w:tab w:val="left" w:pos="0"/>
          <w:tab w:val="num" w:pos="851"/>
        </w:tabs>
        <w:spacing w:before="140" w:after="0" w:line="276" w:lineRule="auto"/>
        <w:ind w:left="0" w:firstLine="0"/>
        <w:rPr>
          <w:sz w:val="22"/>
          <w:szCs w:val="22"/>
        </w:rPr>
      </w:pPr>
      <w:r w:rsidRPr="00605EA1">
        <w:rPr>
          <w:i/>
          <w:sz w:val="22"/>
          <w:szCs w:val="22"/>
        </w:rPr>
        <w:t>Atualização Monetária</w:t>
      </w:r>
      <w:r w:rsidRPr="00605EA1">
        <w:rPr>
          <w:sz w:val="22"/>
          <w:szCs w:val="22"/>
        </w:rPr>
        <w:t xml:space="preserve">: </w:t>
      </w:r>
      <w:bookmarkStart w:id="55" w:name="_Ref164156803"/>
      <w:r w:rsidRPr="00605EA1">
        <w:rPr>
          <w:sz w:val="22"/>
          <w:szCs w:val="22"/>
        </w:rPr>
        <w:t xml:space="preserve">o Valor Nominal Unitário das Debêntures não será atualizado monetariamente; </w:t>
      </w:r>
      <w:proofErr w:type="gramStart"/>
      <w:r w:rsidRPr="00605EA1">
        <w:rPr>
          <w:sz w:val="22"/>
          <w:szCs w:val="22"/>
        </w:rPr>
        <w:t>e</w:t>
      </w:r>
      <w:proofErr w:type="gramEnd"/>
    </w:p>
    <w:p w:rsidR="00000000" w:rsidRDefault="00605EA1">
      <w:pPr>
        <w:pStyle w:val="Level3"/>
        <w:widowControl w:val="0"/>
        <w:tabs>
          <w:tab w:val="clear" w:pos="1361"/>
          <w:tab w:val="left" w:pos="0"/>
          <w:tab w:val="num" w:pos="851"/>
        </w:tabs>
        <w:spacing w:before="140" w:after="0" w:line="276" w:lineRule="auto"/>
        <w:ind w:left="0" w:firstLine="0"/>
        <w:rPr>
          <w:sz w:val="22"/>
          <w:szCs w:val="22"/>
        </w:rPr>
      </w:pPr>
      <w:bookmarkStart w:id="56" w:name="_Ref328665579"/>
      <w:bookmarkStart w:id="57" w:name="_Ref488948415"/>
      <w:bookmarkStart w:id="58" w:name="_Ref279828381"/>
      <w:bookmarkStart w:id="59" w:name="_Ref289698191"/>
      <w:r w:rsidRPr="00605EA1">
        <w:rPr>
          <w:i/>
          <w:sz w:val="22"/>
          <w:szCs w:val="22"/>
        </w:rPr>
        <w:lastRenderedPageBreak/>
        <w:t>Juros Remuneratórios</w:t>
      </w:r>
      <w:r w:rsidRPr="00605EA1">
        <w:rPr>
          <w:sz w:val="22"/>
          <w:szCs w:val="22"/>
        </w:rPr>
        <w:t>: sobre o Valor Nominal Unitário das Debêntures</w:t>
      </w:r>
      <w:bookmarkStart w:id="60" w:name="_Ref137107209"/>
      <w:r w:rsidRPr="00605EA1">
        <w:rPr>
          <w:sz w:val="22"/>
          <w:szCs w:val="22"/>
        </w:rPr>
        <w:t>, conforme o caso, incidirão juros remuneratórios correspondentes a 100% (cem por cento) da variação acumulada da Taxa DI, acrescida exponencialmente de [</w:t>
      </w:r>
      <w:r w:rsidRPr="00605EA1">
        <w:rPr>
          <w:rFonts w:hint="eastAsia"/>
          <w:sz w:val="22"/>
          <w:szCs w:val="22"/>
        </w:rPr>
        <w:t>●</w:t>
      </w:r>
      <w:r w:rsidRPr="00605EA1">
        <w:rPr>
          <w:sz w:val="22"/>
          <w:szCs w:val="22"/>
        </w:rPr>
        <w:t>] % ([</w:t>
      </w:r>
      <w:r w:rsidRPr="00605EA1">
        <w:rPr>
          <w:rFonts w:hint="eastAsia"/>
          <w:sz w:val="22"/>
          <w:szCs w:val="22"/>
        </w:rPr>
        <w:t>●</w:t>
      </w:r>
      <w:r w:rsidRPr="00605EA1">
        <w:rPr>
          <w:sz w:val="22"/>
          <w:szCs w:val="22"/>
        </w:rPr>
        <w:t>] por cento) ao ano, base 252 (duzentos e cinquenta e dois) Dias Úteis (“</w:t>
      </w:r>
      <w:r w:rsidRPr="00605EA1">
        <w:rPr>
          <w:b/>
          <w:sz w:val="22"/>
          <w:szCs w:val="22"/>
        </w:rPr>
        <w:t>Remuneração</w:t>
      </w:r>
      <w:r w:rsidRPr="00605EA1">
        <w:rPr>
          <w:sz w:val="22"/>
          <w:szCs w:val="22"/>
        </w:rPr>
        <w:t xml:space="preserve">”), calculados de forma exponencial e cumulativa </w:t>
      </w:r>
      <w:proofErr w:type="gramStart"/>
      <w:r w:rsidRPr="00605EA1">
        <w:rPr>
          <w:i/>
          <w:sz w:val="22"/>
          <w:szCs w:val="22"/>
        </w:rPr>
        <w:t>pro rata</w:t>
      </w:r>
      <w:proofErr w:type="gramEnd"/>
      <w:r w:rsidRPr="00605EA1">
        <w:rPr>
          <w:i/>
          <w:sz w:val="22"/>
          <w:szCs w:val="22"/>
        </w:rPr>
        <w:t xml:space="preserve"> temporis</w:t>
      </w:r>
      <w:r w:rsidRPr="00605EA1">
        <w:rPr>
          <w:sz w:val="22"/>
          <w:szCs w:val="22"/>
        </w:rPr>
        <w:t>, por dias úteis decorridos, desde a Data de Subscrição ou a data de pagamento da Remuneração imediatamente anterior, conforme o caso, até a data do efetivo pagamento</w:t>
      </w:r>
      <w:bookmarkEnd w:id="60"/>
      <w:r w:rsidRPr="00605EA1">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w:t>
      </w:r>
      <w:r w:rsidRPr="00605EA1">
        <w:rPr>
          <w:rFonts w:hint="eastAsia"/>
          <w:sz w:val="22"/>
          <w:szCs w:val="22"/>
        </w:rPr>
        <w:t>●</w:t>
      </w:r>
      <w:r w:rsidRPr="00605EA1">
        <w:rPr>
          <w:sz w:val="22"/>
          <w:szCs w:val="22"/>
        </w:rPr>
        <w:t>] dos meses de [</w:t>
      </w:r>
      <w:r w:rsidRPr="00605EA1">
        <w:rPr>
          <w:rFonts w:hint="eastAsia"/>
          <w:sz w:val="22"/>
          <w:szCs w:val="22"/>
        </w:rPr>
        <w:t>●</w:t>
      </w:r>
      <w:r w:rsidRPr="00605EA1">
        <w:rPr>
          <w:sz w:val="22"/>
          <w:szCs w:val="22"/>
        </w:rPr>
        <w:t xml:space="preserve">] </w:t>
      </w:r>
      <w:r w:rsidR="001068B6" w:rsidRPr="001E66A9">
        <w:rPr>
          <w:sz w:val="22"/>
          <w:szCs w:val="22"/>
        </w:rPr>
        <w:t>e [●]</w:t>
      </w:r>
      <w:r w:rsidRPr="00605EA1">
        <w:rPr>
          <w:sz w:val="22"/>
          <w:szCs w:val="22"/>
        </w:rPr>
        <w:t xml:space="preserve"> </w:t>
      </w:r>
      <w:r w:rsidR="001068B6" w:rsidRPr="001E66A9">
        <w:rPr>
          <w:sz w:val="22"/>
          <w:szCs w:val="22"/>
        </w:rPr>
        <w:t>de cada ano, com o primeiro pagamento em [●]</w:t>
      </w:r>
      <w:r w:rsidRPr="00605EA1">
        <w:rPr>
          <w:sz w:val="22"/>
          <w:szCs w:val="22"/>
        </w:rPr>
        <w:t xml:space="preserve"> </w:t>
      </w:r>
      <w:r w:rsidR="001068B6" w:rsidRPr="001E66A9">
        <w:rPr>
          <w:sz w:val="22"/>
          <w:szCs w:val="22"/>
        </w:rPr>
        <w:t>de [●]</w:t>
      </w:r>
      <w:r w:rsidRPr="00605EA1">
        <w:rPr>
          <w:sz w:val="22"/>
          <w:szCs w:val="22"/>
        </w:rPr>
        <w:t xml:space="preserve"> </w:t>
      </w:r>
      <w:r w:rsidR="001068B6" w:rsidRPr="001E66A9">
        <w:rPr>
          <w:sz w:val="22"/>
          <w:szCs w:val="22"/>
        </w:rPr>
        <w:t>de 20</w:t>
      </w:r>
      <w:r w:rsidRPr="00605EA1">
        <w:rPr>
          <w:sz w:val="22"/>
          <w:szCs w:val="22"/>
        </w:rPr>
        <w:t>20 e o segundo e último na Data de Vencimento. A Remuneração será calculada de acordo com a seguinte fórmula:</w:t>
      </w:r>
      <w:bookmarkEnd w:id="56"/>
      <w:bookmarkEnd w:id="57"/>
      <w:r w:rsidRPr="00605EA1">
        <w:rPr>
          <w:sz w:val="22"/>
          <w:szCs w:val="22"/>
        </w:rPr>
        <w:t xml:space="preserve"> </w:t>
      </w:r>
    </w:p>
    <w:p w:rsidR="004C620B" w:rsidRPr="001E66A9" w:rsidRDefault="00605EA1">
      <w:pPr>
        <w:pStyle w:val="Level3"/>
        <w:widowControl w:val="0"/>
        <w:numPr>
          <w:ilvl w:val="0"/>
          <w:numId w:val="0"/>
        </w:numPr>
        <w:tabs>
          <w:tab w:val="left" w:pos="851"/>
        </w:tabs>
        <w:spacing w:before="140" w:after="0" w:line="276" w:lineRule="auto"/>
        <w:jc w:val="center"/>
        <w:rPr>
          <w:sz w:val="22"/>
          <w:szCs w:val="22"/>
        </w:rPr>
      </w:pPr>
      <w:r w:rsidRPr="00605EA1">
        <w:rPr>
          <w:b/>
          <w:color w:val="000000"/>
          <w:sz w:val="22"/>
          <w:szCs w:val="22"/>
        </w:rPr>
        <w:t>J=</w:t>
      </w:r>
      <w:proofErr w:type="gramStart"/>
      <w:r w:rsidRPr="00605EA1">
        <w:rPr>
          <w:b/>
          <w:color w:val="000000"/>
          <w:sz w:val="22"/>
          <w:szCs w:val="22"/>
        </w:rPr>
        <w:t>VNe</w:t>
      </w:r>
      <w:proofErr w:type="gramEnd"/>
      <w:r w:rsidRPr="00605EA1">
        <w:rPr>
          <w:b/>
          <w:color w:val="000000"/>
          <w:sz w:val="22"/>
          <w:szCs w:val="22"/>
        </w:rPr>
        <w:t xml:space="preserve"> x (Fator Juros – 1)</w:t>
      </w:r>
    </w:p>
    <w:p w:rsidR="004C620B" w:rsidRPr="001E66A9" w:rsidRDefault="004C620B">
      <w:pPr>
        <w:widowControl w:val="0"/>
        <w:spacing w:line="276" w:lineRule="auto"/>
        <w:rPr>
          <w:rFonts w:ascii="Arial" w:hAnsi="Arial" w:cs="Arial"/>
          <w:color w:val="000000"/>
          <w:szCs w:val="22"/>
        </w:rPr>
      </w:pPr>
    </w:p>
    <w:p w:rsidR="004C620B" w:rsidRPr="001E66A9" w:rsidRDefault="00605EA1">
      <w:pPr>
        <w:keepNext/>
        <w:widowControl w:val="0"/>
        <w:spacing w:line="276" w:lineRule="auto"/>
        <w:rPr>
          <w:rFonts w:ascii="Arial" w:hAnsi="Arial" w:cs="Arial"/>
          <w:color w:val="000000"/>
          <w:szCs w:val="22"/>
        </w:rPr>
      </w:pPr>
      <w:proofErr w:type="gramStart"/>
      <w:r w:rsidRPr="00605EA1">
        <w:rPr>
          <w:rFonts w:ascii="Arial" w:hAnsi="Arial" w:cs="Arial"/>
          <w:snapToGrid w:val="0"/>
          <w:color w:val="000000"/>
          <w:szCs w:val="22"/>
        </w:rPr>
        <w:t>onde</w:t>
      </w:r>
      <w:proofErr w:type="gramEnd"/>
      <w:r w:rsidRPr="00605EA1">
        <w:rPr>
          <w:rFonts w:ascii="Arial" w:hAnsi="Arial" w:cs="Arial"/>
          <w:snapToGrid w:val="0"/>
          <w:color w:val="000000"/>
          <w:szCs w:val="22"/>
        </w:rPr>
        <w:t>:</w:t>
      </w:r>
    </w:p>
    <w:p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J = valor unitário da Remuneração</w:t>
      </w:r>
      <w:r w:rsidRPr="00605EA1">
        <w:rPr>
          <w:rFonts w:ascii="Arial" w:hAnsi="Arial" w:cs="Arial"/>
          <w:szCs w:val="22"/>
        </w:rPr>
        <w:t xml:space="preserve">, calculado com </w:t>
      </w:r>
      <w:proofErr w:type="gramStart"/>
      <w:r w:rsidRPr="00605EA1">
        <w:rPr>
          <w:rFonts w:ascii="Arial" w:hAnsi="Arial" w:cs="Arial"/>
          <w:szCs w:val="22"/>
        </w:rPr>
        <w:t>8</w:t>
      </w:r>
      <w:proofErr w:type="gramEnd"/>
      <w:r w:rsidRPr="00605EA1">
        <w:rPr>
          <w:rFonts w:ascii="Arial" w:hAnsi="Arial" w:cs="Arial"/>
          <w:szCs w:val="22"/>
        </w:rPr>
        <w:t xml:space="preserve"> (oito) casas decimais, sem arredondamento</w:t>
      </w:r>
      <w:r w:rsidRPr="00605EA1">
        <w:rPr>
          <w:rFonts w:ascii="Arial" w:hAnsi="Arial" w:cs="Arial"/>
          <w:snapToGrid w:val="0"/>
          <w:color w:val="000000"/>
          <w:szCs w:val="22"/>
        </w:rPr>
        <w:t>;</w:t>
      </w:r>
    </w:p>
    <w:p w:rsidR="004C620B" w:rsidRPr="001E66A9" w:rsidRDefault="00605EA1">
      <w:pPr>
        <w:widowControl w:val="0"/>
        <w:spacing w:line="276" w:lineRule="auto"/>
        <w:rPr>
          <w:rFonts w:ascii="Arial" w:hAnsi="Arial" w:cs="Arial"/>
          <w:snapToGrid w:val="0"/>
          <w:color w:val="000000"/>
          <w:szCs w:val="22"/>
        </w:rPr>
      </w:pPr>
      <w:proofErr w:type="gramStart"/>
      <w:r w:rsidRPr="00605EA1">
        <w:rPr>
          <w:rFonts w:ascii="Arial" w:hAnsi="Arial" w:cs="Arial"/>
          <w:snapToGrid w:val="0"/>
          <w:color w:val="000000"/>
          <w:szCs w:val="22"/>
        </w:rPr>
        <w:t>VNe</w:t>
      </w:r>
      <w:proofErr w:type="gramEnd"/>
      <w:r w:rsidRPr="00605EA1">
        <w:rPr>
          <w:rFonts w:ascii="Arial" w:hAnsi="Arial" w:cs="Arial"/>
          <w:snapToGrid w:val="0"/>
          <w:color w:val="000000"/>
          <w:szCs w:val="22"/>
        </w:rPr>
        <w:t xml:space="preserve"> = Valor Nominal Unitário das Debêntures, conforme o caso, informado/calculado com 8 (oito) casas decimais, sem arredondamento;</w:t>
      </w:r>
    </w:p>
    <w:p w:rsidR="004C620B" w:rsidRPr="001E66A9" w:rsidRDefault="00605EA1">
      <w:pPr>
        <w:widowControl w:val="0"/>
        <w:spacing w:line="276" w:lineRule="auto"/>
        <w:rPr>
          <w:rFonts w:ascii="Arial" w:hAnsi="Arial" w:cs="Arial"/>
          <w:color w:val="000000"/>
          <w:szCs w:val="22"/>
        </w:rPr>
      </w:pPr>
      <w:r w:rsidRPr="00605EA1">
        <w:rPr>
          <w:rFonts w:ascii="Arial" w:hAnsi="Arial" w:cs="Arial"/>
          <w:color w:val="000000"/>
          <w:szCs w:val="22"/>
        </w:rPr>
        <w:t xml:space="preserve">Fator Juros = Fator de juros, calculado com </w:t>
      </w:r>
      <w:proofErr w:type="gramStart"/>
      <w:r w:rsidRPr="00605EA1">
        <w:rPr>
          <w:rFonts w:ascii="Arial" w:hAnsi="Arial" w:cs="Arial"/>
          <w:color w:val="000000"/>
          <w:szCs w:val="22"/>
        </w:rPr>
        <w:t>9</w:t>
      </w:r>
      <w:proofErr w:type="gramEnd"/>
      <w:r w:rsidRPr="00605EA1">
        <w:rPr>
          <w:rFonts w:ascii="Arial" w:hAnsi="Arial" w:cs="Arial"/>
          <w:color w:val="000000"/>
          <w:szCs w:val="22"/>
        </w:rPr>
        <w:t xml:space="preserve"> (nove) casas decimais, com arredondamento, apurado de acordo com a seguinte fórmula:</w:t>
      </w:r>
    </w:p>
    <w:p w:rsidR="004C620B" w:rsidRPr="001E66A9" w:rsidRDefault="004C620B">
      <w:pPr>
        <w:widowControl w:val="0"/>
        <w:spacing w:line="276" w:lineRule="auto"/>
        <w:rPr>
          <w:rFonts w:ascii="Arial" w:hAnsi="Arial" w:cs="Arial"/>
          <w:color w:val="000000"/>
          <w:szCs w:val="22"/>
        </w:rPr>
      </w:pPr>
    </w:p>
    <w:p w:rsidR="004C620B" w:rsidRPr="001E66A9" w:rsidRDefault="00605EA1">
      <w:pPr>
        <w:widowControl w:val="0"/>
        <w:spacing w:line="276" w:lineRule="auto"/>
        <w:jc w:val="center"/>
        <w:rPr>
          <w:rFonts w:ascii="Arial" w:hAnsi="Arial" w:cs="Arial"/>
          <w:b/>
          <w:color w:val="000000"/>
          <w:szCs w:val="22"/>
        </w:rPr>
      </w:pPr>
      <w:r w:rsidRPr="00605EA1">
        <w:rPr>
          <w:rFonts w:ascii="Arial" w:hAnsi="Arial" w:cs="Arial"/>
          <w:b/>
          <w:color w:val="000000"/>
          <w:szCs w:val="22"/>
        </w:rPr>
        <w:t xml:space="preserve">Fator Juros = </w:t>
      </w:r>
      <w:proofErr w:type="gramStart"/>
      <w:r w:rsidRPr="00605EA1">
        <w:rPr>
          <w:rFonts w:ascii="Arial" w:hAnsi="Arial" w:cs="Arial"/>
          <w:b/>
          <w:color w:val="000000"/>
          <w:szCs w:val="22"/>
        </w:rPr>
        <w:t>FatorDI</w:t>
      </w:r>
      <w:proofErr w:type="gramEnd"/>
      <w:r w:rsidRPr="00605EA1">
        <w:rPr>
          <w:rFonts w:ascii="Arial" w:hAnsi="Arial" w:cs="Arial"/>
          <w:b/>
          <w:color w:val="000000"/>
          <w:szCs w:val="22"/>
        </w:rPr>
        <w:t xml:space="preserve"> x FatorSpread</w:t>
      </w:r>
    </w:p>
    <w:p w:rsidR="004C620B" w:rsidRPr="001E66A9" w:rsidRDefault="004C620B">
      <w:pPr>
        <w:widowControl w:val="0"/>
        <w:spacing w:line="276" w:lineRule="auto"/>
        <w:rPr>
          <w:rFonts w:ascii="Arial" w:hAnsi="Arial" w:cs="Arial"/>
          <w:color w:val="000000"/>
          <w:szCs w:val="22"/>
        </w:rPr>
      </w:pPr>
    </w:p>
    <w:p w:rsidR="004C620B" w:rsidRPr="001E66A9" w:rsidRDefault="00605EA1">
      <w:pPr>
        <w:widowControl w:val="0"/>
        <w:spacing w:line="276" w:lineRule="auto"/>
        <w:rPr>
          <w:rFonts w:ascii="Arial" w:hAnsi="Arial" w:cs="Arial"/>
          <w:snapToGrid w:val="0"/>
          <w:color w:val="000000"/>
          <w:szCs w:val="22"/>
        </w:rPr>
      </w:pPr>
      <w:proofErr w:type="gramStart"/>
      <w:r w:rsidRPr="00605EA1">
        <w:rPr>
          <w:rFonts w:ascii="Arial" w:hAnsi="Arial" w:cs="Arial"/>
          <w:snapToGrid w:val="0"/>
          <w:color w:val="000000"/>
          <w:szCs w:val="22"/>
        </w:rPr>
        <w:t>onde</w:t>
      </w:r>
      <w:proofErr w:type="gramEnd"/>
      <w:r w:rsidRPr="00605EA1">
        <w:rPr>
          <w:rFonts w:ascii="Arial" w:hAnsi="Arial" w:cs="Arial"/>
          <w:snapToGrid w:val="0"/>
          <w:color w:val="000000"/>
          <w:szCs w:val="22"/>
        </w:rPr>
        <w:t>:</w:t>
      </w:r>
    </w:p>
    <w:p w:rsidR="004C620B" w:rsidRPr="001E66A9" w:rsidRDefault="004C620B">
      <w:pPr>
        <w:widowControl w:val="0"/>
        <w:spacing w:line="276" w:lineRule="auto"/>
        <w:rPr>
          <w:rFonts w:ascii="Arial" w:hAnsi="Arial" w:cs="Arial"/>
          <w:snapToGrid w:val="0"/>
          <w:color w:val="000000"/>
          <w:szCs w:val="22"/>
        </w:rPr>
      </w:pPr>
    </w:p>
    <w:p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 xml:space="preserve">Fator DI = </w:t>
      </w:r>
      <w:r w:rsidRPr="00605EA1">
        <w:rPr>
          <w:rFonts w:ascii="Arial" w:hAnsi="Arial" w:cs="Arial"/>
          <w:szCs w:val="22"/>
        </w:rPr>
        <w:t xml:space="preserve">produtório das Taxas DI, desde a Primeira Data de Integralização ou a data de pagamento de Remuneração imediatamente anterior, conforme o caso, inclusive, até a data de cálculo, exclusive, calculado com </w:t>
      </w:r>
      <w:proofErr w:type="gramStart"/>
      <w:r w:rsidRPr="00605EA1">
        <w:rPr>
          <w:rFonts w:ascii="Arial" w:hAnsi="Arial" w:cs="Arial"/>
          <w:szCs w:val="22"/>
        </w:rPr>
        <w:t>8</w:t>
      </w:r>
      <w:proofErr w:type="gramEnd"/>
      <w:r w:rsidRPr="00605EA1">
        <w:rPr>
          <w:rFonts w:ascii="Arial" w:hAnsi="Arial" w:cs="Arial"/>
          <w:szCs w:val="22"/>
        </w:rPr>
        <w:t> (oito) casas decimais, com arredondamento, apurado da seguinte forma</w:t>
      </w:r>
    </w:p>
    <w:p w:rsidR="004C620B" w:rsidRPr="001E66A9" w:rsidRDefault="004C620B">
      <w:pPr>
        <w:widowControl w:val="0"/>
        <w:spacing w:line="276" w:lineRule="auto"/>
        <w:rPr>
          <w:rFonts w:ascii="Arial" w:hAnsi="Arial" w:cs="Arial"/>
          <w:snapToGrid w:val="0"/>
          <w:color w:val="000000"/>
          <w:szCs w:val="22"/>
        </w:rPr>
      </w:pPr>
    </w:p>
    <w:p w:rsidR="004C620B" w:rsidRPr="001E66A9" w:rsidRDefault="00605EA1">
      <w:pPr>
        <w:widowControl w:val="0"/>
        <w:spacing w:line="276" w:lineRule="auto"/>
        <w:jc w:val="center"/>
        <w:rPr>
          <w:rFonts w:ascii="Arial" w:hAnsi="Arial" w:cs="Arial"/>
          <w:snapToGrid w:val="0"/>
          <w:color w:val="000000"/>
          <w:szCs w:val="22"/>
        </w:rPr>
      </w:pPr>
      <m:oMathPara>
        <m:oMathParaPr>
          <m:jc m:val="center"/>
        </m:oMathParaPr>
        <m:oMath>
          <m:r>
            <m:rPr>
              <m:nor/>
            </m:rPr>
            <w:rPr>
              <w:rFonts w:ascii="Arial" w:hAnsi="Arial" w:cs="Arial"/>
              <w:szCs w:val="22"/>
            </w:rPr>
            <w:lastRenderedPageBreak/>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4C620B" w:rsidRPr="001E66A9" w:rsidRDefault="00605EA1">
      <w:pPr>
        <w:widowControl w:val="0"/>
        <w:spacing w:line="276" w:lineRule="auto"/>
        <w:rPr>
          <w:rFonts w:ascii="Arial" w:hAnsi="Arial" w:cs="Arial"/>
          <w:snapToGrid w:val="0"/>
          <w:color w:val="000000"/>
          <w:szCs w:val="22"/>
        </w:rPr>
      </w:pPr>
      <w:proofErr w:type="gramStart"/>
      <w:r w:rsidRPr="00605EA1">
        <w:rPr>
          <w:rFonts w:ascii="Arial" w:hAnsi="Arial" w:cs="Arial"/>
          <w:snapToGrid w:val="0"/>
          <w:color w:val="000000"/>
          <w:szCs w:val="22"/>
        </w:rPr>
        <w:t>onde</w:t>
      </w:r>
      <w:proofErr w:type="gramEnd"/>
      <w:r w:rsidRPr="00605EA1">
        <w:rPr>
          <w:rFonts w:ascii="Arial" w:hAnsi="Arial" w:cs="Arial"/>
          <w:snapToGrid w:val="0"/>
          <w:color w:val="000000"/>
          <w:szCs w:val="22"/>
        </w:rPr>
        <w:t>:</w:t>
      </w:r>
    </w:p>
    <w:p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snapToGrid w:val="0"/>
          <w:color w:val="000000"/>
          <w:szCs w:val="22"/>
        </w:rPr>
        <w:t>n = número total de Taxas DI, consideradas na atualização do ativo.</w:t>
      </w:r>
    </w:p>
    <w:p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noProof/>
          <w:color w:val="000000"/>
          <w:szCs w:val="22"/>
        </w:rPr>
        <w:t>TDI</w:t>
      </w:r>
      <w:r w:rsidRPr="00605EA1">
        <w:rPr>
          <w:rFonts w:ascii="Arial" w:hAnsi="Arial" w:cs="Arial"/>
          <w:noProof/>
          <w:color w:val="000000"/>
          <w:szCs w:val="22"/>
          <w:vertAlign w:val="subscript"/>
        </w:rPr>
        <w:t xml:space="preserve">k </w:t>
      </w:r>
      <w:r w:rsidRPr="00605EA1">
        <w:rPr>
          <w:rFonts w:ascii="Arial" w:hAnsi="Arial" w:cs="Arial"/>
          <w:snapToGrid w:val="0"/>
          <w:color w:val="000000"/>
          <w:szCs w:val="22"/>
        </w:rPr>
        <w:t xml:space="preserve">= Taxa DI, de ordem “k”, expressa ao dia, calculada com </w:t>
      </w:r>
      <w:proofErr w:type="gramStart"/>
      <w:r w:rsidRPr="00605EA1">
        <w:rPr>
          <w:rFonts w:ascii="Arial" w:hAnsi="Arial" w:cs="Arial"/>
          <w:snapToGrid w:val="0"/>
          <w:color w:val="000000"/>
          <w:szCs w:val="22"/>
        </w:rPr>
        <w:t>8</w:t>
      </w:r>
      <w:proofErr w:type="gramEnd"/>
      <w:r w:rsidRPr="00605EA1">
        <w:rPr>
          <w:rFonts w:ascii="Arial" w:hAnsi="Arial" w:cs="Arial"/>
          <w:snapToGrid w:val="0"/>
          <w:color w:val="000000"/>
          <w:szCs w:val="22"/>
        </w:rPr>
        <w:t xml:space="preserve"> (oito) casas decimais com arredondamento, apurada da seguinte forma:</w:t>
      </w:r>
    </w:p>
    <w:p w:rsidR="004C620B" w:rsidRPr="001E66A9" w:rsidRDefault="00605EA1">
      <w:pPr>
        <w:widowControl w:val="0"/>
        <w:spacing w:line="276" w:lineRule="auto"/>
        <w:rPr>
          <w:rFonts w:ascii="Arial" w:hAnsi="Arial" w:cs="Arial"/>
          <w:snapToGrid w:val="0"/>
          <w:color w:val="000000"/>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4C620B" w:rsidRPr="001E66A9" w:rsidRDefault="00605EA1">
      <w:pPr>
        <w:widowControl w:val="0"/>
        <w:spacing w:line="276" w:lineRule="auto"/>
        <w:rPr>
          <w:rFonts w:ascii="Arial" w:hAnsi="Arial" w:cs="Arial"/>
          <w:snapToGrid w:val="0"/>
          <w:color w:val="000000"/>
          <w:szCs w:val="22"/>
        </w:rPr>
      </w:pPr>
      <w:proofErr w:type="gramStart"/>
      <w:r w:rsidRPr="00605EA1">
        <w:rPr>
          <w:rFonts w:ascii="Arial" w:hAnsi="Arial" w:cs="Arial"/>
          <w:snapToGrid w:val="0"/>
          <w:color w:val="000000"/>
          <w:szCs w:val="22"/>
        </w:rPr>
        <w:t>onde</w:t>
      </w:r>
      <w:proofErr w:type="gramEnd"/>
      <w:r w:rsidRPr="00605EA1">
        <w:rPr>
          <w:rFonts w:ascii="Arial" w:hAnsi="Arial" w:cs="Arial"/>
          <w:snapToGrid w:val="0"/>
          <w:color w:val="000000"/>
          <w:szCs w:val="22"/>
        </w:rPr>
        <w:t>:</w:t>
      </w:r>
    </w:p>
    <w:p w:rsidR="004C620B" w:rsidRPr="001E66A9" w:rsidRDefault="00605EA1">
      <w:pPr>
        <w:widowControl w:val="0"/>
        <w:spacing w:line="276" w:lineRule="auto"/>
        <w:rPr>
          <w:rFonts w:ascii="Arial" w:hAnsi="Arial" w:cs="Arial"/>
          <w:snapToGrid w:val="0"/>
          <w:color w:val="000000"/>
          <w:szCs w:val="22"/>
        </w:rPr>
      </w:pPr>
      <w:r w:rsidRPr="00605EA1">
        <w:rPr>
          <w:rFonts w:ascii="Arial" w:hAnsi="Arial" w:cs="Arial"/>
          <w:noProof/>
          <w:color w:val="000000"/>
          <w:szCs w:val="22"/>
        </w:rPr>
        <w:t>DI</w:t>
      </w:r>
      <w:r w:rsidRPr="00605EA1">
        <w:rPr>
          <w:rFonts w:ascii="Arial" w:hAnsi="Arial" w:cs="Arial"/>
          <w:noProof/>
          <w:color w:val="000000"/>
          <w:szCs w:val="22"/>
          <w:vertAlign w:val="subscript"/>
        </w:rPr>
        <w:t>k</w:t>
      </w:r>
      <w:r w:rsidRPr="00605EA1">
        <w:rPr>
          <w:rFonts w:ascii="Arial" w:hAnsi="Arial" w:cs="Arial"/>
          <w:noProof/>
          <w:color w:val="000000"/>
          <w:szCs w:val="22"/>
        </w:rPr>
        <w:t xml:space="preserve"> </w:t>
      </w:r>
      <w:r w:rsidRPr="00605EA1">
        <w:rPr>
          <w:rFonts w:ascii="Arial" w:hAnsi="Arial" w:cs="Arial"/>
          <w:snapToGrid w:val="0"/>
          <w:color w:val="000000"/>
          <w:szCs w:val="22"/>
        </w:rPr>
        <w:t xml:space="preserve">= Taxa DI, de ordem k, divulgada pela B3, utilizada com </w:t>
      </w:r>
      <w:proofErr w:type="gramStart"/>
      <w:r w:rsidRPr="00605EA1">
        <w:rPr>
          <w:rFonts w:ascii="Arial" w:hAnsi="Arial" w:cs="Arial"/>
          <w:snapToGrid w:val="0"/>
          <w:color w:val="000000"/>
          <w:szCs w:val="22"/>
        </w:rPr>
        <w:t>2</w:t>
      </w:r>
      <w:proofErr w:type="gramEnd"/>
      <w:r w:rsidRPr="00605EA1">
        <w:rPr>
          <w:rFonts w:ascii="Arial" w:hAnsi="Arial" w:cs="Arial"/>
          <w:snapToGrid w:val="0"/>
          <w:color w:val="000000"/>
          <w:szCs w:val="22"/>
        </w:rPr>
        <w:t xml:space="preserve"> (duas) casas decimais; e</w:t>
      </w:r>
    </w:p>
    <w:p w:rsidR="004C620B" w:rsidRPr="001E66A9" w:rsidRDefault="00605EA1">
      <w:pPr>
        <w:widowControl w:val="0"/>
        <w:spacing w:line="276" w:lineRule="auto"/>
        <w:rPr>
          <w:rFonts w:ascii="Arial" w:hAnsi="Arial" w:cs="Arial"/>
          <w:color w:val="000000"/>
          <w:szCs w:val="22"/>
        </w:rPr>
      </w:pPr>
      <w:proofErr w:type="gramStart"/>
      <w:r w:rsidRPr="00605EA1">
        <w:rPr>
          <w:rFonts w:ascii="Arial" w:hAnsi="Arial" w:cs="Arial"/>
          <w:color w:val="000000"/>
          <w:szCs w:val="22"/>
        </w:rPr>
        <w:t>FatorSpread</w:t>
      </w:r>
      <w:proofErr w:type="gramEnd"/>
      <w:r w:rsidRPr="00605EA1">
        <w:rPr>
          <w:rFonts w:ascii="Arial" w:hAnsi="Arial" w:cs="Arial"/>
          <w:color w:val="000000"/>
          <w:szCs w:val="22"/>
        </w:rPr>
        <w:t xml:space="preserve"> = Sobretaxa, calculada com 9 (nove) casas decimais, com arredondamento, apurada conforme fórmula abaixo:</w:t>
      </w:r>
    </w:p>
    <w:p w:rsidR="004C620B" w:rsidRPr="001E66A9" w:rsidRDefault="004C620B">
      <w:pPr>
        <w:widowControl w:val="0"/>
        <w:spacing w:line="276" w:lineRule="auto"/>
        <w:rPr>
          <w:rFonts w:ascii="Arial" w:hAnsi="Arial" w:cs="Arial"/>
          <w:color w:val="000000"/>
          <w:szCs w:val="22"/>
        </w:rPr>
      </w:pPr>
    </w:p>
    <w:p w:rsidR="004C620B" w:rsidRPr="001E66A9" w:rsidRDefault="00605EA1">
      <w:pPr>
        <w:widowControl w:val="0"/>
        <w:spacing w:line="276" w:lineRule="auto"/>
        <w:rPr>
          <w:rFonts w:ascii="Arial" w:hAnsi="Arial" w:cs="Arial"/>
          <w:color w:val="000000"/>
          <w:szCs w:val="22"/>
        </w:rPr>
      </w:pPr>
      <w:r>
        <w:rPr>
          <w:rFonts w:ascii="Arial" w:hAnsi="Arial" w:cs="Arial"/>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8" o:title=""/>
          </v:shape>
          <o:OLEObject Type="Embed" ProgID="Equation.3" ShapeID="_x0000_s1026" DrawAspect="Content" ObjectID="_1649693613" r:id="rId19"/>
        </w:pict>
      </w:r>
    </w:p>
    <w:p w:rsidR="004C620B" w:rsidRPr="001E66A9" w:rsidRDefault="004C620B">
      <w:pPr>
        <w:widowControl w:val="0"/>
        <w:spacing w:line="276" w:lineRule="auto"/>
        <w:rPr>
          <w:rFonts w:ascii="Arial" w:hAnsi="Arial" w:cs="Arial"/>
          <w:color w:val="000000"/>
          <w:szCs w:val="22"/>
        </w:rPr>
      </w:pPr>
    </w:p>
    <w:p w:rsidR="004C620B" w:rsidRPr="001E66A9" w:rsidRDefault="004C620B">
      <w:pPr>
        <w:widowControl w:val="0"/>
        <w:spacing w:line="276" w:lineRule="auto"/>
        <w:jc w:val="center"/>
        <w:rPr>
          <w:rFonts w:ascii="Arial" w:hAnsi="Arial" w:cs="Arial"/>
          <w:color w:val="000000"/>
          <w:szCs w:val="22"/>
        </w:rPr>
      </w:pPr>
    </w:p>
    <w:p w:rsidR="004C620B" w:rsidRPr="001E66A9" w:rsidRDefault="00605EA1">
      <w:pPr>
        <w:widowControl w:val="0"/>
        <w:spacing w:line="276" w:lineRule="auto"/>
        <w:rPr>
          <w:rFonts w:ascii="Arial" w:hAnsi="Arial" w:cs="Arial"/>
          <w:color w:val="000000"/>
          <w:szCs w:val="22"/>
        </w:rPr>
      </w:pPr>
      <w:proofErr w:type="gramStart"/>
      <w:r w:rsidRPr="00605EA1">
        <w:rPr>
          <w:rFonts w:ascii="Arial" w:hAnsi="Arial" w:cs="Arial"/>
          <w:color w:val="000000"/>
          <w:szCs w:val="22"/>
        </w:rPr>
        <w:t>onde</w:t>
      </w:r>
      <w:proofErr w:type="gramEnd"/>
      <w:r w:rsidRPr="00605EA1">
        <w:rPr>
          <w:rFonts w:ascii="Arial" w:hAnsi="Arial" w:cs="Arial"/>
          <w:color w:val="000000"/>
          <w:szCs w:val="22"/>
        </w:rPr>
        <w:t>:</w:t>
      </w:r>
    </w:p>
    <w:p w:rsidR="004C620B" w:rsidRPr="001E66A9" w:rsidRDefault="00605EA1">
      <w:pPr>
        <w:widowControl w:val="0"/>
        <w:spacing w:line="276" w:lineRule="auto"/>
        <w:rPr>
          <w:rFonts w:ascii="Arial" w:hAnsi="Arial" w:cs="Arial"/>
          <w:color w:val="000000"/>
          <w:szCs w:val="22"/>
        </w:rPr>
      </w:pPr>
      <w:proofErr w:type="gramStart"/>
      <w:r w:rsidRPr="00605EA1">
        <w:rPr>
          <w:rFonts w:ascii="Arial" w:hAnsi="Arial" w:cs="Arial"/>
          <w:color w:val="000000"/>
          <w:szCs w:val="22"/>
        </w:rPr>
        <w:t>spread</w:t>
      </w:r>
      <w:proofErr w:type="gramEnd"/>
      <w:r w:rsidRPr="00605EA1">
        <w:rPr>
          <w:rFonts w:ascii="Arial" w:hAnsi="Arial" w:cs="Arial"/>
          <w:color w:val="000000"/>
          <w:szCs w:val="22"/>
        </w:rPr>
        <w:tab/>
        <w:t xml:space="preserve">= </w:t>
      </w:r>
      <w:r w:rsidRPr="00605EA1">
        <w:rPr>
          <w:rFonts w:ascii="Arial" w:hAnsi="Arial" w:cs="Arial"/>
          <w:szCs w:val="22"/>
        </w:rPr>
        <w:t>[●]</w:t>
      </w:r>
      <w:r w:rsidR="001068B6" w:rsidRPr="001E66A9">
        <w:rPr>
          <w:rFonts w:ascii="Arial" w:hAnsi="Arial" w:cs="Arial"/>
          <w:color w:val="000000"/>
          <w:szCs w:val="22"/>
        </w:rPr>
        <w:t>;</w:t>
      </w:r>
    </w:p>
    <w:p w:rsidR="004C620B" w:rsidRPr="001E66A9" w:rsidRDefault="00605EA1">
      <w:pPr>
        <w:widowControl w:val="0"/>
        <w:spacing w:line="276" w:lineRule="auto"/>
        <w:rPr>
          <w:rFonts w:ascii="Arial" w:hAnsi="Arial" w:cs="Arial"/>
          <w:i/>
          <w:color w:val="000000"/>
          <w:szCs w:val="22"/>
        </w:rPr>
      </w:pPr>
      <w:r w:rsidRPr="00605EA1">
        <w:rPr>
          <w:rFonts w:ascii="Arial" w:hAnsi="Arial" w:cs="Arial"/>
          <w:color w:val="000000"/>
          <w:szCs w:val="22"/>
        </w:rPr>
        <w:t>n</w:t>
      </w:r>
      <w:r w:rsidRPr="00605EA1">
        <w:rPr>
          <w:rFonts w:ascii="Arial" w:hAnsi="Arial" w:cs="Arial"/>
          <w:color w:val="000000"/>
          <w:szCs w:val="22"/>
        </w:rPr>
        <w:tab/>
        <w:t>= número de Dias Úteis entre a Data de Subscrição ou data de pagamento de Remuneração imediatamente anterior, conforme o caso, inclusive, e a data do cálculo, exclusive, sendo “n” um número inteiro.</w:t>
      </w:r>
    </w:p>
    <w:p w:rsidR="004C620B" w:rsidRPr="001E66A9" w:rsidRDefault="00605EA1">
      <w:pPr>
        <w:widowControl w:val="0"/>
        <w:spacing w:line="276" w:lineRule="auto"/>
        <w:rPr>
          <w:rFonts w:ascii="Arial" w:hAnsi="Arial" w:cs="Arial"/>
          <w:szCs w:val="22"/>
        </w:rPr>
      </w:pPr>
      <w:r w:rsidRPr="00605EA1">
        <w:rPr>
          <w:rFonts w:ascii="Arial" w:hAnsi="Arial" w:cs="Arial"/>
          <w:snapToGrid w:val="0"/>
          <w:color w:val="000000"/>
          <w:szCs w:val="22"/>
        </w:rPr>
        <w:t>Observações:</w:t>
      </w:r>
    </w:p>
    <w:p w:rsidR="004C620B" w:rsidRPr="001E66A9" w:rsidRDefault="001068B6">
      <w:pPr>
        <w:widowControl w:val="0"/>
        <w:tabs>
          <w:tab w:val="left" w:pos="600"/>
        </w:tabs>
        <w:spacing w:line="276" w:lineRule="auto"/>
        <w:rPr>
          <w:rFonts w:ascii="Arial" w:hAnsi="Arial" w:cs="Arial"/>
          <w:snapToGrid w:val="0"/>
          <w:color w:val="000000"/>
          <w:szCs w:val="22"/>
        </w:rPr>
      </w:pPr>
      <w:r w:rsidRPr="001E66A9">
        <w:rPr>
          <w:rFonts w:ascii="Arial" w:hAnsi="Arial" w:cs="Arial"/>
          <w:snapToGrid w:val="0"/>
          <w:color w:val="000000"/>
          <w:szCs w:val="22"/>
        </w:rPr>
        <w:t xml:space="preserve">O fator resultante da expressão </w:t>
      </w:r>
      <w:r w:rsidR="00605EA1" w:rsidRPr="00605EA1">
        <w:rPr>
          <w:rFonts w:ascii="Arial" w:hAnsi="Arial" w:cs="Arial"/>
          <w:noProof/>
          <w:color w:val="000000"/>
          <w:szCs w:val="22"/>
        </w:rPr>
        <w:t>[1+ TDI</w:t>
      </w:r>
      <w:r w:rsidR="00605EA1" w:rsidRPr="00605EA1">
        <w:rPr>
          <w:rFonts w:ascii="Arial" w:hAnsi="Arial" w:cs="Arial"/>
          <w:noProof/>
          <w:color w:val="000000"/>
          <w:szCs w:val="22"/>
          <w:vertAlign w:val="subscript"/>
        </w:rPr>
        <w:t>k</w:t>
      </w:r>
      <w:r w:rsidR="00605EA1" w:rsidRPr="00605EA1">
        <w:rPr>
          <w:rFonts w:ascii="Arial" w:hAnsi="Arial" w:cs="Arial"/>
          <w:noProof/>
          <w:color w:val="000000"/>
          <w:szCs w:val="22"/>
        </w:rPr>
        <w:t>]</w:t>
      </w:r>
      <w:r w:rsidR="00605EA1" w:rsidRPr="00605EA1">
        <w:rPr>
          <w:rFonts w:ascii="Arial" w:hAnsi="Arial" w:cs="Arial"/>
          <w:snapToGrid w:val="0"/>
          <w:color w:val="000000"/>
          <w:szCs w:val="22"/>
        </w:rPr>
        <w:t xml:space="preserve"> é considerado com 16 (dezesseis) casas decimais sem arredondamento.</w:t>
      </w:r>
    </w:p>
    <w:p w:rsidR="004C620B" w:rsidRPr="001E66A9" w:rsidRDefault="00605EA1">
      <w:pPr>
        <w:widowControl w:val="0"/>
        <w:tabs>
          <w:tab w:val="left" w:pos="600"/>
        </w:tabs>
        <w:spacing w:line="276" w:lineRule="auto"/>
        <w:rPr>
          <w:rFonts w:ascii="Arial" w:hAnsi="Arial" w:cs="Arial"/>
          <w:szCs w:val="22"/>
        </w:rPr>
      </w:pPr>
      <w:r w:rsidRPr="00605EA1">
        <w:rPr>
          <w:rFonts w:ascii="Arial" w:hAnsi="Arial" w:cs="Arial"/>
          <w:snapToGrid w:val="0"/>
          <w:color w:val="000000"/>
          <w:szCs w:val="22"/>
        </w:rPr>
        <w:t xml:space="preserve">Efetua-se o produtório dos fatores diários </w:t>
      </w:r>
      <w:r w:rsidRPr="00605EA1">
        <w:rPr>
          <w:rFonts w:ascii="Arial" w:hAnsi="Arial" w:cs="Arial"/>
          <w:noProof/>
          <w:color w:val="000000"/>
          <w:szCs w:val="22"/>
        </w:rPr>
        <w:t>[1+ TDI</w:t>
      </w:r>
      <w:r w:rsidRPr="00605EA1">
        <w:rPr>
          <w:rFonts w:ascii="Arial" w:hAnsi="Arial" w:cs="Arial"/>
          <w:noProof/>
          <w:color w:val="000000"/>
          <w:szCs w:val="22"/>
          <w:vertAlign w:val="subscript"/>
        </w:rPr>
        <w:t>k</w:t>
      </w:r>
      <w:r w:rsidRPr="00605EA1">
        <w:rPr>
          <w:rFonts w:ascii="Arial" w:hAnsi="Arial" w:cs="Arial"/>
          <w:noProof/>
          <w:color w:val="000000"/>
          <w:szCs w:val="22"/>
        </w:rPr>
        <w:t>]</w:t>
      </w:r>
      <w:r w:rsidRPr="00605EA1">
        <w:rPr>
          <w:rFonts w:ascii="Arial" w:hAnsi="Arial" w:cs="Arial"/>
          <w:snapToGrid w:val="0"/>
          <w:color w:val="000000"/>
          <w:szCs w:val="22"/>
        </w:rPr>
        <w:t xml:space="preserve"> sendo que, a cada fator diário acumulado, trunca-se o resultado com 16 (dezesseis) casas decimais, aplicando-se o próximo fator diário, e assim por diante até o último considerado.</w:t>
      </w:r>
    </w:p>
    <w:p w:rsidR="004C620B" w:rsidRPr="001E66A9" w:rsidRDefault="001068B6">
      <w:pPr>
        <w:widowControl w:val="0"/>
        <w:tabs>
          <w:tab w:val="left" w:pos="600"/>
        </w:tabs>
        <w:spacing w:line="276" w:lineRule="auto"/>
        <w:rPr>
          <w:rFonts w:ascii="Arial" w:hAnsi="Arial" w:cs="Arial"/>
          <w:szCs w:val="22"/>
        </w:rPr>
      </w:pPr>
      <w:r w:rsidRPr="001E66A9">
        <w:rPr>
          <w:rFonts w:ascii="Arial" w:hAnsi="Arial" w:cs="Arial"/>
          <w:snapToGrid w:val="0"/>
          <w:color w:val="000000"/>
          <w:szCs w:val="22"/>
        </w:rPr>
        <w:t xml:space="preserve">Uma vez os fatores estando acumulados, considera-se o fator resultante “Fator DI” </w:t>
      </w:r>
      <w:r w:rsidRPr="001E66A9">
        <w:rPr>
          <w:rFonts w:ascii="Arial" w:hAnsi="Arial" w:cs="Arial"/>
          <w:snapToGrid w:val="0"/>
          <w:color w:val="000000"/>
          <w:szCs w:val="22"/>
        </w:rPr>
        <w:lastRenderedPageBreak/>
        <w:t xml:space="preserve">com </w:t>
      </w:r>
      <w:proofErr w:type="gramStart"/>
      <w:r w:rsidRPr="001E66A9">
        <w:rPr>
          <w:rFonts w:ascii="Arial" w:hAnsi="Arial" w:cs="Arial"/>
          <w:snapToGrid w:val="0"/>
          <w:color w:val="000000"/>
          <w:szCs w:val="22"/>
        </w:rPr>
        <w:t>8</w:t>
      </w:r>
      <w:proofErr w:type="gramEnd"/>
      <w:r w:rsidRPr="001E66A9">
        <w:rPr>
          <w:rFonts w:ascii="Arial" w:hAnsi="Arial" w:cs="Arial"/>
          <w:snapToGrid w:val="0"/>
          <w:color w:val="000000"/>
          <w:szCs w:val="22"/>
        </w:rPr>
        <w:t xml:space="preserve"> (oito) casas decimais, com arredondamento.</w:t>
      </w:r>
    </w:p>
    <w:p w:rsidR="004C620B" w:rsidRPr="001E66A9" w:rsidRDefault="001068B6">
      <w:pPr>
        <w:widowControl w:val="0"/>
        <w:tabs>
          <w:tab w:val="left" w:pos="600"/>
        </w:tabs>
        <w:spacing w:line="276" w:lineRule="auto"/>
        <w:rPr>
          <w:rFonts w:ascii="Arial" w:hAnsi="Arial" w:cs="Arial"/>
          <w:snapToGrid w:val="0"/>
          <w:color w:val="000000"/>
          <w:szCs w:val="22"/>
        </w:rPr>
      </w:pPr>
      <w:r w:rsidRPr="001E66A9">
        <w:rPr>
          <w:rFonts w:ascii="Arial" w:hAnsi="Arial" w:cs="Arial"/>
          <w:snapToGrid w:val="0"/>
          <w:color w:val="000000"/>
          <w:szCs w:val="22"/>
        </w:rPr>
        <w:t>O fator res</w:t>
      </w:r>
      <w:r w:rsidR="00605EA1" w:rsidRPr="00605EA1">
        <w:rPr>
          <w:rFonts w:ascii="Arial" w:hAnsi="Arial" w:cs="Arial"/>
          <w:snapToGrid w:val="0"/>
          <w:color w:val="000000"/>
          <w:szCs w:val="22"/>
        </w:rPr>
        <w:t>ultante da expressão (</w:t>
      </w:r>
      <w:proofErr w:type="gramStart"/>
      <w:r w:rsidR="00605EA1" w:rsidRPr="00605EA1">
        <w:rPr>
          <w:rFonts w:ascii="Arial" w:hAnsi="Arial" w:cs="Arial"/>
          <w:snapToGrid w:val="0"/>
          <w:color w:val="000000"/>
          <w:szCs w:val="22"/>
        </w:rPr>
        <w:t>FatorDIxFatorSpread</w:t>
      </w:r>
      <w:proofErr w:type="gramEnd"/>
      <w:r w:rsidR="00605EA1" w:rsidRPr="00605EA1">
        <w:rPr>
          <w:rFonts w:ascii="Arial" w:hAnsi="Arial" w:cs="Arial"/>
          <w:snapToGrid w:val="0"/>
          <w:color w:val="000000"/>
          <w:szCs w:val="22"/>
        </w:rPr>
        <w:t xml:space="preserve">) é considerado com 9 (nove) casas decimais, com arredondamento. </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61" w:name="_Ref495492067"/>
      <w:bookmarkStart w:id="62" w:name="_Ref286154048"/>
      <w:bookmarkEnd w:id="51"/>
      <w:bookmarkEnd w:id="52"/>
      <w:bookmarkEnd w:id="53"/>
      <w:bookmarkEnd w:id="55"/>
      <w:bookmarkEnd w:id="58"/>
      <w:bookmarkEnd w:id="59"/>
      <w:r w:rsidRPr="00605EA1">
        <w:rPr>
          <w:i/>
          <w:sz w:val="22"/>
          <w:szCs w:val="22"/>
        </w:rPr>
        <w:t>Indisponibilidade Temporária, Extinção, Limitação e/ou Não Divulgação da Taxa DI</w:t>
      </w:r>
      <w:r w:rsidRPr="00605EA1">
        <w:rPr>
          <w:sz w:val="22"/>
          <w:szCs w:val="22"/>
        </w:rPr>
        <w:t>. Serão aplicáveis as disposições abaixo em caso de indisponibilidade temporária, extinção, limitação e/ou não divulgação da Taxa DI.</w:t>
      </w:r>
      <w:bookmarkEnd w:id="61"/>
    </w:p>
    <w:p w:rsidR="004C620B" w:rsidRPr="001E66A9" w:rsidRDefault="00605EA1">
      <w:pPr>
        <w:pStyle w:val="Level3"/>
        <w:widowControl w:val="0"/>
        <w:numPr>
          <w:ilvl w:val="0"/>
          <w:numId w:val="0"/>
        </w:numPr>
        <w:spacing w:before="140" w:after="0" w:line="276" w:lineRule="auto"/>
        <w:ind w:left="851"/>
        <w:rPr>
          <w:sz w:val="22"/>
          <w:szCs w:val="22"/>
        </w:rPr>
      </w:pPr>
      <w:r w:rsidRPr="00605EA1">
        <w:rPr>
          <w:b/>
          <w:sz w:val="22"/>
          <w:szCs w:val="22"/>
        </w:rPr>
        <w:t>7.12.3.1</w:t>
      </w:r>
      <w:r w:rsidRPr="00605EA1">
        <w:rPr>
          <w:b/>
          <w:sz w:val="22"/>
          <w:szCs w:val="22"/>
        </w:rPr>
        <w:tab/>
      </w:r>
      <w:bookmarkStart w:id="63" w:name="_Ref314589042"/>
      <w:r w:rsidRPr="00605EA1">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3"/>
    </w:p>
    <w:p w:rsidR="004C620B" w:rsidRPr="001E66A9" w:rsidRDefault="00605EA1">
      <w:pPr>
        <w:pStyle w:val="Level3"/>
        <w:widowControl w:val="0"/>
        <w:numPr>
          <w:ilvl w:val="0"/>
          <w:numId w:val="0"/>
        </w:numPr>
        <w:spacing w:before="140" w:after="0" w:line="276" w:lineRule="auto"/>
        <w:ind w:left="851"/>
        <w:rPr>
          <w:sz w:val="22"/>
          <w:szCs w:val="22"/>
        </w:rPr>
      </w:pPr>
      <w:bookmarkStart w:id="64" w:name="_Ref306030694"/>
      <w:r w:rsidRPr="00605EA1">
        <w:rPr>
          <w:b/>
          <w:sz w:val="22"/>
          <w:szCs w:val="22"/>
        </w:rPr>
        <w:t>7.12.3.2</w:t>
      </w:r>
      <w:r w:rsidRPr="00605EA1">
        <w:rPr>
          <w:b/>
          <w:sz w:val="22"/>
          <w:szCs w:val="22"/>
        </w:rPr>
        <w:tab/>
      </w:r>
      <w:r w:rsidRPr="00605EA1">
        <w:rPr>
          <w:sz w:val="22"/>
          <w:szCs w:val="22"/>
        </w:rPr>
        <w:t xml:space="preserve">Na hipótese de extinção, limitação e/ou não divulgação da Taxa DI, conforme o caso, por mais de </w:t>
      </w:r>
      <w:proofErr w:type="gramStart"/>
      <w:r w:rsidRPr="00605EA1">
        <w:rPr>
          <w:sz w:val="22"/>
          <w:szCs w:val="22"/>
        </w:rPr>
        <w:t>5</w:t>
      </w:r>
      <w:proofErr w:type="gramEnd"/>
      <w:r w:rsidRPr="00605EA1">
        <w:rPr>
          <w:sz w:val="22"/>
          <w:szCs w:val="22"/>
        </w:rPr>
        <w:t xml:space="preserve">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w:t>
      </w:r>
      <w:proofErr w:type="gramStart"/>
      <w:r w:rsidRPr="00605EA1">
        <w:rPr>
          <w:sz w:val="22"/>
          <w:szCs w:val="22"/>
        </w:rPr>
        <w:t>2</w:t>
      </w:r>
      <w:proofErr w:type="gramEnd"/>
      <w:r w:rsidRPr="00605EA1">
        <w:rPr>
          <w:sz w:val="22"/>
          <w:szCs w:val="22"/>
        </w:rPr>
        <w:t xml:space="preserve">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w:t>
      </w:r>
      <w:r w:rsidRPr="00605EA1">
        <w:rPr>
          <w:sz w:val="22"/>
          <w:szCs w:val="22"/>
        </w:rPr>
        <w:lastRenderedPageBreak/>
        <w:t xml:space="preserve">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4C620B" w:rsidRPr="001E66A9" w:rsidRDefault="00605EA1">
      <w:pPr>
        <w:pStyle w:val="Level3"/>
        <w:widowControl w:val="0"/>
        <w:numPr>
          <w:ilvl w:val="0"/>
          <w:numId w:val="0"/>
        </w:numPr>
        <w:spacing w:before="140" w:after="0" w:line="276" w:lineRule="auto"/>
        <w:ind w:left="851"/>
        <w:rPr>
          <w:b/>
          <w:i/>
          <w:sz w:val="22"/>
          <w:szCs w:val="22"/>
        </w:rPr>
      </w:pPr>
      <w:r w:rsidRPr="00605EA1">
        <w:rPr>
          <w:b/>
          <w:sz w:val="22"/>
          <w:szCs w:val="22"/>
        </w:rPr>
        <w:t>7.12.3.3</w:t>
      </w:r>
      <w:r w:rsidRPr="00605EA1">
        <w:rPr>
          <w:b/>
          <w:sz w:val="22"/>
          <w:szCs w:val="22"/>
        </w:rPr>
        <w:tab/>
      </w:r>
      <w:r w:rsidRPr="00605EA1">
        <w:rPr>
          <w:sz w:val="22"/>
          <w:szCs w:val="22"/>
        </w:rPr>
        <w:t xml:space="preserve">Caso, na assembleia geral de Debenturistas prevista acima, não haja acordo sobre a nova remuneração das Debêntures entre a Companhia e Debenturistas representando, no mínimo, 2/3 (dois terços) das Debêntures em Circulação, ou referida assembleia não seja instalada em </w:t>
      </w:r>
      <w:proofErr w:type="gramStart"/>
      <w:r w:rsidRPr="00605EA1">
        <w:rPr>
          <w:sz w:val="22"/>
          <w:szCs w:val="22"/>
        </w:rPr>
        <w:t>primeira e segunda convocações</w:t>
      </w:r>
      <w:proofErr w:type="gramEnd"/>
      <w:r w:rsidRPr="00605EA1">
        <w:rPr>
          <w:sz w:val="22"/>
          <w:szCs w:val="22"/>
        </w:rPr>
        <w:t xml:space="preserve"> ou, se instalada, não haja quórum de deliberação,</w:t>
      </w:r>
      <w:bookmarkEnd w:id="64"/>
      <w:r w:rsidRPr="00605EA1">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das Debêntures acrescido da Remuneração, calculada </w:t>
      </w:r>
      <w:r w:rsidRPr="00605EA1">
        <w:rPr>
          <w:i/>
          <w:sz w:val="22"/>
          <w:szCs w:val="22"/>
        </w:rPr>
        <w:t>pro rata temporis</w:t>
      </w:r>
      <w:r w:rsidRPr="00605EA1">
        <w:rPr>
          <w:sz w:val="22"/>
          <w:szCs w:val="22"/>
        </w:rPr>
        <w:t xml:space="preserve">, desde a Data de Subscrição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2"/>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Repactuação Programada</w:t>
      </w:r>
      <w:r w:rsidRPr="00605EA1">
        <w:rPr>
          <w:rFonts w:cs="Arial"/>
          <w:sz w:val="22"/>
          <w:szCs w:val="22"/>
        </w:rPr>
        <w:t>. Não haverá repactuação programada.</w:t>
      </w:r>
    </w:p>
    <w:p w:rsidR="004C620B" w:rsidRPr="001E66A9" w:rsidRDefault="00605EA1">
      <w:pPr>
        <w:pStyle w:val="Level2"/>
        <w:widowControl w:val="0"/>
        <w:tabs>
          <w:tab w:val="clear" w:pos="680"/>
          <w:tab w:val="num" w:pos="851"/>
        </w:tabs>
        <w:spacing w:before="140" w:line="276" w:lineRule="auto"/>
        <w:ind w:left="0" w:firstLine="0"/>
        <w:rPr>
          <w:rFonts w:cs="Arial"/>
          <w:sz w:val="22"/>
          <w:szCs w:val="22"/>
        </w:rPr>
      </w:pPr>
      <w:bookmarkStart w:id="65" w:name="_Ref37080392"/>
      <w:r w:rsidRPr="00605EA1">
        <w:rPr>
          <w:rFonts w:cs="Arial"/>
          <w:i/>
          <w:sz w:val="22"/>
          <w:szCs w:val="22"/>
        </w:rPr>
        <w:t>Resgate Antecipado Obrigatório</w:t>
      </w:r>
      <w:r w:rsidRPr="00605EA1">
        <w:rPr>
          <w:rFonts w:cs="Arial"/>
          <w:sz w:val="22"/>
          <w:szCs w:val="22"/>
        </w:rPr>
        <w:t xml:space="preserve">. Em caso de captação de recursos, pela Companhia, mediante a obtenção de um financiamento de prazo superior a </w:t>
      </w:r>
      <w:proofErr w:type="gramStart"/>
      <w:r w:rsidRPr="00605EA1">
        <w:rPr>
          <w:rFonts w:cs="Arial"/>
          <w:sz w:val="22"/>
          <w:szCs w:val="22"/>
        </w:rPr>
        <w:t>1</w:t>
      </w:r>
      <w:proofErr w:type="gramEnd"/>
      <w:r w:rsidRPr="00605EA1">
        <w:rPr>
          <w:rFonts w:cs="Arial"/>
          <w:sz w:val="22"/>
          <w:szCs w:val="22"/>
        </w:rPr>
        <w:t xml:space="preserve"> (um) ano para investimento integral no Projeto (“</w:t>
      </w:r>
      <w:r w:rsidRPr="00605EA1">
        <w:rPr>
          <w:rFonts w:cs="Arial"/>
          <w:b/>
          <w:sz w:val="22"/>
          <w:szCs w:val="22"/>
        </w:rPr>
        <w:t>Dívida de Longo Prazo</w:t>
      </w:r>
      <w:r w:rsidRPr="00605EA1">
        <w:rPr>
          <w:rFonts w:cs="Arial"/>
          <w:sz w:val="22"/>
          <w:szCs w:val="22"/>
        </w:rPr>
        <w:t xml:space="preserve">”), em valor igual ou superior ao Valor Total da Emissão acrescido da (i) Remuneração, calculada </w:t>
      </w:r>
      <w:r w:rsidRPr="00605EA1">
        <w:rPr>
          <w:rFonts w:cs="Arial"/>
          <w:i/>
          <w:sz w:val="22"/>
          <w:szCs w:val="22"/>
        </w:rPr>
        <w:t>pro rata temporis</w:t>
      </w:r>
      <w:r w:rsidRPr="00605EA1">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605EA1">
        <w:rPr>
          <w:rFonts w:cs="Arial"/>
          <w:b/>
          <w:sz w:val="22"/>
          <w:szCs w:val="22"/>
        </w:rPr>
        <w:t>Desembolso da Dívida de Longo Prazo</w:t>
      </w:r>
      <w:r w:rsidRPr="00605EA1">
        <w:rPr>
          <w:rFonts w:cs="Arial"/>
          <w:sz w:val="22"/>
          <w:szCs w:val="22"/>
        </w:rPr>
        <w:t xml:space="preserve">”), a Comunicação de Resgate Antecipado Obrigatório (conforme abaixo definido), de forma a efetivar o resgate antecipado da totalidade das Debêntures, com o consequente </w:t>
      </w:r>
      <w:r w:rsidRPr="00605EA1">
        <w:rPr>
          <w:rFonts w:cs="Arial"/>
          <w:sz w:val="22"/>
          <w:szCs w:val="22"/>
        </w:rPr>
        <w:lastRenderedPageBreak/>
        <w:t>cancelamento de tais Debêntures (“</w:t>
      </w:r>
      <w:r w:rsidRPr="00605EA1">
        <w:rPr>
          <w:rFonts w:cs="Arial"/>
          <w:b/>
          <w:sz w:val="22"/>
          <w:szCs w:val="22"/>
        </w:rPr>
        <w:t>Resgate Antecipado Obrigatório</w:t>
      </w:r>
      <w:r w:rsidRPr="00605EA1">
        <w:rPr>
          <w:rFonts w:cs="Arial"/>
          <w:sz w:val="22"/>
          <w:szCs w:val="22"/>
        </w:rPr>
        <w:t>”).</w:t>
      </w:r>
      <w:bookmarkEnd w:id="65"/>
      <w:r w:rsidRPr="00605EA1">
        <w:rPr>
          <w:rFonts w:cs="Arial"/>
          <w:sz w:val="22"/>
          <w:szCs w:val="22"/>
        </w:rPr>
        <w:t xml:space="preserve"> </w:t>
      </w:r>
    </w:p>
    <w:p w:rsidR="004C620B" w:rsidRPr="001E66A9" w:rsidRDefault="00605EA1">
      <w:pPr>
        <w:pStyle w:val="Level3"/>
        <w:tabs>
          <w:tab w:val="clear" w:pos="1361"/>
          <w:tab w:val="left" w:pos="851"/>
        </w:tabs>
        <w:spacing w:line="276" w:lineRule="auto"/>
        <w:ind w:left="0" w:firstLine="0"/>
        <w:rPr>
          <w:sz w:val="22"/>
          <w:szCs w:val="22"/>
        </w:rPr>
      </w:pPr>
      <w:r w:rsidRPr="00605EA1">
        <w:rPr>
          <w:sz w:val="22"/>
          <w:szCs w:val="22"/>
        </w:rPr>
        <w:t xml:space="preserve">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w:t>
      </w:r>
      <w:proofErr w:type="gramStart"/>
      <w:r w:rsidRPr="00605EA1">
        <w:rPr>
          <w:sz w:val="22"/>
          <w:szCs w:val="22"/>
        </w:rPr>
        <w:t>5</w:t>
      </w:r>
      <w:proofErr w:type="gramEnd"/>
      <w:r w:rsidRPr="00605EA1">
        <w:rPr>
          <w:sz w:val="22"/>
          <w:szCs w:val="22"/>
        </w:rPr>
        <w:t xml:space="preserve"> (cinco) Dias Úteis de antecedência da data do Resgate Antecipado Obrigatório e, em até 1 (um) Dia Útil do Desembolso da Dívida de Longo Prazo (“</w:t>
      </w:r>
      <w:r w:rsidRPr="00605EA1">
        <w:rPr>
          <w:b/>
          <w:sz w:val="22"/>
          <w:szCs w:val="22"/>
        </w:rPr>
        <w:t>Comunicação de Resgate Antecipado Obrigatório</w:t>
      </w:r>
      <w:r w:rsidRPr="00605EA1">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(b) o local do pagamento das Debêntures objeto do Resgate Antecipado Obrigatório; (c) a estimativa prévia do Valor do Resgate Obrigatório (conforme definido abaixo); e (d) quaisquer outras informações necessárias à operacionalização do Resgate Antecipado Obrigatório.</w:t>
      </w:r>
    </w:p>
    <w:p w:rsidR="004C620B" w:rsidRPr="001E66A9" w:rsidRDefault="00605EA1">
      <w:pPr>
        <w:pStyle w:val="Level3"/>
        <w:tabs>
          <w:tab w:val="clear" w:pos="1361"/>
          <w:tab w:val="left" w:pos="851"/>
        </w:tabs>
        <w:spacing w:line="276" w:lineRule="auto"/>
        <w:ind w:left="0" w:firstLine="0"/>
        <w:rPr>
          <w:sz w:val="22"/>
          <w:szCs w:val="22"/>
        </w:rPr>
      </w:pPr>
      <w:bookmarkStart w:id="66" w:name="_Ref37080739"/>
      <w:r w:rsidRPr="00605EA1">
        <w:rPr>
          <w:sz w:val="22"/>
          <w:szCs w:val="22"/>
        </w:rPr>
        <w:t xml:space="preserve">Em razão do Resgate Antecipado Obrigatório, será devido pela Companhia a cada titular das Debêntures o equivalente ao Valor Nominal Unitário da Debênture, acrescido (i) da Remuneração, calculada </w:t>
      </w:r>
      <w:r w:rsidRPr="00605EA1">
        <w:rPr>
          <w:i/>
          <w:sz w:val="22"/>
          <w:szCs w:val="22"/>
        </w:rPr>
        <w:t>pro rata temporis</w:t>
      </w:r>
      <w:r w:rsidRPr="00605EA1">
        <w:rPr>
          <w:sz w:val="22"/>
          <w:szCs w:val="22"/>
        </w:rPr>
        <w:t>, desde a Data de Subscrição até a data do efetivo Resgate Antecipado Obrigatório e; (</w:t>
      </w:r>
      <w:proofErr w:type="gramStart"/>
      <w:r w:rsidRPr="00605EA1">
        <w:rPr>
          <w:sz w:val="22"/>
          <w:szCs w:val="22"/>
        </w:rPr>
        <w:t>ii</w:t>
      </w:r>
      <w:proofErr w:type="gramEnd"/>
      <w:r w:rsidRPr="00605EA1">
        <w:rPr>
          <w:sz w:val="22"/>
          <w:szCs w:val="22"/>
        </w:rPr>
        <w:t>) dos Encargos Moratórios devidos e não pagos até a data do efetivo Resgate Antecipado Obrigatório, sem qualquer prêmio ou penalidade (“</w:t>
      </w:r>
      <w:r w:rsidRPr="00605EA1">
        <w:rPr>
          <w:b/>
          <w:sz w:val="22"/>
          <w:szCs w:val="22"/>
        </w:rPr>
        <w:t>Valor do Resgate Obrigatório</w:t>
      </w:r>
      <w:r w:rsidRPr="00605EA1">
        <w:rPr>
          <w:sz w:val="22"/>
          <w:szCs w:val="22"/>
        </w:rPr>
        <w:t>”).</w:t>
      </w:r>
      <w:bookmarkEnd w:id="66"/>
    </w:p>
    <w:p w:rsidR="006A2DB5" w:rsidRPr="001E66A9" w:rsidRDefault="00605EA1" w:rsidP="006A2DB5">
      <w:pPr>
        <w:pStyle w:val="Level2"/>
        <w:widowControl w:val="0"/>
        <w:tabs>
          <w:tab w:val="clear" w:pos="680"/>
          <w:tab w:val="num" w:pos="851"/>
        </w:tabs>
        <w:spacing w:before="140" w:after="0" w:line="276" w:lineRule="auto"/>
        <w:ind w:left="0" w:firstLine="0"/>
        <w:rPr>
          <w:rFonts w:cs="Arial"/>
          <w:sz w:val="22"/>
          <w:szCs w:val="22"/>
        </w:rPr>
      </w:pPr>
      <w:bookmarkStart w:id="67" w:name="_Ref37877429"/>
      <w:bookmarkStart w:id="68" w:name="_Ref534176584"/>
      <w:bookmarkEnd w:id="42"/>
      <w:bookmarkEnd w:id="54"/>
      <w:r w:rsidRPr="00605EA1">
        <w:rPr>
          <w:rFonts w:cs="Arial"/>
          <w:i/>
          <w:sz w:val="22"/>
          <w:szCs w:val="22"/>
        </w:rPr>
        <w:t>Amortização Obrigatória Parcial</w:t>
      </w:r>
      <w:r w:rsidRPr="00605EA1">
        <w:rPr>
          <w:rFonts w:cs="Arial"/>
          <w:sz w:val="22"/>
          <w:szCs w:val="22"/>
        </w:rPr>
        <w:t>. Em caso de captação de recursos, pela Companhia, mediante a obtenção de Dívida de Longo Prazo, em valor inferior ao Valor Nominal Unitário das Debêntures</w:t>
      </w:r>
      <w:proofErr w:type="gramStart"/>
      <w:r w:rsidRPr="00605EA1">
        <w:rPr>
          <w:rFonts w:cs="Arial"/>
          <w:sz w:val="22"/>
          <w:szCs w:val="22"/>
        </w:rPr>
        <w:t xml:space="preserve">  </w:t>
      </w:r>
      <w:proofErr w:type="gramEnd"/>
      <w:r w:rsidRPr="00605EA1">
        <w:rPr>
          <w:rFonts w:cs="Arial"/>
          <w:sz w:val="22"/>
          <w:szCs w:val="22"/>
        </w:rPr>
        <w:t xml:space="preserve">acrescido da (i) Remuneração, calculada </w:t>
      </w:r>
      <w:r w:rsidRPr="00605EA1">
        <w:rPr>
          <w:rFonts w:cs="Arial"/>
          <w:i/>
          <w:sz w:val="22"/>
          <w:szCs w:val="22"/>
        </w:rPr>
        <w:t>pro rata temporis</w:t>
      </w:r>
      <w:r w:rsidRPr="00605EA1">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o resgate antecipado da totalidade das Debêntures, com o consequente cancelamento de tais Debêntures (“</w:t>
      </w:r>
      <w:r w:rsidRPr="00605EA1">
        <w:rPr>
          <w:rFonts w:cs="Arial"/>
          <w:b/>
          <w:sz w:val="22"/>
          <w:szCs w:val="22"/>
        </w:rPr>
        <w:t>Amortização Obrigatória Parcial</w:t>
      </w:r>
      <w:r w:rsidRPr="00605EA1">
        <w:rPr>
          <w:rFonts w:cs="Arial"/>
          <w:sz w:val="22"/>
          <w:szCs w:val="22"/>
        </w:rPr>
        <w:t>”).</w:t>
      </w:r>
      <w:bookmarkEnd w:id="67"/>
      <w:r w:rsidRPr="00605EA1">
        <w:rPr>
          <w:rFonts w:cs="Arial"/>
          <w:sz w:val="22"/>
          <w:szCs w:val="22"/>
        </w:rPr>
        <w:br/>
      </w:r>
    </w:p>
    <w:p w:rsidR="00364F6D" w:rsidRPr="001E66A9" w:rsidRDefault="00605EA1" w:rsidP="006C135E">
      <w:pPr>
        <w:pStyle w:val="Level3"/>
        <w:tabs>
          <w:tab w:val="clear" w:pos="1361"/>
          <w:tab w:val="left" w:pos="851"/>
        </w:tabs>
        <w:spacing w:line="276" w:lineRule="auto"/>
        <w:ind w:left="0" w:firstLine="0"/>
        <w:rPr>
          <w:sz w:val="22"/>
          <w:szCs w:val="22"/>
        </w:rPr>
      </w:pPr>
      <w:r w:rsidRPr="00605EA1">
        <w:rPr>
          <w:sz w:val="22"/>
          <w:szCs w:val="22"/>
        </w:rPr>
        <w:t xml:space="preserve">A Companhia realizará a amortização parcial por meio de comunicação prévia, por escrito, (i) a todos os titulares das Debêntures, individualmente, com </w:t>
      </w:r>
      <w:r w:rsidRPr="00605EA1">
        <w:rPr>
          <w:sz w:val="22"/>
          <w:szCs w:val="22"/>
        </w:rPr>
        <w:lastRenderedPageBreak/>
        <w:t xml:space="preserve">cópia ao Agente Fiduciário, ou por meio de publicação de aviso aos titulares das Debêntures nos Jornais de Publicação, com, no mínimo, </w:t>
      </w:r>
      <w:proofErr w:type="gramStart"/>
      <w:r w:rsidRPr="00605EA1">
        <w:rPr>
          <w:sz w:val="22"/>
          <w:szCs w:val="22"/>
        </w:rPr>
        <w:t>5</w:t>
      </w:r>
      <w:proofErr w:type="gramEnd"/>
      <w:r w:rsidRPr="00605EA1">
        <w:rPr>
          <w:sz w:val="22"/>
          <w:szCs w:val="22"/>
        </w:rPr>
        <w:t xml:space="preserve"> (cinco) Dias Úteis de antecedência da data da Amortização Obrigatória Parcial e, em até 1 (um) Dia Útil do Desembolso da Dívida de Longo Prazo (“</w:t>
      </w:r>
      <w:r w:rsidRPr="00605EA1">
        <w:rPr>
          <w:b/>
          <w:sz w:val="22"/>
          <w:szCs w:val="22"/>
        </w:rPr>
        <w:t>Comunicação de Amortização Obrigatória Parcial</w:t>
      </w:r>
      <w:r w:rsidRPr="00605EA1">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p>
    <w:p w:rsidR="00000000" w:rsidRDefault="00605EA1">
      <w:pPr>
        <w:pStyle w:val="Level3"/>
        <w:tabs>
          <w:tab w:val="clear" w:pos="1361"/>
          <w:tab w:val="left" w:pos="851"/>
        </w:tabs>
        <w:spacing w:line="276" w:lineRule="auto"/>
        <w:ind w:left="0" w:firstLine="0"/>
        <w:rPr>
          <w:sz w:val="22"/>
          <w:szCs w:val="22"/>
        </w:rPr>
      </w:pPr>
      <w:bookmarkStart w:id="69" w:name="_Ref37876729"/>
      <w:r w:rsidRPr="00605EA1">
        <w:rPr>
          <w:sz w:val="22"/>
          <w:szCs w:val="22"/>
        </w:rPr>
        <w:t xml:space="preserve">Por ocasião da Amortização Obrigatória Parcial será devido pela Companhia a cada titular das Debêntures o equivalente ao Valor Nominal Unitário das Debêntures, acrescido (i) da Remuneração, calculada </w:t>
      </w:r>
      <w:r w:rsidRPr="00605EA1">
        <w:rPr>
          <w:i/>
          <w:sz w:val="22"/>
          <w:szCs w:val="22"/>
        </w:rPr>
        <w:t>pro rata temporis</w:t>
      </w:r>
      <w:r w:rsidRPr="00605EA1">
        <w:rPr>
          <w:sz w:val="22"/>
          <w:szCs w:val="22"/>
        </w:rPr>
        <w:t>, desde a Data de Subscrição até a data da Amortização Obrigatória Parcial, conforme aplicável, e; (</w:t>
      </w:r>
      <w:proofErr w:type="gramStart"/>
      <w:r w:rsidRPr="00605EA1">
        <w:rPr>
          <w:sz w:val="22"/>
          <w:szCs w:val="22"/>
        </w:rPr>
        <w:t>ii</w:t>
      </w:r>
      <w:proofErr w:type="gramEnd"/>
      <w:r w:rsidRPr="00605EA1">
        <w:rPr>
          <w:sz w:val="22"/>
          <w:szCs w:val="22"/>
        </w:rPr>
        <w:t>) dos Encargos Moratórios devidos e não pagos até a data da Amortização Facultativa Parcial, ou da Amortização Obrigatória Parcial, sem qualquer prêmio ou penalidade (“</w:t>
      </w:r>
      <w:r w:rsidRPr="00605EA1">
        <w:rPr>
          <w:b/>
          <w:sz w:val="22"/>
          <w:szCs w:val="22"/>
        </w:rPr>
        <w:t>Valor da Amortização Parcial</w:t>
      </w:r>
      <w:r w:rsidRPr="00605EA1">
        <w:rPr>
          <w:sz w:val="22"/>
          <w:szCs w:val="22"/>
        </w:rPr>
        <w:t>”).</w:t>
      </w:r>
      <w:bookmarkEnd w:id="69"/>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70" w:name="_Ref279314174"/>
      <w:r w:rsidRPr="00605EA1">
        <w:rPr>
          <w:rFonts w:cs="Arial"/>
          <w:i/>
          <w:sz w:val="22"/>
          <w:szCs w:val="22"/>
        </w:rPr>
        <w:t>Aquisição Facultativa</w:t>
      </w:r>
      <w:r w:rsidRPr="00605EA1">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w:t>
      </w:r>
      <w:proofErr w:type="gramStart"/>
      <w:r w:rsidRPr="00605EA1">
        <w:rPr>
          <w:rFonts w:cs="Arial"/>
          <w:sz w:val="22"/>
          <w:szCs w:val="22"/>
        </w:rPr>
        <w:t>476 condicionada, ainda, ao aceite do respectivo Debenturista vendedor</w:t>
      </w:r>
      <w:proofErr w:type="gramEnd"/>
      <w:r w:rsidRPr="00605EA1">
        <w:rPr>
          <w:rFonts w:cs="Arial"/>
          <w:sz w:val="22"/>
          <w:szCs w:val="22"/>
        </w:rPr>
        <w:t xml:space="preserve">. As Debêntures adquiridas pela Companhia poderão, a critério da Companhia, ser </w:t>
      </w:r>
      <w:proofErr w:type="gramStart"/>
      <w:r w:rsidRPr="00605EA1">
        <w:rPr>
          <w:rFonts w:cs="Arial"/>
          <w:sz w:val="22"/>
          <w:szCs w:val="22"/>
        </w:rPr>
        <w:t>canceladas, permanecer em tesouraria ou ser novamente colocadas no mercado, devendo tal fato constar do relatório da administração e das Demonstrações Financeiras da Companhia</w:t>
      </w:r>
      <w:proofErr w:type="gramEnd"/>
      <w:r w:rsidRPr="00605EA1">
        <w:rPr>
          <w:rFonts w:cs="Arial"/>
          <w:sz w:val="22"/>
          <w:szCs w:val="22"/>
        </w:rPr>
        <w:t>. As Debêntures adquiridas pela Companhia para permanência em tesouraria nos termos desta Cláusula, se e quando recolocadas no mercado, farão jus à mesma Remuneração aplicável às demais Debêntures.</w:t>
      </w:r>
      <w:bookmarkEnd w:id="70"/>
      <w:r w:rsidRPr="00605EA1">
        <w:rPr>
          <w:rFonts w:cs="Arial"/>
          <w:sz w:val="22"/>
          <w:szCs w:val="22"/>
        </w:rPr>
        <w:t xml:space="preserve">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Direito ao Recebimento dos Pagamentos</w:t>
      </w:r>
      <w:r w:rsidRPr="00605EA1">
        <w:rPr>
          <w:rFonts w:cs="Arial"/>
          <w:sz w:val="22"/>
          <w:szCs w:val="22"/>
        </w:rPr>
        <w:t xml:space="preserve">. Farão jus ao recebimento de qualquer valor devido aos Debenturistas nos termos desta Escritura de Emissão aqueles que forem Debenturistas no encerramento do Dia Útil imediatamente </w:t>
      </w:r>
      <w:r w:rsidRPr="00605EA1">
        <w:rPr>
          <w:rFonts w:cs="Arial"/>
          <w:sz w:val="22"/>
          <w:szCs w:val="22"/>
        </w:rPr>
        <w:lastRenderedPageBreak/>
        <w:t>anterior à respectiva data de pagamento.</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71" w:name="_Ref324932809"/>
      <w:r w:rsidRPr="00605EA1">
        <w:rPr>
          <w:rFonts w:cs="Arial"/>
          <w:i/>
          <w:sz w:val="22"/>
          <w:szCs w:val="22"/>
        </w:rPr>
        <w:t>Local de Pagamento</w:t>
      </w:r>
      <w:r w:rsidRPr="00605EA1">
        <w:rPr>
          <w:rFonts w:cs="Arial"/>
          <w:sz w:val="22"/>
          <w:szCs w:val="22"/>
        </w:rPr>
        <w:t xml:space="preserve">. Os pagamentos referentes às Debêntures e a quaisquer outros valores eventualmente devidos pela Companhia, nos termos desta Escritura de Emissão, serão realizados </w:t>
      </w:r>
      <w:r w:rsidRPr="00605EA1">
        <w:rPr>
          <w:rFonts w:cs="Arial"/>
          <w:b/>
          <w:sz w:val="22"/>
          <w:szCs w:val="22"/>
        </w:rPr>
        <w:t>(i)</w:t>
      </w:r>
      <w:r w:rsidRPr="00605EA1">
        <w:rPr>
          <w:rFonts w:cs="Arial"/>
          <w:sz w:val="22"/>
          <w:szCs w:val="22"/>
        </w:rPr>
        <w:t> pela Companhia, no que se refere a pagamentos referentes ao Valor Nominal Unitário, à Remuneração, ao valor</w:t>
      </w:r>
      <w:proofErr w:type="gramStart"/>
      <w:r w:rsidRPr="00605EA1">
        <w:rPr>
          <w:rFonts w:cs="Arial"/>
          <w:sz w:val="22"/>
          <w:szCs w:val="22"/>
        </w:rPr>
        <w:t xml:space="preserve">  </w:t>
      </w:r>
      <w:proofErr w:type="gramEnd"/>
      <w:r w:rsidRPr="00605EA1">
        <w:rPr>
          <w:rFonts w:cs="Arial"/>
          <w:sz w:val="22"/>
          <w:szCs w:val="22"/>
        </w:rPr>
        <w:t xml:space="preserve">do Resgate Antecipado Obrigatório, da e aos Encargos Moratórios, e com relação às Debêntures que estejam custodiadas eletronicamente na B3, por meio da B3; ou </w:t>
      </w:r>
      <w:r w:rsidRPr="00605EA1">
        <w:rPr>
          <w:rFonts w:cs="Arial"/>
          <w:b/>
          <w:sz w:val="22"/>
          <w:szCs w:val="22"/>
        </w:rPr>
        <w:t>(ii)</w:t>
      </w:r>
      <w:r w:rsidRPr="00605EA1">
        <w:rPr>
          <w:rFonts w:cs="Arial"/>
          <w:sz w:val="22"/>
          <w:szCs w:val="22"/>
        </w:rPr>
        <w:t> pela Companhia, nos casos em que as Debêntures não estejam custodiadas eletronicamente na B3, por meio do Escriturador ou na sede da Companhia, conforme o caso.</w:t>
      </w:r>
      <w:bookmarkEnd w:id="71"/>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72" w:name="_Ref278399164"/>
      <w:r w:rsidRPr="00605EA1">
        <w:rPr>
          <w:rFonts w:cs="Arial"/>
          <w:i/>
          <w:sz w:val="22"/>
          <w:szCs w:val="22"/>
        </w:rPr>
        <w:t>Prorrogação dos Prazos</w:t>
      </w:r>
      <w:r w:rsidRPr="00605EA1">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2"/>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73" w:name="_Ref279851957"/>
      <w:r w:rsidRPr="00605EA1">
        <w:rPr>
          <w:rFonts w:cs="Arial"/>
          <w:i/>
          <w:sz w:val="22"/>
          <w:szCs w:val="22"/>
        </w:rPr>
        <w:t>Encargos Moratórios</w:t>
      </w:r>
      <w:r w:rsidRPr="00605EA1">
        <w:rPr>
          <w:rFonts w:cs="Arial"/>
          <w:sz w:val="22"/>
          <w:szCs w:val="22"/>
        </w:rPr>
        <w:t xml:space="preserve">. Ocorrendo impontualidade no pagamento de qualquer valor devido pela Companhia aos Debenturistas nos termos desta Escritura de Emissão, adicionalmente ao pagamento da Remuneração, calculada </w:t>
      </w:r>
      <w:proofErr w:type="gramStart"/>
      <w:r w:rsidRPr="00605EA1">
        <w:rPr>
          <w:rFonts w:cs="Arial"/>
          <w:i/>
          <w:sz w:val="22"/>
          <w:szCs w:val="22"/>
        </w:rPr>
        <w:t>pro rata</w:t>
      </w:r>
      <w:proofErr w:type="gramEnd"/>
      <w:r w:rsidRPr="00605EA1">
        <w:rPr>
          <w:rFonts w:cs="Arial"/>
          <w:i/>
          <w:sz w:val="22"/>
          <w:szCs w:val="22"/>
        </w:rPr>
        <w:t xml:space="preserve"> temporis</w:t>
      </w:r>
      <w:r w:rsidRPr="00605EA1">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605EA1">
        <w:rPr>
          <w:rFonts w:cs="Arial"/>
          <w:i/>
          <w:sz w:val="22"/>
          <w:szCs w:val="22"/>
        </w:rPr>
        <w:t>pro rata temporis</w:t>
      </w:r>
      <w:r w:rsidRPr="00605EA1">
        <w:rPr>
          <w:rFonts w:cs="Arial"/>
          <w:sz w:val="22"/>
          <w:szCs w:val="22"/>
        </w:rPr>
        <w:t>, desde a data de inadimplemento até a data do efetivo pagamento; e (ii) multa moratória de 2% (dois por cento) (“</w:t>
      </w:r>
      <w:r w:rsidRPr="00605EA1">
        <w:rPr>
          <w:rFonts w:cs="Arial"/>
          <w:b/>
          <w:sz w:val="22"/>
          <w:szCs w:val="22"/>
        </w:rPr>
        <w:t>Encargos Moratórios</w:t>
      </w:r>
      <w:bookmarkEnd w:id="73"/>
      <w:r w:rsidRPr="00605EA1">
        <w:rPr>
          <w:rFonts w:cs="Arial"/>
          <w:sz w:val="22"/>
          <w:szCs w:val="22"/>
        </w:rPr>
        <w:t>”).</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sz w:val="22"/>
          <w:szCs w:val="22"/>
        </w:rPr>
        <w:t>Decadência dos Direitos aos Acréscimos</w:t>
      </w:r>
      <w:r w:rsidRPr="00605EA1">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605EA1">
        <w:rPr>
          <w:rFonts w:eastAsia="Batang" w:cs="Arial"/>
          <w:sz w:val="22"/>
          <w:szCs w:val="22"/>
        </w:rPr>
        <w:t>ou pagamento, no caso de impontualidade no pagamento</w:t>
      </w:r>
      <w:r w:rsidRPr="00605EA1">
        <w:rPr>
          <w:rFonts w:cs="Arial"/>
          <w:sz w:val="22"/>
          <w:szCs w:val="22"/>
        </w:rPr>
        <w:t>.</w:t>
      </w:r>
    </w:p>
    <w:bookmarkEnd w:id="68"/>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i/>
          <w:iCs/>
          <w:sz w:val="22"/>
          <w:szCs w:val="22"/>
        </w:rPr>
        <w:t>Imunidade Tributária</w:t>
      </w:r>
      <w:r w:rsidRPr="00605EA1">
        <w:rPr>
          <w:rFonts w:cs="Arial"/>
          <w:sz w:val="22"/>
          <w:szCs w:val="22"/>
        </w:rPr>
        <w:t xml:space="preserve">.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w:t>
      </w:r>
      <w:r w:rsidRPr="00605EA1">
        <w:rPr>
          <w:rFonts w:cs="Arial"/>
          <w:sz w:val="22"/>
          <w:szCs w:val="22"/>
        </w:rPr>
        <w:lastRenderedPageBreak/>
        <w:t xml:space="preserve">da referida imunidade ou isenção tributária, </w:t>
      </w:r>
      <w:proofErr w:type="gramStart"/>
      <w:r w:rsidRPr="00605EA1">
        <w:rPr>
          <w:rFonts w:cs="Arial"/>
          <w:sz w:val="22"/>
          <w:szCs w:val="22"/>
        </w:rPr>
        <w:t>sob pena</w:t>
      </w:r>
      <w:proofErr w:type="gramEnd"/>
      <w:r w:rsidRPr="00605EA1">
        <w:rPr>
          <w:rFonts w:cs="Arial"/>
          <w:sz w:val="22"/>
          <w:szCs w:val="22"/>
        </w:rPr>
        <w:t xml:space="preserve"> de ter descontados de seus pagamentos os valores devidos nos termos da legislação tributária em vigor.</w:t>
      </w:r>
    </w:p>
    <w:p w:rsidR="004C620B" w:rsidRPr="001E66A9" w:rsidRDefault="00605EA1">
      <w:pPr>
        <w:pStyle w:val="Level2"/>
        <w:widowControl w:val="0"/>
        <w:tabs>
          <w:tab w:val="num" w:pos="851"/>
        </w:tabs>
        <w:spacing w:before="140" w:after="0" w:line="276" w:lineRule="auto"/>
        <w:ind w:left="0" w:firstLine="0"/>
        <w:rPr>
          <w:rFonts w:cs="Arial"/>
          <w:sz w:val="22"/>
          <w:szCs w:val="22"/>
        </w:rPr>
      </w:pPr>
      <w:bookmarkStart w:id="74" w:name="_Ref534176672"/>
      <w:bookmarkStart w:id="75" w:name="_Ref359943667"/>
      <w:bookmarkStart w:id="76" w:name="_Ref37878946"/>
      <w:r w:rsidRPr="00605EA1">
        <w:rPr>
          <w:rFonts w:cs="Arial"/>
          <w:i/>
          <w:sz w:val="22"/>
          <w:szCs w:val="22"/>
        </w:rPr>
        <w:t>Vencimento Antecipado</w:t>
      </w:r>
      <w:r w:rsidRPr="00605EA1">
        <w:rPr>
          <w:rFonts w:cs="Arial"/>
          <w:sz w:val="22"/>
          <w:szCs w:val="22"/>
        </w:rPr>
        <w:t>. Sujeito ao disposto nas Cláusulas </w:t>
      </w:r>
      <w:fldSimple w:instr=" REF _Ref356481657 \n \h  \* MERGEFORMAT ">
        <w:r w:rsidRPr="00605EA1">
          <w:rPr>
            <w:rFonts w:cs="Arial"/>
            <w:sz w:val="22"/>
            <w:szCs w:val="22"/>
          </w:rPr>
          <w:t>7.23.1</w:t>
        </w:r>
      </w:fldSimple>
      <w:r w:rsidR="001068B6" w:rsidRPr="001E66A9">
        <w:rPr>
          <w:rFonts w:cs="Arial"/>
          <w:sz w:val="22"/>
          <w:szCs w:val="22"/>
        </w:rPr>
        <w:t xml:space="preserve"> a </w:t>
      </w:r>
      <w:fldSimple w:instr=" REF _Ref359943492 \n \p \h  \* MERGEFORMAT ">
        <w:r w:rsidRPr="00605EA1">
          <w:rPr>
            <w:rFonts w:cs="Arial"/>
            <w:sz w:val="22"/>
            <w:szCs w:val="22"/>
          </w:rPr>
          <w:t>7.23.9 abaixo</w:t>
        </w:r>
      </w:fldSimple>
      <w:r w:rsidR="001068B6" w:rsidRPr="001E66A9">
        <w:rPr>
          <w:rFonts w:cs="Arial"/>
          <w:sz w:val="22"/>
          <w:szCs w:val="22"/>
        </w:rPr>
        <w:t>, o Agente Fiduciário deverá declarar antecipadamente vencidas as obrigações decorrentes das Debêntures, e exigir o imediato pagamento, pela Companhia, dos valores devidos nos termos da Cláusula </w:t>
      </w:r>
      <w:fldSimple w:instr=" REF _Ref495496127 \n \p \h  \* MERGEFORMAT ">
        <w:r w:rsidRPr="00605EA1">
          <w:rPr>
            <w:rFonts w:cs="Arial"/>
            <w:sz w:val="22"/>
            <w:szCs w:val="22"/>
          </w:rPr>
          <w:t>7.23.8 abaixo</w:t>
        </w:r>
      </w:fldSimple>
      <w:r w:rsidR="001068B6" w:rsidRPr="001E66A9">
        <w:rPr>
          <w:rFonts w:cs="Arial"/>
          <w:sz w:val="22"/>
          <w:szCs w:val="22"/>
        </w:rPr>
        <w:t>, na ocorrência de qualquer dos eventos previstos nas Cláusulas </w:t>
      </w:r>
      <w:fldSimple w:instr=" REF _Ref356481657 \n \p \h  \* MERGEFORMAT ">
        <w:r w:rsidRPr="00605EA1">
          <w:rPr>
            <w:rFonts w:cs="Arial"/>
            <w:sz w:val="22"/>
            <w:szCs w:val="22"/>
          </w:rPr>
          <w:t>7.23.1 abaixo</w:t>
        </w:r>
      </w:fldSimple>
      <w:r w:rsidR="001068B6" w:rsidRPr="001E66A9">
        <w:rPr>
          <w:rFonts w:cs="Arial"/>
          <w:sz w:val="22"/>
          <w:szCs w:val="22"/>
        </w:rPr>
        <w:t xml:space="preserve"> e </w:t>
      </w:r>
      <w:fldSimple w:instr=" REF _Ref528593648 \r \h  \* MERGEFORMAT ">
        <w:r w:rsidRPr="00605EA1">
          <w:rPr>
            <w:rFonts w:cs="Arial"/>
            <w:sz w:val="22"/>
            <w:szCs w:val="22"/>
          </w:rPr>
          <w:t>7.23.2</w:t>
        </w:r>
      </w:fldSimple>
      <w:r w:rsidR="001068B6" w:rsidRPr="001E66A9">
        <w:rPr>
          <w:rFonts w:cs="Arial"/>
          <w:sz w:val="22"/>
          <w:szCs w:val="22"/>
        </w:rPr>
        <w:t xml:space="preserve"> abaixo (cada evento, um “</w:t>
      </w:r>
      <w:r w:rsidRPr="00605EA1">
        <w:rPr>
          <w:rFonts w:cs="Arial"/>
          <w:b/>
          <w:sz w:val="22"/>
          <w:szCs w:val="22"/>
        </w:rPr>
        <w:t xml:space="preserve">Evento de </w:t>
      </w:r>
      <w:bookmarkEnd w:id="74"/>
      <w:bookmarkEnd w:id="75"/>
      <w:r w:rsidRPr="00605EA1">
        <w:rPr>
          <w:rFonts w:cs="Arial"/>
          <w:b/>
          <w:sz w:val="22"/>
          <w:szCs w:val="22"/>
        </w:rPr>
        <w:t>Vencimento Antecipado</w:t>
      </w:r>
      <w:r w:rsidRPr="00605EA1">
        <w:rPr>
          <w:rFonts w:cs="Arial"/>
          <w:sz w:val="22"/>
          <w:szCs w:val="22"/>
        </w:rPr>
        <w:t>”):</w:t>
      </w:r>
      <w:bookmarkEnd w:id="76"/>
      <w:r w:rsidRPr="00605EA1">
        <w:rPr>
          <w:rFonts w:cs="Arial"/>
          <w:sz w:val="22"/>
          <w:szCs w:val="22"/>
        </w:rPr>
        <w:t xml:space="preserve"> </w:t>
      </w:r>
    </w:p>
    <w:p w:rsidR="004C620B" w:rsidRPr="001E66A9" w:rsidRDefault="00605EA1">
      <w:pPr>
        <w:pStyle w:val="Level3"/>
        <w:widowControl w:val="0"/>
        <w:tabs>
          <w:tab w:val="clear" w:pos="1361"/>
          <w:tab w:val="num" w:pos="709"/>
          <w:tab w:val="num" w:pos="851"/>
        </w:tabs>
        <w:spacing w:before="140" w:after="0" w:line="276" w:lineRule="auto"/>
        <w:ind w:left="0" w:firstLine="0"/>
        <w:rPr>
          <w:sz w:val="22"/>
          <w:szCs w:val="22"/>
        </w:rPr>
      </w:pPr>
      <w:bookmarkStart w:id="77" w:name="_Ref356481657"/>
      <w:r w:rsidRPr="00605EA1">
        <w:rPr>
          <w:sz w:val="22"/>
          <w:szCs w:val="22"/>
        </w:rPr>
        <w:t>Constituem Eventos de Vencimento Antecipado que acarretam o vencimento automático das obrigações decorrentes das Debêntures, independentemente de aviso ou notificação, judicial ou extrajudicial (“</w:t>
      </w:r>
      <w:r w:rsidRPr="00605EA1">
        <w:rPr>
          <w:b/>
          <w:sz w:val="22"/>
          <w:szCs w:val="22"/>
        </w:rPr>
        <w:t>Eventos de Vencimento Antecipado Automático</w:t>
      </w:r>
      <w:r w:rsidRPr="00605EA1">
        <w:rPr>
          <w:sz w:val="22"/>
          <w:szCs w:val="22"/>
        </w:rPr>
        <w:t>”):</w:t>
      </w:r>
      <w:bookmarkEnd w:id="77"/>
    </w:p>
    <w:p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78" w:name="_Ref352202606"/>
      <w:bookmarkStart w:id="79" w:name="_Ref137104988"/>
      <w:bookmarkStart w:id="80" w:name="_Ref149034057"/>
      <w:bookmarkStart w:id="81" w:name="_Ref164238959"/>
      <w:bookmarkStart w:id="82" w:name="_Ref264563274"/>
      <w:bookmarkStart w:id="83" w:name="_Ref149034055"/>
      <w:bookmarkStart w:id="84" w:name="_Ref164238994"/>
      <w:bookmarkStart w:id="85" w:name="_Ref152389657"/>
      <w:bookmarkStart w:id="86" w:name="_Ref164238965"/>
      <w:bookmarkStart w:id="87" w:name="_Ref137105000"/>
      <w:bookmarkStart w:id="88" w:name="_Ref130283570"/>
      <w:bookmarkStart w:id="89" w:name="_Ref130301134"/>
      <w:bookmarkStart w:id="90" w:name="_Ref137104995"/>
      <w:bookmarkStart w:id="91" w:name="_Ref137475230"/>
      <w:bookmarkStart w:id="92" w:name="_Ref264657534"/>
      <w:proofErr w:type="gramStart"/>
      <w:r w:rsidRPr="00605EA1">
        <w:rPr>
          <w:sz w:val="22"/>
          <w:szCs w:val="22"/>
        </w:rPr>
        <w:t>liquidação</w:t>
      </w:r>
      <w:proofErr w:type="gramEnd"/>
      <w:r w:rsidRPr="00605EA1">
        <w:rPr>
          <w:sz w:val="22"/>
          <w:szCs w:val="22"/>
        </w:rPr>
        <w:t>, dissolução ou extinção da Companhia, exceto se em decorrência de uma Reorganização Societária Permitida;</w:t>
      </w:r>
      <w:bookmarkEnd w:id="78"/>
    </w:p>
    <w:p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93" w:name="_Ref352202607"/>
      <w:r w:rsidRPr="00605EA1">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3"/>
    </w:p>
    <w:p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94" w:name="_Ref137475231"/>
      <w:bookmarkStart w:id="95" w:name="_Ref149033996"/>
      <w:bookmarkStart w:id="96" w:name="_Ref164238998"/>
      <w:proofErr w:type="gramStart"/>
      <w:r w:rsidRPr="00605EA1">
        <w:rPr>
          <w:sz w:val="22"/>
          <w:szCs w:val="22"/>
        </w:rPr>
        <w:t>inadimplemento</w:t>
      </w:r>
      <w:proofErr w:type="gramEnd"/>
      <w:r w:rsidRPr="00605EA1">
        <w:rPr>
          <w:sz w:val="22"/>
          <w:szCs w:val="22"/>
        </w:rPr>
        <w:t>,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4"/>
      <w:bookmarkEnd w:id="95"/>
      <w:bookmarkEnd w:id="96"/>
    </w:p>
    <w:p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97" w:name="_Ref328666840"/>
      <w:bookmarkEnd w:id="79"/>
      <w:proofErr w:type="gramStart"/>
      <w:r w:rsidRPr="00605EA1">
        <w:rPr>
          <w:sz w:val="22"/>
          <w:szCs w:val="22"/>
        </w:rPr>
        <w:t>transformação</w:t>
      </w:r>
      <w:proofErr w:type="gramEnd"/>
      <w:r w:rsidRPr="00605EA1">
        <w:rPr>
          <w:sz w:val="22"/>
          <w:szCs w:val="22"/>
        </w:rPr>
        <w:t xml:space="preserve"> da forma societária da Companhia de sociedade por ações para qualquer outro tipo societário, nos termos dos artigos 220 a 222 da Lei das Sociedades por Ações</w:t>
      </w:r>
      <w:bookmarkEnd w:id="80"/>
      <w:r w:rsidRPr="00605EA1">
        <w:rPr>
          <w:sz w:val="22"/>
          <w:szCs w:val="22"/>
        </w:rPr>
        <w:t>;</w:t>
      </w:r>
      <w:bookmarkEnd w:id="81"/>
      <w:bookmarkEnd w:id="82"/>
      <w:bookmarkEnd w:id="97"/>
    </w:p>
    <w:p w:rsidR="004C620B" w:rsidRPr="001E66A9" w:rsidRDefault="00605EA1">
      <w:pPr>
        <w:pStyle w:val="Level4"/>
        <w:widowControl w:val="0"/>
        <w:tabs>
          <w:tab w:val="clear" w:pos="2041"/>
          <w:tab w:val="num" w:pos="851"/>
        </w:tabs>
        <w:spacing w:before="140" w:after="0" w:line="276" w:lineRule="auto"/>
        <w:ind w:left="0" w:firstLine="0"/>
        <w:rPr>
          <w:sz w:val="22"/>
          <w:szCs w:val="22"/>
        </w:rPr>
      </w:pPr>
      <w:bookmarkStart w:id="98" w:name="_Ref322627685"/>
      <w:bookmarkStart w:id="99" w:name="_Ref272841215"/>
      <w:bookmarkEnd w:id="83"/>
      <w:bookmarkEnd w:id="84"/>
      <w:bookmarkEnd w:id="85"/>
      <w:bookmarkEnd w:id="86"/>
      <w:bookmarkEnd w:id="87"/>
      <w:proofErr w:type="gramStart"/>
      <w:r w:rsidRPr="00605EA1">
        <w:rPr>
          <w:sz w:val="22"/>
          <w:szCs w:val="22"/>
        </w:rPr>
        <w:lastRenderedPageBreak/>
        <w:t>não</w:t>
      </w:r>
      <w:proofErr w:type="gramEnd"/>
      <w:r w:rsidRPr="00605EA1">
        <w:rPr>
          <w:sz w:val="22"/>
          <w:szCs w:val="22"/>
        </w:rPr>
        <w:t xml:space="preserve"> destinação, pela Companhia, dos recursos líquidos obtidos com a Emissão nos termos da Cláusula </w:t>
      </w:r>
      <w:fldSimple w:instr=" REF _Ref368578037 \n \p \h  \* MERGEFORMAT ">
        <w:r w:rsidRPr="00605EA1">
          <w:rPr>
            <w:sz w:val="22"/>
            <w:szCs w:val="22"/>
          </w:rPr>
          <w:t>5 acima</w:t>
        </w:r>
      </w:fldSimple>
      <w:r w:rsidR="001068B6" w:rsidRPr="001E66A9">
        <w:rPr>
          <w:sz w:val="22"/>
          <w:szCs w:val="22"/>
        </w:rPr>
        <w:t xml:space="preserve"> e/ou utilização, pela Companhia, dos recursos líquidos obtidos com a Emissão em atividades ilícitas e em desconformidade com as leis, regulamentos e normas relativas à </w:t>
      </w:r>
      <w:r w:rsidRPr="00605EA1">
        <w:rPr>
          <w:sz w:val="22"/>
          <w:szCs w:val="22"/>
        </w:rPr>
        <w:t>proteção ao meio ambiente, ao direito do trabalho, segurança e saúde ocupacional, além de outras normas que lhe sejam aplicáveis em função de suas atividades, observados os termos previstos nesta Escritura;</w:t>
      </w:r>
    </w:p>
    <w:p w:rsidR="00610A26" w:rsidRPr="001E66A9" w:rsidRDefault="00605EA1" w:rsidP="00610A26">
      <w:pPr>
        <w:pStyle w:val="Level4"/>
        <w:widowControl w:val="0"/>
        <w:tabs>
          <w:tab w:val="clear" w:pos="2041"/>
          <w:tab w:val="num" w:pos="851"/>
        </w:tabs>
        <w:spacing w:before="140" w:after="0" w:line="276" w:lineRule="auto"/>
        <w:ind w:left="0" w:firstLine="0"/>
        <w:rPr>
          <w:b/>
          <w:sz w:val="22"/>
          <w:szCs w:val="22"/>
        </w:rPr>
      </w:pPr>
      <w:proofErr w:type="gramStart"/>
      <w:r w:rsidRPr="00605EA1">
        <w:rPr>
          <w:szCs w:val="22"/>
        </w:rPr>
        <w:t>perda</w:t>
      </w:r>
      <w:proofErr w:type="gramEnd"/>
      <w:r w:rsidRPr="00605EA1">
        <w:rPr>
          <w:szCs w:val="22"/>
        </w:rPr>
        <w:t xml:space="preserve">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4C620B" w:rsidRPr="001E66A9" w:rsidRDefault="00605EA1" w:rsidP="00610A26">
      <w:pPr>
        <w:pStyle w:val="Level4"/>
        <w:widowControl w:val="0"/>
        <w:tabs>
          <w:tab w:val="clear" w:pos="2041"/>
          <w:tab w:val="num" w:pos="851"/>
        </w:tabs>
        <w:spacing w:before="140" w:after="0" w:line="276" w:lineRule="auto"/>
        <w:ind w:left="0" w:firstLine="0"/>
        <w:rPr>
          <w:b/>
          <w:i/>
          <w:sz w:val="22"/>
          <w:szCs w:val="22"/>
        </w:rPr>
      </w:pPr>
      <w:bookmarkStart w:id="100" w:name="_Ref273672022"/>
      <w:bookmarkEnd w:id="98"/>
      <w:proofErr w:type="gramStart"/>
      <w:r w:rsidRPr="00605EA1">
        <w:rPr>
          <w:sz w:val="22"/>
          <w:szCs w:val="22"/>
        </w:rPr>
        <w:t>alteração</w:t>
      </w:r>
      <w:proofErr w:type="gramEnd"/>
      <w:r w:rsidRPr="00605EA1">
        <w:rPr>
          <w:sz w:val="22"/>
          <w:szCs w:val="22"/>
        </w:rPr>
        <w:t xml:space="preserve"> ou transferência do Controle direto ou indireto da Companhia, exceto se em razão de Reorganizações Societárias Permitidas;</w:t>
      </w:r>
    </w:p>
    <w:p w:rsidR="004C620B" w:rsidRPr="001E66A9" w:rsidRDefault="00605EA1">
      <w:pPr>
        <w:pStyle w:val="Level4"/>
        <w:widowControl w:val="0"/>
        <w:tabs>
          <w:tab w:val="clear" w:pos="2041"/>
        </w:tabs>
        <w:spacing w:before="140" w:after="0" w:line="276" w:lineRule="auto"/>
        <w:ind w:left="0" w:firstLine="0"/>
        <w:rPr>
          <w:sz w:val="22"/>
          <w:szCs w:val="22"/>
        </w:rPr>
      </w:pPr>
      <w:proofErr w:type="gramStart"/>
      <w:r w:rsidRPr="00605EA1">
        <w:rPr>
          <w:sz w:val="22"/>
          <w:szCs w:val="22"/>
        </w:rPr>
        <w:t>questionamento</w:t>
      </w:r>
      <w:proofErr w:type="gramEnd"/>
      <w:r w:rsidRPr="00605EA1">
        <w:rPr>
          <w:sz w:val="22"/>
          <w:szCs w:val="22"/>
        </w:rPr>
        <w:t xml:space="preserve"> judicial, pela Companhia, pela Garantidora e/ou por qualquer Controladora da Companhia, sobre a validade e/ou exequibilidade desta Escritura de Emissão e/ou da Garantia Fidejussória e/ou dos Contratos de Garantia;</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existência</w:t>
      </w:r>
      <w:proofErr w:type="gramEnd"/>
      <w:r w:rsidRPr="00605EA1">
        <w:rPr>
          <w:sz w:val="22"/>
          <w:szCs w:val="22"/>
        </w:rPr>
        <w:t xml:space="preserve"> de decisão judicial declarando a invalidade, nulidade ou inexequibilidade desta Escritura de Emissão, da Garantia Fidejussória e/ou das Garantias Reais, que não tenha tido seus efeitos revertidos no respectivo prazo legal;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se</w:t>
      </w:r>
      <w:proofErr w:type="gramEnd"/>
      <w:r w:rsidRPr="00605EA1">
        <w:rPr>
          <w:sz w:val="22"/>
          <w:szCs w:val="22"/>
        </w:rPr>
        <w:t xml:space="preserv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cessão</w:t>
      </w:r>
      <w:proofErr w:type="gramEnd"/>
      <w:r w:rsidRPr="00605EA1">
        <w:rPr>
          <w:sz w:val="22"/>
          <w:szCs w:val="22"/>
        </w:rPr>
        <w:t xml:space="preserve">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r w:rsidRPr="00605EA1">
        <w:rPr>
          <w:b/>
          <w:i/>
          <w:sz w:val="22"/>
          <w:szCs w:val="22"/>
        </w:rPr>
        <w:t xml:space="preserve">  </w:t>
      </w:r>
      <w:proofErr w:type="gramStart"/>
      <w:r w:rsidRPr="00605EA1">
        <w:rPr>
          <w:sz w:val="22"/>
          <w:szCs w:val="22"/>
        </w:rPr>
        <w:t>expropriação</w:t>
      </w:r>
      <w:proofErr w:type="gramEnd"/>
      <w:r w:rsidRPr="00605EA1">
        <w:rPr>
          <w:sz w:val="22"/>
          <w:szCs w:val="22"/>
        </w:rPr>
        <w:t xml:space="preserve">, nacionalização, desapropriação ou qualquer meio de </w:t>
      </w:r>
      <w:r w:rsidRPr="00605EA1">
        <w:rPr>
          <w:sz w:val="22"/>
          <w:szCs w:val="22"/>
        </w:rPr>
        <w:lastRenderedPageBreak/>
        <w:t xml:space="preserve">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decretação</w:t>
      </w:r>
      <w:proofErr w:type="gramEnd"/>
      <w:r w:rsidRPr="00605EA1">
        <w:rPr>
          <w:sz w:val="22"/>
          <w:szCs w:val="22"/>
        </w:rPr>
        <w:t xml:space="preserve"> de vencimento antecipado de qualquer obrigação pecuniária da (a) Companhia, em valor, individual ou agregado, igual ou superior a R$ </w:t>
      </w:r>
      <w:r w:rsidR="001068B6" w:rsidRPr="001E66A9">
        <w:rPr>
          <w:sz w:val="22"/>
          <w:szCs w:val="22"/>
        </w:rPr>
        <w:t>[●] ([●])</w:t>
      </w:r>
      <w:r w:rsidRPr="00605EA1">
        <w:rPr>
          <w:sz w:val="22"/>
          <w:szCs w:val="22"/>
        </w:rPr>
        <w:t>; e/ou (b) contra a Garantidora, em valor, individual ou agregado, igual ou superior a R$ [</w:t>
      </w:r>
      <w:r w:rsidRPr="00605EA1">
        <w:rPr>
          <w:rFonts w:hint="eastAsia"/>
          <w:sz w:val="22"/>
          <w:szCs w:val="22"/>
        </w:rPr>
        <w:t>●</w:t>
      </w:r>
      <w:r w:rsidRPr="00605EA1">
        <w:rPr>
          <w:sz w:val="22"/>
          <w:szCs w:val="22"/>
        </w:rPr>
        <w:t>] ([</w:t>
      </w:r>
      <w:r w:rsidRPr="00605EA1">
        <w:rPr>
          <w:rFonts w:hint="eastAsia"/>
          <w:sz w:val="22"/>
          <w:szCs w:val="22"/>
        </w:rPr>
        <w:t>●</w:t>
      </w:r>
      <w:r w:rsidRPr="00605EA1">
        <w:rPr>
          <w:sz w:val="22"/>
          <w:szCs w:val="22"/>
        </w:rPr>
        <w:t>]) ou seu equivalente em outras moedas; no mercado de capitais, local ou internacional, nos termos de um ou mais instrumentos financeiros (incluindo, mas sem limitação, aqueles decorrentes de operações nos mercados financeiro e/ou de capitais); ou</w:t>
      </w:r>
      <w:r w:rsidRPr="00605EA1">
        <w:rPr>
          <w:b/>
          <w:i/>
          <w:sz w:val="22"/>
          <w:szCs w:val="22"/>
          <w:highlight w:val="yellow"/>
        </w:rPr>
        <w:t xml:space="preserve"> [Nota MF: Pendente validação da Acciona.]</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decretação</w:t>
      </w:r>
      <w:proofErr w:type="gramEnd"/>
      <w:r w:rsidRPr="00605EA1">
        <w:rPr>
          <w:sz w:val="22"/>
          <w:szCs w:val="22"/>
        </w:rPr>
        <w:t xml:space="preserve"> de vencimento antecipado das CCBs.</w:t>
      </w:r>
    </w:p>
    <w:p w:rsidR="004C620B" w:rsidRPr="001E66A9" w:rsidRDefault="00605EA1">
      <w:pPr>
        <w:pStyle w:val="Level3"/>
        <w:widowControl w:val="0"/>
        <w:tabs>
          <w:tab w:val="clear" w:pos="1361"/>
          <w:tab w:val="left" w:pos="851"/>
        </w:tabs>
        <w:spacing w:before="140" w:line="276" w:lineRule="auto"/>
        <w:ind w:left="0" w:firstLine="0"/>
        <w:rPr>
          <w:sz w:val="22"/>
          <w:szCs w:val="22"/>
        </w:rPr>
      </w:pPr>
      <w:bookmarkStart w:id="101" w:name="_DV_M45"/>
      <w:bookmarkStart w:id="102" w:name="_Ref356481704"/>
      <w:bookmarkStart w:id="103" w:name="_Ref359943338"/>
      <w:bookmarkStart w:id="104" w:name="_Ref528593648"/>
      <w:bookmarkStart w:id="105" w:name="_Ref130283254"/>
      <w:bookmarkEnd w:id="88"/>
      <w:bookmarkEnd w:id="89"/>
      <w:bookmarkEnd w:id="90"/>
      <w:bookmarkEnd w:id="91"/>
      <w:bookmarkEnd w:id="92"/>
      <w:bookmarkEnd w:id="99"/>
      <w:bookmarkEnd w:id="100"/>
      <w:bookmarkEnd w:id="101"/>
      <w:r w:rsidRPr="00605EA1">
        <w:rPr>
          <w:sz w:val="22"/>
          <w:szCs w:val="22"/>
        </w:rPr>
        <w:t>Constituem Eventos de Vencimento Antecipado que podem acarretar o vencimento não automático das obrigações decorrentes das Debêntures, aplicando-se o disposto na Cláusula </w:t>
      </w:r>
      <w:fldSimple w:instr=" REF _Ref130283218 \n \p \h  \* MERGEFORMAT ">
        <w:r w:rsidRPr="00605EA1">
          <w:rPr>
            <w:sz w:val="22"/>
            <w:szCs w:val="22"/>
          </w:rPr>
          <w:t>7.23.3 abaixo</w:t>
        </w:r>
      </w:fldSimple>
      <w:r w:rsidR="001068B6" w:rsidRPr="001E66A9">
        <w:rPr>
          <w:sz w:val="22"/>
          <w:szCs w:val="22"/>
        </w:rPr>
        <w:t>, qualquer dos seguintes Eventos de Inadimplemento (“</w:t>
      </w:r>
      <w:r w:rsidRPr="00605EA1">
        <w:rPr>
          <w:b/>
          <w:sz w:val="22"/>
          <w:szCs w:val="22"/>
        </w:rPr>
        <w:t>Eventos de Vencimento Antecipado Não Automático</w:t>
      </w:r>
      <w:r w:rsidRPr="00605EA1">
        <w:rPr>
          <w:sz w:val="22"/>
          <w:szCs w:val="22"/>
        </w:rPr>
        <w:t>”):</w:t>
      </w:r>
      <w:bookmarkEnd w:id="102"/>
      <w:bookmarkEnd w:id="103"/>
      <w:bookmarkEnd w:id="104"/>
    </w:p>
    <w:p w:rsidR="004C620B" w:rsidRPr="001E66A9" w:rsidRDefault="00605EA1">
      <w:pPr>
        <w:pStyle w:val="Level4"/>
        <w:widowControl w:val="0"/>
        <w:tabs>
          <w:tab w:val="clear" w:pos="2041"/>
          <w:tab w:val="left" w:pos="851"/>
        </w:tabs>
        <w:spacing w:before="140" w:after="0" w:line="276" w:lineRule="auto"/>
        <w:ind w:left="0" w:firstLine="0"/>
        <w:rPr>
          <w:sz w:val="22"/>
          <w:szCs w:val="22"/>
        </w:rPr>
      </w:pPr>
      <w:proofErr w:type="gramStart"/>
      <w:r w:rsidRPr="00605EA1">
        <w:rPr>
          <w:sz w:val="22"/>
          <w:szCs w:val="22"/>
        </w:rPr>
        <w:t>cisão</w:t>
      </w:r>
      <w:proofErr w:type="gramEnd"/>
      <w:r w:rsidRPr="00605EA1">
        <w:rPr>
          <w:sz w:val="22"/>
          <w:szCs w:val="22"/>
        </w:rPr>
        <w:t xml:space="preserve">,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conforme o caso, acrescido da Remuneração, calculada </w:t>
      </w:r>
      <w:r w:rsidRPr="00605EA1">
        <w:rPr>
          <w:i/>
          <w:sz w:val="22"/>
          <w:szCs w:val="22"/>
        </w:rPr>
        <w:t>pro rata temporis</w:t>
      </w:r>
      <w:r w:rsidRPr="00605EA1">
        <w:rPr>
          <w:sz w:val="22"/>
          <w:szCs w:val="22"/>
        </w:rPr>
        <w:t>, desde a Data de Subscrição ou a data de pagamento da Remuneração imediatamente anterior, conforme o caso, até a data do efetivo pagamento, sem qualquer prêmio ou penalidade; ou (c) por reorganizações societárias com suas Afiliadas  (“</w:t>
      </w:r>
      <w:r w:rsidRPr="00605EA1">
        <w:rPr>
          <w:b/>
          <w:sz w:val="22"/>
          <w:szCs w:val="22"/>
        </w:rPr>
        <w:t>Reorganizações Societárias Permitidas</w:t>
      </w:r>
      <w:r w:rsidRPr="00605EA1">
        <w:rPr>
          <w:sz w:val="22"/>
          <w:szCs w:val="22"/>
        </w:rPr>
        <w:t xml:space="preserve">”); </w:t>
      </w:r>
      <w:r w:rsidRPr="00605EA1">
        <w:rPr>
          <w:b/>
          <w:i/>
          <w:sz w:val="22"/>
          <w:szCs w:val="22"/>
          <w:highlight w:val="yellow"/>
        </w:rPr>
        <w:t xml:space="preserve">[Nota MF: </w:t>
      </w:r>
      <w:r w:rsidR="0075606E" w:rsidRPr="001E66A9">
        <w:rPr>
          <w:b/>
          <w:i/>
          <w:sz w:val="22"/>
          <w:szCs w:val="22"/>
          <w:highlight w:val="yellow"/>
        </w:rPr>
        <w:t>Pendente de validação pela Acciona</w:t>
      </w:r>
      <w:r w:rsidRPr="00605EA1">
        <w:rPr>
          <w:b/>
          <w:i/>
          <w:sz w:val="22"/>
          <w:szCs w:val="22"/>
          <w:highlight w:val="yellow"/>
        </w:rPr>
        <w:t>.]</w:t>
      </w:r>
    </w:p>
    <w:p w:rsidR="004C620B" w:rsidRPr="001E66A9" w:rsidRDefault="00605EA1">
      <w:pPr>
        <w:pStyle w:val="Level4"/>
        <w:widowControl w:val="0"/>
        <w:tabs>
          <w:tab w:val="clear" w:pos="2041"/>
          <w:tab w:val="left" w:pos="851"/>
        </w:tabs>
        <w:spacing w:before="140" w:after="0" w:line="276" w:lineRule="auto"/>
        <w:ind w:left="0" w:firstLine="0"/>
        <w:rPr>
          <w:sz w:val="22"/>
          <w:szCs w:val="22"/>
        </w:rPr>
      </w:pPr>
      <w:proofErr w:type="gramStart"/>
      <w:r w:rsidRPr="00605EA1">
        <w:rPr>
          <w:sz w:val="22"/>
          <w:szCs w:val="22"/>
        </w:rPr>
        <w:t>inadimplemento</w:t>
      </w:r>
      <w:proofErr w:type="gramEnd"/>
      <w:r w:rsidRPr="00605EA1">
        <w:rPr>
          <w:sz w:val="22"/>
          <w:szCs w:val="22"/>
        </w:rPr>
        <w:t xml:space="preserve"> de qualquer obrigação não pecuniária prevista nesta Escritura de Emissão e/ou nos Contratos de Garantia não sanado (a) no prazo de </w:t>
      </w:r>
      <w:r w:rsidRPr="00605EA1">
        <w:rPr>
          <w:sz w:val="22"/>
          <w:szCs w:val="22"/>
        </w:rPr>
        <w:lastRenderedPageBreak/>
        <w:t xml:space="preserve">cura previsto especificamente para a respectiva obrigação, se aplicável; ou (b) se não houver prazo de cura previsto especificamente para a respectiva obrigação, no prazo de 10 (dez) Dias Úteis contados da data em que tal obrigação deveria ter sido cumprida, observado o disposto na Cláusula 9.2; </w:t>
      </w:r>
    </w:p>
    <w:p w:rsidR="00000000" w:rsidRDefault="00605EA1">
      <w:pPr>
        <w:pStyle w:val="Level4"/>
        <w:widowControl w:val="0"/>
        <w:tabs>
          <w:tab w:val="clear" w:pos="2041"/>
          <w:tab w:val="left" w:pos="851"/>
        </w:tabs>
        <w:spacing w:before="140" w:line="276" w:lineRule="auto"/>
        <w:ind w:left="0" w:firstLine="0"/>
        <w:rPr>
          <w:sz w:val="22"/>
          <w:szCs w:val="22"/>
        </w:rPr>
      </w:pPr>
      <w:proofErr w:type="gramStart"/>
      <w:r w:rsidRPr="00605EA1">
        <w:rPr>
          <w:sz w:val="22"/>
          <w:szCs w:val="22"/>
        </w:rPr>
        <w:t>não</w:t>
      </w:r>
      <w:proofErr w:type="gramEnd"/>
      <w:r w:rsidRPr="00605EA1">
        <w:rPr>
          <w:sz w:val="22"/>
          <w:szCs w:val="22"/>
        </w:rPr>
        <w:t xml:space="preserve"> obtenção, cassação, perda ou suspensão de qualquer licença ambiental relacionada ao Projeto, desde que a respectiva não obtenção, cassação, perda ou suspensão cause um Efeito Adverso Relevante,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605EA1">
        <w:rPr>
          <w:b/>
          <w:i/>
          <w:sz w:val="22"/>
          <w:szCs w:val="22"/>
        </w:rPr>
        <w:t xml:space="preserve"> </w:t>
      </w:r>
      <w:r w:rsidRPr="00605EA1">
        <w:rPr>
          <w:b/>
          <w:i/>
          <w:sz w:val="22"/>
          <w:szCs w:val="22"/>
          <w:highlight w:val="yellow"/>
        </w:rPr>
        <w:t>[Nota MF: Pendente validação do BNP e PN.]</w:t>
      </w:r>
    </w:p>
    <w:p w:rsidR="0075606E" w:rsidRPr="001E66A9" w:rsidRDefault="00605EA1">
      <w:pPr>
        <w:pStyle w:val="Level4"/>
        <w:widowControl w:val="0"/>
        <w:tabs>
          <w:tab w:val="clear" w:pos="2041"/>
          <w:tab w:val="left" w:pos="851"/>
        </w:tabs>
        <w:spacing w:before="140" w:after="0" w:line="276" w:lineRule="auto"/>
        <w:ind w:left="0" w:firstLine="0"/>
        <w:rPr>
          <w:sz w:val="22"/>
          <w:szCs w:val="22"/>
        </w:rPr>
      </w:pPr>
      <w:proofErr w:type="gramStart"/>
      <w:r w:rsidRPr="00605EA1">
        <w:rPr>
          <w:sz w:val="22"/>
          <w:szCs w:val="22"/>
        </w:rPr>
        <w:t>existência</w:t>
      </w:r>
      <w:proofErr w:type="gramEnd"/>
      <w:r w:rsidRPr="00605EA1">
        <w:rPr>
          <w:sz w:val="22"/>
          <w:szCs w:val="22"/>
        </w:rPr>
        <w:t xml:space="preserve">, contra a Companhia e/ou Garantidora, de sentença condenatória judicial ou decisão administrativa ou arbitral relacionados a (a) crimes ambientais; (b) emprego de trabalho escravo ou infantil; (c) proveito criminoso da prostituição; (d) infração a qualquer lei ou regulamento nacional contra prática de corrupção ou atos lesivos à administração pública, incluindo, mas sem limitação, a Legislação Anticorrupção, ressalvados os casos em que esteja em curso eventual ajuizamento pela Companhia, de medidas judiciais visando suspender ou reverter os efeitos da referida decisão judicial ou arbitral; </w:t>
      </w:r>
      <w:r w:rsidRPr="00605EA1">
        <w:rPr>
          <w:b/>
          <w:i/>
          <w:sz w:val="22"/>
          <w:szCs w:val="22"/>
          <w:highlight w:val="yellow"/>
        </w:rPr>
        <w:t>[Nota MF: Pendente validação do BNP e PN.]</w:t>
      </w:r>
    </w:p>
    <w:p w:rsidR="0075606E" w:rsidRPr="001E66A9" w:rsidRDefault="00605EA1" w:rsidP="0075606E">
      <w:pPr>
        <w:pStyle w:val="Level4"/>
        <w:widowControl w:val="0"/>
        <w:tabs>
          <w:tab w:val="clear" w:pos="2041"/>
          <w:tab w:val="left" w:pos="851"/>
        </w:tabs>
        <w:spacing w:before="140" w:after="0" w:line="276" w:lineRule="auto"/>
        <w:ind w:left="0" w:firstLine="0"/>
        <w:rPr>
          <w:sz w:val="22"/>
          <w:szCs w:val="22"/>
        </w:rPr>
      </w:pPr>
      <w:proofErr w:type="gramStart"/>
      <w:r w:rsidRPr="00605EA1">
        <w:rPr>
          <w:sz w:val="22"/>
          <w:szCs w:val="22"/>
        </w:rPr>
        <w:t>existência</w:t>
      </w:r>
      <w:proofErr w:type="gramEnd"/>
      <w:r w:rsidRPr="00605EA1">
        <w:rPr>
          <w:sz w:val="22"/>
          <w:szCs w:val="22"/>
        </w:rPr>
        <w:t xml:space="preserve">,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 </w:t>
      </w:r>
      <w:r w:rsidRPr="00605EA1">
        <w:rPr>
          <w:b/>
          <w:i/>
          <w:sz w:val="22"/>
          <w:szCs w:val="22"/>
          <w:highlight w:val="yellow"/>
        </w:rPr>
        <w:t>[Nota MF: Pendente validação do BNP e PN.]</w:t>
      </w:r>
    </w:p>
    <w:p w:rsidR="004C620B" w:rsidRPr="001E66A9" w:rsidRDefault="00605EA1">
      <w:pPr>
        <w:pStyle w:val="Level4"/>
        <w:widowControl w:val="0"/>
        <w:tabs>
          <w:tab w:val="clear" w:pos="2041"/>
          <w:tab w:val="left" w:pos="851"/>
        </w:tabs>
        <w:spacing w:before="140" w:after="0" w:line="276" w:lineRule="auto"/>
        <w:ind w:left="0" w:firstLine="0"/>
        <w:rPr>
          <w:sz w:val="22"/>
          <w:szCs w:val="22"/>
        </w:rPr>
      </w:pPr>
      <w:r w:rsidRPr="00605EA1">
        <w:rPr>
          <w:szCs w:val="22"/>
        </w:rPr>
        <w:t xml:space="preserve"> </w:t>
      </w:r>
      <w:proofErr w:type="gramStart"/>
      <w:r w:rsidRPr="00605EA1">
        <w:rPr>
          <w:sz w:val="22"/>
          <w:szCs w:val="22"/>
        </w:rPr>
        <w:t>caso</w:t>
      </w:r>
      <w:proofErr w:type="gramEnd"/>
      <w:r w:rsidRPr="00605EA1">
        <w:rPr>
          <w:sz w:val="22"/>
          <w:szCs w:val="22"/>
        </w:rPr>
        <w:t xml:space="preserve">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4C620B" w:rsidRPr="001E66A9" w:rsidRDefault="00605EA1">
      <w:pPr>
        <w:pStyle w:val="Level4"/>
        <w:widowControl w:val="0"/>
        <w:tabs>
          <w:tab w:val="clear" w:pos="2041"/>
          <w:tab w:val="num" w:pos="851"/>
        </w:tabs>
        <w:spacing w:before="140" w:after="0" w:line="276" w:lineRule="auto"/>
        <w:ind w:left="0" w:firstLine="0"/>
        <w:rPr>
          <w:b/>
          <w:sz w:val="22"/>
          <w:szCs w:val="22"/>
        </w:rPr>
      </w:pPr>
      <w:proofErr w:type="gramStart"/>
      <w:r w:rsidRPr="00605EA1">
        <w:rPr>
          <w:sz w:val="22"/>
          <w:szCs w:val="22"/>
        </w:rPr>
        <w:t>protesto</w:t>
      </w:r>
      <w:proofErr w:type="gramEnd"/>
      <w:r w:rsidRPr="00605EA1">
        <w:rPr>
          <w:sz w:val="22"/>
          <w:szCs w:val="22"/>
        </w:rPr>
        <w:t xml:space="preserve"> de títulos contra a (a) Companhia, em valor, individual ou agregado, igual ou superior a R$ </w:t>
      </w:r>
      <w:r w:rsidR="001068B6" w:rsidRPr="001E66A9">
        <w:rPr>
          <w:sz w:val="22"/>
          <w:szCs w:val="22"/>
        </w:rPr>
        <w:t xml:space="preserve">[●] ([●]); e/ou (b) contra a Garantidora, em valor, individual ou agregado, igual ou superior a R$ [●] ([●]); ou seu equivalente em </w:t>
      </w:r>
      <w:r w:rsidR="001068B6" w:rsidRPr="001E66A9">
        <w:rPr>
          <w:sz w:val="22"/>
          <w:szCs w:val="22"/>
        </w:rPr>
        <w:lastRenderedPageBreak/>
        <w:t>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w:t>
      </w:r>
      <w:r w:rsidRPr="00605EA1">
        <w:rPr>
          <w:sz w:val="22"/>
          <w:szCs w:val="22"/>
        </w:rPr>
        <w:t xml:space="preserve">ensa por medida judicial cabível; </w:t>
      </w:r>
      <w:bookmarkStart w:id="106" w:name="_Hlk39074980"/>
      <w:r w:rsidRPr="00605EA1">
        <w:rPr>
          <w:b/>
          <w:i/>
          <w:sz w:val="22"/>
          <w:szCs w:val="22"/>
          <w:highlight w:val="yellow"/>
        </w:rPr>
        <w:t>[Nota MF: Pendente validação da Acciona a respeito da manutenção da garantidora.]</w:t>
      </w:r>
      <w:bookmarkEnd w:id="106"/>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intervenção</w:t>
      </w:r>
      <w:proofErr w:type="gramEnd"/>
      <w:r w:rsidRPr="00605EA1">
        <w:rPr>
          <w:sz w:val="22"/>
          <w:szCs w:val="22"/>
        </w:rPr>
        <w:t xml:space="preserve">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observado o disposto na Cláusula 9.2;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revelarem</w:t>
      </w:r>
      <w:proofErr w:type="gramEnd"/>
      <w:r w:rsidRPr="00605EA1">
        <w:rPr>
          <w:sz w:val="22"/>
          <w:szCs w:val="22"/>
        </w:rPr>
        <w:t xml:space="preserve">-se falsas, incorretas ou incompletas (nestes dois últimos casos, em seus aspectos relevantes), quaisquer das declarações ou garantias prestadas pela Companhia nesta Escritura de Emissão, incluindo, mas sem limitação àquelas relacionadas à Legislação Socioambiental e à Lei Anticorrupção, no momento em que foram prestadas;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venda</w:t>
      </w:r>
      <w:proofErr w:type="gramEnd"/>
      <w:r w:rsidRPr="00605EA1">
        <w:rPr>
          <w:sz w:val="22"/>
          <w:szCs w:val="22"/>
        </w:rPr>
        <w:t xml:space="preserve">, cessão, locação ou alienação, pela Companhia, por qualquer meio, de forma gratuita ou onerosa, da totalidade ou parte relevante de seus ativos em valor, individual ou agregado, igual ou superior a R$20.000.000,00 (vinte milhões de reais);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constituição</w:t>
      </w:r>
      <w:proofErr w:type="gramEnd"/>
      <w:r w:rsidRPr="00605EA1">
        <w:rPr>
          <w:sz w:val="22"/>
          <w:szCs w:val="22"/>
        </w:rPr>
        <w:t>,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07" w:name="_Ref529293960"/>
      <w:r w:rsidRPr="00605EA1">
        <w:rPr>
          <w:sz w:val="22"/>
          <w:szCs w:val="22"/>
        </w:rPr>
        <w:t xml:space="preserve">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inadimplemento</w:t>
      </w:r>
      <w:proofErr w:type="gramEnd"/>
      <w:r w:rsidRPr="00605EA1">
        <w:rPr>
          <w:sz w:val="22"/>
          <w:szCs w:val="22"/>
        </w:rPr>
        <w:t>, pela Companhia, de sentença judicial, decisão administrativa e/ou decisão arbitral, líquida e certa, contra a Companhia cujo valor, individual ou agregado, seja igual ou superior a R$[</w:t>
      </w:r>
      <w:r w:rsidRPr="00605EA1">
        <w:rPr>
          <w:rFonts w:hint="eastAsia"/>
          <w:sz w:val="22"/>
          <w:szCs w:val="22"/>
        </w:rPr>
        <w:t>●</w:t>
      </w:r>
      <w:r w:rsidRPr="00605EA1">
        <w:rPr>
          <w:sz w:val="22"/>
          <w:szCs w:val="22"/>
        </w:rPr>
        <w:t>] ([</w:t>
      </w:r>
      <w:r w:rsidRPr="00605EA1">
        <w:rPr>
          <w:rFonts w:hint="eastAsia"/>
          <w:sz w:val="22"/>
          <w:szCs w:val="22"/>
        </w:rPr>
        <w:t>●</w:t>
      </w:r>
      <w:r w:rsidRPr="00605EA1">
        <w:rPr>
          <w:sz w:val="22"/>
          <w:szCs w:val="22"/>
        </w:rPr>
        <w:t>])</w:t>
      </w:r>
      <w:r w:rsidR="001068B6" w:rsidRPr="001E66A9">
        <w:rPr>
          <w:sz w:val="22"/>
          <w:szCs w:val="22"/>
        </w:rPr>
        <w:t xml:space="preserve">; sem que esteja em curso eventual ajuizamento, pela Companhia e/ou pela Garantidora, de medidas judiciais visando suspender ou reverter os efeitos da referida sentença, decisão </w:t>
      </w:r>
      <w:r w:rsidR="001068B6" w:rsidRPr="001E66A9">
        <w:rPr>
          <w:sz w:val="22"/>
          <w:szCs w:val="22"/>
        </w:rPr>
        <w:lastRenderedPageBreak/>
        <w:t>administrat</w:t>
      </w:r>
      <w:r w:rsidRPr="00605EA1">
        <w:rPr>
          <w:sz w:val="22"/>
          <w:szCs w:val="22"/>
        </w:rPr>
        <w:t xml:space="preserve">iva ou decisão arbitral;  </w:t>
      </w:r>
    </w:p>
    <w:p w:rsidR="004C620B" w:rsidRPr="001E66A9" w:rsidRDefault="004C620B">
      <w:pPr>
        <w:autoSpaceDE w:val="0"/>
        <w:autoSpaceDN w:val="0"/>
        <w:adjustRightInd w:val="0"/>
        <w:spacing w:after="0"/>
        <w:jc w:val="left"/>
        <w:rPr>
          <w:rFonts w:ascii="Arial" w:hAnsi="Arial" w:cs="Arial"/>
          <w:szCs w:val="22"/>
        </w:rPr>
      </w:pPr>
    </w:p>
    <w:p w:rsidR="004C620B" w:rsidRPr="001E66A9" w:rsidRDefault="001068B6">
      <w:pPr>
        <w:pStyle w:val="Level4"/>
        <w:widowControl w:val="0"/>
        <w:tabs>
          <w:tab w:val="clear" w:pos="2041"/>
          <w:tab w:val="num" w:pos="851"/>
        </w:tabs>
        <w:spacing w:before="140" w:after="0" w:line="276" w:lineRule="auto"/>
        <w:ind w:left="0" w:firstLine="0"/>
        <w:rPr>
          <w:sz w:val="22"/>
          <w:szCs w:val="22"/>
        </w:rPr>
      </w:pPr>
      <w:proofErr w:type="gramStart"/>
      <w:r w:rsidRPr="001E66A9">
        <w:rPr>
          <w:sz w:val="22"/>
          <w:szCs w:val="22"/>
        </w:rPr>
        <w:t>inadimplemento</w:t>
      </w:r>
      <w:proofErr w:type="gramEnd"/>
      <w:r w:rsidRPr="001E66A9">
        <w:rPr>
          <w:sz w:val="22"/>
          <w:szCs w:val="22"/>
        </w:rPr>
        <w:t xml:space="preserve"> de quaisquer obrigações pecuniárias, nos termos de um ou mais instrumentos financeiros (incluindo, mas sem limitação, a</w:t>
      </w:r>
      <w:r w:rsidR="00605EA1" w:rsidRPr="00605EA1">
        <w:rPr>
          <w:sz w:val="22"/>
          <w:szCs w:val="22"/>
        </w:rPr>
        <w:t>queles decorrentes de operações nos mercados financeiro e/ou de capitais), cujo valor individual ou agregado seja igual ou superior ao montante total de (a) R$[</w:t>
      </w:r>
      <w:r w:rsidR="00605EA1" w:rsidRPr="00605EA1">
        <w:rPr>
          <w:rFonts w:hint="eastAsia"/>
          <w:sz w:val="22"/>
          <w:szCs w:val="22"/>
        </w:rPr>
        <w:t>●</w:t>
      </w:r>
      <w:r w:rsidR="00605EA1" w:rsidRPr="00605EA1">
        <w:rPr>
          <w:sz w:val="22"/>
          <w:szCs w:val="22"/>
        </w:rPr>
        <w:t>]</w:t>
      </w:r>
      <w:r w:rsidRPr="001E66A9">
        <w:rPr>
          <w:sz w:val="22"/>
          <w:szCs w:val="22"/>
        </w:rPr>
        <w:t xml:space="preserve"> </w:t>
      </w:r>
      <w:r w:rsidR="00605EA1" w:rsidRPr="00605EA1">
        <w:rPr>
          <w:sz w:val="22"/>
          <w:szCs w:val="22"/>
        </w:rPr>
        <w:t>([</w:t>
      </w:r>
      <w:r w:rsidR="00605EA1" w:rsidRPr="00605EA1">
        <w:rPr>
          <w:rFonts w:hint="eastAsia"/>
          <w:sz w:val="22"/>
          <w:szCs w:val="22"/>
        </w:rPr>
        <w:t>●</w:t>
      </w:r>
      <w:r w:rsidR="00605EA1" w:rsidRPr="00605EA1">
        <w:rPr>
          <w:sz w:val="22"/>
          <w:szCs w:val="22"/>
        </w:rPr>
        <w:t>])</w:t>
      </w:r>
      <w:r w:rsidRPr="001E66A9">
        <w:rPr>
          <w:sz w:val="22"/>
          <w:szCs w:val="22"/>
        </w:rPr>
        <w:t xml:space="preserve"> para a Companhia; e (b) </w:t>
      </w:r>
      <w:r w:rsidR="00605EA1" w:rsidRPr="00605EA1">
        <w:rPr>
          <w:sz w:val="22"/>
          <w:szCs w:val="22"/>
        </w:rPr>
        <w:t>R$[</w:t>
      </w:r>
      <w:r w:rsidR="00605EA1" w:rsidRPr="00605EA1">
        <w:rPr>
          <w:rFonts w:hint="eastAsia"/>
          <w:sz w:val="22"/>
          <w:szCs w:val="22"/>
        </w:rPr>
        <w:t>●</w:t>
      </w:r>
      <w:r w:rsidR="00605EA1" w:rsidRPr="00605EA1">
        <w:rPr>
          <w:sz w:val="22"/>
          <w:szCs w:val="22"/>
        </w:rPr>
        <w:t>]</w:t>
      </w:r>
      <w:r w:rsidRPr="001E66A9">
        <w:rPr>
          <w:sz w:val="22"/>
          <w:szCs w:val="22"/>
        </w:rPr>
        <w:t xml:space="preserve"> </w:t>
      </w:r>
      <w:r w:rsidR="00605EA1" w:rsidRPr="00605EA1">
        <w:rPr>
          <w:sz w:val="22"/>
          <w:szCs w:val="22"/>
        </w:rPr>
        <w:t>([</w:t>
      </w:r>
      <w:r w:rsidR="00605EA1" w:rsidRPr="00605EA1">
        <w:rPr>
          <w:rFonts w:hint="eastAsia"/>
          <w:sz w:val="22"/>
          <w:szCs w:val="22"/>
        </w:rPr>
        <w:t>●</w:t>
      </w:r>
      <w:r w:rsidR="00605EA1" w:rsidRPr="00605EA1">
        <w:rPr>
          <w:sz w:val="22"/>
          <w:szCs w:val="22"/>
        </w:rPr>
        <w:t>]),</w:t>
      </w:r>
      <w:r w:rsidRPr="001E66A9">
        <w:rPr>
          <w:sz w:val="22"/>
          <w:szCs w:val="22"/>
        </w:rPr>
        <w:t xml:space="preserve"> para a Garantidora, ou seu equivalente em outras moedas, considerando o período de 12 (doze) meses anteriores ao respectivo inadimplemento; </w:t>
      </w:r>
      <w:r w:rsidR="00605EA1" w:rsidRPr="00605EA1">
        <w:rPr>
          <w:b/>
          <w:i/>
          <w:sz w:val="22"/>
          <w:szCs w:val="22"/>
          <w:highlight w:val="yellow"/>
        </w:rPr>
        <w:t>[Nota MF: Pendente validação da Acciona a respeito da manutenção da garantidora.]</w:t>
      </w:r>
    </w:p>
    <w:p w:rsidR="004C620B" w:rsidRPr="001E66A9" w:rsidRDefault="004C620B">
      <w:pPr>
        <w:pStyle w:val="Level4"/>
        <w:widowControl w:val="0"/>
        <w:numPr>
          <w:ilvl w:val="0"/>
          <w:numId w:val="0"/>
        </w:numPr>
        <w:spacing w:before="140" w:after="0" w:line="276" w:lineRule="auto"/>
        <w:rPr>
          <w:sz w:val="22"/>
          <w:szCs w:val="22"/>
        </w:rPr>
      </w:pPr>
    </w:p>
    <w:p w:rsidR="004C620B" w:rsidRPr="001E66A9" w:rsidRDefault="0075606E">
      <w:pPr>
        <w:pStyle w:val="Level4"/>
        <w:tabs>
          <w:tab w:val="clear" w:pos="2041"/>
          <w:tab w:val="num" w:pos="851"/>
        </w:tabs>
        <w:ind w:left="0" w:firstLine="0"/>
        <w:rPr>
          <w:sz w:val="22"/>
          <w:szCs w:val="22"/>
          <w:highlight w:val="yellow"/>
        </w:rPr>
      </w:pPr>
      <w:bookmarkStart w:id="108" w:name="_Ref529293986"/>
      <w:bookmarkEnd w:id="107"/>
      <w:r w:rsidRPr="001E66A9">
        <w:rPr>
          <w:b/>
          <w:i/>
          <w:sz w:val="22"/>
          <w:szCs w:val="22"/>
          <w:highlight w:val="yellow"/>
        </w:rPr>
        <w:t>[Nota MF: Pendente de validação do BNP</w:t>
      </w:r>
      <w:r w:rsidR="00605EA1" w:rsidRPr="00605EA1">
        <w:rPr>
          <w:b/>
          <w:i/>
          <w:sz w:val="22"/>
          <w:szCs w:val="22"/>
          <w:highlight w:val="yellow"/>
        </w:rPr>
        <w:t>.</w:t>
      </w:r>
      <w:proofErr w:type="gramStart"/>
      <w:r w:rsidR="00605EA1" w:rsidRPr="00605EA1">
        <w:rPr>
          <w:b/>
          <w:i/>
          <w:sz w:val="22"/>
          <w:szCs w:val="22"/>
          <w:highlight w:val="yellow"/>
        </w:rPr>
        <w:t>]</w:t>
      </w:r>
      <w:bookmarkEnd w:id="108"/>
      <w:proofErr w:type="gramEnd"/>
    </w:p>
    <w:p w:rsidR="004C620B" w:rsidRPr="001E66A9" w:rsidRDefault="001068B6">
      <w:pPr>
        <w:pStyle w:val="Level4"/>
        <w:tabs>
          <w:tab w:val="clear" w:pos="2041"/>
          <w:tab w:val="num" w:pos="851"/>
        </w:tabs>
        <w:ind w:left="0" w:firstLine="0"/>
        <w:rPr>
          <w:sz w:val="22"/>
          <w:szCs w:val="22"/>
        </w:rPr>
      </w:pPr>
      <w:r w:rsidRPr="001E66A9">
        <w:rPr>
          <w:sz w:val="22"/>
          <w:szCs w:val="22"/>
        </w:rPr>
        <w:t xml:space="preserve"> </w:t>
      </w:r>
      <w:proofErr w:type="gramStart"/>
      <w:r w:rsidRPr="001E66A9">
        <w:rPr>
          <w:sz w:val="22"/>
          <w:szCs w:val="22"/>
        </w:rPr>
        <w:t>abandono</w:t>
      </w:r>
      <w:proofErr w:type="gramEnd"/>
      <w:r w:rsidRPr="001E66A9">
        <w:rPr>
          <w:sz w:val="22"/>
          <w:szCs w:val="22"/>
        </w:rPr>
        <w:t xml:space="preserve"> parcial ou total  </w:t>
      </w:r>
      <w:r w:rsidR="00605EA1" w:rsidRPr="00605EA1">
        <w:rPr>
          <w:sz w:val="22"/>
          <w:szCs w:val="22"/>
        </w:rPr>
        <w:t>na execução do Projeto</w:t>
      </w:r>
      <w:bookmarkStart w:id="109" w:name="_DV_C54"/>
      <w:r w:rsidR="00605EA1" w:rsidRPr="00605EA1">
        <w:rPr>
          <w:sz w:val="22"/>
          <w:szCs w:val="22"/>
        </w:rPr>
        <w:t xml:space="preserve">, não sanado no prazo de até 60 (sessenta) dias (consecutivos), </w:t>
      </w:r>
      <w:bookmarkEnd w:id="109"/>
      <w:r w:rsidR="00605EA1" w:rsidRPr="00605EA1">
        <w:rPr>
          <w:sz w:val="22"/>
          <w:szCs w:val="22"/>
        </w:rPr>
        <w:t>que possa causar um Efeito Adverso Relevante, ou abandono de qualquer ativo que seja essencial à</w:t>
      </w:r>
      <w:bookmarkStart w:id="110" w:name="_DV_M345"/>
      <w:bookmarkEnd w:id="110"/>
      <w:r w:rsidR="00605EA1" w:rsidRPr="00605EA1">
        <w:rPr>
          <w:sz w:val="22"/>
          <w:szCs w:val="22"/>
        </w:rPr>
        <w:t xml:space="preserve"> implementação ou à operação do Projeto previsto no Contrato de Concessão, observado o disposto na Cláusula 9.2;</w:t>
      </w:r>
      <w:bookmarkStart w:id="111" w:name="_DV_M346"/>
      <w:bookmarkEnd w:id="111"/>
      <w:r w:rsidR="00605EA1" w:rsidRPr="00605EA1">
        <w:rPr>
          <w:sz w:val="22"/>
          <w:szCs w:val="22"/>
        </w:rPr>
        <w:t xml:space="preserve"> </w:t>
      </w:r>
    </w:p>
    <w:p w:rsidR="00000000"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obtenção</w:t>
      </w:r>
      <w:proofErr w:type="gramEnd"/>
      <w:r w:rsidRPr="00605EA1">
        <w:rPr>
          <w:sz w:val="22"/>
          <w:szCs w:val="22"/>
        </w:rPr>
        <w:t xml:space="preserve"> de quaisquer tipos de financiamento, crédito ou assunção de novas dívidas, pela Companhia, exceto pelos Endividamentos Permitidos</w:t>
      </w:r>
      <w:r w:rsidR="001068B6" w:rsidRPr="001E66A9">
        <w:rPr>
          <w:sz w:val="22"/>
          <w:szCs w:val="22"/>
        </w:rPr>
        <w:t>;</w:t>
      </w:r>
      <w:r w:rsidRPr="00605EA1">
        <w:rPr>
          <w:sz w:val="22"/>
          <w:szCs w:val="22"/>
        </w:rPr>
        <w:t xml:space="preserve"> </w:t>
      </w:r>
    </w:p>
    <w:p w:rsidR="0075606E"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Cs w:val="22"/>
        </w:rPr>
        <w:t>celebração</w:t>
      </w:r>
      <w:proofErr w:type="gramEnd"/>
      <w:r w:rsidRPr="00605EA1">
        <w:rPr>
          <w:szCs w:val="22"/>
        </w:rPr>
        <w:t xml:space="preserve">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sidRPr="00605EA1">
        <w:rPr>
          <w:sz w:val="22"/>
          <w:szCs w:val="22"/>
        </w:rPr>
        <w:t xml:space="preserve">por contratos de mútuo subordinados, cujo os pagamentos de principal e juros ocorram após a liquidação integral das obrigações desta Escritura de Emissão; </w:t>
      </w:r>
      <w:bookmarkStart w:id="112" w:name="_Ref130283217"/>
      <w:bookmarkStart w:id="113" w:name="_Ref169028300"/>
      <w:bookmarkStart w:id="114" w:name="_Ref278369126"/>
      <w:bookmarkStart w:id="115" w:name="_Ref534176562"/>
      <w:bookmarkEnd w:id="105"/>
    </w:p>
    <w:p w:rsidR="00000000" w:rsidRDefault="001068B6">
      <w:pPr>
        <w:pStyle w:val="Level4"/>
        <w:widowControl w:val="0"/>
        <w:tabs>
          <w:tab w:val="clear" w:pos="2041"/>
          <w:tab w:val="num" w:pos="851"/>
        </w:tabs>
        <w:spacing w:before="140" w:after="0" w:line="276" w:lineRule="auto"/>
        <w:ind w:left="0" w:firstLine="0"/>
        <w:rPr>
          <w:sz w:val="22"/>
          <w:szCs w:val="22"/>
        </w:rPr>
      </w:pPr>
      <w:proofErr w:type="gramStart"/>
      <w:r w:rsidRPr="001E66A9">
        <w:rPr>
          <w:sz w:val="22"/>
          <w:szCs w:val="22"/>
        </w:rPr>
        <w:t>alteração</w:t>
      </w:r>
      <w:proofErr w:type="gramEnd"/>
      <w:r w:rsidRPr="001E66A9">
        <w:rPr>
          <w:sz w:val="22"/>
          <w:szCs w:val="22"/>
        </w:rPr>
        <w:t>, não renovação, vencimento antecipado ou rescisão das apólices de seguro relacionadas ao Projeto, exceto se necessárias para fins de constituição das Garantias Reais ou para constituição das garantias relativas à Dívida de Longo Prazo;</w:t>
      </w:r>
      <w:r w:rsidR="00605EA1" w:rsidRPr="00605EA1">
        <w:rPr>
          <w:b/>
          <w:i/>
          <w:szCs w:val="22"/>
        </w:rPr>
        <w:t xml:space="preserve"> </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alteração</w:t>
      </w:r>
      <w:proofErr w:type="gramEnd"/>
      <w:r w:rsidRPr="00605EA1">
        <w:rPr>
          <w:sz w:val="22"/>
          <w:szCs w:val="22"/>
        </w:rPr>
        <w:t xml:space="preserve"> do objeto social da Companhia, conforme disposto em seu estatuto social vigente na Data de Emissão, de forma a alterar as suas atividades preponderantes, exceto se previamente autorizado por Debenturistas representando (a) em primeira convocação, no mínimo, 2/3 (dois terços) das Debêntures em Circulação; (b) em segunda convocação, no mínimo, 2/3 (dois </w:t>
      </w:r>
      <w:r w:rsidRPr="00605EA1">
        <w:rPr>
          <w:sz w:val="22"/>
          <w:szCs w:val="22"/>
        </w:rPr>
        <w:lastRenderedPageBreak/>
        <w:t>terços) das Debêntures em relação aos titulares das Debêntures presentes reunidos em Assembleia Geral;</w:t>
      </w:r>
    </w:p>
    <w:p w:rsidR="004C620B"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redução</w:t>
      </w:r>
      <w:proofErr w:type="gramEnd"/>
      <w:r w:rsidRPr="00605EA1">
        <w:rPr>
          <w:sz w:val="22"/>
          <w:szCs w:val="22"/>
        </w:rPr>
        <w:t xml:space="preserve">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 e</w:t>
      </w:r>
    </w:p>
    <w:p w:rsidR="008C3793" w:rsidRPr="001E66A9" w:rsidRDefault="00605EA1">
      <w:pPr>
        <w:pStyle w:val="Level4"/>
        <w:widowControl w:val="0"/>
        <w:tabs>
          <w:tab w:val="clear" w:pos="2041"/>
          <w:tab w:val="num" w:pos="851"/>
        </w:tabs>
        <w:spacing w:before="140" w:after="0" w:line="276" w:lineRule="auto"/>
        <w:ind w:left="0" w:firstLine="0"/>
        <w:rPr>
          <w:sz w:val="22"/>
          <w:szCs w:val="22"/>
        </w:rPr>
      </w:pPr>
      <w:proofErr w:type="gramStart"/>
      <w:r w:rsidRPr="00605EA1">
        <w:rPr>
          <w:sz w:val="22"/>
          <w:szCs w:val="22"/>
        </w:rPr>
        <w:t>não</w:t>
      </w:r>
      <w:proofErr w:type="gramEnd"/>
      <w:r w:rsidRPr="00605EA1">
        <w:rPr>
          <w:sz w:val="22"/>
          <w:szCs w:val="22"/>
        </w:rPr>
        <w:t xml:space="preserve"> celebração do Contrato de Cessão Fiduciária no prazo de 30 (trinta) Dias Úteis contados da celebração do Aditamento ao Contrato de Concessão, nos termos do Anexo C a presente Escritura de Emissão.</w:t>
      </w:r>
      <w:r w:rsidRPr="00605EA1">
        <w:rPr>
          <w:b/>
          <w:i/>
          <w:sz w:val="22"/>
          <w:szCs w:val="22"/>
          <w:highlight w:val="yellow"/>
        </w:rPr>
        <w:t>[Nota MF: Estrutura ainda a ser avaliada de acordo com as discussões com os bancos.]</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16" w:name="_Ref130283218"/>
      <w:bookmarkEnd w:id="112"/>
      <w:bookmarkEnd w:id="113"/>
      <w:bookmarkEnd w:id="114"/>
      <w:r w:rsidRPr="00605EA1">
        <w:rPr>
          <w:sz w:val="22"/>
          <w:szCs w:val="22"/>
        </w:rPr>
        <w:t xml:space="preserve">Os valores previstos nas Cláusulas </w:t>
      </w:r>
      <w:fldSimple w:instr=" REF _Ref356481657 \r \h  \* MERGEFORMAT ">
        <w:r w:rsidRPr="00605EA1">
          <w:rPr>
            <w:sz w:val="22"/>
            <w:szCs w:val="22"/>
          </w:rPr>
          <w:t>7.23.1</w:t>
        </w:r>
      </w:fldSimple>
      <w:r w:rsidR="001068B6" w:rsidRPr="001E66A9">
        <w:rPr>
          <w:sz w:val="22"/>
          <w:szCs w:val="22"/>
        </w:rPr>
        <w:t xml:space="preserve"> e </w:t>
      </w:r>
      <w:fldSimple w:instr=" REF _Ref528593648 \r \h  \* MERGEFORMAT ">
        <w:r w:rsidRPr="00605EA1">
          <w:rPr>
            <w:sz w:val="22"/>
            <w:szCs w:val="22"/>
          </w:rPr>
          <w:t>7.23.2</w:t>
        </w:r>
      </w:fldSimple>
      <w:r w:rsidR="001068B6" w:rsidRPr="001E66A9">
        <w:rPr>
          <w:sz w:val="22"/>
          <w:szCs w:val="22"/>
        </w:rPr>
        <w:t xml:space="preserve"> acima serão atualizados mensalmente, a partir da Data de Emissão, pela variação acumulada positiva do IPCA, ou seu equivalente em outras moedas.</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17" w:name="_Ref36898034"/>
      <w:r w:rsidRPr="00605EA1">
        <w:rPr>
          <w:sz w:val="22"/>
          <w:szCs w:val="22"/>
        </w:rPr>
        <w:t>Ocorrendo qualquer dos Eventos de Vencimento Antecipado Não Automáticos, o Agente Fiduciário deverá, inclusive para fins do disposto na Cláusula </w:t>
      </w:r>
      <w:fldSimple w:instr=" REF _Ref494783220 \n \p \h  \* MERGEFORMAT ">
        <w:r w:rsidRPr="00605EA1">
          <w:rPr>
            <w:sz w:val="22"/>
            <w:szCs w:val="22"/>
          </w:rPr>
          <w:t>10.6 abaixo</w:t>
        </w:r>
      </w:fldSimple>
      <w:r w:rsidR="001068B6" w:rsidRPr="001E66A9">
        <w:rPr>
          <w:sz w:val="22"/>
          <w:szCs w:val="22"/>
        </w:rPr>
        <w:t xml:space="preserve">, convocar, no prazo de até </w:t>
      </w:r>
      <w:proofErr w:type="gramStart"/>
      <w:r w:rsidR="001068B6" w:rsidRPr="001E66A9">
        <w:rPr>
          <w:sz w:val="22"/>
          <w:szCs w:val="22"/>
        </w:rPr>
        <w:t>2</w:t>
      </w:r>
      <w:proofErr w:type="gramEnd"/>
      <w:r w:rsidR="001068B6" w:rsidRPr="001E66A9">
        <w:rPr>
          <w:sz w:val="22"/>
          <w:szCs w:val="22"/>
        </w:rPr>
        <w:t xml:space="preserve">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não decretação de vencimento antecipado das obrigações decorrentes das Debêntures. </w:t>
      </w:r>
      <w:bookmarkEnd w:id="117"/>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18" w:name="_Ref495338909"/>
      <w:bookmarkStart w:id="119" w:name="_Ref36898161"/>
      <w:r w:rsidRPr="00605EA1">
        <w:rPr>
          <w:sz w:val="22"/>
          <w:szCs w:val="22"/>
        </w:rPr>
        <w:t xml:space="preserve">Na assembleia geral de que trata a Cláusula </w:t>
      </w:r>
      <w:fldSimple w:instr=" REF _Ref36898034 \r \p \h  \* MERGEFORMAT ">
        <w:r w:rsidRPr="00605EA1">
          <w:rPr>
            <w:sz w:val="22"/>
            <w:szCs w:val="22"/>
          </w:rPr>
          <w:t>7.23.4 acima</w:t>
        </w:r>
      </w:fldSimple>
      <w:r w:rsidR="001068B6" w:rsidRPr="001E66A9">
        <w:rPr>
          <w:sz w:val="22"/>
          <w:szCs w:val="22"/>
        </w:rPr>
        <w:t xml:space="preserve"> e desde que observado o disposto na Cláusula </w:t>
      </w:r>
      <w:fldSimple w:instr=" REF _Ref37878572 \r \h  \* MERGEFORMAT ">
        <w:r w:rsidRPr="00605EA1">
          <w:rPr>
            <w:sz w:val="22"/>
            <w:szCs w:val="22"/>
          </w:rPr>
          <w:t>7.23.6</w:t>
        </w:r>
      </w:fldSimple>
      <w:r w:rsidR="001068B6" w:rsidRPr="001E66A9">
        <w:rPr>
          <w:sz w:val="22"/>
          <w:szCs w:val="22"/>
        </w:rPr>
        <w:t>, os Titulares representando (i) em primeira convocação, no mínimo, [2/3 (dois terços)] das Debêntures em Circulação; ou (ii) em segunda convocação, no mínimo, [50% (cinquenta por cento) mais uma] Debêntures em Circulação, poderão decidir por</w:t>
      </w:r>
      <w:r w:rsidRPr="00605EA1">
        <w:rPr>
          <w:sz w:val="22"/>
          <w:szCs w:val="22"/>
        </w:rPr>
        <w:t xml:space="preserve"> não declarar o vencimento antecipado das obrigações decorrentes das Debêntures, sendo certo que tal decisão terá caráter irrevogável e irretratável</w:t>
      </w:r>
      <w:bookmarkEnd w:id="118"/>
      <w:r w:rsidRPr="00605EA1">
        <w:rPr>
          <w:sz w:val="22"/>
          <w:szCs w:val="22"/>
        </w:rPr>
        <w:t>.</w:t>
      </w:r>
      <w:bookmarkEnd w:id="119"/>
      <w:r w:rsidRPr="00605EA1">
        <w:rPr>
          <w:sz w:val="22"/>
          <w:szCs w:val="22"/>
        </w:rPr>
        <w:t xml:space="preserve"> </w:t>
      </w:r>
    </w:p>
    <w:p w:rsidR="004C620B" w:rsidRPr="001E66A9" w:rsidRDefault="00605EA1">
      <w:pPr>
        <w:pStyle w:val="Level3"/>
        <w:widowControl w:val="0"/>
        <w:tabs>
          <w:tab w:val="clear" w:pos="1361"/>
          <w:tab w:val="left" w:pos="851"/>
        </w:tabs>
        <w:spacing w:before="140" w:after="0" w:line="276" w:lineRule="auto"/>
        <w:ind w:left="0" w:firstLine="0"/>
        <w:rPr>
          <w:sz w:val="22"/>
          <w:szCs w:val="22"/>
        </w:rPr>
      </w:pPr>
      <w:bookmarkStart w:id="120" w:name="_Ref36898125"/>
      <w:r w:rsidRPr="00605EA1">
        <w:rPr>
          <w:sz w:val="22"/>
          <w:szCs w:val="22"/>
        </w:rPr>
        <w:t xml:space="preserve">Para os fins das Cláusulas </w:t>
      </w:r>
      <w:fldSimple w:instr=" REF _Ref495338909 \n \pRef36898034 \r \h  \* MERGEFORMAT ">
        <w:r w:rsidRPr="00605EA1">
          <w:rPr>
            <w:sz w:val="22"/>
            <w:szCs w:val="22"/>
          </w:rPr>
          <w:t>7.23.5 acima</w:t>
        </w:r>
      </w:fldSimple>
      <w:r w:rsidR="001068B6" w:rsidRPr="001E66A9">
        <w:rPr>
          <w:sz w:val="22"/>
          <w:szCs w:val="22"/>
        </w:rPr>
        <w:t xml:space="preserve"> </w:t>
      </w:r>
      <w:bookmarkStart w:id="121" w:name="_Ref37878572"/>
      <w:r w:rsidR="001068B6" w:rsidRPr="001E66A9">
        <w:rPr>
          <w:sz w:val="22"/>
          <w:szCs w:val="22"/>
        </w:rPr>
        <w:t xml:space="preserve">e </w:t>
      </w:r>
      <w:fldSimple w:instr=" REF _Ref36898161 \r \h  \* MERGEFORMAT ">
        <w:r w:rsidRPr="00605EA1">
          <w:rPr>
            <w:sz w:val="22"/>
            <w:szCs w:val="22"/>
          </w:rPr>
          <w:t>7.23.5</w:t>
        </w:r>
      </w:fldSimple>
      <w:r w:rsidR="001068B6" w:rsidRPr="001E66A9">
        <w:rPr>
          <w:sz w:val="22"/>
          <w:szCs w:val="22"/>
        </w:rPr>
        <w:t xml:space="preserve"> acima, a Assembleia Geral será instalada somente (i) em primeira convocação, com a presença de Titulares que representem, no mínimo, </w:t>
      </w:r>
      <w:r w:rsidRPr="00605EA1">
        <w:rPr>
          <w:sz w:val="22"/>
          <w:szCs w:val="22"/>
        </w:rPr>
        <w:t xml:space="preserve">2/3 (dois terços) das Debêntures em Circulação; e (ii) em segunda convocação, com a presença de Titulares que representem, no mínimo, [50% (cinquenta por cento) mais uma] das Debêntures </w:t>
      </w:r>
      <w:r w:rsidRPr="00605EA1">
        <w:rPr>
          <w:sz w:val="22"/>
          <w:szCs w:val="22"/>
        </w:rPr>
        <w:lastRenderedPageBreak/>
        <w:t>em Circulação.</w:t>
      </w:r>
      <w:bookmarkEnd w:id="120"/>
      <w:bookmarkEnd w:id="121"/>
    </w:p>
    <w:p w:rsidR="004C620B" w:rsidRPr="001E66A9" w:rsidRDefault="00605EA1">
      <w:pPr>
        <w:pStyle w:val="Level3"/>
        <w:widowControl w:val="0"/>
        <w:tabs>
          <w:tab w:val="clear" w:pos="1361"/>
          <w:tab w:val="left" w:pos="851"/>
        </w:tabs>
        <w:spacing w:before="140" w:after="0" w:line="276" w:lineRule="auto"/>
        <w:ind w:left="0" w:firstLine="0"/>
        <w:rPr>
          <w:sz w:val="22"/>
          <w:szCs w:val="22"/>
        </w:rPr>
      </w:pPr>
      <w:r w:rsidRPr="00605EA1">
        <w:rPr>
          <w:sz w:val="22"/>
          <w:szCs w:val="22"/>
        </w:rPr>
        <w:t xml:space="preserve">Na hipótese de: (i) não instalação, em segunda convocação, da Assembleia Geral mencionada na Cláusula </w:t>
      </w:r>
      <w:fldSimple w:instr=" REF _Ref36898034 \r \p \h  \* MERGEFORMAT ">
        <w:r w:rsidRPr="00605EA1">
          <w:rPr>
            <w:sz w:val="22"/>
            <w:szCs w:val="22"/>
          </w:rPr>
          <w:t>7.23.4 acima</w:t>
        </w:r>
      </w:fldSimple>
      <w:r w:rsidR="001068B6" w:rsidRPr="001E66A9">
        <w:rPr>
          <w:sz w:val="22"/>
          <w:szCs w:val="22"/>
        </w:rPr>
        <w:t xml:space="preserve"> por falta de quórum; ou (</w:t>
      </w:r>
      <w:proofErr w:type="gramStart"/>
      <w:r w:rsidR="001068B6" w:rsidRPr="001E66A9">
        <w:rPr>
          <w:sz w:val="22"/>
          <w:szCs w:val="22"/>
        </w:rPr>
        <w:t>ii</w:t>
      </w:r>
      <w:proofErr w:type="gramEnd"/>
      <w:r w:rsidR="001068B6" w:rsidRPr="001E66A9">
        <w:rPr>
          <w:sz w:val="22"/>
          <w:szCs w:val="22"/>
        </w:rPr>
        <w:t xml:space="preserve">) não ser aprovado o exercício da faculdade prevista na Cláusula </w:t>
      </w:r>
      <w:fldSimple w:instr=" REF _Ref36898034 \r \p \h  \* MERGEFORMAT ">
        <w:r w:rsidRPr="00605EA1">
          <w:rPr>
            <w:sz w:val="22"/>
            <w:szCs w:val="22"/>
          </w:rPr>
          <w:t>7.23.4 acima</w:t>
        </w:r>
      </w:fldSimple>
      <w:r w:rsidR="001068B6" w:rsidRPr="001E66A9">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rsidR="004C620B" w:rsidRPr="001E66A9" w:rsidRDefault="00605EA1">
      <w:pPr>
        <w:pStyle w:val="Level3"/>
        <w:widowControl w:val="0"/>
        <w:tabs>
          <w:tab w:val="clear" w:pos="1361"/>
          <w:tab w:val="left" w:pos="851"/>
        </w:tabs>
        <w:spacing w:before="140" w:after="0" w:line="276" w:lineRule="auto"/>
        <w:ind w:left="0" w:firstLine="0"/>
        <w:rPr>
          <w:sz w:val="22"/>
          <w:szCs w:val="22"/>
        </w:rPr>
      </w:pPr>
      <w:bookmarkStart w:id="122" w:name="_Ref130283221"/>
      <w:bookmarkStart w:id="123" w:name="_Ref534176563"/>
      <w:bookmarkStart w:id="124" w:name="_Ref495496127"/>
      <w:bookmarkEnd w:id="115"/>
      <w:bookmarkEnd w:id="116"/>
      <w:r w:rsidRPr="00605EA1">
        <w:rPr>
          <w:sz w:val="22"/>
          <w:szCs w:val="22"/>
        </w:rPr>
        <w:t xml:space="preserve">Na ocorrência de decretação do vencimento antecipado das obrigações decorrentes das Debêntures, a Companhia obriga-se a resgatar a totalidade das Debêntures em até </w:t>
      </w:r>
      <w:proofErr w:type="gramStart"/>
      <w:r w:rsidRPr="00605EA1">
        <w:rPr>
          <w:sz w:val="22"/>
          <w:szCs w:val="22"/>
        </w:rPr>
        <w:t>3</w:t>
      </w:r>
      <w:proofErr w:type="gramEnd"/>
      <w:r w:rsidRPr="00605EA1">
        <w:rPr>
          <w:sz w:val="22"/>
          <w:szCs w:val="22"/>
        </w:rPr>
        <w:t xml:space="preserve"> (três) Dias Úteis (observado que a B3 será comunicada imediatamente após a declaração do vencimento antecipado das obrigações decorrentes das Debêntures) com o seu consequente cancelamento, mediante o pagamento do Valor Nominal Unitário das Debêntures, conforme o caso, acrescido da Remuneração, calculada </w:t>
      </w:r>
      <w:r w:rsidRPr="00605EA1">
        <w:rPr>
          <w:i/>
          <w:sz w:val="22"/>
          <w:szCs w:val="22"/>
        </w:rPr>
        <w:t>pro rata temporis</w:t>
      </w:r>
      <w:r w:rsidRPr="00605EA1">
        <w:rPr>
          <w:sz w:val="22"/>
          <w:szCs w:val="22"/>
        </w:rPr>
        <w:t>, desde a Data de Subscrição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2"/>
      <w:bookmarkEnd w:id="123"/>
      <w:r w:rsidRPr="00605EA1">
        <w:rPr>
          <w:sz w:val="22"/>
          <w:szCs w:val="22"/>
        </w:rPr>
        <w:t>.</w:t>
      </w:r>
      <w:bookmarkEnd w:id="124"/>
      <w:r w:rsidRPr="00605EA1">
        <w:rPr>
          <w:sz w:val="22"/>
          <w:szCs w:val="22"/>
        </w:rPr>
        <w:t xml:space="preserve"> </w:t>
      </w:r>
    </w:p>
    <w:p w:rsidR="004C620B" w:rsidRPr="001E66A9" w:rsidRDefault="00605EA1">
      <w:pPr>
        <w:pStyle w:val="Level3"/>
        <w:widowControl w:val="0"/>
        <w:tabs>
          <w:tab w:val="clear" w:pos="1361"/>
          <w:tab w:val="num" w:pos="851"/>
        </w:tabs>
        <w:spacing w:before="140" w:after="0" w:line="276" w:lineRule="auto"/>
        <w:ind w:left="0" w:firstLine="0"/>
        <w:rPr>
          <w:sz w:val="22"/>
          <w:szCs w:val="22"/>
        </w:rPr>
      </w:pPr>
      <w:bookmarkStart w:id="125" w:name="_Ref359943492"/>
      <w:r w:rsidRPr="00605EA1">
        <w:rPr>
          <w:sz w:val="22"/>
          <w:szCs w:val="22"/>
        </w:rPr>
        <w:t xml:space="preserve">Na ocorrência do vencimento antecipado das obrigações decorrentes das Debêntures, </w:t>
      </w:r>
      <w:r w:rsidRPr="00605EA1">
        <w:rPr>
          <w:bCs/>
          <w:sz w:val="22"/>
          <w:szCs w:val="22"/>
        </w:rPr>
        <w:t xml:space="preserve">os recursos recebidos em pagamento </w:t>
      </w:r>
      <w:r w:rsidRPr="00605EA1">
        <w:rPr>
          <w:sz w:val="22"/>
          <w:szCs w:val="22"/>
        </w:rPr>
        <w:t>das obrigações decorrentes das Debêntures</w:t>
      </w:r>
      <w:r w:rsidRPr="00605EA1">
        <w:rPr>
          <w:bCs/>
          <w:sz w:val="22"/>
          <w:szCs w:val="22"/>
        </w:rPr>
        <w:t xml:space="preserve">, </w:t>
      </w:r>
      <w:r w:rsidRPr="00605EA1">
        <w:rPr>
          <w:sz w:val="22"/>
          <w:szCs w:val="22"/>
        </w:rPr>
        <w:t>na medida em que forem sendo recebidos, deverão ser imediatamente aplicados na amortização ou, se possível, quitação do saldo devedor das obrigações decorrentes das Debêntures</w:t>
      </w:r>
      <w:r w:rsidRPr="00605EA1">
        <w:rPr>
          <w:bCs/>
          <w:sz w:val="22"/>
          <w:szCs w:val="22"/>
        </w:rPr>
        <w:t xml:space="preserve">. Caso os recursos recebidos em pagamento </w:t>
      </w:r>
      <w:r w:rsidRPr="00605EA1">
        <w:rPr>
          <w:sz w:val="22"/>
          <w:szCs w:val="22"/>
        </w:rPr>
        <w:t>das obrigações decorrentes das Debêntures</w:t>
      </w:r>
      <w:r w:rsidRPr="00605EA1">
        <w:rPr>
          <w:bCs/>
          <w:sz w:val="22"/>
          <w:szCs w:val="22"/>
        </w:rPr>
        <w:t xml:space="preserve"> </w:t>
      </w:r>
      <w:r w:rsidRPr="00605EA1">
        <w:rPr>
          <w:sz w:val="22"/>
          <w:szCs w:val="22"/>
        </w:rPr>
        <w:t>não sejam suficientes para quitar simultaneamente todas as obrigações decorrentes das Debêntures, tais recursos</w:t>
      </w:r>
      <w:r w:rsidRPr="00605EA1">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605EA1">
        <w:rPr>
          <w:sz w:val="22"/>
          <w:szCs w:val="22"/>
        </w:rPr>
        <w:t xml:space="preserve">nos termos desta Escritura de Emissão (incluindo a remuneração e as despesas </w:t>
      </w:r>
      <w:r w:rsidRPr="00605EA1">
        <w:rPr>
          <w:bCs/>
          <w:sz w:val="22"/>
          <w:szCs w:val="22"/>
        </w:rPr>
        <w:t xml:space="preserve">comprovadamente </w:t>
      </w:r>
      <w:r w:rsidRPr="00605EA1">
        <w:rPr>
          <w:sz w:val="22"/>
          <w:szCs w:val="22"/>
        </w:rPr>
        <w:t>incorridas pelo Agente Fiduciário)</w:t>
      </w:r>
      <w:r w:rsidRPr="00605EA1">
        <w:rPr>
          <w:bCs/>
          <w:sz w:val="22"/>
          <w:szCs w:val="22"/>
        </w:rPr>
        <w:t xml:space="preserve">, que não sejam os valores a que se referem os itens (ii) e (iii) abaixo; (ii) Remuneração, Encargos Moratórios e demais encargos devidos sob as </w:t>
      </w:r>
      <w:r w:rsidRPr="00605EA1">
        <w:rPr>
          <w:sz w:val="22"/>
          <w:szCs w:val="22"/>
        </w:rPr>
        <w:t>obrigações decorrentes das Debêntures</w:t>
      </w:r>
      <w:r w:rsidRPr="00605EA1">
        <w:rPr>
          <w:bCs/>
          <w:sz w:val="22"/>
          <w:szCs w:val="22"/>
        </w:rPr>
        <w:t>; e (iii) </w:t>
      </w:r>
      <w:r w:rsidRPr="00605EA1">
        <w:rPr>
          <w:sz w:val="22"/>
          <w:szCs w:val="22"/>
        </w:rPr>
        <w:t xml:space="preserve">o Valor Nominal Unitário das </w:t>
      </w:r>
      <w:r w:rsidRPr="00605EA1">
        <w:rPr>
          <w:sz w:val="22"/>
          <w:szCs w:val="22"/>
        </w:rPr>
        <w:lastRenderedPageBreak/>
        <w:t>Debêntures, conforme o caso</w:t>
      </w:r>
      <w:r w:rsidRPr="00605EA1">
        <w:rPr>
          <w:bCs/>
          <w:sz w:val="22"/>
          <w:szCs w:val="22"/>
        </w:rPr>
        <w:t xml:space="preserve">. A Companhia permanecerá responsável pelo saldo devedor das </w:t>
      </w:r>
      <w:r w:rsidRPr="00605EA1">
        <w:rPr>
          <w:sz w:val="22"/>
          <w:szCs w:val="22"/>
        </w:rPr>
        <w:t>obrigações decorrentes das Debêntures</w:t>
      </w:r>
      <w:r w:rsidRPr="00605EA1">
        <w:rPr>
          <w:bCs/>
          <w:sz w:val="22"/>
          <w:szCs w:val="22"/>
        </w:rPr>
        <w:t xml:space="preserve"> que não tiverem sido pagas, sem prejuízo dos acréscimos de Remuneração, Encargos Moratórios e outros encargos incidentes sobre o saldo devedor das </w:t>
      </w:r>
      <w:r w:rsidRPr="00605EA1">
        <w:rPr>
          <w:sz w:val="22"/>
          <w:szCs w:val="22"/>
        </w:rPr>
        <w:t>obrigações decorrentes das Debêntures</w:t>
      </w:r>
      <w:r w:rsidRPr="00605EA1">
        <w:rPr>
          <w:bCs/>
          <w:sz w:val="22"/>
          <w:szCs w:val="22"/>
        </w:rPr>
        <w:t xml:space="preserve"> enquanto não forem pagas, sendo considerada dívida líquida e certa, passível de cobrança extrajudicial ou por meio de processo de execução judicial</w:t>
      </w:r>
      <w:r w:rsidRPr="00605EA1">
        <w:rPr>
          <w:sz w:val="22"/>
          <w:szCs w:val="22"/>
        </w:rPr>
        <w:t>.</w:t>
      </w:r>
      <w:bookmarkEnd w:id="125"/>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26" w:name="_Ref130286395"/>
      <w:bookmarkStart w:id="127" w:name="_Ref284530595"/>
      <w:r w:rsidRPr="00605EA1">
        <w:rPr>
          <w:rFonts w:cs="Arial"/>
          <w:i/>
          <w:sz w:val="22"/>
          <w:szCs w:val="22"/>
        </w:rPr>
        <w:t>Publicidade</w:t>
      </w:r>
      <w:r w:rsidRPr="00605EA1">
        <w:rPr>
          <w:rFonts w:cs="Arial"/>
          <w:sz w:val="22"/>
          <w:szCs w:val="22"/>
        </w:rPr>
        <w:t xml:space="preserve">. </w:t>
      </w:r>
      <w:bookmarkEnd w:id="126"/>
      <w:r w:rsidRPr="00605EA1">
        <w:rPr>
          <w:rFonts w:cs="Arial"/>
          <w:sz w:val="22"/>
          <w:szCs w:val="22"/>
        </w:rPr>
        <w:t>Todos os atos e decisões relativos às Debêntures deverão ser comunicados, na forma de aviso, na página da Companhia na rede mundial de computadores (</w:t>
      </w:r>
      <w:proofErr w:type="gramStart"/>
      <w:r w:rsidRPr="00605EA1">
        <w:rPr>
          <w:rFonts w:cs="Arial"/>
          <w:sz w:val="22"/>
          <w:szCs w:val="22"/>
        </w:rPr>
        <w:t>https</w:t>
      </w:r>
      <w:proofErr w:type="gramEnd"/>
      <w:r w:rsidRPr="00605EA1">
        <w:rPr>
          <w:rFonts w:cs="Arial"/>
          <w:sz w:val="22"/>
          <w:szCs w:val="22"/>
        </w:rPr>
        <w:t>://[</w:t>
      </w:r>
      <w:r w:rsidRPr="00605EA1">
        <w:rPr>
          <w:rFonts w:cs="Arial" w:hint="eastAsia"/>
          <w:sz w:val="22"/>
          <w:szCs w:val="22"/>
        </w:rPr>
        <w:t>●</w:t>
      </w:r>
      <w:r w:rsidRPr="00605EA1">
        <w:rPr>
          <w:rFonts w:cs="Arial"/>
          <w:sz w:val="22"/>
          <w:szCs w:val="22"/>
        </w:rPr>
        <w:t>]</w:t>
      </w:r>
      <w:r w:rsidR="001068B6" w:rsidRPr="001E66A9">
        <w:rPr>
          <w:rFonts w:cs="Arial"/>
          <w:sz w:val="22"/>
          <w:szCs w:val="22"/>
        </w:rPr>
        <w:t>), bem como no DOESP</w:t>
      </w:r>
      <w:r w:rsidRPr="00605EA1">
        <w:rPr>
          <w:rFonts w:cs="Arial"/>
          <w:sz w:val="22"/>
          <w:szCs w:val="22"/>
        </w:rPr>
        <w:t xml:space="preserve"> e no jornal "[</w:t>
      </w:r>
      <w:r w:rsidRPr="00605EA1">
        <w:rPr>
          <w:rFonts w:cs="Arial" w:hint="eastAsia"/>
          <w:sz w:val="22"/>
          <w:szCs w:val="22"/>
        </w:rPr>
        <w:t>●</w:t>
      </w:r>
      <w:r w:rsidRPr="00605EA1">
        <w:rPr>
          <w:rFonts w:cs="Arial"/>
          <w:sz w:val="22"/>
          <w:szCs w:val="22"/>
        </w:rPr>
        <w:t>]</w:t>
      </w:r>
      <w:r w:rsidR="001068B6" w:rsidRPr="001E66A9">
        <w:rPr>
          <w:rFonts w:cs="Arial"/>
          <w:sz w:val="22"/>
          <w:szCs w:val="22"/>
        </w:rPr>
        <w:t>", sempre imediatamente após a realização ou ocorrência do ato a ser divulgado. A Companhia poderá alterar o jornal acima por outro jornal de grande circulação e de edição nacional que seja adotado para suas publicaç</w:t>
      </w:r>
      <w:r w:rsidRPr="00605EA1">
        <w:rPr>
          <w:rFonts w:cs="Arial"/>
          <w:sz w:val="22"/>
          <w:szCs w:val="22"/>
        </w:rPr>
        <w:t>ões societárias, mediante comunicação por escrito ao Agente Fiduciário e a publicação, na forma de aviso, no jornal a ser substituído.</w:t>
      </w:r>
      <w:bookmarkEnd w:id="127"/>
    </w:p>
    <w:p w:rsidR="004C620B" w:rsidRPr="001E66A9" w:rsidRDefault="00605EA1">
      <w:pPr>
        <w:pStyle w:val="Level1"/>
        <w:keepNext w:val="0"/>
        <w:keepLines w:val="0"/>
        <w:widowControl w:val="0"/>
        <w:spacing w:before="140" w:line="276" w:lineRule="auto"/>
        <w:ind w:left="0" w:firstLine="0"/>
        <w:rPr>
          <w:smallCaps/>
        </w:rPr>
      </w:pPr>
      <w:r w:rsidRPr="00605EA1">
        <w:rPr>
          <w:smallCaps/>
        </w:rPr>
        <w:t xml:space="preserve">GARANTIAS </w:t>
      </w:r>
    </w:p>
    <w:p w:rsidR="004C620B" w:rsidRPr="001E66A9" w:rsidRDefault="00605EA1">
      <w:pPr>
        <w:pStyle w:val="Level2"/>
        <w:tabs>
          <w:tab w:val="clear" w:pos="680"/>
        </w:tabs>
        <w:spacing w:line="276" w:lineRule="auto"/>
        <w:ind w:left="0" w:firstLine="0"/>
        <w:rPr>
          <w:rFonts w:cs="Arial"/>
          <w:sz w:val="22"/>
          <w:szCs w:val="22"/>
        </w:rPr>
      </w:pPr>
      <w:bookmarkStart w:id="128" w:name="_Ref37879943"/>
      <w:bookmarkStart w:id="129" w:name="_Ref37080663"/>
      <w:r w:rsidRPr="00605EA1">
        <w:rPr>
          <w:rFonts w:cs="Arial"/>
          <w:i/>
          <w:sz w:val="22"/>
          <w:szCs w:val="22"/>
        </w:rPr>
        <w:t>Garantia Fidejussória</w:t>
      </w:r>
      <w:r w:rsidRPr="00605EA1">
        <w:rPr>
          <w:rFonts w:cs="Arial"/>
          <w:sz w:val="22"/>
          <w:szCs w:val="22"/>
        </w:rPr>
        <w:t xml:space="preserve">. As Debêntures contarão com garantia fidejussória </w:t>
      </w:r>
      <w:proofErr w:type="gramStart"/>
      <w:r w:rsidRPr="00605EA1">
        <w:rPr>
          <w:rFonts w:cs="Arial"/>
          <w:sz w:val="22"/>
          <w:szCs w:val="22"/>
        </w:rPr>
        <w:t>regida</w:t>
      </w:r>
      <w:proofErr w:type="gramEnd"/>
      <w:r w:rsidRPr="00605EA1">
        <w:rPr>
          <w:rFonts w:cs="Arial"/>
          <w:sz w:val="22"/>
          <w:szCs w:val="22"/>
        </w:rPr>
        <w:t xml:space="preserve"> pelas leis do Reino da Espanha, prestada pela Garantidora (“</w:t>
      </w:r>
      <w:r w:rsidRPr="00605EA1">
        <w:rPr>
          <w:rFonts w:cs="Arial"/>
          <w:b/>
          <w:sz w:val="22"/>
          <w:szCs w:val="22"/>
        </w:rPr>
        <w:t>Garantia Fidejussória</w:t>
      </w:r>
      <w:r w:rsidRPr="00605EA1">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605EA1">
        <w:rPr>
          <w:rFonts w:cs="Arial"/>
          <w:b/>
          <w:sz w:val="22"/>
          <w:szCs w:val="22"/>
        </w:rPr>
        <w:t>Obrigações Garantidas</w:t>
      </w:r>
      <w:r w:rsidRPr="00605EA1">
        <w:rPr>
          <w:rFonts w:cs="Arial"/>
          <w:sz w:val="22"/>
          <w:szCs w:val="22"/>
        </w:rPr>
        <w:t xml:space="preserve">”). [A Garantia Fidejussória observará os termos e disposições do contrato constante do </w:t>
      </w:r>
      <w:r w:rsidRPr="00605EA1">
        <w:rPr>
          <w:rFonts w:cs="Arial"/>
          <w:sz w:val="22"/>
          <w:szCs w:val="22"/>
          <w:u w:val="single"/>
        </w:rPr>
        <w:t>Anexo A</w:t>
      </w:r>
      <w:r w:rsidRPr="00605EA1">
        <w:rPr>
          <w:rFonts w:cs="Arial"/>
          <w:sz w:val="22"/>
          <w:szCs w:val="22"/>
        </w:rPr>
        <w:t xml:space="preserve"> </w:t>
      </w:r>
      <w:proofErr w:type="gramStart"/>
      <w:r w:rsidRPr="00605EA1">
        <w:rPr>
          <w:rFonts w:cs="Arial"/>
          <w:sz w:val="22"/>
          <w:szCs w:val="22"/>
        </w:rPr>
        <w:t>à</w:t>
      </w:r>
      <w:proofErr w:type="gramEnd"/>
      <w:r w:rsidRPr="00605EA1">
        <w:rPr>
          <w:rFonts w:cs="Arial"/>
          <w:sz w:val="22"/>
          <w:szCs w:val="22"/>
        </w:rPr>
        <w:t xml:space="preserve"> presente Escritura de Emissão (“</w:t>
      </w:r>
      <w:r w:rsidRPr="00605EA1">
        <w:rPr>
          <w:rFonts w:cs="Arial"/>
          <w:b/>
          <w:sz w:val="22"/>
          <w:szCs w:val="22"/>
        </w:rPr>
        <w:t>Contrato de Garantia Fidejussória</w:t>
      </w:r>
      <w:r w:rsidRPr="00605EA1">
        <w:rPr>
          <w:rFonts w:cs="Arial"/>
          <w:sz w:val="22"/>
          <w:szCs w:val="22"/>
        </w:rPr>
        <w:t>”), o qual será firmado simultaneamente à celebração desta Escritura de Emissão, sendo a Garantia Fidejussória, desde já, aceita pelo Agente Fiduciário.] [</w:t>
      </w:r>
      <w:r w:rsidRPr="00605EA1">
        <w:rPr>
          <w:rFonts w:cs="Arial"/>
          <w:b/>
          <w:i/>
          <w:sz w:val="22"/>
          <w:szCs w:val="22"/>
          <w:highlight w:val="yellow"/>
        </w:rPr>
        <w:t>Nota MF: Estrutura do documento a ser avaliada mediante o recebimento</w:t>
      </w:r>
      <w:r w:rsidRPr="00605EA1">
        <w:rPr>
          <w:rFonts w:cs="Arial"/>
          <w:b/>
          <w:sz w:val="22"/>
          <w:szCs w:val="22"/>
        </w:rPr>
        <w:t>.</w:t>
      </w:r>
      <w:r w:rsidRPr="00605EA1">
        <w:rPr>
          <w:rFonts w:cs="Arial"/>
          <w:sz w:val="22"/>
          <w:szCs w:val="22"/>
        </w:rPr>
        <w:t>]</w:t>
      </w:r>
      <w:bookmarkEnd w:id="128"/>
    </w:p>
    <w:p w:rsidR="004C620B" w:rsidRPr="001E66A9" w:rsidRDefault="00605EA1">
      <w:pPr>
        <w:pStyle w:val="Level2"/>
        <w:tabs>
          <w:tab w:val="clear" w:pos="680"/>
        </w:tabs>
        <w:spacing w:line="276" w:lineRule="auto"/>
        <w:ind w:left="0" w:firstLine="0"/>
        <w:rPr>
          <w:rFonts w:cs="Arial"/>
          <w:b/>
          <w:i/>
          <w:sz w:val="22"/>
          <w:szCs w:val="22"/>
        </w:rPr>
      </w:pPr>
      <w:r w:rsidRPr="00605EA1">
        <w:rPr>
          <w:rFonts w:cs="Arial"/>
          <w:i/>
          <w:sz w:val="22"/>
          <w:szCs w:val="22"/>
        </w:rPr>
        <w:t>Garantias Reais</w:t>
      </w:r>
      <w:r w:rsidRPr="00605EA1">
        <w:rPr>
          <w:rFonts w:cs="Arial"/>
          <w:sz w:val="22"/>
          <w:szCs w:val="22"/>
        </w:rPr>
        <w:t xml:space="preserve">. Serão constituídas e formalizadas as seguintes garantias reais: </w:t>
      </w:r>
      <w:bookmarkStart w:id="130" w:name="_Ref37080690"/>
      <w:bookmarkEnd w:id="129"/>
    </w:p>
    <w:p w:rsidR="004C620B" w:rsidRPr="001E66A9" w:rsidRDefault="00605EA1">
      <w:pPr>
        <w:pStyle w:val="Level3"/>
        <w:tabs>
          <w:tab w:val="clear" w:pos="1361"/>
          <w:tab w:val="num" w:pos="0"/>
        </w:tabs>
        <w:spacing w:line="276" w:lineRule="auto"/>
        <w:ind w:left="0" w:firstLine="57"/>
        <w:rPr>
          <w:b/>
          <w:i/>
          <w:sz w:val="22"/>
          <w:szCs w:val="22"/>
        </w:rPr>
      </w:pPr>
      <w:r w:rsidRPr="00605EA1">
        <w:rPr>
          <w:i/>
          <w:sz w:val="22"/>
          <w:szCs w:val="22"/>
        </w:rPr>
        <w:lastRenderedPageBreak/>
        <w:t>Cessão Fiduciária de Direitos Creditórios</w:t>
      </w:r>
      <w:r w:rsidRPr="00605EA1">
        <w:rPr>
          <w:sz w:val="22"/>
          <w:szCs w:val="22"/>
        </w:rPr>
        <w:t xml:space="preserve">: serão cedidos fiduciariamente em favor dos Debenturistas, representados pelo Agente Fiduciário, e dos Credores Existentes (i) todos os direitos creditórios principais e acessórios, presentes e futuros, decorrentes </w:t>
      </w:r>
      <w:proofErr w:type="gramStart"/>
      <w:r w:rsidRPr="00605EA1">
        <w:rPr>
          <w:sz w:val="22"/>
          <w:szCs w:val="22"/>
        </w:rPr>
        <w:t>da,</w:t>
      </w:r>
      <w:proofErr w:type="gramEnd"/>
      <w:r w:rsidRPr="00605EA1">
        <w:rPr>
          <w:sz w:val="22"/>
          <w:szCs w:val="22"/>
        </w:rPr>
        <w:t xml:space="preserve">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sidRPr="00605EA1">
        <w:rPr>
          <w:b/>
          <w:sz w:val="22"/>
          <w:szCs w:val="22"/>
        </w:rPr>
        <w:t>Recebíveis</w:t>
      </w:r>
      <w:r w:rsidRPr="00605EA1">
        <w:rPr>
          <w:sz w:val="22"/>
          <w:szCs w:val="22"/>
        </w:rPr>
        <w:t>”), (ii) todos os direitos creditórios de titularidade da Companhia decorrentes da, relacionados à e/ou emergentes da titularidade, pela Companhia, das contas cedidas por onde circularão todos os Recebíveis (“</w:t>
      </w:r>
      <w:r w:rsidRPr="00605EA1">
        <w:rPr>
          <w:b/>
          <w:sz w:val="22"/>
          <w:szCs w:val="22"/>
        </w:rPr>
        <w:t>Contas Cedidas</w:t>
      </w:r>
      <w:r w:rsidRPr="00605EA1">
        <w:rPr>
          <w:sz w:val="22"/>
          <w:szCs w:val="22"/>
        </w:rPr>
        <w:t>”), incluindo as respectivas aplicações financeiras mantidas nas e/ou vinculadas às Contas Cedidas (“</w:t>
      </w:r>
      <w:r w:rsidRPr="00605EA1">
        <w:rPr>
          <w:b/>
          <w:sz w:val="22"/>
          <w:szCs w:val="22"/>
        </w:rPr>
        <w:t>Cessão Fiduciária de Direitos Creditórios</w:t>
      </w:r>
      <w:r w:rsidRPr="00605EA1">
        <w:rPr>
          <w:sz w:val="22"/>
          <w:szCs w:val="22"/>
        </w:rPr>
        <w:t>”), nos termos do respectivo “Instrumento Particular de Cessão Fiduciária de Direitos Creditórios e Outras Avenças” celebrado, na presente data, entre a Companhia, os Credores Existentes e o Agente Fiduciário (“</w:t>
      </w:r>
      <w:r w:rsidRPr="00605EA1">
        <w:rPr>
          <w:b/>
          <w:sz w:val="22"/>
          <w:szCs w:val="22"/>
        </w:rPr>
        <w:t>Contrato de Cessão Fiduciária</w:t>
      </w:r>
      <w:r w:rsidRPr="00605EA1">
        <w:rPr>
          <w:sz w:val="22"/>
          <w:szCs w:val="22"/>
        </w:rPr>
        <w:t>”); e</w:t>
      </w:r>
      <w:bookmarkStart w:id="131" w:name="_Ref37879035"/>
      <w:bookmarkEnd w:id="130"/>
      <w:r w:rsidRPr="00605EA1">
        <w:rPr>
          <w:sz w:val="22"/>
          <w:szCs w:val="22"/>
        </w:rPr>
        <w:t xml:space="preserve"> </w:t>
      </w:r>
      <w:r w:rsidRPr="00605EA1">
        <w:rPr>
          <w:b/>
          <w:i/>
          <w:sz w:val="22"/>
          <w:szCs w:val="22"/>
          <w:highlight w:val="yellow"/>
        </w:rPr>
        <w:t>[Nota MF: Timing de constituição das garantias a ser discutido.]</w:t>
      </w:r>
    </w:p>
    <w:p w:rsidR="004C620B" w:rsidRPr="001E66A9" w:rsidRDefault="001068B6">
      <w:pPr>
        <w:pStyle w:val="Level3"/>
        <w:tabs>
          <w:tab w:val="clear" w:pos="1361"/>
          <w:tab w:val="num" w:pos="0"/>
        </w:tabs>
        <w:spacing w:line="276" w:lineRule="auto"/>
        <w:ind w:left="0" w:firstLine="57"/>
        <w:rPr>
          <w:b/>
          <w:i/>
          <w:sz w:val="22"/>
          <w:szCs w:val="22"/>
        </w:rPr>
      </w:pPr>
      <w:r w:rsidRPr="001E66A9">
        <w:rPr>
          <w:i/>
          <w:sz w:val="22"/>
          <w:szCs w:val="22"/>
        </w:rPr>
        <w:t>Alienação Fiduciária das Ações da Companhia:</w:t>
      </w:r>
      <w:r w:rsidRPr="001E66A9">
        <w:rPr>
          <w:sz w:val="22"/>
          <w:szCs w:val="22"/>
        </w:rPr>
        <w:t xml:space="preserve"> as Acionistas alienarão fiduciariamente em favor dos Debenturistas, representados pelo Agente Fiduciário, e dos Credores Existentes, a totalidade das ações, presentes e futuras, de sua titularidade detidas e que venham a ser detidas pelas Acionistas no capital social d</w:t>
      </w:r>
      <w:r w:rsidR="00605EA1" w:rsidRPr="00605EA1">
        <w:rPr>
          <w:sz w:val="22"/>
          <w:szCs w:val="22"/>
        </w:rPr>
        <w:t>a Companhia, incluindo todos os direitos e ativos relacionados a tais ações (“</w:t>
      </w:r>
      <w:r w:rsidR="00605EA1" w:rsidRPr="00605EA1">
        <w:rPr>
          <w:b/>
          <w:sz w:val="22"/>
          <w:szCs w:val="22"/>
        </w:rPr>
        <w:t>Alienação Fiduciária das Ações da Companhia</w:t>
      </w:r>
      <w:r w:rsidR="00605EA1" w:rsidRPr="00605EA1">
        <w:rPr>
          <w:sz w:val="22"/>
          <w:szCs w:val="22"/>
        </w:rPr>
        <w:t>” e, em conjunto com a Cessão Fiduciária de Direitos Creditórios, as “</w:t>
      </w:r>
      <w:r w:rsidR="00605EA1" w:rsidRPr="00605EA1">
        <w:rPr>
          <w:b/>
          <w:sz w:val="22"/>
          <w:szCs w:val="22"/>
        </w:rPr>
        <w:t>Garantias Reais</w:t>
      </w:r>
      <w:r w:rsidR="00605EA1" w:rsidRPr="00605EA1">
        <w:rPr>
          <w:sz w:val="22"/>
          <w:szCs w:val="22"/>
        </w:rPr>
        <w:t xml:space="preserve">”), nos termos do Instrumento Particular de Alienação Fiduciária de Ações e </w:t>
      </w:r>
      <w:proofErr w:type="gramStart"/>
      <w:r w:rsidR="00605EA1" w:rsidRPr="00605EA1">
        <w:rPr>
          <w:sz w:val="22"/>
          <w:szCs w:val="22"/>
        </w:rPr>
        <w:t>Outras Avenças celebrado</w:t>
      </w:r>
      <w:proofErr w:type="gramEnd"/>
      <w:r w:rsidR="00605EA1" w:rsidRPr="00605EA1">
        <w:rPr>
          <w:sz w:val="22"/>
          <w:szCs w:val="22"/>
        </w:rPr>
        <w:t xml:space="preserve"> entre as Acionistas, os Credores Existentes, o Agente Fiduciário e a Companhia, na qualidade de interveniente, na presente data (“</w:t>
      </w:r>
      <w:r w:rsidR="00605EA1" w:rsidRPr="00605EA1">
        <w:rPr>
          <w:b/>
          <w:sz w:val="22"/>
          <w:szCs w:val="22"/>
        </w:rPr>
        <w:t>Contrato de Alienação Fiduciária de Ações</w:t>
      </w:r>
      <w:r w:rsidR="00605EA1" w:rsidRPr="00605EA1">
        <w:rPr>
          <w:sz w:val="22"/>
          <w:szCs w:val="22"/>
        </w:rPr>
        <w:t>” e, em conjunto com o Contrato de Garantia Fidejussória e o Contrato de Cessão Fiduciária, os “</w:t>
      </w:r>
      <w:r w:rsidR="00605EA1" w:rsidRPr="00605EA1">
        <w:rPr>
          <w:b/>
          <w:sz w:val="22"/>
          <w:szCs w:val="22"/>
        </w:rPr>
        <w:t>Contratos de Garantia</w:t>
      </w:r>
      <w:r w:rsidR="00605EA1" w:rsidRPr="00605EA1">
        <w:rPr>
          <w:sz w:val="22"/>
          <w:szCs w:val="22"/>
        </w:rPr>
        <w:t>”).</w:t>
      </w:r>
      <w:bookmarkEnd w:id="131"/>
      <w:r w:rsidR="00605EA1" w:rsidRPr="00605EA1">
        <w:rPr>
          <w:sz w:val="22"/>
          <w:szCs w:val="22"/>
        </w:rPr>
        <w:t xml:space="preserve"> </w:t>
      </w:r>
      <w:r w:rsidR="00605EA1" w:rsidRPr="00605EA1">
        <w:rPr>
          <w:sz w:val="22"/>
          <w:szCs w:val="22"/>
          <w:highlight w:val="yellow"/>
        </w:rPr>
        <w:t>[Nota PNA: a ser discutido no contexto dos contratos de garantia</w:t>
      </w:r>
      <w:r w:rsidR="00605EA1" w:rsidRPr="00605EA1">
        <w:rPr>
          <w:sz w:val="22"/>
          <w:szCs w:val="22"/>
        </w:rPr>
        <w:t>.</w:t>
      </w:r>
      <w:proofErr w:type="gramStart"/>
      <w:r w:rsidR="00605EA1" w:rsidRPr="00605EA1">
        <w:rPr>
          <w:sz w:val="22"/>
          <w:szCs w:val="22"/>
        </w:rPr>
        <w:t>]</w:t>
      </w:r>
      <w:proofErr w:type="gramEnd"/>
    </w:p>
    <w:p w:rsidR="004C620B" w:rsidRPr="001E66A9" w:rsidRDefault="00605EA1">
      <w:pPr>
        <w:pStyle w:val="Level2"/>
        <w:numPr>
          <w:ilvl w:val="1"/>
          <w:numId w:val="87"/>
        </w:numPr>
        <w:spacing w:line="276" w:lineRule="auto"/>
        <w:ind w:left="0" w:hanging="7"/>
        <w:rPr>
          <w:rFonts w:cs="Arial"/>
          <w:sz w:val="22"/>
          <w:szCs w:val="22"/>
        </w:rPr>
      </w:pPr>
      <w:r w:rsidRPr="00605EA1">
        <w:rPr>
          <w:rFonts w:cs="Arial"/>
          <w:i/>
          <w:sz w:val="22"/>
          <w:szCs w:val="22"/>
        </w:rPr>
        <w:t>Compartilhamento das Garantias</w:t>
      </w:r>
      <w:r w:rsidRPr="00605EA1">
        <w:rPr>
          <w:rFonts w:cs="Arial"/>
          <w:sz w:val="22"/>
          <w:szCs w:val="22"/>
        </w:rPr>
        <w:t xml:space="preserve">: As Garantias Reais são outorgadas em benefício conjunto dos Credores Existentes, no âmbito das CCBs e dos Debenturistas, representados pelo Agente Fiduciário, e serão compartilhadas nos mesmos termos, </w:t>
      </w:r>
      <w:r w:rsidRPr="00605EA1">
        <w:rPr>
          <w:rFonts w:cs="Arial"/>
          <w:i/>
          <w:sz w:val="22"/>
          <w:szCs w:val="22"/>
        </w:rPr>
        <w:t>pari passu</w:t>
      </w:r>
      <w:r w:rsidRPr="00605EA1">
        <w:rPr>
          <w:rFonts w:cs="Arial"/>
          <w:sz w:val="22"/>
          <w:szCs w:val="22"/>
        </w:rPr>
        <w:t xml:space="preserve"> e em mesmo grau de senioridade, proporcionalmente </w:t>
      </w:r>
      <w:r w:rsidRPr="00605EA1">
        <w:rPr>
          <w:rFonts w:cs="Arial"/>
          <w:sz w:val="22"/>
          <w:szCs w:val="22"/>
        </w:rPr>
        <w:lastRenderedPageBreak/>
        <w:t>ao saldo devedor com os Credores Existentes e os Debenturistas, sem ordem de preferência de recebimento no caso de excussão, conforme detalhado nos Contratos de Garantia (“</w:t>
      </w:r>
      <w:r w:rsidRPr="00605EA1">
        <w:rPr>
          <w:rFonts w:cs="Arial"/>
          <w:b/>
          <w:sz w:val="22"/>
          <w:szCs w:val="22"/>
        </w:rPr>
        <w:t>Compartilhamento das Garantias Reais</w:t>
      </w:r>
      <w:r w:rsidRPr="00605EA1">
        <w:rPr>
          <w:rFonts w:cs="Arial"/>
          <w:sz w:val="22"/>
          <w:szCs w:val="22"/>
        </w:rPr>
        <w:t xml:space="preserve">”). </w:t>
      </w:r>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r w:rsidRPr="00605EA1">
        <w:rPr>
          <w:smallCaps/>
        </w:rPr>
        <w:t>OBRIGAÇÕES ADICIONAIS DA COMPANHIA</w:t>
      </w:r>
      <w:bookmarkStart w:id="132" w:name="_Ref130390982"/>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33" w:name="_Ref279333767"/>
      <w:r w:rsidRPr="00605EA1">
        <w:rPr>
          <w:rFonts w:cs="Arial"/>
          <w:sz w:val="22"/>
          <w:szCs w:val="22"/>
        </w:rPr>
        <w:t>A Companhia está adicionalmente obrigada a:</w:t>
      </w:r>
      <w:bookmarkEnd w:id="132"/>
      <w:bookmarkEnd w:id="133"/>
    </w:p>
    <w:p w:rsidR="004C620B" w:rsidRPr="001E66A9" w:rsidRDefault="00605EA1">
      <w:pPr>
        <w:pStyle w:val="Level4"/>
        <w:widowControl w:val="0"/>
        <w:tabs>
          <w:tab w:val="clear" w:pos="2041"/>
          <w:tab w:val="num" w:pos="851"/>
        </w:tabs>
        <w:spacing w:before="140" w:after="0" w:line="276" w:lineRule="auto"/>
        <w:ind w:left="851" w:firstLine="0"/>
        <w:rPr>
          <w:sz w:val="22"/>
          <w:szCs w:val="22"/>
        </w:rPr>
      </w:pPr>
      <w:bookmarkStart w:id="134" w:name="_Ref262552287"/>
      <w:bookmarkStart w:id="135" w:name="_Ref168844178"/>
      <w:proofErr w:type="gramStart"/>
      <w:r w:rsidRPr="00605EA1">
        <w:rPr>
          <w:sz w:val="22"/>
          <w:szCs w:val="22"/>
        </w:rPr>
        <w:t>disponibilizar</w:t>
      </w:r>
      <w:proofErr w:type="gramEnd"/>
      <w:r w:rsidRPr="00605EA1">
        <w:rPr>
          <w:sz w:val="22"/>
          <w:szCs w:val="22"/>
        </w:rPr>
        <w:t xml:space="preserve"> em sua página na Internet e fornecer ao Agente Fiduciário</w:t>
      </w:r>
      <w:bookmarkStart w:id="136" w:name="_Ref289720326"/>
      <w:r w:rsidRPr="00605EA1">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sidRPr="00605EA1">
        <w:rPr>
          <w:b/>
          <w:sz w:val="22"/>
          <w:szCs w:val="22"/>
        </w:rPr>
        <w:t>Demonstrações Financeiras da Companhia</w:t>
      </w:r>
      <w:bookmarkEnd w:id="134"/>
      <w:bookmarkEnd w:id="136"/>
      <w:r w:rsidRPr="00605EA1">
        <w:rPr>
          <w:sz w:val="22"/>
          <w:szCs w:val="22"/>
        </w:rPr>
        <w:t xml:space="preserve">”); </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bookmarkStart w:id="137" w:name="_Ref225332080"/>
      <w:bookmarkEnd w:id="135"/>
      <w:proofErr w:type="gramStart"/>
      <w:r w:rsidRPr="00605EA1">
        <w:rPr>
          <w:sz w:val="22"/>
          <w:szCs w:val="22"/>
        </w:rPr>
        <w:t>fornecer</w:t>
      </w:r>
      <w:proofErr w:type="gramEnd"/>
      <w:r w:rsidRPr="00605EA1">
        <w:rPr>
          <w:sz w:val="22"/>
          <w:szCs w:val="22"/>
        </w:rPr>
        <w:t xml:space="preserve"> ao Agente Fiduciário:</w:t>
      </w:r>
      <w:bookmarkEnd w:id="137"/>
    </w:p>
    <w:p w:rsidR="004C620B" w:rsidRPr="001E66A9" w:rsidRDefault="00605EA1">
      <w:pPr>
        <w:pStyle w:val="Level5"/>
        <w:widowControl w:val="0"/>
        <w:tabs>
          <w:tab w:val="clear" w:pos="2721"/>
          <w:tab w:val="num" w:pos="2041"/>
        </w:tabs>
        <w:spacing w:before="140" w:after="0" w:line="276" w:lineRule="auto"/>
        <w:ind w:left="1418" w:firstLine="0"/>
        <w:rPr>
          <w:sz w:val="22"/>
          <w:szCs w:val="22"/>
        </w:rPr>
      </w:pPr>
      <w:r w:rsidRPr="00605EA1">
        <w:rPr>
          <w:b/>
          <w:i/>
          <w:sz w:val="22"/>
          <w:szCs w:val="22"/>
          <w:highlight w:val="yellow"/>
        </w:rPr>
        <w:t>[Nota MF: Entendemos não ser aplicável.</w:t>
      </w:r>
      <w:proofErr w:type="gramStart"/>
      <w:r w:rsidRPr="00605EA1">
        <w:rPr>
          <w:b/>
          <w:i/>
          <w:sz w:val="22"/>
          <w:szCs w:val="22"/>
          <w:highlight w:val="yellow"/>
        </w:rPr>
        <w:t>]</w:t>
      </w:r>
      <w:proofErr w:type="gramEnd"/>
    </w:p>
    <w:p w:rsidR="004C620B" w:rsidRPr="001E66A9" w:rsidRDefault="00605EA1">
      <w:pPr>
        <w:pStyle w:val="Level5"/>
        <w:widowControl w:val="0"/>
        <w:tabs>
          <w:tab w:val="clear" w:pos="2721"/>
          <w:tab w:val="num" w:pos="2041"/>
        </w:tabs>
        <w:spacing w:before="140" w:after="0" w:line="276" w:lineRule="auto"/>
        <w:ind w:left="1418" w:firstLine="0"/>
        <w:rPr>
          <w:sz w:val="22"/>
          <w:szCs w:val="22"/>
        </w:rPr>
      </w:pPr>
      <w:bookmarkStart w:id="138" w:name="_Ref285571943"/>
      <w:proofErr w:type="gramStart"/>
      <w:r w:rsidRPr="00605EA1">
        <w:rPr>
          <w:sz w:val="22"/>
          <w:szCs w:val="22"/>
        </w:rPr>
        <w:t>no</w:t>
      </w:r>
      <w:proofErr w:type="gramEnd"/>
      <w:r w:rsidRPr="00605EA1">
        <w:rPr>
          <w:sz w:val="22"/>
          <w:szCs w:val="22"/>
        </w:rPr>
        <w:t xml:space="preserve"> prazo de até 5 (cinco) Dias Úteis contados da data a que se refere o inciso </w:t>
      </w:r>
      <w:fldSimple w:instr=" REF _Ref262552287 \n \p \h  \* MERGEFORMAT ">
        <w:r w:rsidRPr="00605EA1">
          <w:rPr>
            <w:sz w:val="22"/>
            <w:szCs w:val="22"/>
          </w:rPr>
          <w:t>(i) acima</w:t>
        </w:r>
      </w:fldSimple>
      <w:r w:rsidR="001068B6" w:rsidRPr="001E66A9">
        <w:rPr>
          <w:sz w:val="22"/>
          <w:szCs w:val="22"/>
        </w:rPr>
        <w:t xml:space="preserve">, declaração firmada por representantes legais da Companhia, na forma de seu estatuto social, atestando </w:t>
      </w:r>
      <w:r w:rsidRPr="00605EA1">
        <w:rPr>
          <w:sz w:val="22"/>
          <w:szCs w:val="22"/>
        </w:rPr>
        <w:t>(i) que permanecem válidas as disposições contidas nesta Escritura de Emissão; e (ii) a não ocorrência de qualquer Evento de Vencimento Antecipado e a inexistência de descumprimento de qualquer obrigação prevista nesta Escritura de Emissão;</w:t>
      </w:r>
      <w:bookmarkEnd w:id="138"/>
    </w:p>
    <w:p w:rsidR="004C620B" w:rsidRPr="001E66A9" w:rsidRDefault="00605EA1">
      <w:pPr>
        <w:pStyle w:val="Level5"/>
        <w:widowControl w:val="0"/>
        <w:tabs>
          <w:tab w:val="clear" w:pos="2721"/>
          <w:tab w:val="num" w:pos="2041"/>
        </w:tabs>
        <w:spacing w:before="140" w:after="0" w:line="276" w:lineRule="auto"/>
        <w:ind w:left="1418" w:firstLine="0"/>
        <w:rPr>
          <w:sz w:val="22"/>
          <w:szCs w:val="22"/>
        </w:rPr>
      </w:pPr>
      <w:proofErr w:type="gramStart"/>
      <w:r w:rsidRPr="00605EA1">
        <w:rPr>
          <w:sz w:val="22"/>
          <w:szCs w:val="22"/>
        </w:rPr>
        <w:t>no</w:t>
      </w:r>
      <w:proofErr w:type="gramEnd"/>
      <w:r w:rsidRPr="00605EA1">
        <w:rPr>
          <w:sz w:val="22"/>
          <w:szCs w:val="22"/>
        </w:rPr>
        <w:t xml:space="preserve">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bookmarkStart w:id="139" w:name="_Ref168844063"/>
      <w:bookmarkStart w:id="140" w:name="_Ref278277903"/>
      <w:bookmarkStart w:id="141" w:name="_Ref168844180"/>
      <w:proofErr w:type="gramStart"/>
      <w:r w:rsidRPr="00605EA1">
        <w:rPr>
          <w:sz w:val="22"/>
          <w:szCs w:val="22"/>
        </w:rPr>
        <w:t>no</w:t>
      </w:r>
      <w:proofErr w:type="gramEnd"/>
      <w:r w:rsidRPr="00605EA1">
        <w:rPr>
          <w:sz w:val="22"/>
          <w:szCs w:val="22"/>
        </w:rPr>
        <w:t xml:space="preserve"> prazo de até 2 (dois) Dias Úteis contados da data em que </w:t>
      </w:r>
      <w:r w:rsidRPr="00605EA1">
        <w:rPr>
          <w:sz w:val="22"/>
          <w:szCs w:val="22"/>
        </w:rPr>
        <w:lastRenderedPageBreak/>
        <w:t>forem realizados, avisos aos Debenturistas;</w:t>
      </w:r>
      <w:bookmarkEnd w:id="139"/>
      <w:bookmarkEnd w:id="140"/>
    </w:p>
    <w:p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proofErr w:type="gramStart"/>
      <w:r w:rsidRPr="00605EA1">
        <w:rPr>
          <w:sz w:val="22"/>
          <w:szCs w:val="22"/>
        </w:rPr>
        <w:t>no</w:t>
      </w:r>
      <w:proofErr w:type="gramEnd"/>
      <w:r w:rsidRPr="00605EA1">
        <w:rPr>
          <w:sz w:val="22"/>
          <w:szCs w:val="22"/>
        </w:rPr>
        <w:t xml:space="preserve"> prazo de até 2 (dois) Dias Úteis contados da data de ciência, pela Companhia, informações a respeito da ocorrência (i) inadimplemento, pela Companhia, de qualquer obrigação prevista nesta Escritura de Emissão; e/ou (ii) de qualquer Evento de Vencimento Antecipado. O descumprimento desta obrigação pela Companhia não impedirá o Agente Fiduciário e/ou os Debenturistas de, a seu critério, exercer seus poderes e faculdades previstos nesta Escritura de Emissão;</w:t>
      </w:r>
    </w:p>
    <w:p w:rsidR="004C620B" w:rsidRPr="001E66A9" w:rsidRDefault="00605EA1">
      <w:pPr>
        <w:pStyle w:val="Level5"/>
        <w:widowControl w:val="0"/>
        <w:tabs>
          <w:tab w:val="clear" w:pos="2721"/>
          <w:tab w:val="left" w:pos="1418"/>
          <w:tab w:val="num" w:pos="2041"/>
        </w:tabs>
        <w:spacing w:before="140" w:after="0" w:line="276" w:lineRule="auto"/>
        <w:ind w:left="1418" w:firstLine="0"/>
        <w:rPr>
          <w:sz w:val="22"/>
          <w:szCs w:val="22"/>
        </w:rPr>
      </w:pPr>
      <w:bookmarkStart w:id="142" w:name="_Ref286939940"/>
      <w:proofErr w:type="gramStart"/>
      <w:r w:rsidRPr="00605EA1">
        <w:rPr>
          <w:sz w:val="22"/>
          <w:szCs w:val="22"/>
        </w:rPr>
        <w:t>no</w:t>
      </w:r>
      <w:proofErr w:type="gramEnd"/>
      <w:r w:rsidRPr="00605EA1">
        <w:rPr>
          <w:sz w:val="22"/>
          <w:szCs w:val="22"/>
        </w:rPr>
        <w:t xml:space="preserve"> prazo de até 2 (dois) Dias Úteis contados da data de ciência, pela Companhia, informações a respeito da ocorrência de qualquer evento ou situação que possa causar um Efeito Adverso Relevante;</w:t>
      </w:r>
      <w:bookmarkEnd w:id="142"/>
    </w:p>
    <w:p w:rsidR="001E66A9" w:rsidRPr="001E66A9" w:rsidRDefault="00605EA1" w:rsidP="008C3793">
      <w:pPr>
        <w:pStyle w:val="Level5"/>
        <w:widowControl w:val="0"/>
        <w:tabs>
          <w:tab w:val="clear" w:pos="2721"/>
          <w:tab w:val="left" w:pos="1418"/>
          <w:tab w:val="num" w:pos="2041"/>
        </w:tabs>
        <w:spacing w:before="140" w:after="0" w:line="276" w:lineRule="auto"/>
        <w:ind w:left="1418" w:firstLine="0"/>
        <w:rPr>
          <w:sz w:val="22"/>
          <w:szCs w:val="22"/>
        </w:rPr>
      </w:pPr>
      <w:bookmarkStart w:id="143" w:name="_Ref168844067"/>
      <w:proofErr w:type="gramStart"/>
      <w:r w:rsidRPr="00605EA1">
        <w:rPr>
          <w:szCs w:val="22"/>
        </w:rPr>
        <w:t>no</w:t>
      </w:r>
      <w:proofErr w:type="gramEnd"/>
      <w:r w:rsidRPr="00605EA1">
        <w:rPr>
          <w:szCs w:val="22"/>
        </w:rPr>
        <w:t xml:space="preserve">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sidRPr="00605EA1">
        <w:rPr>
          <w:sz w:val="22"/>
          <w:szCs w:val="22"/>
        </w:rPr>
        <w:t xml:space="preserve">atórias relacionadas ao Projeto ou a Companhia; </w:t>
      </w:r>
    </w:p>
    <w:p w:rsidR="004C620B" w:rsidRPr="001E66A9" w:rsidRDefault="001068B6" w:rsidP="008C3793">
      <w:pPr>
        <w:pStyle w:val="Level5"/>
        <w:widowControl w:val="0"/>
        <w:tabs>
          <w:tab w:val="clear" w:pos="2721"/>
          <w:tab w:val="left" w:pos="1418"/>
          <w:tab w:val="num" w:pos="2041"/>
        </w:tabs>
        <w:spacing w:before="140" w:after="0" w:line="276" w:lineRule="auto"/>
        <w:ind w:left="1418" w:firstLine="0"/>
        <w:rPr>
          <w:sz w:val="22"/>
          <w:szCs w:val="22"/>
        </w:rPr>
      </w:pPr>
      <w:proofErr w:type="gramStart"/>
      <w:r w:rsidRPr="001E66A9">
        <w:rPr>
          <w:sz w:val="22"/>
          <w:szCs w:val="22"/>
        </w:rPr>
        <w:t>no</w:t>
      </w:r>
      <w:proofErr w:type="gramEnd"/>
      <w:r w:rsidRPr="001E66A9">
        <w:rPr>
          <w:sz w:val="22"/>
          <w:szCs w:val="22"/>
        </w:rPr>
        <w:t xml:space="preserve"> prazo de até 10 (dez) Dias Úteis contados da data de recebimento da respectiva</w:t>
      </w:r>
      <w:r w:rsidR="00605EA1" w:rsidRPr="00605EA1">
        <w:rPr>
          <w:sz w:val="22"/>
          <w:szCs w:val="22"/>
        </w:rPr>
        <w:t xml:space="preserve"> solicitação, informações e/ou documentos que venham a ser solicitados por escrito pelo Agente Fiduciário, a fim de que o Agente Fiduciário possa cumprir as suas obrigações nos termos desta Escritura de Emissão e da </w:t>
      </w:r>
      <w:r w:rsidR="00605EA1" w:rsidRPr="00605EA1">
        <w:rPr>
          <w:w w:val="0"/>
          <w:sz w:val="22"/>
          <w:szCs w:val="22"/>
        </w:rPr>
        <w:t>Instrução CVM 583, ressalvadas eventuais restrições para obtenção da documentação solicitada</w:t>
      </w:r>
      <w:r w:rsidR="001E66A9">
        <w:rPr>
          <w:w w:val="0"/>
          <w:sz w:val="22"/>
          <w:szCs w:val="22"/>
        </w:rPr>
        <w:t xml:space="preserve"> </w:t>
      </w:r>
      <w:r w:rsidR="002D4E65" w:rsidRPr="001E66A9">
        <w:rPr>
          <w:w w:val="0"/>
          <w:sz w:val="22"/>
          <w:szCs w:val="22"/>
        </w:rPr>
        <w:t>em decorrência da pandemia do COVID-19</w:t>
      </w:r>
      <w:r w:rsidR="00605EA1" w:rsidRPr="00605EA1">
        <w:rPr>
          <w:sz w:val="22"/>
          <w:szCs w:val="22"/>
        </w:rPr>
        <w:t>;</w:t>
      </w:r>
      <w:bookmarkEnd w:id="143"/>
    </w:p>
    <w:p w:rsidR="004C620B" w:rsidRPr="001E66A9" w:rsidRDefault="00605EA1">
      <w:pPr>
        <w:pStyle w:val="Level5"/>
        <w:widowControl w:val="0"/>
        <w:tabs>
          <w:tab w:val="clear" w:pos="2721"/>
          <w:tab w:val="num" w:pos="2041"/>
        </w:tabs>
        <w:spacing w:before="140" w:after="0" w:line="276" w:lineRule="auto"/>
        <w:ind w:left="1418" w:firstLine="0"/>
        <w:rPr>
          <w:sz w:val="22"/>
          <w:szCs w:val="22"/>
        </w:rPr>
      </w:pPr>
      <w:proofErr w:type="gramStart"/>
      <w:r w:rsidRPr="00605EA1">
        <w:rPr>
          <w:sz w:val="22"/>
          <w:szCs w:val="22"/>
        </w:rPr>
        <w:t>observados</w:t>
      </w:r>
      <w:proofErr w:type="gramEnd"/>
      <w:r w:rsidRPr="00605EA1">
        <w:rPr>
          <w:sz w:val="22"/>
          <w:szCs w:val="22"/>
        </w:rPr>
        <w:t xml:space="preserve"> os termos previstos na Medida Provisória 931, cópia eletrônica (PDF) do protocolo para arquivamento desta Escritura de Emissão ou do respectivo aditamento a esta Escritura de Emissão perante a JUCE</w:t>
      </w:r>
      <w:r w:rsidR="001068B6" w:rsidRPr="001E66A9">
        <w:rPr>
          <w:sz w:val="22"/>
          <w:szCs w:val="22"/>
        </w:rPr>
        <w:t>SP;</w:t>
      </w:r>
    </w:p>
    <w:p w:rsidR="004C620B" w:rsidRPr="001E66A9" w:rsidRDefault="001068B6">
      <w:pPr>
        <w:pStyle w:val="Level5"/>
        <w:widowControl w:val="0"/>
        <w:tabs>
          <w:tab w:val="clear" w:pos="2721"/>
          <w:tab w:val="num" w:pos="2041"/>
        </w:tabs>
        <w:spacing w:before="140" w:after="0" w:line="276" w:lineRule="auto"/>
        <w:ind w:left="1418" w:firstLine="0"/>
        <w:rPr>
          <w:sz w:val="22"/>
          <w:szCs w:val="22"/>
        </w:rPr>
      </w:pPr>
      <w:proofErr w:type="gramStart"/>
      <w:r w:rsidRPr="001E66A9">
        <w:rPr>
          <w:sz w:val="22"/>
          <w:szCs w:val="22"/>
        </w:rPr>
        <w:t>observados</w:t>
      </w:r>
      <w:proofErr w:type="gramEnd"/>
      <w:r w:rsidRPr="001E66A9">
        <w:rPr>
          <w:sz w:val="22"/>
          <w:szCs w:val="22"/>
        </w:rPr>
        <w:t xml:space="preserve"> os termos previstos na Medida Provisória 931, (i) uma via original desta Escritura de Emissão ou do respectivo aditamento a esta Escritura de Emissão inscrita(o) na JUCESP; ou </w:t>
      </w:r>
      <w:r w:rsidRPr="001E66A9">
        <w:rPr>
          <w:sz w:val="22"/>
          <w:szCs w:val="22"/>
        </w:rPr>
        <w:lastRenderedPageBreak/>
        <w:t>(ii) caso aplicável</w:t>
      </w:r>
      <w:r w:rsidR="00605EA1" w:rsidRPr="00605EA1">
        <w:rPr>
          <w:sz w:val="22"/>
          <w:szCs w:val="22"/>
        </w:rPr>
        <w:t>, uma cópia eletrônica (formato PDF) desta Escritura de Emissão ou do respectivo aditamento a esta Escritura de Emissão contendo a chancela digital de inscrição na JUCE</w:t>
      </w:r>
      <w:r w:rsidRPr="001E66A9">
        <w:rPr>
          <w:sz w:val="22"/>
          <w:szCs w:val="22"/>
        </w:rPr>
        <w:t>SP;</w:t>
      </w:r>
    </w:p>
    <w:p w:rsidR="004C620B" w:rsidRPr="001E66A9" w:rsidRDefault="001068B6">
      <w:pPr>
        <w:pStyle w:val="Level5"/>
        <w:widowControl w:val="0"/>
        <w:tabs>
          <w:tab w:val="clear" w:pos="2721"/>
          <w:tab w:val="num" w:pos="2041"/>
        </w:tabs>
        <w:spacing w:before="140" w:after="0" w:line="276" w:lineRule="auto"/>
        <w:ind w:left="1418" w:firstLine="0"/>
        <w:rPr>
          <w:sz w:val="22"/>
          <w:szCs w:val="22"/>
        </w:rPr>
      </w:pPr>
      <w:proofErr w:type="gramStart"/>
      <w:r w:rsidRPr="001E66A9">
        <w:rPr>
          <w:sz w:val="22"/>
          <w:szCs w:val="22"/>
        </w:rPr>
        <w:t>observados</w:t>
      </w:r>
      <w:proofErr w:type="gramEnd"/>
      <w:r w:rsidRPr="001E66A9">
        <w:rPr>
          <w:sz w:val="22"/>
          <w:szCs w:val="22"/>
        </w:rPr>
        <w:t xml:space="preserve"> os termos previstos na Medida Provisória 931, (i) uma via original da res</w:t>
      </w:r>
      <w:r w:rsidR="00605EA1" w:rsidRPr="00605EA1">
        <w:rPr>
          <w:sz w:val="22"/>
          <w:szCs w:val="22"/>
        </w:rPr>
        <w:t>pectiva ata de assembleia geral de Debenturistas arquivada na JUCE</w:t>
      </w:r>
      <w:r w:rsidRPr="001E66A9">
        <w:rPr>
          <w:sz w:val="22"/>
          <w:szCs w:val="22"/>
        </w:rPr>
        <w:t xml:space="preserve">SP; ou (ii) caso aplicável, cópia eletrônica (formato PDF) da respectiva ata de assembleia geral de Debenturistas contendo a chancela digital de arquivamento na </w:t>
      </w:r>
      <w:r w:rsidR="00605EA1" w:rsidRPr="00605EA1">
        <w:rPr>
          <w:sz w:val="22"/>
          <w:szCs w:val="22"/>
        </w:rPr>
        <w:t>JUCE</w:t>
      </w:r>
      <w:r w:rsidRPr="001E66A9">
        <w:rPr>
          <w:sz w:val="22"/>
          <w:szCs w:val="22"/>
        </w:rPr>
        <w:t>SP; e</w:t>
      </w:r>
    </w:p>
    <w:p w:rsidR="004C620B" w:rsidRPr="001E66A9" w:rsidRDefault="001068B6">
      <w:pPr>
        <w:pStyle w:val="Level5"/>
        <w:widowControl w:val="0"/>
        <w:tabs>
          <w:tab w:val="clear" w:pos="2721"/>
          <w:tab w:val="num" w:pos="2041"/>
        </w:tabs>
        <w:spacing w:before="140" w:after="0" w:line="276" w:lineRule="auto"/>
        <w:ind w:left="1418" w:firstLine="0"/>
        <w:rPr>
          <w:sz w:val="22"/>
          <w:szCs w:val="22"/>
        </w:rPr>
      </w:pPr>
      <w:proofErr w:type="gramStart"/>
      <w:r w:rsidRPr="001E66A9">
        <w:rPr>
          <w:sz w:val="22"/>
          <w:szCs w:val="22"/>
        </w:rPr>
        <w:t>no</w:t>
      </w:r>
      <w:proofErr w:type="gramEnd"/>
      <w:r w:rsidRPr="001E66A9">
        <w:rPr>
          <w:sz w:val="22"/>
          <w:szCs w:val="22"/>
        </w:rPr>
        <w:t xml:space="preserve"> prazo de até 10 (dez) Dias Úteis contados da data de destinação dos recursos líquidos obtidos com a Emissão, declaração firmada por representantes legais da Companhia acerca da destinação dos recursos líquidos obtidos com a Emissão nos termos da Cláusula </w:t>
      </w:r>
      <w:fldSimple w:instr=" REF _Ref368578037 \n \p \h  \* MERGEFORMAT ">
        <w:r w:rsidR="00605EA1" w:rsidRPr="00605EA1">
          <w:rPr>
            <w:sz w:val="22"/>
            <w:szCs w:val="22"/>
          </w:rPr>
          <w:t>5 acima</w:t>
        </w:r>
      </w:fldSimple>
      <w:r w:rsidRPr="001E66A9">
        <w:rPr>
          <w:sz w:val="22"/>
          <w:szCs w:val="22"/>
        </w:rPr>
        <w:t>;</w:t>
      </w:r>
    </w:p>
    <w:p w:rsidR="004C620B" w:rsidRPr="001E66A9" w:rsidRDefault="001068B6">
      <w:pPr>
        <w:pStyle w:val="Level4"/>
        <w:widowControl w:val="0"/>
        <w:tabs>
          <w:tab w:val="clear" w:pos="2041"/>
          <w:tab w:val="num" w:pos="1701"/>
        </w:tabs>
        <w:spacing w:before="140" w:after="0" w:line="276" w:lineRule="auto"/>
        <w:ind w:left="851" w:firstLine="0"/>
        <w:rPr>
          <w:sz w:val="22"/>
          <w:szCs w:val="22"/>
        </w:rPr>
      </w:pPr>
      <w:proofErr w:type="gramStart"/>
      <w:r w:rsidRPr="001E66A9">
        <w:rPr>
          <w:sz w:val="22"/>
          <w:szCs w:val="22"/>
        </w:rPr>
        <w:t>preparar</w:t>
      </w:r>
      <w:proofErr w:type="gramEnd"/>
      <w:r w:rsidRPr="001E66A9">
        <w:rPr>
          <w:sz w:val="22"/>
          <w:szCs w:val="22"/>
        </w:rPr>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manter</w:t>
      </w:r>
      <w:proofErr w:type="gramEnd"/>
      <w:r w:rsidRPr="00605EA1">
        <w:rPr>
          <w:sz w:val="22"/>
          <w:szCs w:val="22"/>
        </w:rPr>
        <w:t xml:space="preserve"> a sua contabilidade atualizada e efetuar os respectivos registros de acordo com as práticas contábeis adotadas na República Federativa do Brasil;</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bookmarkStart w:id="144" w:name="_Ref168844102"/>
      <w:bookmarkEnd w:id="141"/>
      <w:proofErr w:type="gramStart"/>
      <w:r w:rsidRPr="00605EA1">
        <w:rPr>
          <w:sz w:val="22"/>
          <w:szCs w:val="22"/>
        </w:rPr>
        <w:t>convocar</w:t>
      </w:r>
      <w:proofErr w:type="gramEnd"/>
      <w:r w:rsidRPr="00605EA1">
        <w:rPr>
          <w:sz w:val="22"/>
          <w:szCs w:val="22"/>
        </w:rPr>
        <w:t>,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44"/>
      <w:r w:rsidRPr="00605EA1">
        <w:rPr>
          <w:sz w:val="22"/>
          <w:szCs w:val="22"/>
        </w:rPr>
        <w:t>;</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notificar</w:t>
      </w:r>
      <w:proofErr w:type="gramEnd"/>
      <w:r w:rsidRPr="00605EA1">
        <w:rPr>
          <w:sz w:val="22"/>
          <w:szCs w:val="22"/>
        </w:rPr>
        <w:t>, na mesma data, o Agente Fiduciário sobre a convocação, pela Companhia, de qualquer Assembleia Geral de Debenturistas;</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comparecer</w:t>
      </w:r>
      <w:proofErr w:type="gramEnd"/>
      <w:r w:rsidRPr="00605EA1">
        <w:rPr>
          <w:sz w:val="22"/>
          <w:szCs w:val="22"/>
        </w:rPr>
        <w:t>, por meio de seus representantes, às assembleias gerais de Debenturistas, sempre que solicitada;</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comunicar</w:t>
      </w:r>
      <w:proofErr w:type="gramEnd"/>
      <w:r w:rsidRPr="00605EA1">
        <w:rPr>
          <w:sz w:val="22"/>
          <w:szCs w:val="22"/>
        </w:rPr>
        <w:t>,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b/>
          <w:i/>
          <w:sz w:val="22"/>
          <w:szCs w:val="22"/>
        </w:rPr>
        <w:t xml:space="preserve"> </w:t>
      </w:r>
      <w:proofErr w:type="gramStart"/>
      <w:r w:rsidRPr="00605EA1">
        <w:rPr>
          <w:sz w:val="22"/>
          <w:szCs w:val="22"/>
        </w:rPr>
        <w:t>executar</w:t>
      </w:r>
      <w:proofErr w:type="gramEnd"/>
      <w:r w:rsidRPr="00605EA1">
        <w:rPr>
          <w:sz w:val="22"/>
          <w:szCs w:val="22"/>
        </w:rPr>
        <w:t xml:space="preserve"> física e financeiramente a construção prevista nos termos do cronograma do Contrato de Concessão, conforme venha a ser alterado de tempos em tempos, observado o disposto na Cláusula 9.2;</w:t>
      </w:r>
    </w:p>
    <w:p w:rsidR="004C620B" w:rsidRPr="001E66A9" w:rsidRDefault="00605EA1" w:rsidP="008C3793">
      <w:pPr>
        <w:pStyle w:val="Level4"/>
        <w:widowControl w:val="0"/>
        <w:tabs>
          <w:tab w:val="clear" w:pos="2041"/>
          <w:tab w:val="num" w:pos="1701"/>
        </w:tabs>
        <w:spacing w:before="140" w:after="0" w:line="276" w:lineRule="auto"/>
        <w:ind w:left="851" w:firstLine="0"/>
        <w:rPr>
          <w:b/>
          <w:i/>
          <w:sz w:val="22"/>
          <w:szCs w:val="22"/>
          <w:highlight w:val="yellow"/>
        </w:rPr>
      </w:pPr>
      <w:proofErr w:type="gramStart"/>
      <w:r w:rsidRPr="00605EA1">
        <w:rPr>
          <w:szCs w:val="22"/>
        </w:rPr>
        <w:t>cumprir</w:t>
      </w:r>
      <w:proofErr w:type="gramEnd"/>
      <w:r w:rsidRPr="00605EA1">
        <w:rPr>
          <w:szCs w:val="22"/>
        </w:rPr>
        <w:t xml:space="preserve"> com todas as obrigações estabelecidas no Contrato de Concessão cujo o descumprimento possa dar ensejo a caducidade do Contrato de Concessão, observados prazos de cura em tal contrato estabelecidos</w:t>
      </w:r>
      <w:r w:rsidRPr="00605EA1">
        <w:rPr>
          <w:sz w:val="22"/>
          <w:szCs w:val="22"/>
        </w:rPr>
        <w:t>;</w:t>
      </w:r>
      <w:r w:rsidR="001E66A9">
        <w:rPr>
          <w:sz w:val="22"/>
          <w:szCs w:val="22"/>
        </w:rPr>
        <w:t xml:space="preserve"> </w:t>
      </w:r>
      <w:r w:rsidRPr="00605EA1">
        <w:rPr>
          <w:b/>
          <w:i/>
          <w:szCs w:val="22"/>
          <w:highlight w:val="yellow"/>
        </w:rPr>
        <w:t>[Nota MF: Cláusula pendente de validação pelo PN e BNP.]</w:t>
      </w:r>
      <w:r w:rsidRPr="00605EA1">
        <w:rPr>
          <w:b/>
          <w:i/>
          <w:sz w:val="22"/>
          <w:szCs w:val="22"/>
        </w:rPr>
        <w:t xml:space="preserve"> </w:t>
      </w:r>
      <w:r w:rsidR="001068B6" w:rsidRPr="001E66A9">
        <w:rPr>
          <w:sz w:val="22"/>
          <w:szCs w:val="22"/>
        </w:rPr>
        <w:t xml:space="preserve">não rescindir o Contrato de Concessão; </w:t>
      </w:r>
    </w:p>
    <w:p w:rsidR="004C620B" w:rsidRPr="001E66A9" w:rsidRDefault="001068B6">
      <w:pPr>
        <w:pStyle w:val="Level4"/>
        <w:widowControl w:val="0"/>
        <w:tabs>
          <w:tab w:val="clear" w:pos="2041"/>
          <w:tab w:val="num" w:pos="1701"/>
        </w:tabs>
        <w:spacing w:before="140" w:after="0" w:line="276" w:lineRule="auto"/>
        <w:ind w:left="851" w:firstLine="0"/>
        <w:rPr>
          <w:sz w:val="22"/>
          <w:szCs w:val="22"/>
        </w:rPr>
      </w:pPr>
      <w:proofErr w:type="gramStart"/>
      <w:r w:rsidRPr="001E66A9">
        <w:rPr>
          <w:sz w:val="22"/>
          <w:szCs w:val="22"/>
        </w:rPr>
        <w:t>manter</w:t>
      </w:r>
      <w:proofErr w:type="gramEnd"/>
      <w:r w:rsidRPr="001E66A9">
        <w:rPr>
          <w:sz w:val="22"/>
          <w:szCs w:val="22"/>
        </w:rPr>
        <w:t xml:space="preserve"> seguro adequado para seus bens e ativos relevantes, conforme práticas correntes de mercado nos termos do Contrato de Concessão;</w:t>
      </w:r>
    </w:p>
    <w:p w:rsidR="004C620B" w:rsidRPr="001E66A9" w:rsidRDefault="001068B6">
      <w:pPr>
        <w:pStyle w:val="Level4"/>
        <w:widowControl w:val="0"/>
        <w:tabs>
          <w:tab w:val="clear" w:pos="2041"/>
          <w:tab w:val="num" w:pos="1701"/>
        </w:tabs>
        <w:spacing w:before="140" w:after="0" w:line="276" w:lineRule="auto"/>
        <w:ind w:left="851" w:firstLine="0"/>
        <w:rPr>
          <w:sz w:val="22"/>
          <w:szCs w:val="22"/>
        </w:rPr>
      </w:pPr>
      <w:proofErr w:type="gramStart"/>
      <w:r w:rsidRPr="001E66A9">
        <w:rPr>
          <w:sz w:val="22"/>
          <w:szCs w:val="22"/>
        </w:rPr>
        <w:t>cumprir</w:t>
      </w:r>
      <w:proofErr w:type="gramEnd"/>
      <w:r w:rsidRPr="001E66A9">
        <w:rPr>
          <w:sz w:val="22"/>
          <w:szCs w:val="22"/>
        </w:rPr>
        <w:t xml:space="preserve"> com todas as determinações emanadas da B3 e/ou da CVM, com o envio de documentos, prestando, ainda, as informações que lhes forem solicitadas pela CVM e/ou pela B3;</w:t>
      </w:r>
    </w:p>
    <w:p w:rsidR="004C620B" w:rsidRPr="001E66A9" w:rsidRDefault="001068B6">
      <w:pPr>
        <w:pStyle w:val="Level4"/>
        <w:widowControl w:val="0"/>
        <w:tabs>
          <w:tab w:val="clear" w:pos="2041"/>
          <w:tab w:val="num" w:pos="1701"/>
        </w:tabs>
        <w:spacing w:before="140" w:after="0" w:line="276" w:lineRule="auto"/>
        <w:ind w:left="851" w:firstLine="0"/>
        <w:rPr>
          <w:sz w:val="22"/>
          <w:szCs w:val="22"/>
        </w:rPr>
      </w:pPr>
      <w:proofErr w:type="gramStart"/>
      <w:r w:rsidRPr="001E66A9">
        <w:rPr>
          <w:sz w:val="22"/>
          <w:szCs w:val="22"/>
        </w:rPr>
        <w:t>não</w:t>
      </w:r>
      <w:proofErr w:type="gramEnd"/>
      <w:r w:rsidRPr="001E66A9">
        <w:rPr>
          <w:sz w:val="22"/>
          <w:szCs w:val="22"/>
        </w:rPr>
        <w:t xml:space="preserve"> realizar operações fora de seu objeto social e não praticar qualquer ato em desacordo com seu estatuto social e/ou com esta Escritura de Emissão e/ou com os Contratos de Garantia;</w:t>
      </w:r>
    </w:p>
    <w:p w:rsidR="004C620B" w:rsidRPr="001E66A9" w:rsidRDefault="001068B6">
      <w:pPr>
        <w:pStyle w:val="Level4"/>
        <w:widowControl w:val="0"/>
        <w:tabs>
          <w:tab w:val="clear" w:pos="2041"/>
          <w:tab w:val="num" w:pos="1701"/>
        </w:tabs>
        <w:spacing w:before="140" w:after="0" w:line="276" w:lineRule="auto"/>
        <w:ind w:left="851" w:firstLine="0"/>
        <w:rPr>
          <w:sz w:val="22"/>
          <w:szCs w:val="22"/>
        </w:rPr>
      </w:pPr>
      <w:proofErr w:type="gramStart"/>
      <w:r w:rsidRPr="001E66A9">
        <w:rPr>
          <w:sz w:val="22"/>
          <w:szCs w:val="22"/>
        </w:rPr>
        <w:t>obter</w:t>
      </w:r>
      <w:proofErr w:type="gramEnd"/>
      <w:r w:rsidRPr="001E66A9">
        <w:rPr>
          <w:sz w:val="22"/>
          <w:szCs w:val="22"/>
        </w:rPr>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recolher</w:t>
      </w:r>
      <w:proofErr w:type="gramEnd"/>
      <w:r w:rsidRPr="00605EA1">
        <w:rPr>
          <w:sz w:val="22"/>
          <w:szCs w:val="22"/>
        </w:rPr>
        <w:t>, tempestivamente, quaisquer tributos ou contribuições que incidam ou venham a incidir sobre as Debêntures e que sejam atribuídos à Companhia;</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manter</w:t>
      </w:r>
      <w:proofErr w:type="gramEnd"/>
      <w:r w:rsidRPr="00605EA1">
        <w:rPr>
          <w:sz w:val="22"/>
          <w:szCs w:val="22"/>
        </w:rPr>
        <w:t xml:space="preserve">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contratar</w:t>
      </w:r>
      <w:proofErr w:type="gramEnd"/>
      <w:r w:rsidRPr="00605EA1">
        <w:rPr>
          <w:sz w:val="22"/>
          <w:szCs w:val="22"/>
        </w:rPr>
        <w:t xml:space="preserve">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arcar</w:t>
      </w:r>
      <w:proofErr w:type="gramEnd"/>
      <w:r w:rsidRPr="00605EA1">
        <w:rPr>
          <w:sz w:val="22"/>
          <w:szCs w:val="22"/>
        </w:rPr>
        <w:t xml:space="preserve">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guardar</w:t>
      </w:r>
      <w:proofErr w:type="gramEnd"/>
      <w:r w:rsidRPr="00605EA1">
        <w:rPr>
          <w:sz w:val="22"/>
          <w:szCs w:val="22"/>
        </w:rPr>
        <w:t xml:space="preserve">, pelo prazo de 5 (cinco) anos contados da presente data, toda a documentação relativa à Emissão; </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manter</w:t>
      </w:r>
      <w:proofErr w:type="gramEnd"/>
      <w:r w:rsidRPr="00605EA1">
        <w:rPr>
          <w:sz w:val="22"/>
          <w:szCs w:val="22"/>
        </w:rPr>
        <w:t xml:space="preserve"> as Debêntures depositadas para negociação por meio do CETIP21 durante todo o prazo de vigência das Debêntures e efetuar pontualmente o pagamento dos serviços relacionados ao depósito das Debêntures na B3;</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bookmarkStart w:id="145" w:name="_Ref168844096"/>
      <w:proofErr w:type="gramStart"/>
      <w:r w:rsidRPr="00605EA1">
        <w:rPr>
          <w:sz w:val="22"/>
          <w:szCs w:val="22"/>
        </w:rPr>
        <w:t>realizar</w:t>
      </w:r>
      <w:proofErr w:type="gramEnd"/>
      <w:r w:rsidRPr="00605EA1">
        <w:rPr>
          <w:sz w:val="22"/>
          <w:szCs w:val="22"/>
        </w:rPr>
        <w:t xml:space="preserve"> (a) o pagamento da remuneração do Agente Fiduciário, nos termos da Cláusula </w:t>
      </w:r>
      <w:fldSimple w:instr=" REF _Ref130284025 \n \p \h  \* MERGEFORMAT ">
        <w:r w:rsidRPr="00605EA1">
          <w:rPr>
            <w:sz w:val="22"/>
            <w:szCs w:val="22"/>
          </w:rPr>
          <w:t>10.4 abaixo</w:t>
        </w:r>
      </w:fldSimple>
      <w:r w:rsidR="001068B6" w:rsidRPr="001E66A9">
        <w:rPr>
          <w:sz w:val="22"/>
          <w:szCs w:val="22"/>
        </w:rPr>
        <w:t>, inciso </w:t>
      </w:r>
      <w:fldSimple w:instr=" REF _Ref264564354 \n \h  \* MERGEFORMAT ">
        <w:r w:rsidRPr="00605EA1">
          <w:rPr>
            <w:sz w:val="22"/>
            <w:szCs w:val="22"/>
          </w:rPr>
          <w:t>(i)</w:t>
        </w:r>
      </w:fldSimple>
      <w:r w:rsidR="001068B6" w:rsidRPr="001E66A9">
        <w:rPr>
          <w:sz w:val="22"/>
          <w:szCs w:val="22"/>
        </w:rPr>
        <w:t>; e (b) desde que assim solicitado pelo Agente Fiduciário, o pagamento das despesas devidamente comprovadas incorridas pelo Agente Fiduciário, nos termos da Cláusula </w:t>
      </w:r>
      <w:fldSimple w:instr=" REF _Ref130284025 \n \p \h  \* MERGEFORMAT ">
        <w:r w:rsidRPr="00605EA1">
          <w:rPr>
            <w:sz w:val="22"/>
            <w:szCs w:val="22"/>
          </w:rPr>
          <w:t>10.4 abaixo</w:t>
        </w:r>
      </w:fldSimple>
      <w:r w:rsidR="001068B6" w:rsidRPr="001E66A9">
        <w:rPr>
          <w:sz w:val="22"/>
          <w:szCs w:val="22"/>
        </w:rPr>
        <w:t>, incisos (ii) e (iii);</w:t>
      </w:r>
      <w:bookmarkEnd w:id="145"/>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cumprir</w:t>
      </w:r>
      <w:proofErr w:type="gramEnd"/>
      <w:r w:rsidRPr="00605EA1">
        <w:rPr>
          <w:sz w:val="22"/>
          <w:szCs w:val="22"/>
        </w:rPr>
        <w:t xml:space="preserve">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w:t>
      </w:r>
      <w:proofErr w:type="gramStart"/>
      <w:r w:rsidRPr="00605EA1">
        <w:rPr>
          <w:sz w:val="22"/>
          <w:szCs w:val="22"/>
        </w:rPr>
        <w:t>e federais que, subsidiariamente, venham a legislar ou regulamentar</w:t>
      </w:r>
      <w:proofErr w:type="gramEnd"/>
      <w:r w:rsidRPr="00605EA1">
        <w:rPr>
          <w:sz w:val="22"/>
          <w:szCs w:val="22"/>
        </w:rPr>
        <w:t xml:space="preserve"> as normas ambientais e trabalhistas em vigor; </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cumprir</w:t>
      </w:r>
      <w:proofErr w:type="gramEnd"/>
      <w:r w:rsidRPr="00605EA1">
        <w:rPr>
          <w:sz w:val="22"/>
          <w:szCs w:val="22"/>
        </w:rPr>
        <w:t xml:space="preserve"> as leis e regulamentos contra prática de corrupção ou atos lesivos à administração pública, incluindo, mas sem limitação, a Legislação Anticorrupção;</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proofErr w:type="gramStart"/>
      <w:r w:rsidRPr="00605EA1">
        <w:rPr>
          <w:sz w:val="22"/>
          <w:szCs w:val="22"/>
        </w:rPr>
        <w:t>orientar</w:t>
      </w:r>
      <w:proofErr w:type="gramEnd"/>
      <w:r w:rsidRPr="00605EA1">
        <w:rPr>
          <w:sz w:val="22"/>
          <w:szCs w:val="22"/>
        </w:rPr>
        <w:t xml:space="preserve">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4C620B" w:rsidRPr="001E66A9" w:rsidRDefault="00605EA1">
      <w:pPr>
        <w:pStyle w:val="Level4"/>
        <w:widowControl w:val="0"/>
        <w:tabs>
          <w:tab w:val="clear" w:pos="2041"/>
          <w:tab w:val="num" w:pos="1701"/>
        </w:tabs>
        <w:spacing w:before="140" w:after="0" w:line="276" w:lineRule="auto"/>
        <w:ind w:left="851" w:firstLine="0"/>
        <w:rPr>
          <w:sz w:val="22"/>
          <w:szCs w:val="22"/>
        </w:rPr>
      </w:pPr>
      <w:r w:rsidRPr="00605EA1">
        <w:rPr>
          <w:sz w:val="22"/>
          <w:szCs w:val="22"/>
        </w:rPr>
        <w:t xml:space="preserve"> </w:t>
      </w:r>
      <w:proofErr w:type="gramStart"/>
      <w:r w:rsidRPr="00605EA1">
        <w:rPr>
          <w:sz w:val="22"/>
          <w:szCs w:val="22"/>
        </w:rPr>
        <w:t>não</w:t>
      </w:r>
      <w:proofErr w:type="gramEnd"/>
      <w:r w:rsidRPr="00605EA1">
        <w:rPr>
          <w:sz w:val="22"/>
          <w:szCs w:val="22"/>
        </w:rPr>
        <w:t xml:space="preserve">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proofErr w:type="gramStart"/>
      <w:r w:rsidRPr="00605EA1">
        <w:rPr>
          <w:sz w:val="22"/>
          <w:szCs w:val="22"/>
        </w:rPr>
        <w:t>não</w:t>
      </w:r>
      <w:proofErr w:type="gramEnd"/>
      <w:r w:rsidRPr="00605EA1">
        <w:rPr>
          <w:sz w:val="22"/>
          <w:szCs w:val="22"/>
        </w:rPr>
        <w:t xml:space="preserve">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r w:rsidRPr="00605EA1">
        <w:rPr>
          <w:sz w:val="22"/>
          <w:szCs w:val="22"/>
        </w:rPr>
        <w:t>Abster-se de negociar valores mobiliários de sua emissão, até o envio da comunicação de encerramento da Oferta, salvo nas hipóteses previstas no inciso II do artigo 48 da Instrução CVM 400;</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proofErr w:type="gramStart"/>
      <w:r w:rsidRPr="00605EA1">
        <w:rPr>
          <w:sz w:val="22"/>
          <w:szCs w:val="22"/>
        </w:rPr>
        <w:t>contratar</w:t>
      </w:r>
      <w:proofErr w:type="gramEnd"/>
      <w:r w:rsidRPr="00605EA1">
        <w:rPr>
          <w:sz w:val="22"/>
          <w:szCs w:val="22"/>
        </w:rPr>
        <w:t xml:space="preserve"> e manter contratados os prestadores de serviços inerentes às obrigações previstas nesta Escritura, incluindo o Agente Fiduciário, o Banco Liquidante, o Escriturador e os sistemas de negociação das Debêntures no mercado secundário; e </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proofErr w:type="gramStart"/>
      <w:r w:rsidRPr="00605EA1">
        <w:rPr>
          <w:sz w:val="22"/>
          <w:szCs w:val="22"/>
        </w:rPr>
        <w:t>sem</w:t>
      </w:r>
      <w:proofErr w:type="gramEnd"/>
      <w:r w:rsidRPr="00605EA1">
        <w:rPr>
          <w:sz w:val="22"/>
          <w:szCs w:val="22"/>
        </w:rPr>
        <w:t xml:space="preserve"> prejuízo das demais obrigações previstas acima ou de outras obrigações expressamente previstas na regulamentação em vigor e nesta Escritura de Emissão, nos termos do artigo 17 da Instrução CVM 476, observado o disposto na Deliberação CVM 848: </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preparar</w:t>
      </w:r>
      <w:proofErr w:type="gramEnd"/>
      <w:r w:rsidRPr="00605EA1">
        <w:rPr>
          <w:sz w:val="22"/>
          <w:szCs w:val="22"/>
        </w:rPr>
        <w:t xml:space="preserve"> as Demonstrações Financeiras da Companhia relativas a cada exercício social, em conformidade com a Lei das Sociedades por Ações e com as regras emitidas pela CVM;</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submeter</w:t>
      </w:r>
      <w:proofErr w:type="gramEnd"/>
      <w:r w:rsidRPr="00605EA1">
        <w:rPr>
          <w:sz w:val="22"/>
          <w:szCs w:val="22"/>
        </w:rPr>
        <w:t xml:space="preserve"> as Demonstrações Financeiras da Companhia relativas a cada exercício social a auditoria por auditor independente registrado na CVM;</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bookmarkStart w:id="146" w:name="_Ref265248531"/>
      <w:proofErr w:type="gramStart"/>
      <w:r w:rsidRPr="00605EA1">
        <w:rPr>
          <w:sz w:val="22"/>
          <w:szCs w:val="22"/>
        </w:rPr>
        <w:t>divulgar</w:t>
      </w:r>
      <w:proofErr w:type="gramEnd"/>
      <w:r w:rsidRPr="00605EA1">
        <w:rPr>
          <w:sz w:val="22"/>
          <w:szCs w:val="22"/>
        </w:rPr>
        <w:t>,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46"/>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bookmarkStart w:id="147" w:name="_Ref480232634"/>
      <w:proofErr w:type="gramStart"/>
      <w:r w:rsidRPr="00605EA1">
        <w:rPr>
          <w:sz w:val="22"/>
          <w:szCs w:val="22"/>
        </w:rPr>
        <w:t>divulgar</w:t>
      </w:r>
      <w:proofErr w:type="gramEnd"/>
      <w:r w:rsidRPr="00605EA1">
        <w:rPr>
          <w:sz w:val="22"/>
          <w:szCs w:val="22"/>
        </w:rPr>
        <w:t xml:space="preserve">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47"/>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observar</w:t>
      </w:r>
      <w:proofErr w:type="gramEnd"/>
      <w:r w:rsidRPr="00605EA1">
        <w:rPr>
          <w:sz w:val="22"/>
          <w:szCs w:val="22"/>
        </w:rPr>
        <w:t xml:space="preserve"> as disposições da Instrução CVM 358, no que se refere ao dever de sigilo e às vedações à negociação;</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divulgar</w:t>
      </w:r>
      <w:proofErr w:type="gramEnd"/>
      <w:r w:rsidRPr="00605EA1">
        <w:rPr>
          <w:sz w:val="22"/>
          <w:szCs w:val="22"/>
        </w:rPr>
        <w:t xml:space="preserve"> a ocorrência de qualquer fato relevante, conforme definido no artigo 2º da Instrução CVM 358, (i) em sua página na rede mundial de computadores, mantendo-as disponíveis pelo período de 3 (três) anos; e (ii) em sistema disponibilizado pela B3;</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fornecer</w:t>
      </w:r>
      <w:proofErr w:type="gramEnd"/>
      <w:r w:rsidRPr="00605EA1">
        <w:rPr>
          <w:sz w:val="22"/>
          <w:szCs w:val="22"/>
        </w:rPr>
        <w:t xml:space="preserve"> todas as informações solicitadas pela CVM e pela B3; e</w:t>
      </w:r>
    </w:p>
    <w:p w:rsidR="004C620B" w:rsidRPr="001E66A9" w:rsidRDefault="00605EA1">
      <w:pPr>
        <w:pStyle w:val="Level5"/>
        <w:widowControl w:val="0"/>
        <w:tabs>
          <w:tab w:val="clear" w:pos="2721"/>
          <w:tab w:val="num" w:pos="2041"/>
        </w:tabs>
        <w:spacing w:before="140" w:after="0" w:line="276" w:lineRule="auto"/>
        <w:ind w:left="1985" w:firstLine="0"/>
        <w:rPr>
          <w:sz w:val="22"/>
          <w:szCs w:val="22"/>
        </w:rPr>
      </w:pPr>
      <w:proofErr w:type="gramStart"/>
      <w:r w:rsidRPr="00605EA1">
        <w:rPr>
          <w:sz w:val="22"/>
          <w:szCs w:val="22"/>
        </w:rPr>
        <w:t>divulgar</w:t>
      </w:r>
      <w:proofErr w:type="gramEnd"/>
      <w:r w:rsidRPr="00605EA1">
        <w:rPr>
          <w:sz w:val="22"/>
          <w:szCs w:val="22"/>
        </w:rPr>
        <w:t>, em sua página na Internet, o relatório anual do Agente Fiduciário e demais comunicações enviadas pelo Agente Fiduciário na mesma data do seu recebimento, observado, ainda, o disposto na alínea </w:t>
      </w:r>
      <w:fldSimple w:instr=" REF _Ref480232634 \n \p \h  \* MERGEFORMAT ">
        <w:r w:rsidRPr="00605EA1">
          <w:rPr>
            <w:sz w:val="22"/>
            <w:szCs w:val="22"/>
          </w:rPr>
          <w:t>(d) acima</w:t>
        </w:r>
      </w:fldSimple>
      <w:r w:rsidR="001068B6" w:rsidRPr="001E66A9">
        <w:rPr>
          <w:sz w:val="22"/>
          <w:szCs w:val="22"/>
        </w:rPr>
        <w:t>.</w:t>
      </w:r>
    </w:p>
    <w:p w:rsidR="00000000" w:rsidRDefault="00605EA1">
      <w:pPr>
        <w:pStyle w:val="Level2"/>
        <w:widowControl w:val="0"/>
        <w:tabs>
          <w:tab w:val="clear" w:pos="680"/>
          <w:tab w:val="num" w:pos="851"/>
        </w:tabs>
        <w:spacing w:before="140" w:after="0" w:line="276" w:lineRule="auto"/>
        <w:ind w:left="0" w:firstLine="0"/>
        <w:rPr>
          <w:rFonts w:cs="Arial"/>
          <w:sz w:val="22"/>
          <w:szCs w:val="22"/>
        </w:rPr>
      </w:pPr>
      <w:bookmarkStart w:id="148" w:name="_Hlk38369461"/>
      <w:r w:rsidRPr="00605EA1">
        <w:rPr>
          <w:rFonts w:cs="Arial"/>
          <w:szCs w:val="22"/>
        </w:rPr>
        <w:t>O Agente Fiduciário reconhece que eventual determinação dos governos federal, estadual ou municipal, ordenando diretamente, a suspensão total ou parcial de atividades da Companhia no âmbito do Projeto, unicamente, como forma de contenção da pandemia de COVID-19 (“</w:t>
      </w:r>
      <w:r w:rsidRPr="00605EA1">
        <w:rPr>
          <w:rFonts w:cs="Arial"/>
          <w:b/>
          <w:bCs/>
          <w:szCs w:val="22"/>
        </w:rPr>
        <w:t>Medidas COVID-19</w:t>
      </w:r>
      <w:r w:rsidRPr="00605EA1">
        <w:rPr>
          <w:rFonts w:cs="Arial"/>
          <w:szCs w:val="22"/>
        </w:rPr>
        <w:t xml:space="preserve">”), dará à Companhia o direito a suspender os trabalhos no âmbito do Projeto, sendo que a paralisação em si, decorrente das Medidas COVID-19, não será considerada hipótese de vencimento antecipado ou descumprimento de obrigação pela Companhia. Entretanto, caso as Medidas COVID-19 acarretem, direta ou indiretamente, um Evento de Vencimento Antecipado, uma assembleia geral poderá ser convocada para fins de verificação da </w:t>
      </w:r>
      <w:r w:rsidR="001E66A9">
        <w:rPr>
          <w:rFonts w:cs="Arial"/>
          <w:sz w:val="22"/>
          <w:szCs w:val="22"/>
        </w:rPr>
        <w:t>casualidade</w:t>
      </w:r>
      <w:r w:rsidR="00AA0E7E" w:rsidRPr="001E66A9">
        <w:rPr>
          <w:rFonts w:cs="Arial"/>
          <w:sz w:val="22"/>
          <w:szCs w:val="22"/>
        </w:rPr>
        <w:t xml:space="preserve"> entre as Medidas Covid-19 e o Evento de Vencimento Antecipado</w:t>
      </w:r>
      <w:r w:rsidR="001068B6" w:rsidRPr="001E66A9">
        <w:rPr>
          <w:rFonts w:cs="Arial"/>
          <w:sz w:val="22"/>
          <w:szCs w:val="22"/>
        </w:rPr>
        <w:t>. Adicionalmente</w:t>
      </w:r>
      <w:r w:rsidRPr="00605EA1">
        <w:rPr>
          <w:rFonts w:cs="Arial"/>
          <w:szCs w:val="22"/>
        </w:rPr>
        <w:t xml:space="preserve">, a Companhia reconhece e concorda em não utilizar os efeitos e consequências da pandemia de COVID-19 às suas atividades e a seus negócios a fim de renegociar, judicialmente ou não, os termos e condições da presente Escritura de Emissão e das Debêntures, incluindo, mas não se limitando, a título de onerosidade excessiva ou reequilíbrio econômico-financeiro, exceto se ocorrer um agravamento significativo na situação atual de tal forma que enseje uma situação excessivamente onerosa para a Emissora, com extrema vantagem para os Debenturistas em razão de uma consequência imprevisível de um evento notório, qual </w:t>
      </w:r>
      <w:proofErr w:type="gramStart"/>
      <w:r w:rsidRPr="00605EA1">
        <w:rPr>
          <w:rFonts w:cs="Arial"/>
          <w:szCs w:val="22"/>
        </w:rPr>
        <w:t>seja,</w:t>
      </w:r>
      <w:proofErr w:type="gramEnd"/>
      <w:r w:rsidRPr="00605EA1">
        <w:rPr>
          <w:rFonts w:cs="Arial"/>
          <w:szCs w:val="22"/>
        </w:rPr>
        <w:t xml:space="preserve"> a Covid-19. Adicionalmente, para os fins do artigo 393, do Código Civil, a Companhia não poderá alegar caso fortuito ou força maior, no âmbito da presente Escritura de Emissão, para se isentar do cumprimento das suas obrigações pecuniárias no âmbito da presente Escritura de Emissão</w:t>
      </w:r>
      <w:r w:rsidRPr="00605EA1">
        <w:rPr>
          <w:rFonts w:cs="Arial"/>
          <w:b/>
          <w:i/>
          <w:szCs w:val="22"/>
          <w:highlight w:val="yellow"/>
        </w:rPr>
        <w:t>. [Nota MF: Cláusula pendente de validação das partes.</w:t>
      </w:r>
      <w:proofErr w:type="gramStart"/>
      <w:r w:rsidRPr="00605EA1">
        <w:rPr>
          <w:rFonts w:cs="Arial"/>
          <w:b/>
          <w:i/>
          <w:szCs w:val="22"/>
          <w:highlight w:val="yellow"/>
        </w:rPr>
        <w:t>]</w:t>
      </w:r>
      <w:bookmarkEnd w:id="148"/>
      <w:proofErr w:type="gramEnd"/>
    </w:p>
    <w:p w:rsidR="004C620B" w:rsidRPr="001E66A9" w:rsidRDefault="00605EA1">
      <w:pPr>
        <w:pStyle w:val="Level1"/>
        <w:keepNext w:val="0"/>
        <w:keepLines w:val="0"/>
        <w:widowControl w:val="0"/>
        <w:spacing w:before="140" w:after="0" w:line="276" w:lineRule="auto"/>
        <w:ind w:left="0" w:firstLine="0"/>
        <w:rPr>
          <w:smallCaps/>
        </w:rPr>
      </w:pPr>
      <w:r w:rsidRPr="00605EA1">
        <w:rPr>
          <w:smallCaps/>
        </w:rPr>
        <w:t>AGENTE FIDUCIÁRIO</w:t>
      </w:r>
    </w:p>
    <w:p w:rsidR="004C620B" w:rsidRPr="001E66A9" w:rsidRDefault="00605EA1">
      <w:pPr>
        <w:pStyle w:val="Level2"/>
        <w:widowControl w:val="0"/>
        <w:numPr>
          <w:ilvl w:val="0"/>
          <w:numId w:val="0"/>
        </w:numPr>
        <w:spacing w:before="140" w:after="0" w:line="276" w:lineRule="auto"/>
        <w:rPr>
          <w:rFonts w:cs="Arial"/>
          <w:b/>
          <w:i/>
          <w:sz w:val="22"/>
          <w:szCs w:val="22"/>
        </w:rPr>
      </w:pPr>
      <w:r w:rsidRPr="00605EA1">
        <w:rPr>
          <w:rFonts w:cs="Arial"/>
          <w:b/>
          <w:i/>
          <w:sz w:val="22"/>
          <w:szCs w:val="22"/>
        </w:rPr>
        <w:t>[</w:t>
      </w:r>
      <w:r w:rsidRPr="00605EA1">
        <w:rPr>
          <w:rFonts w:cs="Arial"/>
          <w:b/>
          <w:i/>
          <w:sz w:val="22"/>
          <w:szCs w:val="22"/>
          <w:highlight w:val="yellow"/>
        </w:rPr>
        <w:t>Nota: Cláusula deverá ser revista integralmente pelo Agente Fiduciário.</w:t>
      </w:r>
      <w:proofErr w:type="gramStart"/>
      <w:r w:rsidRPr="00605EA1">
        <w:rPr>
          <w:rFonts w:cs="Arial"/>
          <w:b/>
          <w:i/>
          <w:sz w:val="22"/>
          <w:szCs w:val="22"/>
        </w:rPr>
        <w:t>]</w:t>
      </w:r>
      <w:proofErr w:type="gramEnd"/>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é</w:t>
      </w:r>
      <w:proofErr w:type="gramEnd"/>
      <w:r w:rsidRPr="00605EA1">
        <w:rPr>
          <w:sz w:val="22"/>
          <w:szCs w:val="22"/>
        </w:rPr>
        <w:t xml:space="preserve"> instituição financeira devidamente organizada, constituída e existente sob a forma de sociedade por ações, de acordo com as leis brasileiras;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está</w:t>
      </w:r>
      <w:proofErr w:type="gramEnd"/>
      <w:r w:rsidRPr="00605EA1">
        <w:rPr>
          <w:sz w:val="22"/>
          <w:szCs w:val="22"/>
        </w:rPr>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w:t>
      </w:r>
      <w:proofErr w:type="gramEnd"/>
      <w:r w:rsidRPr="00605EA1">
        <w:rPr>
          <w:sz w:val="22"/>
          <w:szCs w:val="22"/>
        </w:rPr>
        <w:t xml:space="preserve">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esta</w:t>
      </w:r>
      <w:proofErr w:type="gramEnd"/>
      <w:r w:rsidRPr="00605EA1">
        <w:rPr>
          <w:sz w:val="22"/>
          <w:szCs w:val="22"/>
        </w:rPr>
        <w:t xml:space="preserve"> Escritura de Emissão e as obrigações aqui previstas constituem obrigações lícitas, válidas, vinculantes e eficazes do Agente Fiduciário, exequíveis de acordo com os seus termos e condições;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a</w:t>
      </w:r>
      <w:proofErr w:type="gramEnd"/>
      <w:r w:rsidRPr="00605EA1">
        <w:rPr>
          <w:sz w:val="22"/>
          <w:szCs w:val="22"/>
        </w:rPr>
        <w:t xml:space="preserve">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aceita</w:t>
      </w:r>
      <w:proofErr w:type="gramEnd"/>
      <w:r w:rsidRPr="00605EA1">
        <w:rPr>
          <w:sz w:val="22"/>
          <w:szCs w:val="22"/>
        </w:rPr>
        <w:t xml:space="preserve"> a função para a qual foi nomeado, assumindo integralmente os deveres e atribuições previstos na legislação específica e nesta Escritura de Emissão;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conhece</w:t>
      </w:r>
      <w:proofErr w:type="gramEnd"/>
      <w:r w:rsidRPr="00605EA1">
        <w:rPr>
          <w:sz w:val="22"/>
          <w:szCs w:val="22"/>
        </w:rPr>
        <w:t xml:space="preserve"> e aceita integralmente esta Escritura de Emissão e todos os seus termos e condições;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verificou</w:t>
      </w:r>
      <w:proofErr w:type="gramEnd"/>
      <w:r w:rsidRPr="00605EA1">
        <w:rPr>
          <w:sz w:val="22"/>
          <w:szCs w:val="22"/>
        </w:rPr>
        <w:t xml:space="preserve"> a consistência das informações contidas nesta Escritura de Emissão, diligenciando no sentido de que sejam sanadas as omissões, falhas ou defeitos de que tenha conhecimento;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está</w:t>
      </w:r>
      <w:proofErr w:type="gramEnd"/>
      <w:r w:rsidRPr="00605EA1">
        <w:rPr>
          <w:sz w:val="22"/>
          <w:szCs w:val="22"/>
        </w:rPr>
        <w:t xml:space="preserve"> ciente da regulamentação aplicável emanada do Banco Central do Brasil e da CVM;</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não</w:t>
      </w:r>
      <w:proofErr w:type="gramEnd"/>
      <w:r w:rsidRPr="00605EA1">
        <w:rPr>
          <w:sz w:val="22"/>
          <w:szCs w:val="22"/>
        </w:rPr>
        <w:t xml:space="preserve"> tem, sob as penas de lei, qualquer impedimento legal, conforme o artigo 66, parágrafo 3º, da Lei das Sociedades por Ações, a Instrução CVM 583 e demais normas aplicáveis, para exercer a função que lhe é conferida;</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não</w:t>
      </w:r>
      <w:proofErr w:type="gramEnd"/>
      <w:r w:rsidRPr="00605EA1">
        <w:rPr>
          <w:sz w:val="22"/>
          <w:szCs w:val="22"/>
        </w:rPr>
        <w:t xml:space="preserve"> se encontra em nenhuma das situações de conflito de interesse previstas no artigo 6º da Instrução CVM 583;</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assegurará</w:t>
      </w:r>
      <w:proofErr w:type="gramEnd"/>
      <w:r w:rsidRPr="00605EA1">
        <w:rPr>
          <w:sz w:val="22"/>
          <w:szCs w:val="22"/>
        </w:rPr>
        <w:t xml:space="preserve">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w w:val="0"/>
          <w:sz w:val="22"/>
          <w:szCs w:val="22"/>
        </w:rPr>
        <w:t>na</w:t>
      </w:r>
      <w:proofErr w:type="gramEnd"/>
      <w:r w:rsidRPr="00605EA1">
        <w:rPr>
          <w:w w:val="0"/>
          <w:sz w:val="22"/>
          <w:szCs w:val="22"/>
        </w:rPr>
        <w:t xml:space="preserve"> data de celebração da presente Escritura de Emissão e com base no organograma encaminhado pela Companhia, o Agente Fiduciário declara, para os fins do artigo 6º da Instrução CVM 583, </w:t>
      </w:r>
      <w:r w:rsidRPr="00605EA1">
        <w:rPr>
          <w:sz w:val="22"/>
          <w:szCs w:val="22"/>
        </w:rPr>
        <w:t>que presta serviços de agente fiduciário e/ou de agente de notas nas seguintes emissões de valores mobiliários da Companhia, de sociedade coligada, controlada, controladora ou integrante do mesmo grupo econômico da Companhia: [</w:t>
      </w:r>
      <w:r w:rsidRPr="00605EA1">
        <w:rPr>
          <w:sz w:val="22"/>
          <w:szCs w:val="22"/>
          <w:highlight w:val="yellow"/>
        </w:rPr>
        <w:t>Nota: A ser inserido pelo AF.</w:t>
      </w:r>
      <w:r w:rsidRPr="00605EA1">
        <w:rPr>
          <w:sz w:val="22"/>
          <w:szCs w:val="22"/>
        </w:rPr>
        <w:t>]</w:t>
      </w:r>
    </w:p>
    <w:p w:rsidR="004C620B" w:rsidRPr="001E66A9" w:rsidRDefault="00605EA1">
      <w:pPr>
        <w:pStyle w:val="Level2"/>
        <w:keepNext/>
        <w:keepLines/>
        <w:widowControl w:val="0"/>
        <w:spacing w:before="140" w:after="0" w:line="276" w:lineRule="auto"/>
        <w:ind w:left="0" w:firstLine="0"/>
        <w:rPr>
          <w:rFonts w:cs="Arial"/>
          <w:sz w:val="22"/>
          <w:szCs w:val="22"/>
        </w:rPr>
      </w:pPr>
      <w:r w:rsidRPr="00605EA1">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4C620B" w:rsidRPr="001E66A9" w:rsidRDefault="00605EA1">
      <w:pPr>
        <w:pStyle w:val="Level2"/>
        <w:widowControl w:val="0"/>
        <w:spacing w:before="140" w:after="0" w:line="276" w:lineRule="auto"/>
        <w:ind w:left="0" w:firstLine="0"/>
        <w:rPr>
          <w:rFonts w:cs="Arial"/>
          <w:sz w:val="22"/>
          <w:szCs w:val="22"/>
        </w:rPr>
      </w:pPr>
      <w:bookmarkStart w:id="149" w:name="_Ref528593743"/>
      <w:r w:rsidRPr="00605EA1">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49"/>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os</w:t>
      </w:r>
      <w:proofErr w:type="gramEnd"/>
      <w:r w:rsidRPr="00605EA1">
        <w:rPr>
          <w:sz w:val="22"/>
          <w:szCs w:val="22"/>
        </w:rPr>
        <w:t xml:space="preserve"> Debenturistas podem substituir o Agente Fiduciário e indicar seu substituto a qualquer tempo durante a vigência das Debêntures, em assembleia geral de Debenturistas especialmente convocada para esse fim;</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caso</w:t>
      </w:r>
      <w:proofErr w:type="gramEnd"/>
      <w:r w:rsidRPr="00605EA1">
        <w:rPr>
          <w:sz w:val="22"/>
          <w:szCs w:val="22"/>
        </w:rPr>
        <w:t xml:space="preserve">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caso</w:t>
      </w:r>
      <w:proofErr w:type="gramEnd"/>
      <w:r w:rsidRPr="00605EA1">
        <w:rPr>
          <w:sz w:val="22"/>
          <w:szCs w:val="22"/>
        </w:rPr>
        <w:t xml:space="preserve"> o Agente Fiduciário renuncie às suas funções, deverá permanecer no exercício de suas funções até que uma instituição substituta seja indicada pela Companhia e aprovada pela assembleia geral de Debenturistas e assuma efetivamente as suas funções;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50" w:name="_Ref130285900"/>
      <w:proofErr w:type="gramStart"/>
      <w:r w:rsidRPr="00605EA1">
        <w:rPr>
          <w:sz w:val="22"/>
          <w:szCs w:val="22"/>
        </w:rPr>
        <w:t>será</w:t>
      </w:r>
      <w:proofErr w:type="gramEnd"/>
      <w:r w:rsidRPr="00605EA1">
        <w:rPr>
          <w:sz w:val="22"/>
          <w:szCs w:val="22"/>
        </w:rPr>
        <w:t xml:space="preserve"> realizada, no prazo máximo de 30 (trinta) dias contados da data do evento que a determinar conforme a Clausula </w:t>
      </w:r>
      <w:fldSimple w:instr=" REF _Ref528593743 \r \h  \* MERGEFORMAT ">
        <w:r w:rsidRPr="00605EA1">
          <w:rPr>
            <w:sz w:val="22"/>
            <w:szCs w:val="22"/>
          </w:rPr>
          <w:t>10.3</w:t>
        </w:r>
      </w:fldSimple>
      <w:r w:rsidR="001068B6" w:rsidRPr="001E66A9">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50"/>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a</w:t>
      </w:r>
      <w:proofErr w:type="gramEnd"/>
      <w:r w:rsidRPr="00605EA1">
        <w:rPr>
          <w:sz w:val="22"/>
          <w:szCs w:val="22"/>
        </w:rPr>
        <w:t xml:space="preserve"> substituição do Agente Fiduciário deverá ser comunicada à CVM no prazo de até 7 (sete) Dias Úteis contados da data de inscrição do aditamento a esta Escritura de Emissão nos termos da Cláusula </w:t>
      </w:r>
      <w:fldSimple w:instr=" REF _Ref528689374 \r \h  \* MERGEFORMAT ">
        <w:r w:rsidRPr="00605EA1">
          <w:rPr>
            <w:sz w:val="22"/>
            <w:szCs w:val="22"/>
          </w:rPr>
          <w:t>3.2</w:t>
        </w:r>
      </w:fldSimple>
      <w:r w:rsidR="001068B6" w:rsidRPr="001E66A9">
        <w:rPr>
          <w:sz w:val="22"/>
          <w:szCs w:val="22"/>
        </w:rPr>
        <w:t xml:space="preserve">, juntamente com a declaração e as demais informações exigidas no artigo 5º, </w:t>
      </w:r>
      <w:r w:rsidR="001068B6" w:rsidRPr="001E66A9">
        <w:rPr>
          <w:i/>
          <w:sz w:val="22"/>
          <w:szCs w:val="22"/>
        </w:rPr>
        <w:t>caput</w:t>
      </w:r>
      <w:r w:rsidR="001068B6" w:rsidRPr="001E66A9">
        <w:rPr>
          <w:sz w:val="22"/>
          <w:szCs w:val="22"/>
        </w:rPr>
        <w:t xml:space="preserve"> e parágrafo 1º, da Instrução CVM 583;</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os</w:t>
      </w:r>
      <w:proofErr w:type="gramEnd"/>
      <w:r w:rsidRPr="00605EA1">
        <w:rPr>
          <w:sz w:val="22"/>
          <w:szCs w:val="22"/>
        </w:rPr>
        <w:t xml:space="preserve"> pagamentos ao Agente Fiduciário substituído serão realizados observando-se a proporcionalidade ao período da efetiva prestação dos serviços, observado o previsto na Cláusula 9.4.(i).(g);</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w:t>
      </w:r>
      <w:proofErr w:type="gramEnd"/>
      <w:r w:rsidRPr="00605EA1">
        <w:rPr>
          <w:sz w:val="22"/>
          <w:szCs w:val="22"/>
        </w:rPr>
        <w:t xml:space="preserve"> agente fiduciário substituto fará jus à mesma remuneração percebida pelo anterior, caso (a) a Companhia não tenha concordado com o novo valor da remuneração do agente fiduciário proposto pela assembleia geral de Debenturistas a que se refere o inciso </w:t>
      </w:r>
      <w:fldSimple w:instr=" REF _Ref130285900 \r \p \h  \* MERGEFORMAT ">
        <w:r w:rsidRPr="00605EA1">
          <w:rPr>
            <w:sz w:val="22"/>
            <w:szCs w:val="22"/>
          </w:rPr>
          <w:t>(iv) acima</w:t>
        </w:r>
      </w:fldSimple>
      <w:r w:rsidR="001068B6" w:rsidRPr="001E66A9">
        <w:rPr>
          <w:sz w:val="22"/>
          <w:szCs w:val="22"/>
        </w:rPr>
        <w:t>; ou (b) a assembleia geral de Debenturistas a que se refere o inciso </w:t>
      </w:r>
      <w:fldSimple w:instr=" REF _Ref130285900 \r \p \h  \* MERGEFORMAT ">
        <w:r w:rsidRPr="00605EA1">
          <w:rPr>
            <w:sz w:val="22"/>
            <w:szCs w:val="22"/>
          </w:rPr>
          <w:t>(iv) acima</w:t>
        </w:r>
      </w:fldSimple>
      <w:r w:rsidR="001068B6" w:rsidRPr="001E66A9">
        <w:rPr>
          <w:sz w:val="22"/>
          <w:szCs w:val="22"/>
        </w:rPr>
        <w:t xml:space="preserve"> não delibere sobre a matéria;</w:t>
      </w:r>
    </w:p>
    <w:p w:rsidR="004C620B" w:rsidRPr="001E66A9" w:rsidRDefault="001068B6">
      <w:pPr>
        <w:pStyle w:val="Level4"/>
        <w:widowControl w:val="0"/>
        <w:tabs>
          <w:tab w:val="clear" w:pos="2041"/>
          <w:tab w:val="num" w:pos="1361"/>
        </w:tabs>
        <w:spacing w:before="140" w:after="0" w:line="276" w:lineRule="auto"/>
        <w:ind w:left="0" w:firstLine="0"/>
        <w:rPr>
          <w:sz w:val="22"/>
          <w:szCs w:val="22"/>
        </w:rPr>
      </w:pPr>
      <w:proofErr w:type="gramStart"/>
      <w:r w:rsidRPr="001E66A9">
        <w:rPr>
          <w:sz w:val="22"/>
          <w:szCs w:val="22"/>
        </w:rPr>
        <w:t>caso</w:t>
      </w:r>
      <w:proofErr w:type="gramEnd"/>
      <w:r w:rsidRPr="001E66A9">
        <w:rPr>
          <w:sz w:val="22"/>
          <w:szCs w:val="22"/>
        </w:rPr>
        <w:t xml:space="preserve"> a CVM nomeie substituto provisório, o agente fiduciário substituto deverá, imediatamente após sua nomeação, comunicá-la à Companhia e aos Debenturistas nos termos das Cláusulas </w:t>
      </w:r>
      <w:fldSimple w:instr=" REF _Ref130286395 \r \h  \* MERGEFORMAT ">
        <w:r w:rsidR="00605EA1" w:rsidRPr="00605EA1">
          <w:rPr>
            <w:sz w:val="22"/>
            <w:szCs w:val="22"/>
          </w:rPr>
          <w:t>1.1</w:t>
        </w:r>
      </w:fldSimple>
      <w:r w:rsidRPr="001E66A9">
        <w:rPr>
          <w:sz w:val="22"/>
          <w:szCs w:val="22"/>
        </w:rPr>
        <w:t xml:space="preserve"> e </w:t>
      </w:r>
      <w:fldSimple w:instr=" REF _Ref384312323 \n \p \h  \* MERGEFORMAT ">
        <w:r w:rsidR="00605EA1" w:rsidRPr="00605EA1">
          <w:rPr>
            <w:sz w:val="22"/>
            <w:szCs w:val="22"/>
          </w:rPr>
          <w:t>14 abaixo</w:t>
        </w:r>
      </w:fldSimple>
      <w:r w:rsidRPr="001E66A9">
        <w:rPr>
          <w:sz w:val="22"/>
          <w:szCs w:val="22"/>
        </w:rPr>
        <w:t>; e</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aplicam</w:t>
      </w:r>
      <w:proofErr w:type="gramEnd"/>
      <w:r w:rsidRPr="00605EA1">
        <w:rPr>
          <w:sz w:val="22"/>
          <w:szCs w:val="22"/>
        </w:rPr>
        <w:t>-se às hipóteses de substituição do Agente Fiduciário as normas e preceitos emanados da CVM.</w:t>
      </w:r>
    </w:p>
    <w:p w:rsidR="004C620B" w:rsidRPr="001E66A9" w:rsidRDefault="00605EA1">
      <w:pPr>
        <w:pStyle w:val="Level2"/>
        <w:widowControl w:val="0"/>
        <w:spacing w:before="140" w:after="0" w:line="276" w:lineRule="auto"/>
        <w:ind w:left="0" w:firstLine="0"/>
        <w:rPr>
          <w:rFonts w:cs="Arial"/>
          <w:sz w:val="22"/>
          <w:szCs w:val="22"/>
        </w:rPr>
      </w:pPr>
      <w:bookmarkStart w:id="151" w:name="_Ref130284025"/>
      <w:r w:rsidRPr="00605EA1">
        <w:rPr>
          <w:rFonts w:cs="Arial"/>
          <w:sz w:val="22"/>
          <w:szCs w:val="22"/>
        </w:rPr>
        <w:t>Pelo desempenho dos deveres e atribuições que lhe competem, nos termos da lei e desta Escritura de Emissão, o Agente Fiduciário, ou a instituição que vier a substituí-lo nessa qualidade:</w:t>
      </w:r>
      <w:bookmarkEnd w:id="151"/>
    </w:p>
    <w:p w:rsidR="004C620B" w:rsidRPr="001E66A9" w:rsidRDefault="00605EA1">
      <w:pPr>
        <w:pStyle w:val="Level4"/>
        <w:widowControl w:val="0"/>
        <w:tabs>
          <w:tab w:val="clear" w:pos="2041"/>
          <w:tab w:val="num" w:pos="1361"/>
        </w:tabs>
        <w:spacing w:before="140" w:after="0" w:line="276" w:lineRule="auto"/>
        <w:ind w:left="0" w:firstLine="0"/>
        <w:rPr>
          <w:color w:val="FF0000"/>
          <w:sz w:val="22"/>
          <w:szCs w:val="22"/>
        </w:rPr>
      </w:pPr>
      <w:bookmarkStart w:id="152" w:name="_Ref264564354"/>
      <w:bookmarkStart w:id="153" w:name="_Ref130286973"/>
      <w:proofErr w:type="gramStart"/>
      <w:r w:rsidRPr="00605EA1">
        <w:rPr>
          <w:sz w:val="22"/>
          <w:szCs w:val="22"/>
        </w:rPr>
        <w:t>receberá</w:t>
      </w:r>
      <w:proofErr w:type="gramEnd"/>
      <w:r w:rsidRPr="00605EA1">
        <w:rPr>
          <w:sz w:val="22"/>
          <w:szCs w:val="22"/>
        </w:rPr>
        <w:t xml:space="preserve"> uma remuneração:</w:t>
      </w:r>
      <w:bookmarkEnd w:id="152"/>
      <w:r w:rsidRPr="00605EA1">
        <w:rPr>
          <w:sz w:val="22"/>
          <w:szCs w:val="22"/>
        </w:rPr>
        <w:t xml:space="preserve"> </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154" w:name="_Ref528596378"/>
      <w:bookmarkStart w:id="155" w:name="_Ref274576365"/>
      <w:proofErr w:type="gramStart"/>
      <w:r w:rsidRPr="00605EA1">
        <w:rPr>
          <w:sz w:val="22"/>
          <w:szCs w:val="22"/>
        </w:rPr>
        <w:t>de</w:t>
      </w:r>
      <w:proofErr w:type="gramEnd"/>
      <w:r w:rsidRPr="00605EA1">
        <w:rPr>
          <w:sz w:val="22"/>
          <w:szCs w:val="22"/>
        </w:rPr>
        <w:t xml:space="preserve"> R$ [</w:t>
      </w:r>
      <w:r w:rsidRPr="00605EA1">
        <w:rPr>
          <w:rFonts w:hint="eastAsia"/>
          <w:sz w:val="22"/>
          <w:szCs w:val="22"/>
        </w:rPr>
        <w:t>●</w:t>
      </w:r>
      <w:r w:rsidRPr="00605EA1">
        <w:rPr>
          <w:sz w:val="22"/>
          <w:szCs w:val="22"/>
        </w:rPr>
        <w:t>] ([</w:t>
      </w:r>
      <w:r w:rsidRPr="00605EA1">
        <w:rPr>
          <w:rFonts w:hint="eastAsia"/>
          <w:sz w:val="22"/>
          <w:szCs w:val="22"/>
        </w:rPr>
        <w:t>●</w:t>
      </w:r>
      <w:r w:rsidRPr="00605EA1">
        <w:rPr>
          <w:sz w:val="22"/>
          <w:szCs w:val="22"/>
        </w:rPr>
        <w:t>]) por ano, devida pela Companhia, sendo a primeira parcela da remuneração devida no 5º (quinto) Dia Útil contado da data de celebração desta Escritura de Emissão, e as demais, no mesmo dia dos anos subsequentes, até o vencimento da Emissão, ou enquanto o Agente Fiduciário ainda estiver exercendo atividades inerentes a sua função;</w:t>
      </w:r>
      <w:bookmarkEnd w:id="154"/>
    </w:p>
    <w:p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156" w:name="_Ref264707931"/>
      <w:r w:rsidRPr="00605EA1">
        <w:rPr>
          <w:sz w:val="22"/>
          <w:szCs w:val="22"/>
        </w:rPr>
        <w:t xml:space="preserve">A remuneração prevista no item </w:t>
      </w:r>
      <w:fldSimple w:instr=" REF _Ref528596378 \r \h  \* MERGEFORMAT ">
        <w:r w:rsidRPr="00605EA1">
          <w:rPr>
            <w:sz w:val="22"/>
            <w:szCs w:val="22"/>
          </w:rPr>
          <w:t>(a)</w:t>
        </w:r>
      </w:fldSimple>
      <w:r w:rsidR="001068B6" w:rsidRPr="001E66A9">
        <w:rPr>
          <w:sz w:val="22"/>
          <w:szCs w:val="22"/>
        </w:rPr>
        <w:t xml:space="preserve"> acima será reajustada anualmente, desde a data de pagamento da primeira parcela, pela variação positiva acumulada do IPCA ou do índice que eventualmente o substitua, calculada </w:t>
      </w:r>
      <w:proofErr w:type="gramStart"/>
      <w:r w:rsidRPr="00605EA1">
        <w:rPr>
          <w:i/>
          <w:sz w:val="22"/>
          <w:szCs w:val="22"/>
        </w:rPr>
        <w:t>pro rata</w:t>
      </w:r>
      <w:proofErr w:type="gramEnd"/>
      <w:r w:rsidRPr="00605EA1">
        <w:rPr>
          <w:i/>
          <w:sz w:val="22"/>
          <w:szCs w:val="22"/>
        </w:rPr>
        <w:t xml:space="preserve"> temporis</w:t>
      </w:r>
      <w:r w:rsidRPr="00605EA1">
        <w:rPr>
          <w:sz w:val="22"/>
          <w:szCs w:val="22"/>
        </w:rPr>
        <w:t>, se necessário;</w:t>
      </w:r>
      <w:bookmarkEnd w:id="156"/>
    </w:p>
    <w:p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157" w:name="_Ref289701353"/>
      <w:bookmarkEnd w:id="155"/>
      <w:proofErr w:type="gramStart"/>
      <w:r w:rsidRPr="00605EA1">
        <w:rPr>
          <w:sz w:val="22"/>
          <w:szCs w:val="22"/>
        </w:rPr>
        <w:t>o</w:t>
      </w:r>
      <w:proofErr w:type="gramEnd"/>
      <w:r w:rsidRPr="00605EA1">
        <w:rPr>
          <w:sz w:val="22"/>
          <w:szCs w:val="22"/>
        </w:rPr>
        <w:t xml:space="preserve"> valor previsto no item (a) acima será acrescido do Imposto Sobre Serviços de Qualquer Natureza – ISSQN, da Contribuição para o Programa de Integração Social – PIS, da Contribuição Social Sobre o Lucro Líquido – CSLL, da </w:t>
      </w:r>
      <w:r w:rsidRPr="00605EA1">
        <w:rPr>
          <w:sz w:val="22"/>
          <w:szCs w:val="22"/>
          <w:lang w:eastAsia="en-US"/>
        </w:rPr>
        <w:t>Contribuição para o Financiamento da Seguridade Social – COFINS, Imposto de Renda Retido na Fonte – IRRF</w:t>
      </w:r>
      <w:r w:rsidRPr="00605EA1">
        <w:rPr>
          <w:sz w:val="22"/>
          <w:szCs w:val="22"/>
        </w:rPr>
        <w:t xml:space="preserve"> e de quaisquer outros tributos e despesas que venham a incidir sobre a remuneração devida ao Agente Fiduciário, nas alíquotas vigentes nas datas de cada pagamento;</w:t>
      </w:r>
      <w:bookmarkEnd w:id="157"/>
    </w:p>
    <w:p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158" w:name="_Ref528596388"/>
      <w:proofErr w:type="gramStart"/>
      <w:r w:rsidRPr="00605EA1">
        <w:rPr>
          <w:sz w:val="22"/>
          <w:szCs w:val="22"/>
        </w:rPr>
        <w:t>devida</w:t>
      </w:r>
      <w:proofErr w:type="gramEnd"/>
      <w:r w:rsidRPr="00605EA1">
        <w:rPr>
          <w:sz w:val="22"/>
          <w:szCs w:val="22"/>
        </w:rPr>
        <w:t xml:space="preserve">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fldSimple w:instr=" REF _Ref274576365 \r \p \h  \* MERGEFORMAT ">
        <w:r w:rsidRPr="00605EA1">
          <w:rPr>
            <w:sz w:val="22"/>
            <w:szCs w:val="22"/>
          </w:rPr>
          <w:t>(a) acima</w:t>
        </w:r>
      </w:fldSimple>
      <w:r w:rsidR="001068B6" w:rsidRPr="001E66A9">
        <w:rPr>
          <w:sz w:val="22"/>
          <w:szCs w:val="22"/>
        </w:rPr>
        <w:t>, reajustado conforme a alínea </w:t>
      </w:r>
      <w:fldSimple w:instr=" REF _Ref264707931 \n \p \h  \* MERGEFORMAT ">
        <w:r w:rsidRPr="00605EA1">
          <w:rPr>
            <w:bCs/>
            <w:sz w:val="22"/>
            <w:szCs w:val="22"/>
          </w:rPr>
          <w:t>(b) acima</w:t>
        </w:r>
      </w:fldSimple>
      <w:r w:rsidR="001068B6" w:rsidRPr="001E66A9">
        <w:rPr>
          <w:sz w:val="22"/>
          <w:szCs w:val="22"/>
        </w:rPr>
        <w:t>;</w:t>
      </w:r>
      <w:bookmarkEnd w:id="158"/>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acrescida</w:t>
      </w:r>
      <w:proofErr w:type="gramEnd"/>
      <w:r w:rsidRPr="00605EA1">
        <w:rPr>
          <w:sz w:val="22"/>
          <w:szCs w:val="22"/>
        </w:rPr>
        <w:t xml:space="preserve">, em caso de mora em seu pagamento, independentemente de aviso, notificação ou interpelação judicial ou extrajudicial, sobre os valores em atraso, de (i) juros de mora de 1% (um por cento) ao mês, calculados </w:t>
      </w:r>
      <w:r w:rsidRPr="00605EA1">
        <w:rPr>
          <w:i/>
          <w:sz w:val="22"/>
          <w:szCs w:val="22"/>
        </w:rPr>
        <w:t>pro rata temporis</w:t>
      </w:r>
      <w:r w:rsidRPr="00605EA1">
        <w:rPr>
          <w:sz w:val="22"/>
          <w:szCs w:val="22"/>
        </w:rPr>
        <w:t xml:space="preserve">, desde a data de inadimplemento até a data do efetivo pagamento; (ii) multa moratória, irredutível e de natureza não compensatória, de 2% (dois por cento); e (iii) atualização monetária pelo IPCA, calculada </w:t>
      </w:r>
      <w:r w:rsidRPr="00605EA1">
        <w:rPr>
          <w:i/>
          <w:sz w:val="22"/>
          <w:szCs w:val="22"/>
        </w:rPr>
        <w:t>pro rata temporis</w:t>
      </w:r>
      <w:r w:rsidRPr="00605EA1">
        <w:rPr>
          <w:sz w:val="22"/>
          <w:szCs w:val="22"/>
        </w:rPr>
        <w:t>, desde a data de inadimplemento até a data do efetivo pagamento;</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realizada</w:t>
      </w:r>
      <w:proofErr w:type="gramEnd"/>
      <w:r w:rsidRPr="00605EA1">
        <w:rPr>
          <w:sz w:val="22"/>
          <w:szCs w:val="22"/>
        </w:rPr>
        <w:t xml:space="preserve"> mediante depósito na conta corrente a ser indicada por escrito pelo Agente Fiduciário à Companhia, servindo o comprovante do depósito como prova de quitação do pagamento; e</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a</w:t>
      </w:r>
      <w:proofErr w:type="gramEnd"/>
      <w:r w:rsidRPr="00605EA1">
        <w:rPr>
          <w:sz w:val="22"/>
          <w:szCs w:val="22"/>
        </w:rPr>
        <w:t xml:space="preserve"> primeira parcela de honorários será devida ainda que a operação não seja integralizada, a título de estruturação e implantação.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59" w:name="_Ref130284022"/>
      <w:bookmarkEnd w:id="153"/>
      <w:proofErr w:type="gramStart"/>
      <w:r w:rsidRPr="00605EA1">
        <w:rPr>
          <w:sz w:val="22"/>
          <w:szCs w:val="22"/>
        </w:rPr>
        <w:t>será</w:t>
      </w:r>
      <w:proofErr w:type="gramEnd"/>
      <w:r w:rsidRPr="00605EA1">
        <w:rPr>
          <w:sz w:val="22"/>
          <w:szCs w:val="22"/>
        </w:rPr>
        <w:t xml:space="preserve">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59"/>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publicação</w:t>
      </w:r>
      <w:proofErr w:type="gramEnd"/>
      <w:r w:rsidRPr="00605EA1">
        <w:rPr>
          <w:sz w:val="22"/>
          <w:szCs w:val="22"/>
        </w:rPr>
        <w:t xml:space="preserve"> de relatórios, editais de convocação, avisos, notificações e outros, conforme previsto nesta Escritura de Emissão, e outras que vierem a ser exigidas por regulamentos aplicáveis;</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extração</w:t>
      </w:r>
      <w:proofErr w:type="gramEnd"/>
      <w:r w:rsidRPr="00605EA1">
        <w:rPr>
          <w:sz w:val="22"/>
          <w:szCs w:val="22"/>
        </w:rPr>
        <w:t xml:space="preserve"> de certidões;</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despesas</w:t>
      </w:r>
      <w:proofErr w:type="gramEnd"/>
      <w:r w:rsidRPr="00605EA1">
        <w:rPr>
          <w:sz w:val="22"/>
          <w:szCs w:val="22"/>
        </w:rPr>
        <w:t xml:space="preserve"> cartorárias;</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transporte</w:t>
      </w:r>
      <w:proofErr w:type="gramEnd"/>
      <w:r w:rsidRPr="00605EA1">
        <w:rPr>
          <w:sz w:val="22"/>
          <w:szCs w:val="22"/>
        </w:rPr>
        <w:t>, viagens, alimentação e estadas, quando necessárias ao desempenho de suas funções nos termos desta Escritura de Emissão;</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despesas</w:t>
      </w:r>
      <w:proofErr w:type="gramEnd"/>
      <w:r w:rsidRPr="00605EA1">
        <w:rPr>
          <w:sz w:val="22"/>
          <w:szCs w:val="22"/>
        </w:rPr>
        <w:t xml:space="preserve"> com fotocópias, digitalizações e envio de documentos;</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despesas</w:t>
      </w:r>
      <w:proofErr w:type="gramEnd"/>
      <w:r w:rsidRPr="00605EA1">
        <w:rPr>
          <w:sz w:val="22"/>
          <w:szCs w:val="22"/>
        </w:rPr>
        <w:t xml:space="preserve"> com contatos telefônicos e conferências telefônicas;</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bookmarkStart w:id="160" w:name="_Ref130287028"/>
      <w:proofErr w:type="gramStart"/>
      <w:r w:rsidRPr="00605EA1">
        <w:rPr>
          <w:sz w:val="22"/>
          <w:szCs w:val="22"/>
        </w:rPr>
        <w:t>despesas</w:t>
      </w:r>
      <w:proofErr w:type="gramEnd"/>
      <w:r w:rsidRPr="00605EA1">
        <w:rPr>
          <w:sz w:val="22"/>
          <w:szCs w:val="22"/>
        </w:rPr>
        <w:t xml:space="preserve"> com especialistas, tais como auditoria e fiscalização; e</w:t>
      </w:r>
    </w:p>
    <w:p w:rsidR="004C620B" w:rsidRPr="001E66A9" w:rsidRDefault="00605EA1">
      <w:pPr>
        <w:pStyle w:val="Level5"/>
        <w:widowControl w:val="0"/>
        <w:tabs>
          <w:tab w:val="clear" w:pos="2721"/>
          <w:tab w:val="num" w:pos="2041"/>
        </w:tabs>
        <w:spacing w:before="140" w:after="0" w:line="276" w:lineRule="auto"/>
        <w:ind w:left="0" w:firstLine="0"/>
        <w:rPr>
          <w:sz w:val="22"/>
          <w:szCs w:val="22"/>
        </w:rPr>
      </w:pPr>
      <w:proofErr w:type="gramStart"/>
      <w:r w:rsidRPr="00605EA1">
        <w:rPr>
          <w:sz w:val="22"/>
          <w:szCs w:val="22"/>
        </w:rPr>
        <w:t>contratação</w:t>
      </w:r>
      <w:proofErr w:type="gramEnd"/>
      <w:r w:rsidRPr="00605EA1">
        <w:rPr>
          <w:sz w:val="22"/>
          <w:szCs w:val="22"/>
        </w:rPr>
        <w:t xml:space="preserve"> de assessoria jurídica aos Debenturistas;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1" w:name="_Ref312338168"/>
      <w:proofErr w:type="gramStart"/>
      <w:r w:rsidRPr="00605EA1">
        <w:rPr>
          <w:sz w:val="22"/>
          <w:szCs w:val="22"/>
        </w:rPr>
        <w:t>poderá</w:t>
      </w:r>
      <w:proofErr w:type="gramEnd"/>
      <w:r w:rsidRPr="00605EA1">
        <w:rPr>
          <w:sz w:val="22"/>
          <w:szCs w:val="22"/>
        </w:rPr>
        <w:t>, em caso de inadimplência da Companhia no pagamento das despesas a que se referem os incisos </w:t>
      </w:r>
      <w:fldSimple w:instr=" REF _Ref264564354 \n \h  \* MERGEFORMAT ">
        <w:r w:rsidRPr="00605EA1">
          <w:rPr>
            <w:sz w:val="22"/>
            <w:szCs w:val="22"/>
          </w:rPr>
          <w:t>(i)</w:t>
        </w:r>
      </w:fldSimple>
      <w:r w:rsidR="001068B6" w:rsidRPr="001E66A9">
        <w:rPr>
          <w:sz w:val="22"/>
          <w:szCs w:val="22"/>
        </w:rPr>
        <w:t xml:space="preserve"> e </w:t>
      </w:r>
      <w:fldSimple w:instr=" REF _Ref130284022 \r \p \h  \* MERGEFORMAT ">
        <w:r w:rsidRPr="00605EA1">
          <w:rPr>
            <w:sz w:val="22"/>
            <w:szCs w:val="22"/>
          </w:rPr>
          <w:t>(ii) acima</w:t>
        </w:r>
      </w:fldSimple>
      <w:r w:rsidR="001068B6" w:rsidRPr="001E66A9">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60"/>
      <w:bookmarkEnd w:id="161"/>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w:t>
      </w:r>
      <w:proofErr w:type="gramEnd"/>
      <w:r w:rsidRPr="00605EA1">
        <w:rPr>
          <w:sz w:val="22"/>
          <w:szCs w:val="22"/>
        </w:rPr>
        <w:t xml:space="preserve"> crédito do Agente Fiduciário por despesas incorridas para proteger direitos e interesses ou realizar créditos dos Debenturistas que não tenha sido saldado na forma prevista no inciso </w:t>
      </w:r>
      <w:fldSimple w:instr=" REF _Ref312338168 \n \p \h  \* MERGEFORMAT ">
        <w:r w:rsidRPr="00605EA1">
          <w:rPr>
            <w:sz w:val="22"/>
            <w:szCs w:val="22"/>
          </w:rPr>
          <w:t>(iii) acima</w:t>
        </w:r>
      </w:fldSimple>
      <w:r w:rsidR="001068B6" w:rsidRPr="001E66A9">
        <w:rPr>
          <w:sz w:val="22"/>
          <w:szCs w:val="22"/>
        </w:rPr>
        <w:t xml:space="preserve"> será acrescido à dívida da Companhia, tendo preferência sobre esta na ordem de pagamento.</w:t>
      </w:r>
    </w:p>
    <w:p w:rsidR="004C620B" w:rsidRPr="001E66A9" w:rsidRDefault="00605EA1">
      <w:pPr>
        <w:pStyle w:val="Level2"/>
        <w:widowControl w:val="0"/>
        <w:spacing w:before="140" w:after="0" w:line="276" w:lineRule="auto"/>
        <w:ind w:left="0" w:firstLine="0"/>
        <w:rPr>
          <w:rFonts w:cs="Arial"/>
          <w:sz w:val="22"/>
          <w:szCs w:val="22"/>
        </w:rPr>
      </w:pPr>
      <w:bookmarkStart w:id="162" w:name="_Ref164589409"/>
      <w:r w:rsidRPr="00605EA1">
        <w:rPr>
          <w:rFonts w:cs="Arial"/>
          <w:sz w:val="22"/>
          <w:szCs w:val="22"/>
        </w:rPr>
        <w:t>Além de outros previstos em lei, na regulamentação da CVM e nesta Escritura de Emissão, constituem deveres e atribuições do Agente Fiduciário:</w:t>
      </w:r>
      <w:bookmarkEnd w:id="162"/>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3" w:name="_Ref130283640"/>
      <w:proofErr w:type="gramStart"/>
      <w:r w:rsidRPr="00605EA1">
        <w:rPr>
          <w:sz w:val="22"/>
          <w:szCs w:val="22"/>
        </w:rPr>
        <w:t>exercer</w:t>
      </w:r>
      <w:proofErr w:type="gramEnd"/>
      <w:r w:rsidRPr="00605EA1">
        <w:rPr>
          <w:sz w:val="22"/>
          <w:szCs w:val="22"/>
        </w:rPr>
        <w:t xml:space="preserve"> suas atividades com boa-fé, transparência e lealdade para com os Debenturistas;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proteger</w:t>
      </w:r>
      <w:proofErr w:type="gramEnd"/>
      <w:r w:rsidRPr="00605EA1">
        <w:rPr>
          <w:sz w:val="22"/>
          <w:szCs w:val="22"/>
        </w:rPr>
        <w:t xml:space="preserve"> os direitos e interesses dos Debenturistas, empregando, no exercício da função, o cuidado e a diligência com que todo homem ativo e probo costuma empregar na administração de seus próprios bens;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renunciar</w:t>
      </w:r>
      <w:proofErr w:type="gramEnd"/>
      <w:r w:rsidRPr="00605EA1">
        <w:rPr>
          <w:sz w:val="22"/>
          <w:szCs w:val="22"/>
        </w:rPr>
        <w:t xml:space="preserve">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conservar</w:t>
      </w:r>
      <w:proofErr w:type="gramEnd"/>
      <w:r w:rsidRPr="00605EA1">
        <w:rPr>
          <w:sz w:val="22"/>
          <w:szCs w:val="22"/>
        </w:rPr>
        <w:t xml:space="preserve"> em boa guarda toda a documentação relativa ao exercício de suas funções;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verificar</w:t>
      </w:r>
      <w:proofErr w:type="gramEnd"/>
      <w:r w:rsidRPr="00605EA1">
        <w:rPr>
          <w:sz w:val="22"/>
          <w:szCs w:val="22"/>
        </w:rPr>
        <w:t>, no momento de aceitar a função, a consistência das informações contidas nesta Escritura de Emissão, diligenciando no sentido de que sejam sanadas as omissões, falhas ou defeitos de que tenha conhecimento;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diligenciar</w:t>
      </w:r>
      <w:proofErr w:type="gramEnd"/>
      <w:r w:rsidRPr="00605EA1">
        <w:rPr>
          <w:sz w:val="22"/>
          <w:szCs w:val="22"/>
        </w:rPr>
        <w:t xml:space="preserve"> junto à Companhia para que esta Escritura de Emissão e seus aditamentos sejam inscritos nos termos da Cláusula </w:t>
      </w:r>
      <w:fldSimple w:instr=" REF _Ref376965967 \n \p \h  \* MERGEFORMAT ">
        <w:r w:rsidRPr="00605EA1">
          <w:rPr>
            <w:sz w:val="22"/>
            <w:szCs w:val="22"/>
          </w:rPr>
          <w:t>0 acima</w:t>
        </w:r>
      </w:fldSimple>
      <w:r w:rsidR="001068B6" w:rsidRPr="001E66A9">
        <w:rPr>
          <w:sz w:val="22"/>
          <w:szCs w:val="22"/>
        </w:rPr>
        <w:t>, adotando, no caso da omissão da Companhia, as medidas eventualmente previstas em lei;</w:t>
      </w:r>
    </w:p>
    <w:p w:rsidR="004C620B" w:rsidRPr="001E66A9" w:rsidRDefault="001068B6">
      <w:pPr>
        <w:pStyle w:val="Level4"/>
        <w:widowControl w:val="0"/>
        <w:tabs>
          <w:tab w:val="clear" w:pos="2041"/>
          <w:tab w:val="num" w:pos="1361"/>
        </w:tabs>
        <w:spacing w:before="140" w:after="0" w:line="276" w:lineRule="auto"/>
        <w:ind w:left="0" w:firstLine="0"/>
        <w:rPr>
          <w:sz w:val="22"/>
          <w:szCs w:val="22"/>
        </w:rPr>
      </w:pPr>
      <w:proofErr w:type="gramStart"/>
      <w:r w:rsidRPr="001E66A9">
        <w:rPr>
          <w:sz w:val="22"/>
          <w:szCs w:val="22"/>
        </w:rPr>
        <w:t>acompanhar</w:t>
      </w:r>
      <w:proofErr w:type="gramEnd"/>
      <w:r w:rsidRPr="001E66A9">
        <w:rPr>
          <w:sz w:val="22"/>
          <w:szCs w:val="22"/>
        </w:rPr>
        <w:t xml:space="preserve"> a prestação das informações periódicas pela Companhia e alertar os Debenturistas, no relatório anual de que trata o inciso </w:t>
      </w:r>
      <w:fldSimple w:instr=" REF _Ref480236077 \n \p \h  \* MERGEFORMAT ">
        <w:r w:rsidR="00605EA1" w:rsidRPr="00605EA1">
          <w:rPr>
            <w:sz w:val="22"/>
            <w:szCs w:val="22"/>
          </w:rPr>
          <w:t>(xvii) abaixo</w:t>
        </w:r>
      </w:fldSimple>
      <w:r w:rsidRPr="001E66A9">
        <w:rPr>
          <w:sz w:val="22"/>
          <w:szCs w:val="22"/>
        </w:rPr>
        <w:t>, sobre inconsistências ou omissões de que tenha conhecimento;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opinar</w:t>
      </w:r>
      <w:proofErr w:type="gramEnd"/>
      <w:r w:rsidRPr="00605EA1">
        <w:rPr>
          <w:sz w:val="22"/>
          <w:szCs w:val="22"/>
        </w:rPr>
        <w:t xml:space="preserve"> sobre a suficiência das informações prestadas nas propostas de modificação das condições das Debêntures;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solicitar</w:t>
      </w:r>
      <w:proofErr w:type="gramEnd"/>
      <w:r w:rsidRPr="00605EA1">
        <w:rPr>
          <w:sz w:val="22"/>
          <w:szCs w:val="22"/>
        </w:rPr>
        <w:t>,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solicitar</w:t>
      </w:r>
      <w:proofErr w:type="gramEnd"/>
      <w:r w:rsidRPr="00605EA1">
        <w:rPr>
          <w:sz w:val="22"/>
          <w:szCs w:val="22"/>
        </w:rPr>
        <w:t>, quando considerar necessário, auditoria externa da Companhia;</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convocar</w:t>
      </w:r>
      <w:proofErr w:type="gramEnd"/>
      <w:r w:rsidRPr="00605EA1">
        <w:rPr>
          <w:sz w:val="22"/>
          <w:szCs w:val="22"/>
        </w:rPr>
        <w:t>, quando necessário, assembleia geral de Debenturistas nos termos da Lei das Sociedades por Ações e da Cláusula </w:t>
      </w:r>
      <w:fldSimple w:instr=" REF _Ref187755774 \r \p \h  \* MERGEFORMAT ">
        <w:r w:rsidRPr="00605EA1">
          <w:rPr>
            <w:sz w:val="22"/>
            <w:szCs w:val="22"/>
          </w:rPr>
          <w:t>11.3 abaixo</w:t>
        </w:r>
      </w:fldSimple>
      <w:r w:rsidR="001068B6" w:rsidRPr="001E66A9">
        <w:rPr>
          <w:sz w:val="22"/>
          <w:szCs w:val="22"/>
        </w:rPr>
        <w:t>;</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comparecer</w:t>
      </w:r>
      <w:proofErr w:type="gramEnd"/>
      <w:r w:rsidRPr="00605EA1">
        <w:rPr>
          <w:sz w:val="22"/>
          <w:szCs w:val="22"/>
        </w:rPr>
        <w:t xml:space="preserve"> às assembleias gerais de Debenturistas a fim de prestar as informações que lhe forem solicitadas;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manter</w:t>
      </w:r>
      <w:proofErr w:type="gramEnd"/>
      <w:r w:rsidRPr="00605EA1">
        <w:rPr>
          <w:sz w:val="22"/>
          <w:szCs w:val="22"/>
        </w:rPr>
        <w:t xml:space="preserve"> atualizada a relação dos Debenturistas e seus endereços, mediante, inclusive, gestões perante a Companhia, o Escriturador, o Banco Liquidante e a B3, sendo que, para fins de atendimento ao disposto neste inciso, a Companhia </w:t>
      </w:r>
      <w:r w:rsidRPr="00605EA1">
        <w:rPr>
          <w:rFonts w:eastAsia="Arial Unicode MS"/>
          <w:w w:val="0"/>
          <w:sz w:val="22"/>
          <w:szCs w:val="22"/>
        </w:rPr>
        <w:t>e os Debenturistas, assim que subscreverem e integralizarem ou adquirirem as Debêntures,</w:t>
      </w:r>
      <w:r w:rsidRPr="00605EA1">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coordenar</w:t>
      </w:r>
      <w:proofErr w:type="gramEnd"/>
      <w:r w:rsidRPr="00605EA1">
        <w:rPr>
          <w:sz w:val="22"/>
          <w:szCs w:val="22"/>
        </w:rPr>
        <w:t xml:space="preserve"> o sorteio das Debêntures a serem resgatadas nos casos previstos nesta Escritura de Emissão, se aplicável;</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fiscalizar</w:t>
      </w:r>
      <w:proofErr w:type="gramEnd"/>
      <w:r w:rsidRPr="00605EA1">
        <w:rPr>
          <w:sz w:val="22"/>
          <w:szCs w:val="22"/>
        </w:rPr>
        <w:t xml:space="preserve"> o cumprimento das cláusulas constantes desta Escritura de Emissão, inclusive (a) daquelas impositivas de obrigações de fazer e de não fazer e; (b) daquela relativa à observância do Índice Financeiro;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comunicar</w:t>
      </w:r>
      <w:proofErr w:type="gramEnd"/>
      <w:r w:rsidRPr="00605EA1">
        <w:rPr>
          <w:sz w:val="22"/>
          <w:szCs w:val="22"/>
        </w:rPr>
        <w:t xml:space="preserve">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4" w:name="_Ref480236077"/>
      <w:proofErr w:type="gramStart"/>
      <w:r w:rsidRPr="00605EA1">
        <w:rPr>
          <w:sz w:val="22"/>
          <w:szCs w:val="22"/>
        </w:rPr>
        <w:t>no</w:t>
      </w:r>
      <w:proofErr w:type="gramEnd"/>
      <w:r w:rsidRPr="00605EA1">
        <w:rPr>
          <w:sz w:val="22"/>
          <w:szCs w:val="22"/>
        </w:rPr>
        <w:t xml:space="preserve">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4"/>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manter</w:t>
      </w:r>
      <w:proofErr w:type="gramEnd"/>
      <w:r w:rsidRPr="00605EA1">
        <w:rPr>
          <w:sz w:val="22"/>
          <w:szCs w:val="22"/>
        </w:rPr>
        <w:t xml:space="preserve"> o relatório anual a que se refere o inciso </w:t>
      </w:r>
      <w:fldSimple w:instr=" REF _Ref480236077 \n \p \h  \* MERGEFORMAT ">
        <w:r w:rsidRPr="00605EA1">
          <w:rPr>
            <w:sz w:val="22"/>
            <w:szCs w:val="22"/>
          </w:rPr>
          <w:t>(xvii) acima</w:t>
        </w:r>
      </w:fldSimple>
      <w:r w:rsidR="001068B6" w:rsidRPr="001E66A9">
        <w:rPr>
          <w:sz w:val="22"/>
          <w:szCs w:val="22"/>
        </w:rPr>
        <w:t xml:space="preserve"> disponível para consulta pública em sua página na Internet pelo prazo de 3 (três) anos;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manter</w:t>
      </w:r>
      <w:proofErr w:type="gramEnd"/>
      <w:r w:rsidRPr="00605EA1">
        <w:rPr>
          <w:sz w:val="22"/>
          <w:szCs w:val="22"/>
        </w:rPr>
        <w:t xml:space="preserve"> disponível em sua página na Internet lista atualizada das emissões em que exerce a função de agente fiduciário, agente de notas ou agente de garantias;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divulgar</w:t>
      </w:r>
      <w:proofErr w:type="gramEnd"/>
      <w:r w:rsidRPr="00605EA1">
        <w:rPr>
          <w:sz w:val="22"/>
          <w:szCs w:val="22"/>
        </w:rPr>
        <w:t xml:space="preserve"> em sua página na Internet as informações previstas no artigo 16 da Instrução CVM 583 e mantê-las disponíveis para consulta pública em sua página na Internet pelo prazo de 3 (três) anos; e</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divulgar</w:t>
      </w:r>
      <w:proofErr w:type="gramEnd"/>
      <w:r w:rsidRPr="00605EA1">
        <w:rPr>
          <w:sz w:val="22"/>
          <w:szCs w:val="22"/>
        </w:rPr>
        <w:t xml:space="preserve"> aos Debenturistas e demais participantes do mercado, em sua página na Internet e/ou em sua central de atendimento, em cada Dia Útil, o Valor Nominal Unitário das Debêntures, conforme o caso, calculado pela Companhia em conjunto com o Agente Fiduciário.</w:t>
      </w:r>
    </w:p>
    <w:p w:rsidR="004C620B" w:rsidRPr="001E66A9" w:rsidRDefault="00605EA1">
      <w:pPr>
        <w:pStyle w:val="Level2"/>
        <w:widowControl w:val="0"/>
        <w:spacing w:before="140" w:after="0" w:line="276" w:lineRule="auto"/>
        <w:ind w:left="0" w:firstLine="0"/>
        <w:rPr>
          <w:rFonts w:cs="Arial"/>
          <w:sz w:val="22"/>
          <w:szCs w:val="22"/>
        </w:rPr>
      </w:pPr>
      <w:bookmarkStart w:id="165" w:name="_Ref264564739"/>
      <w:bookmarkStart w:id="166" w:name="_Ref494783220"/>
      <w:r w:rsidRPr="00605EA1">
        <w:rPr>
          <w:rFonts w:cs="Arial"/>
          <w:sz w:val="22"/>
          <w:szCs w:val="22"/>
        </w:rPr>
        <w:t xml:space="preserve">No caso de inadimplemento, pela Companhia, de qualquer de suas obrigações previstas nesta Escritura de Emissão, deverá o Agente Fiduciário </w:t>
      </w:r>
      <w:bookmarkEnd w:id="163"/>
      <w:bookmarkEnd w:id="165"/>
      <w:r w:rsidRPr="00605EA1">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66"/>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7" w:name="_Ref130286637"/>
      <w:proofErr w:type="gramStart"/>
      <w:r w:rsidRPr="00605EA1">
        <w:rPr>
          <w:sz w:val="22"/>
          <w:szCs w:val="22"/>
        </w:rPr>
        <w:t>declarar</w:t>
      </w:r>
      <w:proofErr w:type="gramEnd"/>
      <w:r w:rsidRPr="00605EA1">
        <w:rPr>
          <w:sz w:val="22"/>
          <w:szCs w:val="22"/>
        </w:rPr>
        <w:t>, observadas as condições desta Escritura de Emissão, antecipadamente vencidas as obrigações decorrentes das Debêntures, e cobrar seu principal e acessórios;</w:t>
      </w:r>
      <w:bookmarkEnd w:id="167"/>
    </w:p>
    <w:p w:rsidR="004C620B" w:rsidRPr="001E66A9" w:rsidRDefault="00605EA1">
      <w:pPr>
        <w:pStyle w:val="Level4"/>
        <w:widowControl w:val="0"/>
        <w:tabs>
          <w:tab w:val="clear" w:pos="2041"/>
          <w:tab w:val="num" w:pos="1361"/>
        </w:tabs>
        <w:spacing w:before="140" w:after="0" w:line="276" w:lineRule="auto"/>
        <w:ind w:left="0" w:firstLine="0"/>
        <w:rPr>
          <w:sz w:val="22"/>
          <w:szCs w:val="22"/>
        </w:rPr>
      </w:pPr>
      <w:proofErr w:type="gramStart"/>
      <w:r w:rsidRPr="00605EA1">
        <w:rPr>
          <w:sz w:val="22"/>
          <w:szCs w:val="22"/>
        </w:rPr>
        <w:t>requerer</w:t>
      </w:r>
      <w:proofErr w:type="gramEnd"/>
      <w:r w:rsidRPr="00605EA1">
        <w:rPr>
          <w:sz w:val="22"/>
          <w:szCs w:val="22"/>
        </w:rPr>
        <w:t xml:space="preserve"> a falência da Companhia, se não existirem garantias reais;</w:t>
      </w:r>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8" w:name="_Ref130286643"/>
      <w:proofErr w:type="gramStart"/>
      <w:r w:rsidRPr="00605EA1">
        <w:rPr>
          <w:sz w:val="22"/>
          <w:szCs w:val="22"/>
        </w:rPr>
        <w:t>tomar</w:t>
      </w:r>
      <w:proofErr w:type="gramEnd"/>
      <w:r w:rsidRPr="00605EA1">
        <w:rPr>
          <w:sz w:val="22"/>
          <w:szCs w:val="22"/>
        </w:rPr>
        <w:t xml:space="preserve"> quaisquer outras providências necessárias para que os Debenturistas realizem seus créditos; e</w:t>
      </w:r>
      <w:bookmarkEnd w:id="168"/>
    </w:p>
    <w:p w:rsidR="004C620B" w:rsidRPr="001E66A9" w:rsidRDefault="00605EA1">
      <w:pPr>
        <w:pStyle w:val="Level4"/>
        <w:widowControl w:val="0"/>
        <w:tabs>
          <w:tab w:val="clear" w:pos="2041"/>
          <w:tab w:val="num" w:pos="1361"/>
        </w:tabs>
        <w:spacing w:before="140" w:after="0" w:line="276" w:lineRule="auto"/>
        <w:ind w:left="0" w:firstLine="0"/>
        <w:rPr>
          <w:sz w:val="22"/>
          <w:szCs w:val="22"/>
        </w:rPr>
      </w:pPr>
      <w:bookmarkStart w:id="169" w:name="_Ref130286653"/>
      <w:proofErr w:type="gramStart"/>
      <w:r w:rsidRPr="00605EA1">
        <w:rPr>
          <w:sz w:val="22"/>
          <w:szCs w:val="22"/>
        </w:rPr>
        <w:t>representar</w:t>
      </w:r>
      <w:proofErr w:type="gramEnd"/>
      <w:r w:rsidRPr="00605EA1">
        <w:rPr>
          <w:sz w:val="22"/>
          <w:szCs w:val="22"/>
        </w:rPr>
        <w:t xml:space="preserve"> os Debenturistas em processo de falência, recuperação judicial, recuperação extrajudicial ou, se aplicável, intervenção ou liquidação extrajudicial da Companhia.</w:t>
      </w:r>
      <w:bookmarkEnd w:id="169"/>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 Agente Fiduciário pode se balizar nas informações que lhe forem disponibilizadas pela Companhia para acompanhar o atendimento do Índice Financeiro.</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w:t>
      </w:r>
      <w:proofErr w:type="gramStart"/>
      <w:r w:rsidRPr="00605EA1">
        <w:rPr>
          <w:rFonts w:cs="Arial"/>
          <w:sz w:val="22"/>
          <w:szCs w:val="22"/>
        </w:rPr>
        <w:t>sob obrigação</w:t>
      </w:r>
      <w:proofErr w:type="gramEnd"/>
      <w:r w:rsidRPr="00605EA1">
        <w:rPr>
          <w:rFonts w:cs="Arial"/>
          <w:sz w:val="22"/>
          <w:szCs w:val="22"/>
        </w:rPr>
        <w:t xml:space="preserve"> legal e regulamentar da Companhia elaborá-los, nos termos da legislação aplicável.</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4C620B" w:rsidRPr="001E66A9" w:rsidRDefault="00605EA1">
      <w:pPr>
        <w:pStyle w:val="Level1"/>
        <w:keepNext w:val="0"/>
        <w:keepLines w:val="0"/>
        <w:widowControl w:val="0"/>
        <w:tabs>
          <w:tab w:val="clear" w:pos="680"/>
          <w:tab w:val="num" w:pos="851"/>
        </w:tabs>
        <w:spacing w:before="140" w:after="0" w:line="276" w:lineRule="auto"/>
        <w:ind w:left="0" w:firstLine="0"/>
        <w:rPr>
          <w:smallCaps/>
        </w:rPr>
      </w:pPr>
      <w:bookmarkStart w:id="170" w:name="_Ref272246430"/>
      <w:r w:rsidRPr="00605EA1">
        <w:rPr>
          <w:smallCaps/>
        </w:rPr>
        <w:t>ASSEMBLEIA GERAL DE DEBENTURISTAS</w:t>
      </w:r>
      <w:bookmarkEnd w:id="170"/>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71" w:name="_Ref379625198"/>
      <w:r w:rsidRPr="00605EA1">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sidRPr="00605EA1">
        <w:rPr>
          <w:rFonts w:cs="Arial"/>
          <w:b/>
          <w:sz w:val="22"/>
          <w:szCs w:val="22"/>
        </w:rPr>
        <w:t>Assembleias Gerais</w:t>
      </w:r>
      <w:r w:rsidRPr="00605EA1">
        <w:rPr>
          <w:rFonts w:cs="Arial"/>
          <w:sz w:val="22"/>
          <w:szCs w:val="22"/>
        </w:rPr>
        <w:t>” ou “</w:t>
      </w:r>
      <w:r w:rsidRPr="00605EA1">
        <w:rPr>
          <w:rFonts w:cs="Arial"/>
          <w:b/>
          <w:sz w:val="22"/>
          <w:szCs w:val="22"/>
        </w:rPr>
        <w:t>Assembleia Geral</w:t>
      </w:r>
      <w:r w:rsidRPr="00605EA1">
        <w:rPr>
          <w:rFonts w:cs="Arial"/>
          <w:sz w:val="22"/>
          <w:szCs w:val="22"/>
        </w:rPr>
        <w:t>”).</w:t>
      </w:r>
      <w:bookmarkEnd w:id="171"/>
      <w:r w:rsidRPr="00605EA1">
        <w:rPr>
          <w:rFonts w:cs="Arial"/>
          <w:sz w:val="22"/>
          <w:szCs w:val="22"/>
        </w:rPr>
        <w:t xml:space="preserve"> </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As Assembleias Gerais poderão ser convocadas pelo Agente Fiduciário, pela Companhia, por Debenturistas que representem, no mínimo, 10% (dez por cento) das Debêntures em Circulação, ou pela CVM.</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72" w:name="_Ref187755774"/>
      <w:r w:rsidRPr="00605EA1">
        <w:rPr>
          <w:rFonts w:cs="Arial"/>
          <w:sz w:val="22"/>
          <w:szCs w:val="22"/>
        </w:rPr>
        <w:t xml:space="preserve">A convocação das Assembleias Gerais dar-se-á mediante anúncio publicado pelo menos </w:t>
      </w:r>
      <w:proofErr w:type="gramStart"/>
      <w:r w:rsidRPr="00605EA1">
        <w:rPr>
          <w:rFonts w:cs="Arial"/>
          <w:sz w:val="22"/>
          <w:szCs w:val="22"/>
        </w:rPr>
        <w:t>3</w:t>
      </w:r>
      <w:proofErr w:type="gramEnd"/>
      <w:r w:rsidRPr="00605EA1">
        <w:rPr>
          <w:rFonts w:cs="Arial"/>
          <w:sz w:val="22"/>
          <w:szCs w:val="22"/>
        </w:rPr>
        <w:t> (três) vezes, com a antecedência de 8 (oito) dias, para primeira convocação e, de 5 (cinco) dias para a segunda convocação, nos termos da Cláusula </w:t>
      </w:r>
      <w:fldSimple w:instr=" REF _Ref130286395 \r \p \h  \* MERGEFORMAT ">
        <w:r w:rsidRPr="00605EA1">
          <w:rPr>
            <w:rFonts w:cs="Arial"/>
            <w:sz w:val="22"/>
            <w:szCs w:val="22"/>
          </w:rPr>
          <w:t>1.1 acima</w:t>
        </w:r>
      </w:fldSimple>
      <w:r w:rsidR="001068B6" w:rsidRPr="001E66A9">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2"/>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As Assembleias Gerais instalar-se-ão, em primeira convocação, com a presença de titulares de, no mínimo, metade das Debêntures em Circulação, e, em segunda convocação, com qualquer quórum.</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r w:rsidRPr="00605EA1">
        <w:rPr>
          <w:rFonts w:cs="Arial"/>
          <w:sz w:val="22"/>
          <w:szCs w:val="22"/>
        </w:rPr>
        <w:t>A presidência das Assembleias Gerais caberá ao Debenturista eleito por estes próprios ou àquele que for designado pela CVM.</w:t>
      </w:r>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73" w:name="_Ref130286717"/>
      <w:r w:rsidRPr="00605EA1">
        <w:rPr>
          <w:rFonts w:cs="Arial"/>
          <w:sz w:val="22"/>
          <w:szCs w:val="22"/>
        </w:rPr>
        <w:t>[Nas deliberações das Assembleias Gerais, a cada uma das Debêntures em Circulação caberá um voto, admitida a constituição de mandatário, Debenturista ou não. Exceto pelo disposto na Cláusula </w:t>
      </w:r>
      <w:fldSimple w:instr=" REF _Ref130286715 \r \p \h  \* MERGEFORMAT ">
        <w:r w:rsidRPr="00605EA1">
          <w:rPr>
            <w:rFonts w:cs="Arial"/>
            <w:sz w:val="22"/>
            <w:szCs w:val="22"/>
          </w:rPr>
          <w:t>11.7 abaixo</w:t>
        </w:r>
      </w:fldSimple>
      <w:r w:rsidR="001068B6" w:rsidRPr="001E66A9">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proofErr w:type="gramStart"/>
      <w:r w:rsidR="001068B6" w:rsidRPr="001E66A9">
        <w:rPr>
          <w:rFonts w:cs="Arial"/>
          <w:sz w:val="22"/>
          <w:szCs w:val="22"/>
        </w:rPr>
        <w:t xml:space="preserve"> </w:t>
      </w:r>
      <w:bookmarkEnd w:id="173"/>
      <w:r w:rsidR="001068B6" w:rsidRPr="001E66A9">
        <w:rPr>
          <w:rFonts w:cs="Arial"/>
          <w:sz w:val="22"/>
          <w:szCs w:val="22"/>
        </w:rPr>
        <w:t>]</w:t>
      </w:r>
      <w:proofErr w:type="gramEnd"/>
      <w:r w:rsidR="001068B6" w:rsidRPr="001E66A9">
        <w:rPr>
          <w:rFonts w:cs="Arial"/>
          <w:sz w:val="22"/>
          <w:szCs w:val="22"/>
        </w:rPr>
        <w:t xml:space="preserve"> </w:t>
      </w:r>
    </w:p>
    <w:p w:rsidR="004C620B" w:rsidRPr="001E66A9" w:rsidRDefault="001068B6">
      <w:pPr>
        <w:pStyle w:val="Level2"/>
        <w:widowControl w:val="0"/>
        <w:tabs>
          <w:tab w:val="clear" w:pos="680"/>
          <w:tab w:val="num" w:pos="851"/>
        </w:tabs>
        <w:spacing w:before="140" w:after="0" w:line="276" w:lineRule="auto"/>
        <w:ind w:left="0" w:firstLine="0"/>
        <w:rPr>
          <w:rFonts w:cs="Arial"/>
          <w:sz w:val="22"/>
          <w:szCs w:val="22"/>
        </w:rPr>
      </w:pPr>
      <w:bookmarkStart w:id="174" w:name="_Ref130286715"/>
      <w:r w:rsidRPr="001E66A9">
        <w:rPr>
          <w:rFonts w:cs="Arial"/>
          <w:sz w:val="22"/>
          <w:szCs w:val="22"/>
        </w:rPr>
        <w:t xml:space="preserve">Não estão incluídos no quórum a que se refere </w:t>
      </w:r>
      <w:proofErr w:type="gramStart"/>
      <w:r w:rsidRPr="001E66A9">
        <w:rPr>
          <w:rFonts w:cs="Arial"/>
          <w:sz w:val="22"/>
          <w:szCs w:val="22"/>
        </w:rPr>
        <w:t>a</w:t>
      </w:r>
      <w:proofErr w:type="gramEnd"/>
      <w:r w:rsidRPr="001E66A9">
        <w:rPr>
          <w:rFonts w:cs="Arial"/>
          <w:sz w:val="22"/>
          <w:szCs w:val="22"/>
        </w:rPr>
        <w:t xml:space="preserve"> Cláusula </w:t>
      </w:r>
      <w:fldSimple w:instr=" REF _Ref130286717 \r \p \h  \* MERGEFORMAT ">
        <w:r w:rsidR="00605EA1" w:rsidRPr="00605EA1">
          <w:rPr>
            <w:rFonts w:cs="Arial"/>
            <w:sz w:val="22"/>
            <w:szCs w:val="22"/>
          </w:rPr>
          <w:t>11.6 acima</w:t>
        </w:r>
      </w:fldSimple>
      <w:r w:rsidRPr="001E66A9">
        <w:rPr>
          <w:rFonts w:cs="Arial"/>
          <w:sz w:val="22"/>
          <w:szCs w:val="22"/>
        </w:rPr>
        <w:t>:</w:t>
      </w:r>
      <w:bookmarkEnd w:id="174"/>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proofErr w:type="gramStart"/>
      <w:r w:rsidRPr="00605EA1">
        <w:rPr>
          <w:sz w:val="22"/>
          <w:szCs w:val="22"/>
        </w:rPr>
        <w:t>os</w:t>
      </w:r>
      <w:proofErr w:type="gramEnd"/>
      <w:r w:rsidRPr="00605EA1">
        <w:rPr>
          <w:sz w:val="22"/>
          <w:szCs w:val="22"/>
        </w:rPr>
        <w:t xml:space="preserve"> quóruns expressamente previstos em outras Cláusulas desta Escritura de Emissão; e</w:t>
      </w:r>
    </w:p>
    <w:p w:rsidR="004C620B" w:rsidRPr="001E66A9" w:rsidRDefault="00605EA1">
      <w:pPr>
        <w:pStyle w:val="Level4"/>
        <w:widowControl w:val="0"/>
        <w:tabs>
          <w:tab w:val="clear" w:pos="2041"/>
          <w:tab w:val="num" w:pos="1361"/>
        </w:tabs>
        <w:spacing w:before="140" w:after="0" w:line="276" w:lineRule="auto"/>
        <w:ind w:left="851" w:firstLine="0"/>
        <w:rPr>
          <w:sz w:val="22"/>
          <w:szCs w:val="22"/>
        </w:rPr>
      </w:pPr>
      <w:proofErr w:type="gramStart"/>
      <w:r w:rsidRPr="00605EA1">
        <w:rPr>
          <w:sz w:val="22"/>
          <w:szCs w:val="22"/>
        </w:rPr>
        <w:t>as</w:t>
      </w:r>
      <w:proofErr w:type="gramEnd"/>
      <w:r w:rsidRPr="00605EA1">
        <w:rPr>
          <w:sz w:val="22"/>
          <w:szCs w:val="22"/>
        </w:rPr>
        <w:t xml:space="preserve">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fldSimple w:instr=" REF _Ref495492067 \r \h  \* MERGEFORMAT ">
        <w:r w:rsidRPr="00605EA1">
          <w:rPr>
            <w:sz w:val="22"/>
            <w:szCs w:val="22"/>
          </w:rPr>
          <w:t>1.1.1</w:t>
        </w:r>
      </w:fldSimple>
      <w:r w:rsidR="001068B6" w:rsidRPr="001E66A9">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001068B6" w:rsidRPr="001E66A9">
        <w:rPr>
          <w:rFonts w:eastAsia="Arial Unicode MS"/>
          <w:sz w:val="22"/>
          <w:szCs w:val="22"/>
        </w:rPr>
        <w:t>vento de Vencimento Antecipado</w:t>
      </w:r>
      <w:r w:rsidRPr="00605EA1">
        <w:rPr>
          <w:rFonts w:eastAsia="Arial Unicode MS"/>
          <w:sz w:val="22"/>
          <w:szCs w:val="22"/>
        </w:rPr>
        <w:t xml:space="preserve">.  </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renúncia ou o perdão temporário a um Evento de Vencimento Antecipado deverá ser aprovado de acordo com o disposto na Cláusula </w:t>
      </w:r>
      <w:fldSimple w:instr=" REF _Ref130286717 \r \p \h  \* MERGEFORMAT ">
        <w:r w:rsidRPr="00605EA1">
          <w:rPr>
            <w:rFonts w:cs="Arial"/>
            <w:color w:val="000000"/>
            <w:sz w:val="22"/>
            <w:szCs w:val="22"/>
          </w:rPr>
          <w:t>11.6 acima</w:t>
        </w:r>
      </w:fldSimple>
      <w:r w:rsidR="001068B6" w:rsidRPr="001E66A9">
        <w:rPr>
          <w:rFonts w:cs="Arial"/>
          <w:color w:val="000000"/>
          <w:sz w:val="22"/>
          <w:szCs w:val="22"/>
        </w:rPr>
        <w:t xml:space="preserve">. </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 xml:space="preserve">Fica desde já dispensada a realização de assembleia geral de Debenturistas para deliberar sobre (i) correção de erro grosseiro, de digitação ou aritmético; (ii) alterações a esta Escritura de </w:t>
      </w:r>
      <w:proofErr w:type="gramStart"/>
      <w:r w:rsidRPr="00605EA1">
        <w:rPr>
          <w:rFonts w:cs="Arial"/>
          <w:sz w:val="22"/>
          <w:szCs w:val="22"/>
        </w:rPr>
        <w:t>Emissão já expressamente permitidas nos termos desta Escritura de Emissão</w:t>
      </w:r>
      <w:proofErr w:type="gramEnd"/>
      <w:r w:rsidRPr="00605EA1">
        <w:rPr>
          <w:rFonts w:cs="Arial"/>
          <w:sz w:val="22"/>
          <w:szCs w:val="22"/>
        </w:rPr>
        <w:t>;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O Agente Fiduciário deverá comparecer às assembleias gerais de Debenturistas e prestar aos Debenturistas as informações que lhe forem solicitadas.</w:t>
      </w:r>
    </w:p>
    <w:p w:rsidR="004C620B" w:rsidRPr="001E66A9" w:rsidRDefault="00605EA1">
      <w:pPr>
        <w:pStyle w:val="Level2"/>
        <w:widowControl w:val="0"/>
        <w:spacing w:before="140" w:after="0" w:line="276" w:lineRule="auto"/>
        <w:ind w:left="0" w:firstLine="0"/>
        <w:rPr>
          <w:rFonts w:cs="Arial"/>
          <w:sz w:val="22"/>
          <w:szCs w:val="22"/>
        </w:rPr>
      </w:pPr>
      <w:bookmarkStart w:id="175" w:name="_Ref534176609"/>
      <w:r w:rsidRPr="00605EA1">
        <w:rPr>
          <w:rFonts w:cs="Arial"/>
          <w:sz w:val="22"/>
          <w:szCs w:val="22"/>
        </w:rPr>
        <w:t>Aplica-se às Assembleias Gerais, no que couber, o disposto na Lei das Sociedades por Ações, sobre a assembleia geral de acionistas.</w:t>
      </w:r>
    </w:p>
    <w:p w:rsidR="004C620B" w:rsidRPr="001E66A9" w:rsidRDefault="00605EA1">
      <w:pPr>
        <w:pStyle w:val="Level1"/>
        <w:keepNext w:val="0"/>
        <w:keepLines w:val="0"/>
        <w:widowControl w:val="0"/>
        <w:spacing w:before="140" w:after="0" w:line="276" w:lineRule="auto"/>
        <w:ind w:left="0" w:firstLine="0"/>
      </w:pPr>
      <w:bookmarkStart w:id="176" w:name="_Ref147910921"/>
      <w:r w:rsidRPr="00605EA1">
        <w:t>DECLARAÇÕES DA COMPANHIA</w:t>
      </w:r>
      <w:bookmarkEnd w:id="176"/>
    </w:p>
    <w:p w:rsidR="004C620B" w:rsidRPr="001E66A9" w:rsidRDefault="00605EA1">
      <w:pPr>
        <w:pStyle w:val="Level2"/>
        <w:widowControl w:val="0"/>
        <w:tabs>
          <w:tab w:val="clear" w:pos="680"/>
          <w:tab w:val="num" w:pos="851"/>
        </w:tabs>
        <w:spacing w:before="140" w:after="0" w:line="276" w:lineRule="auto"/>
        <w:ind w:left="0" w:firstLine="0"/>
        <w:rPr>
          <w:rFonts w:cs="Arial"/>
          <w:sz w:val="22"/>
          <w:szCs w:val="22"/>
        </w:rPr>
      </w:pPr>
      <w:bookmarkStart w:id="177" w:name="_Ref130286814"/>
      <w:r w:rsidRPr="00605EA1">
        <w:rPr>
          <w:rFonts w:cs="Arial"/>
          <w:sz w:val="22"/>
          <w:szCs w:val="22"/>
        </w:rPr>
        <w:t>A Companhia, nesta data, declara que:</w:t>
      </w:r>
      <w:bookmarkEnd w:id="175"/>
      <w:bookmarkEnd w:id="177"/>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é</w:t>
      </w:r>
      <w:proofErr w:type="gramEnd"/>
      <w:r w:rsidRPr="00605EA1">
        <w:rPr>
          <w:sz w:val="22"/>
          <w:szCs w:val="22"/>
        </w:rPr>
        <w:t xml:space="preserve"> sociedade devidamente organizada, constituída e existente sob a forma de sociedade por ações, de acordo com as leis brasileiras, sem registro de emissor de valores mobiliários perante a CVM;</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bookmarkStart w:id="178" w:name="_Ref130286824"/>
      <w:proofErr w:type="gramStart"/>
      <w:r w:rsidRPr="00605EA1">
        <w:rPr>
          <w:sz w:val="22"/>
          <w:szCs w:val="22"/>
        </w:rPr>
        <w:t>está</w:t>
      </w:r>
      <w:proofErr w:type="gramEnd"/>
      <w:r w:rsidRPr="00605EA1">
        <w:rPr>
          <w:sz w:val="22"/>
          <w:szCs w:val="22"/>
        </w:rPr>
        <w:t xml:space="preserve"> devidamente autorizada e, exceto pelo depósito para distribuição das Debêntures na B3 a que se refere a Cláusula </w:t>
      </w:r>
      <w:fldSimple w:instr=" REF _Ref500505971 \n \h  \* MERGEFORMAT ">
        <w:r w:rsidRPr="00605EA1">
          <w:rPr>
            <w:sz w:val="22"/>
            <w:szCs w:val="22"/>
          </w:rPr>
          <w:t>3.3</w:t>
        </w:r>
      </w:fldSimple>
      <w:r w:rsidR="001068B6" w:rsidRPr="001E66A9">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os</w:t>
      </w:r>
      <w:proofErr w:type="gramEnd"/>
      <w:r w:rsidRPr="00605EA1">
        <w:rPr>
          <w:sz w:val="22"/>
          <w:szCs w:val="22"/>
        </w:rPr>
        <w:t xml:space="preserve">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esta</w:t>
      </w:r>
      <w:proofErr w:type="gramEnd"/>
      <w:r w:rsidRPr="00605EA1">
        <w:rPr>
          <w:sz w:val="22"/>
          <w:szCs w:val="22"/>
        </w:rPr>
        <w:t xml:space="preserve">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a</w:t>
      </w:r>
      <w:proofErr w:type="gramEnd"/>
      <w:r w:rsidRPr="00605EA1">
        <w:rPr>
          <w:sz w:val="22"/>
          <w:szCs w:val="22"/>
        </w:rPr>
        <w:t xml:space="preserve">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exceto</w:t>
      </w:r>
      <w:proofErr w:type="gramEnd"/>
      <w:r w:rsidRPr="00605EA1">
        <w:rPr>
          <w:sz w:val="22"/>
          <w:szCs w:val="22"/>
        </w:rPr>
        <w:t xml:space="preserve"> pelo disposto na Cláusula </w:t>
      </w:r>
      <w:fldSimple w:instr=" REF _Ref330905317 \n \p \h  \* MERGEFORMAT ">
        <w:r w:rsidRPr="00605EA1">
          <w:rPr>
            <w:sz w:val="22"/>
            <w:szCs w:val="22"/>
          </w:rPr>
          <w:t>3 acima</w:t>
        </w:r>
      </w:fldSimple>
      <w:r w:rsidR="001068B6" w:rsidRPr="001E66A9">
        <w:rPr>
          <w:sz w:val="22"/>
          <w:szCs w:val="22"/>
        </w:rPr>
        <w:t>,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bookmarkStart w:id="179" w:name="_Ref428862044"/>
      <w:proofErr w:type="gramStart"/>
      <w:r w:rsidRPr="00605EA1">
        <w:rPr>
          <w:sz w:val="22"/>
          <w:szCs w:val="22"/>
        </w:rPr>
        <w:t>tem</w:t>
      </w:r>
      <w:proofErr w:type="gramEnd"/>
      <w:r w:rsidRPr="00605EA1">
        <w:rPr>
          <w:sz w:val="22"/>
          <w:szCs w:val="22"/>
        </w:rPr>
        <w:t xml:space="preserve"> a Concessão 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r w:rsidRPr="00605EA1">
        <w:rPr>
          <w:b/>
          <w:i/>
          <w:sz w:val="22"/>
          <w:szCs w:val="22"/>
          <w:highlight w:val="yellow"/>
        </w:rPr>
        <w:t>[Nota MF: A celebração do aditamento ao Contrato de Concessão transferindo a concessão para Acciona ocorrerá de forma concomitante com a celebração desse contrato. Declaração a ser avaliada de acordo com o timing]</w:t>
      </w:r>
      <w:r w:rsidRPr="00605EA1">
        <w:rPr>
          <w:sz w:val="22"/>
          <w:szCs w:val="22"/>
        </w:rPr>
        <w:t>;</w:t>
      </w:r>
    </w:p>
    <w:bookmarkEnd w:id="179"/>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r w:rsidRPr="00605EA1">
        <w:rPr>
          <w:b/>
          <w:i/>
          <w:sz w:val="22"/>
          <w:szCs w:val="22"/>
          <w:highlight w:val="yellow"/>
        </w:rPr>
        <w:t xml:space="preserve">[Nota MF: </w:t>
      </w:r>
      <w:r w:rsidR="0075090B" w:rsidRPr="001E66A9">
        <w:rPr>
          <w:b/>
          <w:i/>
          <w:sz w:val="22"/>
          <w:szCs w:val="22"/>
          <w:highlight w:val="yellow"/>
        </w:rPr>
        <w:t>Pendente de validação pelo BNP</w:t>
      </w:r>
      <w:r w:rsidRPr="00605EA1">
        <w:rPr>
          <w:b/>
          <w:i/>
          <w:sz w:val="22"/>
          <w:szCs w:val="22"/>
          <w:highlight w:val="yellow"/>
        </w:rPr>
        <w:t>.</w:t>
      </w:r>
      <w:proofErr w:type="gramStart"/>
      <w:r w:rsidRPr="00605EA1">
        <w:rPr>
          <w:b/>
          <w:i/>
          <w:sz w:val="22"/>
          <w:szCs w:val="22"/>
          <w:highlight w:val="yellow"/>
        </w:rPr>
        <w:t>]</w:t>
      </w:r>
      <w:proofErr w:type="gramEnd"/>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não</w:t>
      </w:r>
      <w:proofErr w:type="gramEnd"/>
      <w:r w:rsidRPr="00605EA1">
        <w:rPr>
          <w:sz w:val="22"/>
          <w:szCs w:val="22"/>
        </w:rPr>
        <w:t xml:space="preserve"> tem, nesta data, conhecimento a respeito da existência de qualquer ação judicial, procedimento administrativo ou arbitral, inquérito ou outro tipo de investigação governamental que possa resultar em qualquer Efeito Adverso Relevante;</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está</w:t>
      </w:r>
      <w:proofErr w:type="gramEnd"/>
      <w:r w:rsidRPr="00605EA1">
        <w:rPr>
          <w:sz w:val="22"/>
          <w:szCs w:val="22"/>
        </w:rPr>
        <w:t xml:space="preserve">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4C620B" w:rsidRPr="001E66A9" w:rsidRDefault="004C620B">
      <w:pPr>
        <w:pStyle w:val="Level4"/>
        <w:widowControl w:val="0"/>
        <w:tabs>
          <w:tab w:val="clear" w:pos="2041"/>
          <w:tab w:val="left" w:pos="851"/>
          <w:tab w:val="num" w:pos="1361"/>
        </w:tabs>
        <w:spacing w:before="140" w:after="0" w:line="276" w:lineRule="auto"/>
        <w:ind w:left="851" w:firstLine="0"/>
        <w:rPr>
          <w:sz w:val="22"/>
          <w:szCs w:val="22"/>
        </w:rPr>
      </w:pP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os</w:t>
      </w:r>
      <w:proofErr w:type="gramEnd"/>
      <w:r w:rsidRPr="00605EA1">
        <w:rPr>
          <w:sz w:val="22"/>
          <w:szCs w:val="22"/>
        </w:rPr>
        <w:t xml:space="preserve">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inexiste</w:t>
      </w:r>
      <w:proofErr w:type="gramEnd"/>
      <w:r w:rsidRPr="00605EA1">
        <w:rPr>
          <w:sz w:val="22"/>
          <w:szCs w:val="22"/>
        </w:rP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está</w:t>
      </w:r>
      <w:proofErr w:type="gramEnd"/>
      <w:r w:rsidRPr="00605EA1">
        <w:rPr>
          <w:sz w:val="22"/>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cumpre</w:t>
      </w:r>
      <w:proofErr w:type="gramEnd"/>
      <w:r w:rsidRPr="00605EA1">
        <w:rPr>
          <w:sz w:val="22"/>
          <w:szCs w:val="22"/>
        </w:rPr>
        <w:t xml:space="preserve">, e faz com que seus conselheiros, diretores e funcionários cumpram, as normas aplicáveis que versam sobre atos de corrupção e atos lesivos contra a administração pública, na forma da Lei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605EA1">
        <w:rPr>
          <w:iCs/>
          <w:sz w:val="22"/>
          <w:szCs w:val="22"/>
        </w:rPr>
        <w:t>seu programa de integridade e de acordo com os dispositivos anticorrupção da legislação brasileira</w:t>
      </w:r>
      <w:r w:rsidRPr="00605EA1">
        <w:rPr>
          <w:sz w:val="22"/>
          <w:szCs w:val="22"/>
        </w:rPr>
        <w:t>;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w:t>
      </w:r>
      <w:r w:rsidR="001E66A9">
        <w:rPr>
          <w:sz w:val="22"/>
          <w:szCs w:val="22"/>
        </w:rPr>
        <w:t xml:space="preserve"> </w:t>
      </w:r>
      <w:r w:rsidRPr="00605EA1">
        <w:rPr>
          <w:b/>
          <w:i/>
          <w:sz w:val="22"/>
          <w:szCs w:val="22"/>
          <w:highlight w:val="yellow"/>
        </w:rPr>
        <w:t>[Nota MF: Cláusula a ser revista pelo BNP e PN.]</w:t>
      </w:r>
    </w:p>
    <w:p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proofErr w:type="gramStart"/>
      <w:r w:rsidRPr="001E66A9">
        <w:rPr>
          <w:sz w:val="22"/>
          <w:szCs w:val="22"/>
        </w:rPr>
        <w:t>nesta</w:t>
      </w:r>
      <w:proofErr w:type="gramEnd"/>
      <w:r w:rsidRPr="001E66A9">
        <w:rPr>
          <w:sz w:val="22"/>
          <w:szCs w:val="22"/>
        </w:rPr>
        <w:t xml:space="preserve"> data, não omitiu qualquer fato, de qualquer natureza, que seja de seu conhecimento e que possa resultar em alteração substancial na situação econômico-financeira, reputacional ou jurídica da Companhia em prejuízo dos Debenturistas;</w:t>
      </w:r>
    </w:p>
    <w:p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proofErr w:type="gramStart"/>
      <w:r w:rsidRPr="001E66A9">
        <w:rPr>
          <w:sz w:val="22"/>
          <w:szCs w:val="22"/>
        </w:rPr>
        <w:t>os</w:t>
      </w:r>
      <w:proofErr w:type="gramEnd"/>
      <w:r w:rsidRPr="001E66A9">
        <w:rPr>
          <w:sz w:val="22"/>
          <w:szCs w:val="22"/>
        </w:rPr>
        <w:t xml:space="preserve"> ativos relativos ao Projeto estão devidamente segurados, sendo que as respectivas apólices de seguro estão em pleno vigor e eficácia, se o caso, endossadas, e os respectivos prêmios deverão ter sido pagos</w:t>
      </w:r>
      <w:r w:rsidR="00A55014" w:rsidRPr="001E66A9">
        <w:rPr>
          <w:sz w:val="22"/>
          <w:szCs w:val="22"/>
        </w:rPr>
        <w:t xml:space="preserve">; </w:t>
      </w:r>
      <w:r w:rsidR="00605EA1" w:rsidRPr="00605EA1">
        <w:rPr>
          <w:b/>
          <w:i/>
          <w:sz w:val="22"/>
          <w:szCs w:val="22"/>
          <w:highlight w:val="yellow"/>
        </w:rPr>
        <w:t>[Nota MF: Avaliar de acordo com o timing de assinatura. Entendemos que não será o caso.]</w:t>
      </w:r>
    </w:p>
    <w:p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proofErr w:type="gramStart"/>
      <w:r w:rsidRPr="001E66A9">
        <w:rPr>
          <w:sz w:val="22"/>
          <w:szCs w:val="22"/>
        </w:rPr>
        <w:t>tem</w:t>
      </w:r>
      <w:proofErr w:type="gramEnd"/>
      <w:r w:rsidRPr="001E66A9">
        <w:rPr>
          <w:sz w:val="22"/>
          <w:szCs w:val="22"/>
        </w:rPr>
        <w:t xml:space="preserve"> plena ciência e concorda integralmente com a forma de divulgação e apuração da Taxa DI, e que a forma de cálculo da Remuneração foi acordada por sua livre vontade, em observância ao princípio da boa-fé;</w:t>
      </w:r>
    </w:p>
    <w:p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proofErr w:type="gramStart"/>
      <w:r w:rsidRPr="001E66A9">
        <w:rPr>
          <w:sz w:val="22"/>
          <w:szCs w:val="22"/>
        </w:rPr>
        <w:t>está</w:t>
      </w:r>
      <w:proofErr w:type="gramEnd"/>
      <w:r w:rsidRPr="001E66A9">
        <w:rPr>
          <w:sz w:val="22"/>
          <w:szCs w:val="22"/>
        </w:rPr>
        <w:t xml:space="preserve">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4C620B" w:rsidRPr="001E66A9" w:rsidRDefault="001068B6">
      <w:pPr>
        <w:pStyle w:val="Level4"/>
        <w:widowControl w:val="0"/>
        <w:tabs>
          <w:tab w:val="clear" w:pos="2041"/>
          <w:tab w:val="left" w:pos="851"/>
          <w:tab w:val="num" w:pos="1361"/>
        </w:tabs>
        <w:spacing w:before="140" w:after="0" w:line="276" w:lineRule="auto"/>
        <w:ind w:left="851" w:firstLine="0"/>
        <w:rPr>
          <w:sz w:val="22"/>
          <w:szCs w:val="22"/>
        </w:rPr>
      </w:pPr>
      <w:proofErr w:type="gramStart"/>
      <w:r w:rsidRPr="007827AE">
        <w:rPr>
          <w:sz w:val="22"/>
          <w:szCs w:val="22"/>
        </w:rPr>
        <w:t>possu</w:t>
      </w:r>
      <w:r w:rsidR="00605EA1" w:rsidRPr="00605EA1">
        <w:rPr>
          <w:sz w:val="22"/>
          <w:szCs w:val="22"/>
        </w:rPr>
        <w:t>i</w:t>
      </w:r>
      <w:proofErr w:type="gramEnd"/>
      <w:r w:rsidR="00605EA1" w:rsidRPr="00605EA1">
        <w:rPr>
          <w:sz w:val="22"/>
          <w:szCs w:val="22"/>
        </w:rPr>
        <w:t xml:space="preserve"> justo título dos direitos e ativos necessários para assegurar suas atuais operações e seu regular funcionamento no âmbito do Projeto; </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nem</w:t>
      </w:r>
      <w:proofErr w:type="gramEnd"/>
      <w:r w:rsidRPr="00605EA1">
        <w:rPr>
          <w:sz w:val="22"/>
          <w:szCs w:val="22"/>
        </w:rPr>
        <w:t xml:space="preserve"> a Companhia, seus respectivos conselheiros e diretores ou qualquer representante ou empregado da Companhia, sendo pessoa física ou jurídica (“</w:t>
      </w:r>
      <w:r w:rsidRPr="00605EA1">
        <w:rPr>
          <w:b/>
          <w:sz w:val="22"/>
          <w:szCs w:val="22"/>
        </w:rPr>
        <w:t>Pessoa</w:t>
      </w:r>
      <w:r w:rsidRPr="00605EA1">
        <w:rPr>
          <w:sz w:val="22"/>
          <w:szCs w:val="22"/>
        </w:rPr>
        <w:t>”), que seja, ou seja de propriedade de ou controlada por Pessoas que: (i) sejam alvo de quaisquer Sanções (“</w:t>
      </w:r>
      <w:r w:rsidRPr="00605EA1">
        <w:rPr>
          <w:b/>
          <w:sz w:val="22"/>
          <w:szCs w:val="22"/>
        </w:rPr>
        <w:t>Pessoa Sancionada</w:t>
      </w:r>
      <w:r w:rsidRPr="00605EA1">
        <w:rPr>
          <w:sz w:val="22"/>
          <w:szCs w:val="22"/>
        </w:rPr>
        <w:t>”) ou (ii) estejam localizadas, sejam constituídas ou residentes em um país ou território que, ou cujo governo esteja sujeito a Sanções que proíbam amplamente negócios com tal governo, país ou território (“</w:t>
      </w:r>
      <w:r w:rsidRPr="00605EA1">
        <w:rPr>
          <w:b/>
          <w:sz w:val="22"/>
          <w:szCs w:val="22"/>
        </w:rPr>
        <w:t>País</w:t>
      </w:r>
      <w:r w:rsidRPr="00605EA1">
        <w:rPr>
          <w:sz w:val="22"/>
          <w:szCs w:val="22"/>
        </w:rPr>
        <w:t xml:space="preserve"> </w:t>
      </w:r>
      <w:r w:rsidRPr="00605EA1">
        <w:rPr>
          <w:b/>
          <w:sz w:val="22"/>
          <w:szCs w:val="22"/>
        </w:rPr>
        <w:t>Sancionado</w:t>
      </w:r>
      <w:r w:rsidRPr="00605EA1">
        <w:rPr>
          <w:sz w:val="22"/>
          <w:szCs w:val="22"/>
        </w:rPr>
        <w:t>”); e</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a</w:t>
      </w:r>
      <w:proofErr w:type="gramEnd"/>
      <w:r w:rsidRPr="00605EA1">
        <w:rPr>
          <w:sz w:val="22"/>
          <w:szCs w:val="22"/>
        </w:rPr>
        <w:t xml:space="preserve"> Companhia não usará, direta ou indiretamente, os recursos nos termos do presente documento, ou emprestará, contribuirá ou de qualquer outra forma disponibilizará tais recursos para qualquer Subsidiária, joint venture, parceira ou outra Pessoa (i)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exceto</w:t>
      </w:r>
      <w:proofErr w:type="gramEnd"/>
      <w:r w:rsidRPr="00605EA1">
        <w:rPr>
          <w:sz w:val="22"/>
          <w:szCs w:val="22"/>
        </w:rPr>
        <w:t xml:space="preserve">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à administração pública, nacional e estrangeira, no seu interesse ou para seu benefício, exclusivo ou não; (iv) caso tenha conhecimento de qualquer ato ou fato que viole aludidas normas, comunicará, na forma da Instrução CVM 358, a outra Parte; e (v) no caso da Companhia, realizará eventuais pagamentos devidos no âmbito deste instrumento exclusivamente por meio de transferência bancária; e</w:t>
      </w:r>
    </w:p>
    <w:p w:rsidR="004C620B" w:rsidRPr="001E66A9" w:rsidRDefault="00605EA1">
      <w:pPr>
        <w:pStyle w:val="Level4"/>
        <w:widowControl w:val="0"/>
        <w:tabs>
          <w:tab w:val="clear" w:pos="2041"/>
          <w:tab w:val="left" w:pos="851"/>
          <w:tab w:val="num" w:pos="1361"/>
        </w:tabs>
        <w:spacing w:before="140" w:after="0" w:line="276" w:lineRule="auto"/>
        <w:ind w:left="851" w:firstLine="0"/>
        <w:rPr>
          <w:sz w:val="22"/>
          <w:szCs w:val="22"/>
        </w:rPr>
      </w:pPr>
      <w:proofErr w:type="gramStart"/>
      <w:r w:rsidRPr="00605EA1">
        <w:rPr>
          <w:sz w:val="22"/>
          <w:szCs w:val="22"/>
        </w:rPr>
        <w:t>o</w:t>
      </w:r>
      <w:proofErr w:type="gramEnd"/>
      <w:r w:rsidRPr="00605EA1">
        <w:rPr>
          <w:sz w:val="22"/>
          <w:szCs w:val="22"/>
        </w:rPr>
        <w:t xml:space="preserve"> Contrato de Concessão está válido e em vigor, não havendo, nesta data, qualquer inadimplemento de seus termos por parte da Companhia.</w:t>
      </w:r>
    </w:p>
    <w:bookmarkEnd w:id="178"/>
    <w:p w:rsidR="004C620B" w:rsidRPr="001E66A9" w:rsidRDefault="00605EA1">
      <w:pPr>
        <w:pStyle w:val="Level2"/>
        <w:widowControl w:val="0"/>
        <w:tabs>
          <w:tab w:val="left" w:pos="851"/>
        </w:tabs>
        <w:spacing w:before="140" w:after="0" w:line="276" w:lineRule="auto"/>
        <w:ind w:left="851" w:firstLine="0"/>
        <w:rPr>
          <w:rFonts w:cs="Arial"/>
          <w:sz w:val="22"/>
          <w:szCs w:val="22"/>
        </w:rPr>
      </w:pPr>
      <w:r w:rsidRPr="00605EA1">
        <w:rPr>
          <w:rFonts w:cs="Arial"/>
          <w:sz w:val="22"/>
          <w:szCs w:val="22"/>
        </w:rPr>
        <w:t xml:space="preserve">A Companhia, em caráter irrevogável e irretratável, se obriga a indenizar os Debenturistas e o Agente Fiduciário por todos e quaisquer prejuízos, danos, perdas, custos e/ou despesas (incluindo </w:t>
      </w:r>
      <w:proofErr w:type="gramStart"/>
      <w:r w:rsidRPr="00605EA1">
        <w:rPr>
          <w:rFonts w:cs="Arial"/>
          <w:sz w:val="22"/>
          <w:szCs w:val="22"/>
        </w:rPr>
        <w:t>custas judiciais e honorários advocatícios razoáveis</w:t>
      </w:r>
      <w:proofErr w:type="gramEnd"/>
      <w:r w:rsidRPr="00605EA1">
        <w:rPr>
          <w:rFonts w:cs="Arial"/>
          <w:sz w:val="22"/>
          <w:szCs w:val="22"/>
        </w:rPr>
        <w:t xml:space="preserve">)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r w:rsidRPr="00605EA1">
        <w:rPr>
          <w:rFonts w:cs="Arial"/>
          <w:b/>
          <w:i/>
          <w:sz w:val="22"/>
          <w:szCs w:val="22"/>
          <w:highlight w:val="yellow"/>
        </w:rPr>
        <w:t>[Nota MF: Pendente de validação pelo BNP e PN.</w:t>
      </w:r>
      <w:proofErr w:type="gramStart"/>
      <w:r w:rsidRPr="00605EA1">
        <w:rPr>
          <w:rFonts w:cs="Arial"/>
          <w:b/>
          <w:i/>
          <w:sz w:val="22"/>
          <w:szCs w:val="22"/>
          <w:highlight w:val="yellow"/>
        </w:rPr>
        <w:t>]</w:t>
      </w:r>
      <w:proofErr w:type="gramEnd"/>
    </w:p>
    <w:p w:rsidR="004C620B" w:rsidRPr="001E66A9" w:rsidRDefault="00605EA1">
      <w:pPr>
        <w:pStyle w:val="Level2"/>
        <w:widowControl w:val="0"/>
        <w:tabs>
          <w:tab w:val="left" w:pos="851"/>
        </w:tabs>
        <w:spacing w:before="140" w:after="0" w:line="276" w:lineRule="auto"/>
        <w:ind w:left="851" w:firstLine="0"/>
        <w:rPr>
          <w:rFonts w:cs="Arial"/>
          <w:sz w:val="22"/>
          <w:szCs w:val="22"/>
        </w:rPr>
      </w:pPr>
      <w:r w:rsidRPr="00605EA1">
        <w:rPr>
          <w:rFonts w:cs="Arial"/>
          <w:sz w:val="22"/>
          <w:szCs w:val="22"/>
        </w:rPr>
        <w:t xml:space="preserve">A Companhia obriga-se a notificar, no prazo de até </w:t>
      </w:r>
      <w:proofErr w:type="gramStart"/>
      <w:r w:rsidRPr="00605EA1">
        <w:rPr>
          <w:rFonts w:cs="Arial"/>
          <w:sz w:val="22"/>
          <w:szCs w:val="22"/>
        </w:rPr>
        <w:t>2</w:t>
      </w:r>
      <w:proofErr w:type="gramEnd"/>
      <w:r w:rsidRPr="00605EA1">
        <w:rPr>
          <w:rFonts w:cs="Arial"/>
          <w:sz w:val="22"/>
          <w:szCs w:val="22"/>
        </w:rPr>
        <w:t> (dois) Dias Úteis contados da data em que tomar conhecimento, o Agente Fiduciário caso qualquer das declarações prestadas nos termos da Cláusula </w:t>
      </w:r>
      <w:fldSimple w:instr=" REF _Ref130286814 \r \p \h  \* MERGEFORMAT ">
        <w:r w:rsidRPr="00605EA1">
          <w:rPr>
            <w:rFonts w:cs="Arial"/>
            <w:sz w:val="22"/>
            <w:szCs w:val="22"/>
          </w:rPr>
          <w:t>12.1 acima</w:t>
        </w:r>
      </w:fldSimple>
      <w:r w:rsidR="001068B6" w:rsidRPr="001E66A9">
        <w:rPr>
          <w:rFonts w:cs="Arial"/>
          <w:sz w:val="22"/>
          <w:szCs w:val="22"/>
        </w:rPr>
        <w:t xml:space="preserve"> seja ou se torne falsa e/ou incorreta em qualquer das datas em que tenha sido prestada.</w:t>
      </w:r>
    </w:p>
    <w:p w:rsidR="004C620B" w:rsidRPr="001E66A9" w:rsidRDefault="004C620B">
      <w:pPr>
        <w:pStyle w:val="Level2"/>
        <w:widowControl w:val="0"/>
        <w:numPr>
          <w:ilvl w:val="0"/>
          <w:numId w:val="0"/>
        </w:numPr>
        <w:tabs>
          <w:tab w:val="left" w:pos="851"/>
        </w:tabs>
        <w:spacing w:before="140" w:after="0" w:line="276" w:lineRule="auto"/>
        <w:ind w:left="851"/>
        <w:rPr>
          <w:rFonts w:cs="Arial"/>
          <w:sz w:val="22"/>
          <w:szCs w:val="22"/>
        </w:rPr>
      </w:pPr>
    </w:p>
    <w:p w:rsidR="004C620B" w:rsidRPr="001E66A9" w:rsidRDefault="00605EA1">
      <w:pPr>
        <w:pStyle w:val="Level1"/>
        <w:keepNext w:val="0"/>
        <w:keepLines w:val="0"/>
        <w:widowControl w:val="0"/>
        <w:spacing w:before="140" w:after="0" w:line="276" w:lineRule="auto"/>
        <w:ind w:left="0" w:firstLine="0"/>
      </w:pPr>
      <w:r w:rsidRPr="00605EA1">
        <w:t>DESPESAS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4C620B" w:rsidRPr="001E66A9" w:rsidRDefault="00605EA1">
      <w:pPr>
        <w:pStyle w:val="Level1"/>
        <w:keepNext w:val="0"/>
        <w:keepLines w:val="0"/>
        <w:widowControl w:val="0"/>
        <w:spacing w:before="140" w:after="0" w:line="276" w:lineRule="auto"/>
        <w:ind w:left="0" w:firstLine="0"/>
        <w:rPr>
          <w:smallCaps/>
        </w:rPr>
      </w:pPr>
      <w:bookmarkStart w:id="180" w:name="_Ref384312323"/>
      <w:r w:rsidRPr="00605EA1">
        <w:rPr>
          <w:smallCaps/>
        </w:rPr>
        <w:t>COMUNICAÇÕES</w:t>
      </w:r>
      <w:bookmarkEnd w:id="180"/>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 xml:space="preserve">Todas as comunicações realizadas nos termos desta Escritura de Emissão devem ser sempre realizadas por escrito, para os endereços abaixo, e serão consideradas recebidas (i) no caso das comunicações em geral, na data de sua entrega, </w:t>
      </w:r>
      <w:proofErr w:type="gramStart"/>
      <w:r w:rsidRPr="00605EA1">
        <w:rPr>
          <w:rFonts w:cs="Arial"/>
          <w:sz w:val="22"/>
          <w:szCs w:val="22"/>
        </w:rPr>
        <w:t>sob protocolo</w:t>
      </w:r>
      <w:proofErr w:type="gramEnd"/>
      <w:r w:rsidRPr="00605EA1">
        <w:rPr>
          <w:rFonts w:cs="Arial"/>
          <w:sz w:val="22"/>
          <w:szCs w:val="22"/>
        </w:rPr>
        <w:t xml:space="preserve">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4C620B" w:rsidRPr="001E66A9" w:rsidRDefault="00605EA1">
      <w:pPr>
        <w:pStyle w:val="Level3"/>
        <w:widowControl w:val="0"/>
        <w:spacing w:before="140" w:line="276" w:lineRule="auto"/>
        <w:ind w:left="0" w:firstLine="0"/>
        <w:rPr>
          <w:sz w:val="22"/>
          <w:szCs w:val="22"/>
        </w:rPr>
      </w:pPr>
      <w:proofErr w:type="gramStart"/>
      <w:r w:rsidRPr="00605EA1">
        <w:rPr>
          <w:sz w:val="22"/>
          <w:szCs w:val="22"/>
        </w:rPr>
        <w:t>para</w:t>
      </w:r>
      <w:proofErr w:type="gramEnd"/>
      <w:r w:rsidRPr="00605EA1">
        <w:rPr>
          <w:sz w:val="22"/>
          <w:szCs w:val="22"/>
        </w:rPr>
        <w:t xml:space="preserve"> a Companhia:</w:t>
      </w:r>
    </w:p>
    <w:p w:rsidR="004C620B" w:rsidRPr="001E66A9" w:rsidRDefault="00605EA1">
      <w:pPr>
        <w:pStyle w:val="Body"/>
        <w:widowControl w:val="0"/>
        <w:spacing w:line="276" w:lineRule="auto"/>
        <w:jc w:val="left"/>
        <w:rPr>
          <w:sz w:val="22"/>
        </w:rPr>
      </w:pPr>
      <w:r w:rsidRPr="00605EA1">
        <w:rPr>
          <w:b/>
          <w:sz w:val="22"/>
        </w:rPr>
        <w:t>Concessionária Linha Universidades S.A.</w:t>
      </w:r>
      <w:r w:rsidRPr="00605EA1">
        <w:rPr>
          <w:sz w:val="22"/>
        </w:rPr>
        <w:t xml:space="preserve"> </w:t>
      </w:r>
      <w:r w:rsidRPr="00605EA1">
        <w:rPr>
          <w:sz w:val="22"/>
        </w:rPr>
        <w:br/>
      </w:r>
      <w:proofErr w:type="gramStart"/>
      <w:r w:rsidRPr="00605EA1">
        <w:rPr>
          <w:sz w:val="22"/>
        </w:rPr>
        <w:t>[</w:t>
      </w:r>
      <w:proofErr w:type="gramEnd"/>
      <w:r w:rsidRPr="00605EA1">
        <w:rPr>
          <w:sz w:val="22"/>
        </w:rPr>
        <w:t>Endereço completo]</w:t>
      </w:r>
      <w:r w:rsidRPr="00605EA1">
        <w:rPr>
          <w:sz w:val="22"/>
        </w:rPr>
        <w:br/>
        <w:t>At.: [●]</w:t>
      </w:r>
      <w:r w:rsidRPr="00605EA1">
        <w:rPr>
          <w:sz w:val="22"/>
        </w:rPr>
        <w:br/>
        <w:t>Telefone: [●]</w:t>
      </w:r>
      <w:r w:rsidRPr="00605EA1">
        <w:rPr>
          <w:sz w:val="22"/>
        </w:rPr>
        <w:br/>
        <w:t>Correio Eletrônico: [●]</w:t>
      </w:r>
    </w:p>
    <w:p w:rsidR="004C620B" w:rsidRPr="001E66A9" w:rsidRDefault="00605EA1">
      <w:pPr>
        <w:pStyle w:val="Level3"/>
        <w:widowControl w:val="0"/>
        <w:spacing w:before="140" w:line="276" w:lineRule="auto"/>
        <w:ind w:left="0" w:firstLine="0"/>
        <w:rPr>
          <w:sz w:val="22"/>
          <w:szCs w:val="22"/>
        </w:rPr>
      </w:pPr>
      <w:proofErr w:type="gramStart"/>
      <w:r w:rsidRPr="00605EA1">
        <w:rPr>
          <w:sz w:val="22"/>
          <w:szCs w:val="22"/>
        </w:rPr>
        <w:t>para</w:t>
      </w:r>
      <w:proofErr w:type="gramEnd"/>
      <w:r w:rsidRPr="00605EA1">
        <w:rPr>
          <w:sz w:val="22"/>
          <w:szCs w:val="22"/>
        </w:rPr>
        <w:t xml:space="preserve"> o Agente Fiduciário:</w:t>
      </w:r>
    </w:p>
    <w:p w:rsidR="004C620B" w:rsidRPr="001E66A9" w:rsidRDefault="00605EA1">
      <w:pPr>
        <w:pStyle w:val="Body"/>
        <w:widowControl w:val="0"/>
        <w:spacing w:after="0" w:line="276" w:lineRule="auto"/>
        <w:rPr>
          <w:sz w:val="22"/>
        </w:rPr>
      </w:pPr>
      <w:r w:rsidRPr="00605EA1">
        <w:rPr>
          <w:b/>
          <w:sz w:val="22"/>
        </w:rPr>
        <w:t>[●]</w:t>
      </w:r>
    </w:p>
    <w:p w:rsidR="004C620B" w:rsidRPr="001E66A9" w:rsidRDefault="00605EA1">
      <w:pPr>
        <w:pStyle w:val="Body"/>
        <w:widowControl w:val="0"/>
        <w:spacing w:after="0" w:line="276" w:lineRule="auto"/>
        <w:rPr>
          <w:sz w:val="22"/>
        </w:rPr>
      </w:pPr>
      <w:r w:rsidRPr="00605EA1">
        <w:rPr>
          <w:sz w:val="22"/>
        </w:rPr>
        <w:t>[●]</w:t>
      </w:r>
    </w:p>
    <w:p w:rsidR="004C620B" w:rsidRPr="001E66A9" w:rsidRDefault="00605EA1">
      <w:pPr>
        <w:pStyle w:val="Body"/>
        <w:widowControl w:val="0"/>
        <w:spacing w:after="0" w:line="276" w:lineRule="auto"/>
        <w:rPr>
          <w:sz w:val="22"/>
        </w:rPr>
      </w:pPr>
      <w:r w:rsidRPr="00605EA1">
        <w:rPr>
          <w:sz w:val="22"/>
        </w:rPr>
        <w:t>At.: [●]</w:t>
      </w:r>
    </w:p>
    <w:p w:rsidR="004C620B" w:rsidRPr="001E66A9" w:rsidRDefault="00605EA1">
      <w:pPr>
        <w:pStyle w:val="Body"/>
        <w:widowControl w:val="0"/>
        <w:spacing w:after="0" w:line="276" w:lineRule="auto"/>
        <w:rPr>
          <w:sz w:val="22"/>
        </w:rPr>
      </w:pPr>
      <w:r w:rsidRPr="00605EA1">
        <w:rPr>
          <w:sz w:val="22"/>
        </w:rPr>
        <w:t xml:space="preserve">Telefone: [●] </w:t>
      </w:r>
    </w:p>
    <w:p w:rsidR="004C620B" w:rsidRPr="001E66A9" w:rsidRDefault="00605EA1">
      <w:pPr>
        <w:pStyle w:val="Body"/>
        <w:widowControl w:val="0"/>
        <w:spacing w:line="276" w:lineRule="auto"/>
        <w:rPr>
          <w:sz w:val="22"/>
        </w:rPr>
      </w:pPr>
      <w:r w:rsidRPr="00605EA1">
        <w:rPr>
          <w:sz w:val="22"/>
        </w:rPr>
        <w:t>Correio Eletrônico: [●]</w:t>
      </w:r>
    </w:p>
    <w:p w:rsidR="004C620B" w:rsidRPr="001E66A9" w:rsidRDefault="00605EA1">
      <w:pPr>
        <w:pStyle w:val="Level3"/>
        <w:widowControl w:val="0"/>
        <w:spacing w:before="140" w:line="276" w:lineRule="auto"/>
        <w:ind w:left="0" w:firstLine="0"/>
        <w:rPr>
          <w:sz w:val="22"/>
          <w:szCs w:val="22"/>
        </w:rPr>
      </w:pPr>
      <w:proofErr w:type="gramStart"/>
      <w:r w:rsidRPr="00605EA1">
        <w:rPr>
          <w:sz w:val="22"/>
          <w:szCs w:val="22"/>
        </w:rPr>
        <w:t>para</w:t>
      </w:r>
      <w:proofErr w:type="gramEnd"/>
      <w:r w:rsidRPr="00605EA1">
        <w:rPr>
          <w:sz w:val="22"/>
          <w:szCs w:val="22"/>
        </w:rPr>
        <w:t xml:space="preserve"> o Banco Liquidante ou para o Escriturador:</w:t>
      </w:r>
    </w:p>
    <w:p w:rsidR="004C620B" w:rsidRPr="001E66A9" w:rsidRDefault="00605EA1">
      <w:pPr>
        <w:pStyle w:val="Body"/>
        <w:widowControl w:val="0"/>
        <w:spacing w:line="276" w:lineRule="auto"/>
        <w:jc w:val="left"/>
        <w:rPr>
          <w:sz w:val="22"/>
        </w:rPr>
      </w:pPr>
      <w:r w:rsidRPr="00605EA1">
        <w:rPr>
          <w:sz w:val="22"/>
        </w:rPr>
        <w:t>[●</w:t>
      </w:r>
      <w:proofErr w:type="gramStart"/>
      <w:r w:rsidRPr="00605EA1">
        <w:rPr>
          <w:sz w:val="22"/>
        </w:rPr>
        <w:t>]</w:t>
      </w:r>
      <w:proofErr w:type="gramEnd"/>
      <w:r w:rsidRPr="00605EA1">
        <w:rPr>
          <w:sz w:val="22"/>
        </w:rPr>
        <w:br/>
        <w:t>[●]</w:t>
      </w:r>
      <w:r w:rsidRPr="00605EA1">
        <w:rPr>
          <w:sz w:val="22"/>
        </w:rPr>
        <w:br/>
        <w:t>At.: [●]</w:t>
      </w:r>
      <w:r w:rsidRPr="00605EA1">
        <w:rPr>
          <w:sz w:val="22"/>
        </w:rPr>
        <w:br/>
        <w:t xml:space="preserve">Telefone: [●] </w:t>
      </w:r>
      <w:r w:rsidRPr="00605EA1">
        <w:rPr>
          <w:sz w:val="22"/>
        </w:rPr>
        <w:br/>
        <w:t>Correio Eletrônico: [●]</w:t>
      </w:r>
    </w:p>
    <w:p w:rsidR="004C620B" w:rsidRPr="001E66A9" w:rsidRDefault="00605EA1">
      <w:pPr>
        <w:pStyle w:val="Level3"/>
        <w:widowControl w:val="0"/>
        <w:spacing w:before="140" w:line="276" w:lineRule="auto"/>
        <w:ind w:left="0" w:firstLine="0"/>
        <w:rPr>
          <w:sz w:val="22"/>
          <w:szCs w:val="22"/>
        </w:rPr>
      </w:pPr>
      <w:proofErr w:type="gramStart"/>
      <w:r w:rsidRPr="00605EA1">
        <w:rPr>
          <w:sz w:val="22"/>
          <w:szCs w:val="22"/>
        </w:rPr>
        <w:t>para</w:t>
      </w:r>
      <w:proofErr w:type="gramEnd"/>
      <w:r w:rsidRPr="00605EA1">
        <w:rPr>
          <w:sz w:val="22"/>
          <w:szCs w:val="22"/>
        </w:rPr>
        <w:t xml:space="preserve"> a B3:</w:t>
      </w:r>
    </w:p>
    <w:p w:rsidR="004C620B" w:rsidRPr="001E66A9" w:rsidRDefault="00605EA1">
      <w:pPr>
        <w:pStyle w:val="Body"/>
        <w:widowControl w:val="0"/>
        <w:spacing w:after="0" w:line="276" w:lineRule="auto"/>
        <w:jc w:val="left"/>
        <w:rPr>
          <w:b/>
          <w:sz w:val="22"/>
        </w:rPr>
      </w:pPr>
      <w:r w:rsidRPr="00605EA1">
        <w:rPr>
          <w:b/>
          <w:sz w:val="22"/>
        </w:rPr>
        <w:t xml:space="preserve">B3 S.A. – BRASIL, BOLSA, BALCÃO – SEGMENTO CETIP </w:t>
      </w:r>
      <w:proofErr w:type="gramStart"/>
      <w:r w:rsidRPr="00605EA1">
        <w:rPr>
          <w:b/>
          <w:sz w:val="22"/>
        </w:rPr>
        <w:t>UTVM</w:t>
      </w:r>
      <w:proofErr w:type="gramEnd"/>
    </w:p>
    <w:p w:rsidR="004C620B" w:rsidRPr="001E66A9" w:rsidRDefault="00605EA1">
      <w:pPr>
        <w:pStyle w:val="Body"/>
        <w:widowControl w:val="0"/>
        <w:spacing w:after="0" w:line="276" w:lineRule="auto"/>
        <w:jc w:val="left"/>
        <w:rPr>
          <w:sz w:val="22"/>
        </w:rPr>
      </w:pPr>
      <w:r w:rsidRPr="00605EA1">
        <w:rPr>
          <w:sz w:val="22"/>
        </w:rPr>
        <w:t xml:space="preserve">Praça Antônio Prado, 48, 4º </w:t>
      </w:r>
      <w:proofErr w:type="gramStart"/>
      <w:r w:rsidRPr="00605EA1">
        <w:rPr>
          <w:sz w:val="22"/>
        </w:rPr>
        <w:t>andar</w:t>
      </w:r>
      <w:proofErr w:type="gramEnd"/>
      <w:r w:rsidRPr="00605EA1">
        <w:rPr>
          <w:sz w:val="22"/>
        </w:rPr>
        <w:t xml:space="preserve"> </w:t>
      </w:r>
    </w:p>
    <w:p w:rsidR="004C620B" w:rsidRPr="001E66A9" w:rsidRDefault="00605EA1">
      <w:pPr>
        <w:pStyle w:val="Body"/>
        <w:widowControl w:val="0"/>
        <w:spacing w:after="0" w:line="276" w:lineRule="auto"/>
        <w:jc w:val="left"/>
        <w:rPr>
          <w:sz w:val="22"/>
        </w:rPr>
      </w:pPr>
      <w:r w:rsidRPr="00605EA1">
        <w:rPr>
          <w:sz w:val="22"/>
        </w:rPr>
        <w:t xml:space="preserve">CEP: 01010-901, São Paulo, </w:t>
      </w:r>
      <w:proofErr w:type="gramStart"/>
      <w:r w:rsidRPr="00605EA1">
        <w:rPr>
          <w:sz w:val="22"/>
        </w:rPr>
        <w:t>SP</w:t>
      </w:r>
      <w:proofErr w:type="gramEnd"/>
    </w:p>
    <w:p w:rsidR="004C620B" w:rsidRPr="001E66A9" w:rsidRDefault="00605EA1">
      <w:pPr>
        <w:pStyle w:val="Body"/>
        <w:widowControl w:val="0"/>
        <w:spacing w:after="0" w:line="276" w:lineRule="auto"/>
        <w:jc w:val="left"/>
        <w:rPr>
          <w:sz w:val="22"/>
        </w:rPr>
      </w:pPr>
      <w:r w:rsidRPr="00605EA1">
        <w:rPr>
          <w:sz w:val="22"/>
        </w:rPr>
        <w:t>At.: Superintendência de Ofertas de Títulos Corporativos e Fundos - SCF</w:t>
      </w:r>
    </w:p>
    <w:p w:rsidR="004C620B" w:rsidRPr="001E66A9" w:rsidRDefault="00605EA1">
      <w:pPr>
        <w:pStyle w:val="Body"/>
        <w:widowControl w:val="0"/>
        <w:spacing w:after="0" w:line="276" w:lineRule="auto"/>
        <w:jc w:val="left"/>
        <w:rPr>
          <w:sz w:val="22"/>
        </w:rPr>
      </w:pPr>
      <w:r w:rsidRPr="00605EA1">
        <w:rPr>
          <w:sz w:val="22"/>
        </w:rPr>
        <w:t>Telefone: (11) 2565-5061</w:t>
      </w:r>
    </w:p>
    <w:p w:rsidR="004C620B" w:rsidRPr="001E66A9" w:rsidRDefault="00605EA1">
      <w:pPr>
        <w:pStyle w:val="Body"/>
        <w:widowControl w:val="0"/>
        <w:spacing w:line="276" w:lineRule="auto"/>
        <w:jc w:val="left"/>
        <w:rPr>
          <w:sz w:val="22"/>
        </w:rPr>
      </w:pPr>
      <w:r w:rsidRPr="00605EA1">
        <w:rPr>
          <w:sz w:val="22"/>
        </w:rPr>
        <w:t>Correio Eletrônico: valores.mobiliarios@b3.com.br</w:t>
      </w:r>
    </w:p>
    <w:p w:rsidR="004C620B" w:rsidRPr="001E66A9" w:rsidRDefault="00605EA1">
      <w:pPr>
        <w:pStyle w:val="Level1"/>
        <w:keepNext w:val="0"/>
        <w:keepLines w:val="0"/>
        <w:widowControl w:val="0"/>
        <w:spacing w:before="140" w:after="0" w:line="276" w:lineRule="auto"/>
        <w:ind w:left="0" w:firstLine="0"/>
      </w:pPr>
      <w:r w:rsidRPr="00605EA1">
        <w:t>DISPOSIÇÕES GERAIS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obrigações assumidas nesta Escritura de Emissão têm caráter irrevogável e irretratável, obrigando as Partes e seus sucessores, a qualquer título, ao seu integral cumprimento.</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Qualquer alteração a esta Escritura de Emissão somente será considerada válida se formalizada por escrito, em instrumento próprio assinado por todas as Partes.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As Partes reconhecem esta Escritura de Emissão e as Debêntures como títulos executivos extrajudiciais nos termos do artigo 784, incisos I e III, do Código de Processo Civil.</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4C620B" w:rsidRPr="001E66A9" w:rsidRDefault="00605EA1">
      <w:pPr>
        <w:pStyle w:val="Level1"/>
        <w:keepNext w:val="0"/>
        <w:keepLines w:val="0"/>
        <w:widowControl w:val="0"/>
        <w:spacing w:before="140" w:after="0" w:line="276" w:lineRule="auto"/>
        <w:ind w:left="0" w:firstLine="0"/>
        <w:rPr>
          <w:smallCaps/>
        </w:rPr>
      </w:pPr>
      <w:r w:rsidRPr="00605EA1">
        <w:rPr>
          <w:smallCaps/>
        </w:rPr>
        <w:t>LEI DE REGÊNCIA</w:t>
      </w:r>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Esta Escritura de Emissão é regida pelas leis da República Federativa do Brasil.</w:t>
      </w:r>
    </w:p>
    <w:p w:rsidR="004C620B" w:rsidRPr="001E66A9" w:rsidRDefault="00605EA1">
      <w:pPr>
        <w:pStyle w:val="Level1"/>
        <w:keepNext w:val="0"/>
        <w:keepLines w:val="0"/>
        <w:widowControl w:val="0"/>
        <w:spacing w:before="140" w:after="0" w:line="276" w:lineRule="auto"/>
        <w:ind w:left="0" w:firstLine="0"/>
        <w:rPr>
          <w:smallCaps/>
        </w:rPr>
      </w:pPr>
      <w:bookmarkStart w:id="181" w:name="_Ref279318438"/>
      <w:r w:rsidRPr="00605EA1">
        <w:rPr>
          <w:smallCaps/>
        </w:rPr>
        <w:t>FORO</w:t>
      </w:r>
      <w:bookmarkEnd w:id="181"/>
    </w:p>
    <w:p w:rsidR="004C620B" w:rsidRPr="001E66A9" w:rsidRDefault="00605EA1">
      <w:pPr>
        <w:pStyle w:val="Level2"/>
        <w:widowControl w:val="0"/>
        <w:spacing w:before="140" w:after="0" w:line="276" w:lineRule="auto"/>
        <w:ind w:left="0" w:firstLine="0"/>
        <w:rPr>
          <w:rFonts w:cs="Arial"/>
          <w:sz w:val="22"/>
          <w:szCs w:val="22"/>
        </w:rPr>
      </w:pPr>
      <w:r w:rsidRPr="00605EA1">
        <w:rPr>
          <w:rFonts w:cs="Arial"/>
          <w:sz w:val="22"/>
          <w:szCs w:val="22"/>
        </w:rPr>
        <w:t xml:space="preserve">Fica eleito o foro da Comarca da Cidade de São Paulo, Estado de São Paulo, com exclusão de qualquer outro, por mais privilegiado que </w:t>
      </w:r>
      <w:proofErr w:type="gramStart"/>
      <w:r w:rsidRPr="00605EA1">
        <w:rPr>
          <w:rFonts w:cs="Arial"/>
          <w:sz w:val="22"/>
          <w:szCs w:val="22"/>
        </w:rPr>
        <w:t>seja,</w:t>
      </w:r>
      <w:proofErr w:type="gramEnd"/>
      <w:r w:rsidRPr="00605EA1">
        <w:rPr>
          <w:rFonts w:cs="Arial"/>
          <w:sz w:val="22"/>
          <w:szCs w:val="22"/>
        </w:rPr>
        <w:t xml:space="preserve"> para dirimir as questões porventura oriundas desta Escritura de Emissão.</w:t>
      </w:r>
    </w:p>
    <w:p w:rsidR="004C620B" w:rsidRPr="001E66A9" w:rsidRDefault="00605EA1">
      <w:pPr>
        <w:pStyle w:val="Body"/>
        <w:widowControl w:val="0"/>
        <w:spacing w:before="140" w:after="0" w:line="276" w:lineRule="auto"/>
        <w:rPr>
          <w:sz w:val="22"/>
        </w:rPr>
      </w:pPr>
      <w:r w:rsidRPr="00605EA1">
        <w:rPr>
          <w:sz w:val="22"/>
        </w:rPr>
        <w:t xml:space="preserve">Estando assim certas e ajustadas, as Partes, obrigando-se por si e sucessores, firmam esta Escritura de Emissão em </w:t>
      </w:r>
      <w:proofErr w:type="gramStart"/>
      <w:r w:rsidRPr="00605EA1">
        <w:rPr>
          <w:sz w:val="22"/>
        </w:rPr>
        <w:t>3</w:t>
      </w:r>
      <w:proofErr w:type="gramEnd"/>
      <w:r w:rsidRPr="00605EA1">
        <w:rPr>
          <w:sz w:val="22"/>
        </w:rPr>
        <w:t> (três) vias de igual teor e forma, juntamente com 2 (duas) testemunhas abaixo identificadas, que também a assinam.</w:t>
      </w:r>
    </w:p>
    <w:p w:rsidR="004C620B" w:rsidRPr="001E66A9" w:rsidRDefault="00605EA1">
      <w:pPr>
        <w:pStyle w:val="Body"/>
        <w:widowControl w:val="0"/>
        <w:spacing w:before="140" w:after="0" w:line="276" w:lineRule="auto"/>
        <w:jc w:val="center"/>
        <w:rPr>
          <w:sz w:val="22"/>
        </w:rPr>
      </w:pPr>
      <w:r w:rsidRPr="00605EA1">
        <w:rPr>
          <w:sz w:val="22"/>
        </w:rPr>
        <w:t>São Paulo, [●] de [●] de 2020.</w:t>
      </w:r>
    </w:p>
    <w:p w:rsidR="004C620B" w:rsidRPr="001E66A9" w:rsidRDefault="00605EA1">
      <w:pPr>
        <w:pStyle w:val="Body"/>
        <w:widowControl w:val="0"/>
        <w:spacing w:before="140" w:after="0" w:line="276" w:lineRule="auto"/>
        <w:jc w:val="center"/>
        <w:rPr>
          <w:sz w:val="22"/>
        </w:rPr>
      </w:pPr>
      <w:r w:rsidRPr="00605EA1">
        <w:rPr>
          <w:sz w:val="22"/>
        </w:rPr>
        <w:t>(</w:t>
      </w:r>
      <w:r w:rsidRPr="00605EA1">
        <w:rPr>
          <w:i/>
          <w:sz w:val="22"/>
        </w:rPr>
        <w:t>As assinaturas seguem na página seguinte.</w:t>
      </w:r>
      <w:proofErr w:type="gramStart"/>
      <w:r w:rsidRPr="00605EA1">
        <w:rPr>
          <w:sz w:val="22"/>
        </w:rPr>
        <w:t>)</w:t>
      </w:r>
      <w:proofErr w:type="gramEnd"/>
    </w:p>
    <w:p w:rsidR="004C620B" w:rsidRPr="001E66A9" w:rsidRDefault="00605EA1">
      <w:pPr>
        <w:pStyle w:val="Body"/>
        <w:widowControl w:val="0"/>
        <w:spacing w:before="140" w:after="0" w:line="276" w:lineRule="auto"/>
        <w:jc w:val="center"/>
        <w:rPr>
          <w:sz w:val="22"/>
        </w:rPr>
      </w:pPr>
      <w:r w:rsidRPr="00605EA1">
        <w:rPr>
          <w:sz w:val="22"/>
        </w:rPr>
        <w:t>(</w:t>
      </w:r>
      <w:r w:rsidRPr="00605EA1">
        <w:rPr>
          <w:i/>
          <w:sz w:val="22"/>
        </w:rPr>
        <w:t>Restante desta página intencionalmente deixado em branco.</w:t>
      </w:r>
      <w:proofErr w:type="gramStart"/>
      <w:r w:rsidRPr="00605EA1">
        <w:rPr>
          <w:sz w:val="22"/>
        </w:rPr>
        <w:t>)</w:t>
      </w:r>
      <w:proofErr w:type="gramEnd"/>
    </w:p>
    <w:p w:rsidR="004C620B" w:rsidRPr="001E66A9" w:rsidRDefault="00605EA1">
      <w:pPr>
        <w:pStyle w:val="Body"/>
        <w:widowControl w:val="0"/>
        <w:spacing w:before="140" w:after="0" w:line="276" w:lineRule="auto"/>
        <w:rPr>
          <w:sz w:val="22"/>
        </w:rPr>
      </w:pPr>
      <w:r w:rsidRPr="00605EA1">
        <w:rPr>
          <w:sz w:val="22"/>
        </w:rPr>
        <w:br w:type="page"/>
      </w:r>
      <w:r w:rsidRPr="00605EA1">
        <w:rPr>
          <w:i/>
          <w:sz w:val="22"/>
        </w:rPr>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605EA1">
        <w:rPr>
          <w:i/>
          <w:snapToGrid w:val="0"/>
          <w:sz w:val="22"/>
        </w:rPr>
        <w:t>da Concessionária Linha Universidade S.A.</w:t>
      </w:r>
      <w:r w:rsidRPr="00605EA1">
        <w:rPr>
          <w:i/>
          <w:sz w:val="22"/>
        </w:rPr>
        <w:t xml:space="preserve"> firmado em [●] de [●] de 2020, entre a Concessionária Linha Universidades S.A. e a </w:t>
      </w:r>
      <w:r w:rsidRPr="00605EA1">
        <w:rPr>
          <w:bCs/>
          <w:i/>
          <w:sz w:val="22"/>
        </w:rPr>
        <w:t>Simplific Pavarini Distribuidora de Títulos e Valores Mobiliários Ltda.</w:t>
      </w:r>
      <w:r w:rsidR="00196C54" w:rsidRPr="00196C54" w:rsidDel="00196C54">
        <w:rPr>
          <w:i/>
          <w:sz w:val="22"/>
        </w:rPr>
        <w:t xml:space="preserve"> </w:t>
      </w:r>
    </w:p>
    <w:p w:rsidR="004C620B" w:rsidRPr="001E66A9" w:rsidRDefault="004C620B">
      <w:pPr>
        <w:pStyle w:val="Body"/>
        <w:widowControl w:val="0"/>
        <w:spacing w:before="140" w:after="0" w:line="276" w:lineRule="auto"/>
        <w:rPr>
          <w:sz w:val="22"/>
        </w:rPr>
      </w:pPr>
    </w:p>
    <w:p w:rsidR="004C620B" w:rsidRPr="001E66A9" w:rsidRDefault="00605EA1">
      <w:pPr>
        <w:pStyle w:val="Body"/>
        <w:widowControl w:val="0"/>
        <w:spacing w:before="140" w:after="0" w:line="276" w:lineRule="auto"/>
        <w:jc w:val="center"/>
        <w:rPr>
          <w:b/>
          <w:smallCaps/>
          <w:snapToGrid w:val="0"/>
          <w:sz w:val="22"/>
        </w:rPr>
      </w:pPr>
      <w:r w:rsidRPr="00605EA1">
        <w:rPr>
          <w:b/>
          <w:i/>
          <w:smallCaps/>
          <w:snapToGrid w:val="0"/>
          <w:sz w:val="22"/>
        </w:rPr>
        <w:t>CONCESSIONÁRIA LINHA UNIVERSIDADES S.A</w:t>
      </w:r>
    </w:p>
    <w:p w:rsidR="004C620B" w:rsidRPr="001E66A9" w:rsidRDefault="004C620B">
      <w:pPr>
        <w:pStyle w:val="Body"/>
        <w:widowControl w:val="0"/>
        <w:spacing w:before="140" w:after="0" w:line="276" w:lineRule="auto"/>
        <w:rPr>
          <w:sz w:val="22"/>
        </w:rPr>
      </w:pPr>
    </w:p>
    <w:p w:rsidR="004C620B" w:rsidRPr="001E66A9" w:rsidRDefault="004C620B">
      <w:pPr>
        <w:pStyle w:val="Body"/>
        <w:widowControl w:val="0"/>
        <w:spacing w:before="140" w:after="0" w:line="276" w:lineRule="auto"/>
        <w:rPr>
          <w:sz w:val="22"/>
        </w:rPr>
      </w:pPr>
    </w:p>
    <w:p w:rsidR="004C620B" w:rsidRPr="001E66A9"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tblPr>
      <w:tblGrid>
        <w:gridCol w:w="4253"/>
        <w:gridCol w:w="567"/>
        <w:gridCol w:w="4253"/>
      </w:tblGrid>
      <w:tr w:rsidR="004C620B" w:rsidRPr="001E66A9">
        <w:trPr>
          <w:cantSplit/>
        </w:trPr>
        <w:tc>
          <w:tcPr>
            <w:tcW w:w="4253" w:type="dxa"/>
            <w:tcBorders>
              <w:top w:val="single" w:sz="6" w:space="0" w:color="auto"/>
            </w:tcBorders>
          </w:tcPr>
          <w:p w:rsidR="004C620B" w:rsidRPr="001E66A9" w:rsidRDefault="00605EA1">
            <w:pPr>
              <w:pStyle w:val="Body"/>
              <w:widowControl w:val="0"/>
              <w:spacing w:before="140" w:after="0" w:line="276" w:lineRule="auto"/>
              <w:rPr>
                <w:sz w:val="22"/>
              </w:rPr>
            </w:pPr>
            <w:r w:rsidRPr="00605EA1">
              <w:rPr>
                <w:sz w:val="22"/>
              </w:rPr>
              <w:t>Nome:</w:t>
            </w:r>
            <w:r w:rsidRPr="00605EA1">
              <w:rPr>
                <w:sz w:val="22"/>
              </w:rPr>
              <w:br/>
              <w:t>Cargo:</w:t>
            </w:r>
          </w:p>
        </w:tc>
        <w:tc>
          <w:tcPr>
            <w:tcW w:w="567" w:type="dxa"/>
          </w:tcPr>
          <w:p w:rsidR="004C620B" w:rsidRPr="001E66A9" w:rsidRDefault="004C620B">
            <w:pPr>
              <w:pStyle w:val="Body"/>
              <w:widowControl w:val="0"/>
              <w:spacing w:before="140" w:after="0" w:line="276" w:lineRule="auto"/>
              <w:rPr>
                <w:sz w:val="22"/>
              </w:rPr>
            </w:pPr>
          </w:p>
        </w:tc>
        <w:tc>
          <w:tcPr>
            <w:tcW w:w="4253" w:type="dxa"/>
            <w:tcBorders>
              <w:top w:val="single" w:sz="6" w:space="0" w:color="auto"/>
            </w:tcBorders>
          </w:tcPr>
          <w:p w:rsidR="004C620B" w:rsidRPr="001E66A9" w:rsidRDefault="00605EA1">
            <w:pPr>
              <w:pStyle w:val="Body"/>
              <w:widowControl w:val="0"/>
              <w:spacing w:before="140" w:after="0" w:line="276" w:lineRule="auto"/>
              <w:rPr>
                <w:sz w:val="22"/>
              </w:rPr>
            </w:pPr>
            <w:r w:rsidRPr="00605EA1">
              <w:rPr>
                <w:sz w:val="22"/>
              </w:rPr>
              <w:t>Nome:</w:t>
            </w:r>
            <w:r w:rsidRPr="00605EA1">
              <w:rPr>
                <w:sz w:val="22"/>
              </w:rPr>
              <w:br/>
              <w:t>Cargo:</w:t>
            </w:r>
          </w:p>
        </w:tc>
      </w:tr>
    </w:tbl>
    <w:p w:rsidR="004C620B" w:rsidRPr="001E66A9" w:rsidRDefault="004C620B">
      <w:pPr>
        <w:pStyle w:val="Body"/>
        <w:widowControl w:val="0"/>
        <w:spacing w:before="140" w:after="0" w:line="276" w:lineRule="auto"/>
        <w:rPr>
          <w:sz w:val="22"/>
        </w:rPr>
      </w:pPr>
    </w:p>
    <w:p w:rsidR="004C620B" w:rsidRPr="007827AE" w:rsidRDefault="001068B6">
      <w:pPr>
        <w:widowControl w:val="0"/>
        <w:spacing w:before="140" w:after="0" w:line="276" w:lineRule="auto"/>
        <w:jc w:val="left"/>
        <w:rPr>
          <w:rFonts w:ascii="Arial" w:hAnsi="Arial" w:cs="Arial"/>
          <w:szCs w:val="22"/>
        </w:rPr>
      </w:pPr>
      <w:r w:rsidRPr="007827AE">
        <w:rPr>
          <w:rFonts w:ascii="Arial" w:hAnsi="Arial" w:cs="Arial"/>
          <w:szCs w:val="22"/>
        </w:rPr>
        <w:br w:type="page"/>
      </w:r>
    </w:p>
    <w:p w:rsidR="004C620B" w:rsidRPr="001E66A9" w:rsidRDefault="001068B6">
      <w:pPr>
        <w:pStyle w:val="Body"/>
        <w:widowControl w:val="0"/>
        <w:spacing w:before="140" w:after="0" w:line="276" w:lineRule="auto"/>
        <w:rPr>
          <w:sz w:val="22"/>
        </w:rPr>
      </w:pPr>
      <w:r w:rsidRPr="007827AE">
        <w:rPr>
          <w:i/>
          <w:sz w:val="22"/>
        </w:rPr>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sidRPr="007827AE">
        <w:rPr>
          <w:i/>
          <w:snapToGrid w:val="0"/>
          <w:sz w:val="22"/>
        </w:rPr>
        <w:t>da Concessionária Linha Universidade S.A.</w:t>
      </w:r>
      <w:r w:rsidRPr="007827AE">
        <w:rPr>
          <w:i/>
          <w:sz w:val="22"/>
        </w:rPr>
        <w:t xml:space="preserve">, firmado em [●] de [●] de 2020, entre a Concessionária Linha Universidades S.A. e a </w:t>
      </w:r>
      <w:r w:rsidR="00605EA1" w:rsidRPr="00605EA1">
        <w:rPr>
          <w:bCs/>
          <w:i/>
          <w:sz w:val="22"/>
        </w:rPr>
        <w:t>Simplific Pavarini Distribuidora de Títulos e Valores Mobiliários Ltda.</w:t>
      </w:r>
    </w:p>
    <w:p w:rsidR="004C620B" w:rsidRPr="007827AE" w:rsidRDefault="004C620B">
      <w:pPr>
        <w:pStyle w:val="Body"/>
        <w:widowControl w:val="0"/>
        <w:spacing w:before="140" w:after="0" w:line="276" w:lineRule="auto"/>
        <w:rPr>
          <w:sz w:val="22"/>
        </w:rPr>
      </w:pPr>
    </w:p>
    <w:p w:rsidR="00000000" w:rsidRDefault="00605EA1">
      <w:pPr>
        <w:pStyle w:val="Body"/>
        <w:widowControl w:val="0"/>
        <w:spacing w:before="140" w:after="0" w:line="276" w:lineRule="auto"/>
        <w:jc w:val="center"/>
        <w:rPr>
          <w:b/>
          <w:i/>
          <w:smallCaps/>
          <w:snapToGrid w:val="0"/>
          <w:sz w:val="22"/>
        </w:rPr>
      </w:pPr>
      <w:r w:rsidRPr="00605EA1">
        <w:rPr>
          <w:b/>
          <w:i/>
          <w:smallCaps/>
          <w:snapToGrid w:val="0"/>
        </w:rPr>
        <w:t>SIMPLIFIC PAVARINI DISTRIBUIDORA DE TÍTULOS E VALORES MOBILIÁRIOS LTDA.</w:t>
      </w:r>
    </w:p>
    <w:p w:rsidR="00000000" w:rsidRDefault="008B0A83">
      <w:pPr>
        <w:pStyle w:val="Body"/>
        <w:widowControl w:val="0"/>
        <w:spacing w:before="140" w:after="0" w:line="276" w:lineRule="auto"/>
        <w:jc w:val="center"/>
        <w:rPr>
          <w:b/>
          <w:i/>
          <w:smallCaps/>
          <w:snapToGrid w:val="0"/>
          <w:sz w:val="22"/>
        </w:rPr>
      </w:pPr>
    </w:p>
    <w:p w:rsidR="004C620B" w:rsidRPr="007827AE"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tblPr>
      <w:tblGrid>
        <w:gridCol w:w="2231"/>
        <w:gridCol w:w="4500"/>
        <w:gridCol w:w="2342"/>
      </w:tblGrid>
      <w:tr w:rsidR="004C620B" w:rsidRPr="001E66A9">
        <w:trPr>
          <w:cantSplit/>
        </w:trPr>
        <w:tc>
          <w:tcPr>
            <w:tcW w:w="2231" w:type="dxa"/>
          </w:tcPr>
          <w:p w:rsidR="004C620B" w:rsidRPr="007827AE" w:rsidRDefault="004C620B">
            <w:pPr>
              <w:pStyle w:val="Body"/>
              <w:widowControl w:val="0"/>
              <w:spacing w:before="140" w:after="0" w:line="276" w:lineRule="auto"/>
              <w:rPr>
                <w:sz w:val="22"/>
              </w:rPr>
            </w:pPr>
          </w:p>
        </w:tc>
        <w:tc>
          <w:tcPr>
            <w:tcW w:w="4500" w:type="dxa"/>
            <w:tcBorders>
              <w:top w:val="single" w:sz="4" w:space="0" w:color="auto"/>
            </w:tcBorders>
          </w:tcPr>
          <w:p w:rsidR="004C620B" w:rsidRPr="007827AE" w:rsidRDefault="001068B6">
            <w:pPr>
              <w:pStyle w:val="Body"/>
              <w:widowControl w:val="0"/>
              <w:spacing w:before="140" w:after="0" w:line="276" w:lineRule="auto"/>
              <w:rPr>
                <w:sz w:val="22"/>
              </w:rPr>
            </w:pPr>
            <w:r w:rsidRPr="007827AE">
              <w:rPr>
                <w:sz w:val="22"/>
              </w:rPr>
              <w:t>Nome:</w:t>
            </w:r>
            <w:r w:rsidRPr="007827AE">
              <w:rPr>
                <w:sz w:val="22"/>
              </w:rPr>
              <w:br/>
              <w:t>Cargo:</w:t>
            </w:r>
          </w:p>
        </w:tc>
        <w:tc>
          <w:tcPr>
            <w:tcW w:w="2342" w:type="dxa"/>
          </w:tcPr>
          <w:p w:rsidR="004C620B" w:rsidRPr="007827AE" w:rsidRDefault="004C620B">
            <w:pPr>
              <w:pStyle w:val="Body"/>
              <w:widowControl w:val="0"/>
              <w:spacing w:before="140" w:after="0" w:line="276" w:lineRule="auto"/>
              <w:rPr>
                <w:sz w:val="22"/>
              </w:rPr>
            </w:pPr>
          </w:p>
        </w:tc>
      </w:tr>
    </w:tbl>
    <w:p w:rsidR="004C620B" w:rsidRPr="001E66A9" w:rsidRDefault="004C620B">
      <w:pPr>
        <w:pStyle w:val="Body"/>
        <w:widowControl w:val="0"/>
        <w:spacing w:before="140" w:after="0" w:line="276" w:lineRule="auto"/>
        <w:rPr>
          <w:sz w:val="22"/>
        </w:rPr>
      </w:pPr>
    </w:p>
    <w:p w:rsidR="004C620B" w:rsidRPr="007827AE" w:rsidRDefault="001068B6">
      <w:pPr>
        <w:widowControl w:val="0"/>
        <w:spacing w:before="140" w:after="0" w:line="276" w:lineRule="auto"/>
        <w:jc w:val="left"/>
        <w:rPr>
          <w:rFonts w:ascii="Arial" w:hAnsi="Arial" w:cs="Arial"/>
          <w:szCs w:val="22"/>
        </w:rPr>
      </w:pPr>
      <w:r w:rsidRPr="007827AE">
        <w:rPr>
          <w:rFonts w:ascii="Arial" w:hAnsi="Arial" w:cs="Arial"/>
          <w:szCs w:val="22"/>
        </w:rPr>
        <w:br w:type="page"/>
      </w:r>
    </w:p>
    <w:p w:rsidR="004C620B" w:rsidRPr="001E66A9" w:rsidRDefault="001068B6">
      <w:pPr>
        <w:pStyle w:val="Body"/>
        <w:widowControl w:val="0"/>
        <w:spacing w:before="140" w:after="0" w:line="276" w:lineRule="auto"/>
        <w:rPr>
          <w:sz w:val="22"/>
        </w:rPr>
      </w:pPr>
      <w:r w:rsidRPr="007827AE">
        <w:rPr>
          <w:i/>
          <w:sz w:val="22"/>
        </w:rPr>
        <w:t>Página de Assinaturas (3/3) do Instrumento Particular de Escritura de Emissão Pública de Debêntures Simples, Não Conversíveis</w:t>
      </w:r>
      <w:r w:rsidR="00605EA1" w:rsidRPr="00605EA1">
        <w:rPr>
          <w:i/>
          <w:sz w:val="22"/>
        </w:rPr>
        <w:t xml:space="preserve"> em Ações, da Espécie Quirografária, com Garantia Fidejussória Adicional, a ser Convolada em Espécie com Garantia Real, com Garantia Fidejussória Adicional, da 1ª (Primeira) Emissão </w:t>
      </w:r>
      <w:r w:rsidR="00605EA1" w:rsidRPr="00605EA1">
        <w:rPr>
          <w:i/>
          <w:snapToGrid w:val="0"/>
          <w:sz w:val="22"/>
        </w:rPr>
        <w:t>da Concessionária Linha Universidade S.A.</w:t>
      </w:r>
      <w:r w:rsidR="00605EA1" w:rsidRPr="00605EA1">
        <w:rPr>
          <w:i/>
          <w:sz w:val="22"/>
        </w:rPr>
        <w:t xml:space="preserve">, firmado em [●] de [●] de 2020, entre a Concessionária Linha Universidades S.A. e a </w:t>
      </w:r>
      <w:r w:rsidR="00196C54" w:rsidRPr="00196C54">
        <w:rPr>
          <w:bCs/>
          <w:i/>
          <w:sz w:val="22"/>
        </w:rPr>
        <w:t>Simplific Pavarini Distribuidora de Títulos e Valores Mobiliários Ltda.</w:t>
      </w:r>
      <w:r w:rsidR="00196C54" w:rsidRPr="00196C54" w:rsidDel="00196C54">
        <w:rPr>
          <w:b/>
          <w:i/>
          <w:sz w:val="22"/>
        </w:rPr>
        <w:t xml:space="preserve"> </w:t>
      </w:r>
    </w:p>
    <w:p w:rsidR="004C620B" w:rsidRPr="001E66A9" w:rsidRDefault="004C620B">
      <w:pPr>
        <w:pStyle w:val="Body"/>
        <w:widowControl w:val="0"/>
        <w:spacing w:before="140" w:after="0" w:line="276" w:lineRule="auto"/>
        <w:rPr>
          <w:sz w:val="22"/>
        </w:rPr>
      </w:pPr>
    </w:p>
    <w:p w:rsidR="004C620B" w:rsidRPr="001E66A9" w:rsidRDefault="00605EA1">
      <w:pPr>
        <w:pStyle w:val="Body"/>
        <w:widowControl w:val="0"/>
        <w:spacing w:before="140" w:after="0" w:line="276" w:lineRule="auto"/>
        <w:rPr>
          <w:sz w:val="22"/>
        </w:rPr>
      </w:pPr>
      <w:r w:rsidRPr="00605EA1">
        <w:rPr>
          <w:b/>
          <w:sz w:val="22"/>
        </w:rPr>
        <w:t>TESTEMUNHAS</w:t>
      </w:r>
      <w:r w:rsidRPr="00605EA1">
        <w:rPr>
          <w:sz w:val="22"/>
        </w:rPr>
        <w:t>:</w:t>
      </w:r>
    </w:p>
    <w:p w:rsidR="004C620B" w:rsidRPr="001E66A9" w:rsidRDefault="004C620B">
      <w:pPr>
        <w:pStyle w:val="Body"/>
        <w:widowControl w:val="0"/>
        <w:spacing w:before="140" w:after="0" w:line="276" w:lineRule="auto"/>
        <w:rPr>
          <w:sz w:val="22"/>
        </w:rPr>
      </w:pPr>
    </w:p>
    <w:p w:rsidR="004C620B" w:rsidRPr="001E66A9" w:rsidRDefault="004C620B">
      <w:pPr>
        <w:pStyle w:val="Body"/>
        <w:widowControl w:val="0"/>
        <w:spacing w:before="140" w:after="0" w:line="276" w:lineRule="auto"/>
        <w:rPr>
          <w:sz w:val="22"/>
        </w:rPr>
      </w:pPr>
    </w:p>
    <w:p w:rsidR="004C620B" w:rsidRPr="001E66A9" w:rsidRDefault="004C620B">
      <w:pPr>
        <w:pStyle w:val="Body"/>
        <w:widowControl w:val="0"/>
        <w:spacing w:before="140" w:after="0" w:line="276" w:lineRule="auto"/>
        <w:rPr>
          <w:sz w:val="22"/>
        </w:rPr>
      </w:pPr>
    </w:p>
    <w:tbl>
      <w:tblPr>
        <w:tblW w:w="9073" w:type="dxa"/>
        <w:tblLayout w:type="fixed"/>
        <w:tblCellMar>
          <w:left w:w="71" w:type="dxa"/>
          <w:right w:w="71" w:type="dxa"/>
        </w:tblCellMar>
        <w:tblLook w:val="0000"/>
      </w:tblPr>
      <w:tblGrid>
        <w:gridCol w:w="4253"/>
        <w:gridCol w:w="567"/>
        <w:gridCol w:w="4253"/>
      </w:tblGrid>
      <w:tr w:rsidR="004C620B" w:rsidRPr="001E66A9">
        <w:trPr>
          <w:cantSplit/>
        </w:trPr>
        <w:tc>
          <w:tcPr>
            <w:tcW w:w="4253" w:type="dxa"/>
            <w:tcBorders>
              <w:top w:val="single" w:sz="6" w:space="0" w:color="auto"/>
            </w:tcBorders>
          </w:tcPr>
          <w:p w:rsidR="004C620B" w:rsidRPr="001E66A9" w:rsidRDefault="00605EA1">
            <w:pPr>
              <w:pStyle w:val="Body"/>
              <w:widowControl w:val="0"/>
              <w:spacing w:before="140" w:after="0" w:line="276" w:lineRule="auto"/>
              <w:rPr>
                <w:sz w:val="22"/>
              </w:rPr>
            </w:pPr>
            <w:r w:rsidRPr="00605EA1">
              <w:rPr>
                <w:sz w:val="22"/>
              </w:rPr>
              <w:t>Nome:</w:t>
            </w:r>
            <w:r w:rsidRPr="00605EA1">
              <w:rPr>
                <w:sz w:val="22"/>
              </w:rPr>
              <w:br/>
              <w:t>RG.:</w:t>
            </w:r>
            <w:r w:rsidRPr="00605EA1">
              <w:rPr>
                <w:sz w:val="22"/>
              </w:rPr>
              <w:br/>
              <w:t>CPF:</w:t>
            </w:r>
          </w:p>
        </w:tc>
        <w:tc>
          <w:tcPr>
            <w:tcW w:w="567" w:type="dxa"/>
          </w:tcPr>
          <w:p w:rsidR="004C620B" w:rsidRPr="001E66A9" w:rsidRDefault="004C620B">
            <w:pPr>
              <w:pStyle w:val="Body"/>
              <w:widowControl w:val="0"/>
              <w:spacing w:before="140" w:after="0" w:line="276" w:lineRule="auto"/>
              <w:rPr>
                <w:sz w:val="22"/>
              </w:rPr>
            </w:pPr>
          </w:p>
        </w:tc>
        <w:tc>
          <w:tcPr>
            <w:tcW w:w="4253" w:type="dxa"/>
            <w:tcBorders>
              <w:top w:val="single" w:sz="6" w:space="0" w:color="auto"/>
            </w:tcBorders>
          </w:tcPr>
          <w:p w:rsidR="004C620B" w:rsidRPr="001E66A9" w:rsidRDefault="00605EA1">
            <w:pPr>
              <w:pStyle w:val="Body"/>
              <w:widowControl w:val="0"/>
              <w:spacing w:before="140" w:after="0" w:line="276" w:lineRule="auto"/>
              <w:rPr>
                <w:sz w:val="22"/>
              </w:rPr>
            </w:pPr>
            <w:r w:rsidRPr="00605EA1">
              <w:rPr>
                <w:sz w:val="22"/>
              </w:rPr>
              <w:t>Nome:</w:t>
            </w:r>
            <w:r w:rsidRPr="00605EA1">
              <w:rPr>
                <w:sz w:val="22"/>
              </w:rPr>
              <w:br/>
              <w:t>RG.:</w:t>
            </w:r>
            <w:r w:rsidRPr="00605EA1">
              <w:rPr>
                <w:sz w:val="22"/>
              </w:rPr>
              <w:br/>
              <w:t>CPF:</w:t>
            </w:r>
          </w:p>
        </w:tc>
      </w:tr>
    </w:tbl>
    <w:p w:rsidR="004C620B" w:rsidRPr="001E66A9" w:rsidRDefault="004C620B">
      <w:pPr>
        <w:pStyle w:val="Body"/>
        <w:widowControl w:val="0"/>
        <w:spacing w:before="140" w:after="0" w:line="276" w:lineRule="auto"/>
        <w:rPr>
          <w:sz w:val="22"/>
        </w:rPr>
      </w:pPr>
    </w:p>
    <w:p w:rsidR="004C620B" w:rsidRPr="007827AE" w:rsidRDefault="001068B6">
      <w:pPr>
        <w:spacing w:after="0" w:line="276" w:lineRule="auto"/>
        <w:jc w:val="left"/>
        <w:rPr>
          <w:rFonts w:ascii="Arial" w:hAnsi="Arial" w:cs="Arial"/>
          <w:szCs w:val="22"/>
        </w:rPr>
      </w:pPr>
      <w:r w:rsidRPr="007827AE">
        <w:rPr>
          <w:rFonts w:ascii="Arial" w:hAnsi="Arial" w:cs="Arial"/>
          <w:szCs w:val="22"/>
        </w:rPr>
        <w:br w:type="page"/>
      </w:r>
    </w:p>
    <w:p w:rsidR="004C620B" w:rsidRPr="007827AE" w:rsidRDefault="001068B6">
      <w:pPr>
        <w:pStyle w:val="Body"/>
        <w:widowControl w:val="0"/>
        <w:spacing w:before="140" w:after="0" w:line="276" w:lineRule="auto"/>
        <w:jc w:val="center"/>
        <w:rPr>
          <w:b/>
          <w:sz w:val="22"/>
        </w:rPr>
      </w:pPr>
      <w:r w:rsidRPr="007827AE">
        <w:rPr>
          <w:b/>
          <w:sz w:val="22"/>
        </w:rPr>
        <w:t xml:space="preserve">ANEXO A </w:t>
      </w:r>
    </w:p>
    <w:p w:rsidR="004C620B" w:rsidRPr="001E66A9" w:rsidRDefault="004C620B">
      <w:pPr>
        <w:spacing w:after="0" w:line="276" w:lineRule="auto"/>
        <w:jc w:val="left"/>
        <w:rPr>
          <w:rFonts w:ascii="Arial" w:hAnsi="Arial" w:cs="Arial"/>
          <w:b/>
          <w:szCs w:val="22"/>
        </w:rPr>
      </w:pPr>
    </w:p>
    <w:p w:rsidR="004C620B" w:rsidRPr="001E66A9" w:rsidRDefault="001068B6">
      <w:pPr>
        <w:widowControl w:val="0"/>
        <w:spacing w:before="140" w:after="0" w:line="276" w:lineRule="auto"/>
        <w:jc w:val="center"/>
        <w:rPr>
          <w:rFonts w:ascii="Arial" w:hAnsi="Arial" w:cs="Arial"/>
          <w:b/>
          <w:szCs w:val="22"/>
        </w:rPr>
      </w:pPr>
      <w:r w:rsidRPr="001E66A9">
        <w:rPr>
          <w:rFonts w:ascii="Arial" w:hAnsi="Arial" w:cs="Arial"/>
          <w:b/>
          <w:szCs w:val="22"/>
        </w:rPr>
        <w:t xml:space="preserve">Garantia Fidejussória </w:t>
      </w:r>
    </w:p>
    <w:p w:rsidR="004C620B" w:rsidRPr="001E66A9" w:rsidRDefault="001068B6">
      <w:pPr>
        <w:spacing w:after="0" w:line="276" w:lineRule="auto"/>
        <w:jc w:val="left"/>
        <w:rPr>
          <w:rFonts w:ascii="Arial" w:hAnsi="Arial" w:cs="Arial"/>
          <w:b/>
          <w:szCs w:val="22"/>
        </w:rPr>
      </w:pPr>
      <w:r w:rsidRPr="001E66A9">
        <w:rPr>
          <w:rFonts w:ascii="Arial" w:hAnsi="Arial" w:cs="Arial"/>
          <w:b/>
          <w:szCs w:val="22"/>
        </w:rPr>
        <w:br w:type="page"/>
      </w:r>
    </w:p>
    <w:p w:rsidR="004C620B" w:rsidRPr="007827AE" w:rsidRDefault="004C620B">
      <w:pPr>
        <w:widowControl w:val="0"/>
        <w:spacing w:before="140" w:after="0" w:line="276" w:lineRule="auto"/>
        <w:jc w:val="center"/>
        <w:rPr>
          <w:rFonts w:ascii="Arial" w:hAnsi="Arial" w:cs="Arial"/>
          <w:b/>
          <w:szCs w:val="22"/>
        </w:rPr>
      </w:pPr>
    </w:p>
    <w:p w:rsidR="004C620B" w:rsidRPr="007827AE" w:rsidRDefault="001068B6">
      <w:pPr>
        <w:pStyle w:val="Body"/>
        <w:widowControl w:val="0"/>
        <w:spacing w:before="140" w:after="0" w:line="276" w:lineRule="auto"/>
        <w:jc w:val="center"/>
        <w:rPr>
          <w:b/>
          <w:sz w:val="22"/>
        </w:rPr>
      </w:pPr>
      <w:r w:rsidRPr="007827AE">
        <w:rPr>
          <w:b/>
          <w:sz w:val="22"/>
        </w:rPr>
        <w:t xml:space="preserve">ANEXO B </w:t>
      </w:r>
    </w:p>
    <w:p w:rsidR="004C620B" w:rsidRPr="007827AE" w:rsidRDefault="004C620B">
      <w:pPr>
        <w:widowControl w:val="0"/>
        <w:spacing w:before="140" w:after="0" w:line="276" w:lineRule="auto"/>
        <w:jc w:val="center"/>
        <w:rPr>
          <w:rFonts w:ascii="Arial" w:hAnsi="Arial" w:cs="Arial"/>
          <w:b/>
          <w:szCs w:val="22"/>
        </w:rPr>
      </w:pPr>
    </w:p>
    <w:p w:rsidR="004C620B" w:rsidRPr="001E66A9" w:rsidRDefault="00605EA1">
      <w:pPr>
        <w:widowControl w:val="0"/>
        <w:spacing w:before="140" w:after="0" w:line="276" w:lineRule="auto"/>
        <w:jc w:val="center"/>
        <w:rPr>
          <w:rFonts w:ascii="Arial" w:hAnsi="Arial" w:cs="Arial"/>
          <w:b/>
          <w:szCs w:val="22"/>
        </w:rPr>
      </w:pPr>
      <w:r w:rsidRPr="00605EA1">
        <w:rPr>
          <w:rFonts w:ascii="Arial" w:hAnsi="Arial" w:cs="Arial"/>
          <w:b/>
          <w:szCs w:val="22"/>
        </w:rPr>
        <w:t xml:space="preserve">Modelo de Aditamento à Escritura de Emissão para Convolação da Espécie das Debêntures </w:t>
      </w:r>
    </w:p>
    <w:p w:rsidR="004C620B" w:rsidRPr="001E66A9" w:rsidRDefault="00605EA1">
      <w:pPr>
        <w:widowControl w:val="0"/>
        <w:spacing w:before="140" w:after="0" w:line="276" w:lineRule="auto"/>
        <w:rPr>
          <w:rFonts w:ascii="Arial" w:hAnsi="Arial" w:cs="Arial"/>
          <w:b/>
          <w:szCs w:val="22"/>
        </w:rPr>
      </w:pPr>
      <w:r w:rsidRPr="00605EA1">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rsidR="004C620B" w:rsidRPr="001E66A9" w:rsidRDefault="004C620B">
      <w:pPr>
        <w:widowControl w:val="0"/>
        <w:spacing w:before="140" w:after="0" w:line="276" w:lineRule="auto"/>
        <w:jc w:val="center"/>
        <w:rPr>
          <w:rFonts w:ascii="Arial" w:hAnsi="Arial" w:cs="Arial"/>
          <w:b/>
          <w:szCs w:val="22"/>
        </w:rPr>
      </w:pPr>
    </w:p>
    <w:p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 xml:space="preserve">Celebram este </w:t>
      </w:r>
      <w:r w:rsidRPr="00605EA1">
        <w:rPr>
          <w:rFonts w:ascii="Arial" w:hAnsi="Arial" w:cs="Arial"/>
          <w:i/>
          <w:szCs w:val="22"/>
        </w:rPr>
        <w:t>"[●]º Aditamento ao</w:t>
      </w:r>
      <w:r w:rsidRPr="00605EA1">
        <w:rPr>
          <w:rFonts w:ascii="Arial" w:hAnsi="Arial" w:cs="Arial"/>
          <w:szCs w:val="22"/>
        </w:rPr>
        <w:t xml:space="preserve"> </w:t>
      </w:r>
      <w:r w:rsidRPr="00605EA1">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605EA1">
        <w:rPr>
          <w:rFonts w:ascii="Arial" w:hAnsi="Arial" w:cs="Arial"/>
          <w:szCs w:val="22"/>
        </w:rPr>
        <w:t>" (“</w:t>
      </w:r>
      <w:r w:rsidRPr="00605EA1">
        <w:rPr>
          <w:rFonts w:ascii="Arial" w:hAnsi="Arial" w:cs="Arial"/>
          <w:b/>
          <w:szCs w:val="22"/>
        </w:rPr>
        <w:t>Aditamento</w:t>
      </w:r>
      <w:r w:rsidRPr="00605EA1">
        <w:rPr>
          <w:rFonts w:ascii="Arial" w:hAnsi="Arial" w:cs="Arial"/>
          <w:szCs w:val="22"/>
        </w:rPr>
        <w:t xml:space="preserve">”): </w:t>
      </w:r>
    </w:p>
    <w:p w:rsidR="004C620B" w:rsidRPr="001E66A9" w:rsidRDefault="00605EA1">
      <w:pPr>
        <w:pStyle w:val="PargrafodaLista"/>
        <w:widowControl w:val="0"/>
        <w:numPr>
          <w:ilvl w:val="0"/>
          <w:numId w:val="80"/>
        </w:numPr>
        <w:spacing w:before="140" w:after="0" w:line="276" w:lineRule="auto"/>
        <w:ind w:left="0" w:hanging="11"/>
        <w:rPr>
          <w:rFonts w:ascii="Arial" w:hAnsi="Arial" w:cs="Arial"/>
          <w:szCs w:val="22"/>
        </w:rPr>
      </w:pPr>
      <w:r w:rsidRPr="00605EA1">
        <w:rPr>
          <w:rFonts w:ascii="Arial" w:hAnsi="Arial" w:cs="Arial"/>
          <w:b/>
          <w:smallCaps/>
          <w:snapToGrid w:val="0"/>
          <w:szCs w:val="22"/>
        </w:rPr>
        <w:t>CONCESSIONÁRIA LINHA UNIVERSIDADE S.A.</w:t>
      </w:r>
      <w:r w:rsidRPr="00605EA1">
        <w:rPr>
          <w:rFonts w:ascii="Arial" w:hAnsi="Arial" w:cs="Arial"/>
          <w:szCs w:val="22"/>
        </w:rPr>
        <w:t xml:space="preserve">,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w:t>
      </w:r>
      <w:proofErr w:type="gramStart"/>
      <w:r w:rsidRPr="00605EA1">
        <w:rPr>
          <w:rFonts w:ascii="Arial" w:hAnsi="Arial" w:cs="Arial"/>
          <w:szCs w:val="22"/>
        </w:rPr>
        <w:t>perante a</w:t>
      </w:r>
      <w:proofErr w:type="gramEnd"/>
      <w:r w:rsidRPr="00605EA1">
        <w:rPr>
          <w:rFonts w:ascii="Arial" w:hAnsi="Arial" w:cs="Arial"/>
          <w:szCs w:val="22"/>
        </w:rPr>
        <w:t xml:space="preserve"> JUCESP (conforme definido abaixo) sob o NIRE nº 35.300.545.044, neste ato representada nos termos de seu estatuto social (“</w:t>
      </w:r>
      <w:r w:rsidRPr="00605EA1">
        <w:rPr>
          <w:rFonts w:ascii="Arial" w:hAnsi="Arial" w:cs="Arial"/>
          <w:b/>
          <w:szCs w:val="22"/>
        </w:rPr>
        <w:t>Companhia</w:t>
      </w:r>
      <w:r w:rsidRPr="00605EA1">
        <w:rPr>
          <w:rFonts w:ascii="Arial" w:hAnsi="Arial" w:cs="Arial"/>
          <w:szCs w:val="22"/>
        </w:rPr>
        <w:t xml:space="preserve">”), como emissora e ofertante das Debêntures (conforme definido abaixo); e </w:t>
      </w:r>
    </w:p>
    <w:p w:rsidR="004C620B" w:rsidRPr="001E66A9" w:rsidRDefault="004C620B">
      <w:pPr>
        <w:pStyle w:val="PargrafodaLista"/>
        <w:widowControl w:val="0"/>
        <w:spacing w:before="140" w:after="0" w:line="276" w:lineRule="auto"/>
        <w:ind w:left="0" w:hanging="11"/>
        <w:rPr>
          <w:rFonts w:ascii="Arial" w:hAnsi="Arial" w:cs="Arial"/>
          <w:szCs w:val="22"/>
        </w:rPr>
      </w:pPr>
    </w:p>
    <w:p w:rsidR="004C620B" w:rsidRPr="001E66A9" w:rsidRDefault="00605EA1">
      <w:pPr>
        <w:pStyle w:val="PargrafodaLista"/>
        <w:widowControl w:val="0"/>
        <w:numPr>
          <w:ilvl w:val="0"/>
          <w:numId w:val="80"/>
        </w:numPr>
        <w:spacing w:before="140" w:after="0" w:line="276" w:lineRule="auto"/>
        <w:ind w:left="0" w:hanging="11"/>
        <w:rPr>
          <w:rFonts w:ascii="Arial" w:hAnsi="Arial" w:cs="Arial"/>
          <w:szCs w:val="22"/>
        </w:rPr>
      </w:pPr>
      <w:r w:rsidRPr="00605EA1">
        <w:rPr>
          <w:rFonts w:ascii="Arial" w:hAnsi="Arial" w:cs="Arial"/>
          <w:b/>
          <w:smallCaps/>
          <w:snapToGrid w:val="0"/>
          <w:szCs w:val="22"/>
        </w:rPr>
        <w:t>SIMPLIFIC PAVARINI DISTRIBUIDORA DE TÍTULOS E VALORES MOBILIÁRIOS LTDA.,</w:t>
      </w:r>
      <w:r w:rsidR="00196C54" w:rsidRPr="001E66A9">
        <w:rPr>
          <w:bCs/>
          <w:smallCaps/>
        </w:rPr>
        <w:t xml:space="preserve"> </w:t>
      </w:r>
      <w:r w:rsidRPr="00605EA1">
        <w:rPr>
          <w:rFonts w:ascii="Arial" w:hAnsi="Arial" w:cs="Arial"/>
          <w:szCs w:val="22"/>
        </w:rPr>
        <w:t xml:space="preserve">instituição financeira, localizada na Cidade do Rio de Janeiro, Estado do Rio de Janeiro, na Rua Sete de Setembro, nº 99, 24º andar, CEP 20050-005, inscrita no CNPJ sob o nº 15.227.994/0001-50, na qualidade de agente fiduciário, representando a comunhão dos interesses dos titulares das debêntures da presente emissão, neste </w:t>
      </w:r>
      <w:proofErr w:type="gramStart"/>
      <w:r w:rsidRPr="00605EA1">
        <w:rPr>
          <w:rFonts w:ascii="Arial" w:hAnsi="Arial" w:cs="Arial"/>
          <w:szCs w:val="22"/>
        </w:rPr>
        <w:t xml:space="preserve">ato representada </w:t>
      </w:r>
      <w:r w:rsidR="001068B6" w:rsidRPr="007827AE">
        <w:rPr>
          <w:rFonts w:ascii="Arial" w:hAnsi="Arial" w:cs="Arial"/>
          <w:szCs w:val="22"/>
        </w:rPr>
        <w:t>na forma do seu estatuto social</w:t>
      </w:r>
      <w:r w:rsidR="001068B6" w:rsidRPr="007827AE">
        <w:rPr>
          <w:rFonts w:ascii="Arial" w:hAnsi="Arial" w:cs="Arial"/>
          <w:b/>
          <w:smallCaps/>
          <w:szCs w:val="22"/>
        </w:rPr>
        <w:t xml:space="preserve"> </w:t>
      </w:r>
      <w:r w:rsidR="001068B6" w:rsidRPr="007827AE">
        <w:rPr>
          <w:rFonts w:ascii="Arial" w:hAnsi="Arial" w:cs="Arial"/>
          <w:szCs w:val="22"/>
        </w:rPr>
        <w:t>(“</w:t>
      </w:r>
      <w:r w:rsidRPr="00605EA1">
        <w:rPr>
          <w:rFonts w:ascii="Arial" w:hAnsi="Arial" w:cs="Arial"/>
          <w:b/>
          <w:szCs w:val="22"/>
        </w:rPr>
        <w:t>Agente Fiduciário</w:t>
      </w:r>
      <w:r w:rsidRPr="00605EA1">
        <w:rPr>
          <w:rFonts w:ascii="Arial" w:hAnsi="Arial" w:cs="Arial"/>
          <w:szCs w:val="22"/>
        </w:rPr>
        <w:t>”, em conjunto com a Companhia, denominados “</w:t>
      </w:r>
      <w:r w:rsidRPr="00605EA1">
        <w:rPr>
          <w:rFonts w:ascii="Arial" w:hAnsi="Arial" w:cs="Arial"/>
          <w:b/>
          <w:szCs w:val="22"/>
        </w:rPr>
        <w:t>Partes</w:t>
      </w:r>
      <w:r w:rsidRPr="00605EA1">
        <w:rPr>
          <w:rFonts w:ascii="Arial" w:hAnsi="Arial" w:cs="Arial"/>
          <w:szCs w:val="22"/>
        </w:rPr>
        <w:t>”, e, quando referidos individualmente “</w:t>
      </w:r>
      <w:r w:rsidRPr="00605EA1">
        <w:rPr>
          <w:rFonts w:ascii="Arial" w:hAnsi="Arial" w:cs="Arial"/>
          <w:b/>
          <w:szCs w:val="22"/>
        </w:rPr>
        <w:t>Parte</w:t>
      </w:r>
      <w:r w:rsidRPr="00605EA1">
        <w:rPr>
          <w:rFonts w:ascii="Arial" w:hAnsi="Arial" w:cs="Arial"/>
          <w:szCs w:val="22"/>
        </w:rPr>
        <w:t>”)</w:t>
      </w:r>
      <w:proofErr w:type="gramEnd"/>
      <w:r w:rsidRPr="00605EA1">
        <w:rPr>
          <w:rFonts w:ascii="Arial" w:hAnsi="Arial" w:cs="Arial"/>
          <w:szCs w:val="22"/>
        </w:rPr>
        <w:t xml:space="preserve">, como agente fiduciário, nomeado nesta Escritura de Emissão, representando a comunhão dos Debenturistas; </w:t>
      </w:r>
    </w:p>
    <w:p w:rsidR="004C620B" w:rsidRPr="001E66A9" w:rsidRDefault="004C620B">
      <w:pPr>
        <w:widowControl w:val="0"/>
        <w:spacing w:before="140" w:after="0" w:line="276" w:lineRule="auto"/>
        <w:rPr>
          <w:rFonts w:ascii="Arial" w:hAnsi="Arial" w:cs="Arial"/>
          <w:b/>
          <w:szCs w:val="22"/>
        </w:rPr>
      </w:pPr>
    </w:p>
    <w:p w:rsidR="004C620B" w:rsidRPr="001E66A9" w:rsidRDefault="00605EA1">
      <w:pPr>
        <w:widowControl w:val="0"/>
        <w:spacing w:before="140" w:after="0" w:line="276" w:lineRule="auto"/>
        <w:rPr>
          <w:rFonts w:ascii="Arial" w:hAnsi="Arial" w:cs="Arial"/>
          <w:b/>
          <w:szCs w:val="22"/>
        </w:rPr>
      </w:pPr>
      <w:r w:rsidRPr="00605EA1">
        <w:rPr>
          <w:rFonts w:ascii="Arial" w:hAnsi="Arial" w:cs="Arial"/>
          <w:b/>
          <w:szCs w:val="22"/>
        </w:rPr>
        <w:t>CONSIDERANDO QUE:</w:t>
      </w:r>
    </w:p>
    <w:p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em [</w:t>
      </w:r>
      <w:r w:rsidRPr="00605EA1">
        <w:rPr>
          <w:rFonts w:ascii="Arial" w:hAnsi="Arial" w:cs="Arial"/>
          <w:szCs w:val="22"/>
          <w:highlight w:val="yellow"/>
        </w:rPr>
        <w:t>●</w:t>
      </w:r>
      <w:r w:rsidRPr="00605EA1">
        <w:rPr>
          <w:rFonts w:ascii="Arial" w:hAnsi="Arial" w:cs="Arial"/>
          <w:szCs w:val="22"/>
        </w:rPr>
        <w:t>] de [</w:t>
      </w:r>
      <w:r w:rsidRPr="00605EA1">
        <w:rPr>
          <w:rFonts w:ascii="Arial" w:hAnsi="Arial" w:cs="Arial"/>
          <w:szCs w:val="22"/>
          <w:highlight w:val="yellow"/>
        </w:rPr>
        <w:t>●</w:t>
      </w:r>
      <w:r w:rsidRPr="00605EA1">
        <w:rPr>
          <w:rFonts w:ascii="Arial" w:hAnsi="Arial" w:cs="Arial"/>
          <w:szCs w:val="22"/>
        </w:rPr>
        <w:t>] de [</w:t>
      </w:r>
      <w:r w:rsidRPr="00605EA1">
        <w:rPr>
          <w:rFonts w:ascii="Arial" w:hAnsi="Arial" w:cs="Arial"/>
          <w:szCs w:val="22"/>
          <w:highlight w:val="yellow"/>
        </w:rPr>
        <w:t>●</w:t>
      </w:r>
      <w:r w:rsidRPr="00605EA1">
        <w:rPr>
          <w:rFonts w:ascii="Arial" w:hAnsi="Arial" w:cs="Arial"/>
          <w:szCs w:val="22"/>
        </w:rPr>
        <w:t>], as Partes celebraram o “</w:t>
      </w:r>
      <w:r w:rsidRPr="00605EA1">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sidRPr="00605EA1">
        <w:rPr>
          <w:rFonts w:ascii="Arial" w:hAnsi="Arial" w:cs="Arial"/>
          <w:szCs w:val="22"/>
        </w:rPr>
        <w:t>” (“</w:t>
      </w:r>
      <w:r w:rsidRPr="00605EA1">
        <w:rPr>
          <w:rFonts w:ascii="Arial" w:hAnsi="Arial" w:cs="Arial"/>
          <w:b/>
          <w:szCs w:val="22"/>
        </w:rPr>
        <w:t>Escritura de Emissão</w:t>
      </w:r>
      <w:r w:rsidRPr="00605EA1">
        <w:rPr>
          <w:rFonts w:ascii="Arial" w:hAnsi="Arial" w:cs="Arial"/>
          <w:szCs w:val="22"/>
        </w:rPr>
        <w:t>” e “</w:t>
      </w:r>
      <w:r w:rsidRPr="00605EA1">
        <w:rPr>
          <w:rFonts w:ascii="Arial" w:hAnsi="Arial" w:cs="Arial"/>
          <w:b/>
          <w:szCs w:val="22"/>
        </w:rPr>
        <w:t>Emissão</w:t>
      </w:r>
      <w:r w:rsidRPr="00605EA1">
        <w:rPr>
          <w:rFonts w:ascii="Arial" w:hAnsi="Arial" w:cs="Arial"/>
          <w:szCs w:val="22"/>
        </w:rPr>
        <w:t>”, respectivamente);</w:t>
      </w:r>
    </w:p>
    <w:p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a celebração do presente Aditamento estava prevista na Cláusula 7.8.1 da Escritura de Emissão;</w:t>
      </w:r>
    </w:p>
    <w:p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 xml:space="preserve"> em conformidade com o disposto na Cláusula 7.8.1 da Escritura de Emissão não será necessária a realização de qualquer ato societário da Emissora ou de Assembleia Geral de Debenturistas para formalização e/ou aprovação do presente Aditamento; </w:t>
      </w:r>
    </w:p>
    <w:p w:rsidR="004C620B" w:rsidRPr="001E66A9" w:rsidRDefault="00605EA1">
      <w:pPr>
        <w:widowControl w:val="0"/>
        <w:numPr>
          <w:ilvl w:val="0"/>
          <w:numId w:val="73"/>
        </w:numPr>
        <w:spacing w:before="140" w:after="0" w:line="276" w:lineRule="auto"/>
        <w:rPr>
          <w:rFonts w:ascii="Arial" w:hAnsi="Arial" w:cs="Arial"/>
          <w:b/>
          <w:szCs w:val="22"/>
        </w:rPr>
      </w:pPr>
      <w:r w:rsidRPr="00605EA1">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 xml:space="preserve">Assim, as Partes resolvem, na melhor forma de direito, celebrar o presente, Aditamento nos termos e condições abaixo. </w:t>
      </w:r>
    </w:p>
    <w:p w:rsidR="004C620B" w:rsidRPr="001E66A9" w:rsidRDefault="004C620B">
      <w:pPr>
        <w:spacing w:after="140" w:line="276" w:lineRule="auto"/>
        <w:ind w:left="360"/>
        <w:rPr>
          <w:rFonts w:ascii="Arial" w:hAnsi="Arial" w:cs="Arial"/>
          <w:szCs w:val="22"/>
        </w:rPr>
      </w:pPr>
    </w:p>
    <w:p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DA AVERBAÇÃO DO ADITAMENTO</w:t>
      </w:r>
    </w:p>
    <w:p w:rsidR="004C620B" w:rsidRPr="001E66A9" w:rsidRDefault="00605EA1">
      <w:pPr>
        <w:widowControl w:val="0"/>
        <w:numPr>
          <w:ilvl w:val="1"/>
          <w:numId w:val="74"/>
        </w:numPr>
        <w:spacing w:before="140" w:after="0" w:line="276" w:lineRule="auto"/>
        <w:ind w:left="0" w:firstLine="0"/>
        <w:rPr>
          <w:rFonts w:ascii="Arial" w:hAnsi="Arial" w:cs="Arial"/>
          <w:szCs w:val="22"/>
        </w:rPr>
      </w:pPr>
      <w:r w:rsidRPr="00605EA1">
        <w:rPr>
          <w:rFonts w:ascii="Arial" w:hAnsi="Arial" w:cs="Arial"/>
          <w:szCs w:val="22"/>
        </w:rPr>
        <w:t>Este Aditamento deverá ser protocolado para arquivamento na Junta Comercial do Estado de São Paulo (“</w:t>
      </w:r>
      <w:r w:rsidRPr="00605EA1">
        <w:rPr>
          <w:rFonts w:ascii="Arial" w:hAnsi="Arial" w:cs="Arial"/>
          <w:b/>
          <w:szCs w:val="22"/>
        </w:rPr>
        <w:t>JUCESP</w:t>
      </w:r>
      <w:r w:rsidRPr="00605EA1">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rsidR="004C620B" w:rsidRPr="001E66A9" w:rsidRDefault="004C620B">
      <w:pPr>
        <w:widowControl w:val="0"/>
        <w:spacing w:before="140" w:after="0" w:line="276" w:lineRule="auto"/>
        <w:rPr>
          <w:rFonts w:ascii="Arial" w:hAnsi="Arial" w:cs="Arial"/>
          <w:szCs w:val="22"/>
        </w:rPr>
      </w:pPr>
    </w:p>
    <w:p w:rsidR="004C620B" w:rsidRPr="001E66A9" w:rsidRDefault="00605EA1">
      <w:pPr>
        <w:numPr>
          <w:ilvl w:val="0"/>
          <w:numId w:val="74"/>
        </w:numPr>
        <w:spacing w:after="140" w:line="276" w:lineRule="auto"/>
        <w:ind w:left="0" w:hanging="11"/>
        <w:rPr>
          <w:rFonts w:ascii="Arial" w:hAnsi="Arial" w:cs="Arial"/>
          <w:b/>
          <w:szCs w:val="22"/>
        </w:rPr>
      </w:pPr>
      <w:r w:rsidRPr="00605EA1">
        <w:rPr>
          <w:rFonts w:ascii="Arial" w:hAnsi="Arial" w:cs="Arial"/>
          <w:b/>
          <w:szCs w:val="22"/>
        </w:rPr>
        <w:t>ALTERAÇÕES</w:t>
      </w:r>
    </w:p>
    <w:p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4C620B" w:rsidRPr="001E66A9" w:rsidRDefault="00605EA1">
      <w:pPr>
        <w:widowControl w:val="0"/>
        <w:spacing w:before="140" w:after="0" w:line="276" w:lineRule="auto"/>
        <w:ind w:left="426"/>
        <w:rPr>
          <w:rFonts w:ascii="Arial" w:hAnsi="Arial" w:cs="Arial"/>
          <w:b/>
          <w:i/>
          <w:szCs w:val="22"/>
        </w:rPr>
      </w:pPr>
      <w:r w:rsidRPr="00605EA1">
        <w:rPr>
          <w:rFonts w:ascii="Arial" w:hAnsi="Arial" w:cs="Arial"/>
          <w:i/>
          <w:szCs w:val="22"/>
        </w:rPr>
        <w:t xml:space="preserve">“7.8 Espécie. As Debêntures serão da espécie com garantia real.” </w:t>
      </w:r>
    </w:p>
    <w:p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 xml:space="preserve">Em razão da convolação da espécie das Debêntures de quirografária para a espécie com garantia real, é excluída a Cláusula 7.8.1 da Escritura de Emissão. </w:t>
      </w:r>
    </w:p>
    <w:p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sidRPr="00605EA1">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sidRPr="00605EA1">
        <w:rPr>
          <w:rFonts w:ascii="Arial" w:hAnsi="Arial" w:cs="Arial"/>
          <w:szCs w:val="22"/>
        </w:rPr>
        <w:t xml:space="preserve">”. </w:t>
      </w:r>
    </w:p>
    <w:p w:rsidR="004C620B" w:rsidRPr="001E66A9" w:rsidRDefault="004C620B">
      <w:pPr>
        <w:spacing w:after="140" w:line="276" w:lineRule="auto"/>
        <w:rPr>
          <w:rFonts w:ascii="Arial" w:hAnsi="Arial" w:cs="Arial"/>
          <w:szCs w:val="22"/>
        </w:rPr>
      </w:pPr>
    </w:p>
    <w:p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RATIFICAÇÃO E CONSOLIDAÇÃO</w:t>
      </w:r>
    </w:p>
    <w:p w:rsidR="004C620B" w:rsidRPr="001E66A9" w:rsidRDefault="00605EA1">
      <w:pPr>
        <w:widowControl w:val="0"/>
        <w:numPr>
          <w:ilvl w:val="1"/>
          <w:numId w:val="74"/>
        </w:numPr>
        <w:spacing w:before="140" w:after="0" w:line="276" w:lineRule="auto"/>
        <w:ind w:left="0" w:firstLine="0"/>
        <w:rPr>
          <w:rFonts w:ascii="Arial" w:hAnsi="Arial" w:cs="Arial"/>
          <w:b/>
          <w:szCs w:val="22"/>
        </w:rPr>
      </w:pPr>
      <w:r w:rsidRPr="00605EA1">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4C620B" w:rsidRPr="001E66A9" w:rsidRDefault="004C620B">
      <w:pPr>
        <w:spacing w:after="140" w:line="276" w:lineRule="auto"/>
        <w:rPr>
          <w:rFonts w:ascii="Arial" w:hAnsi="Arial" w:cs="Arial"/>
          <w:szCs w:val="22"/>
        </w:rPr>
      </w:pPr>
    </w:p>
    <w:p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DISPOSIÇÕES FINAIS</w:t>
      </w:r>
    </w:p>
    <w:p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t>Termos iniciados por letra maiúscula utilizados neste Aditamento que não estiverem aqui definidos têm o significado que lhes foi atribuído na Escritura de Emissão.</w:t>
      </w:r>
    </w:p>
    <w:p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t>Este Aditamento é celebrado em caráter irrevogável e irretratável, obrigando as Partes e seus sucessores a qualquer título.</w:t>
      </w:r>
    </w:p>
    <w:p w:rsidR="004C620B" w:rsidRPr="001E66A9" w:rsidRDefault="004C620B">
      <w:pPr>
        <w:spacing w:after="140" w:line="276" w:lineRule="auto"/>
        <w:rPr>
          <w:rFonts w:ascii="Arial" w:hAnsi="Arial" w:cs="Arial"/>
          <w:szCs w:val="22"/>
        </w:rPr>
      </w:pPr>
    </w:p>
    <w:p w:rsidR="004C620B" w:rsidRPr="001E66A9" w:rsidRDefault="00605EA1">
      <w:pPr>
        <w:numPr>
          <w:ilvl w:val="0"/>
          <w:numId w:val="74"/>
        </w:numPr>
        <w:spacing w:after="140" w:line="276" w:lineRule="auto"/>
        <w:ind w:left="0" w:firstLine="0"/>
        <w:rPr>
          <w:rFonts w:ascii="Arial" w:hAnsi="Arial" w:cs="Arial"/>
          <w:b/>
          <w:szCs w:val="22"/>
        </w:rPr>
      </w:pPr>
      <w:r w:rsidRPr="00605EA1">
        <w:rPr>
          <w:rFonts w:ascii="Arial" w:hAnsi="Arial" w:cs="Arial"/>
          <w:b/>
          <w:szCs w:val="22"/>
        </w:rPr>
        <w:t>LEI APLICÁVEL E FORO</w:t>
      </w:r>
    </w:p>
    <w:p w:rsidR="004C620B" w:rsidRPr="001E66A9" w:rsidRDefault="00605EA1">
      <w:pPr>
        <w:numPr>
          <w:ilvl w:val="1"/>
          <w:numId w:val="74"/>
        </w:numPr>
        <w:spacing w:after="140" w:line="276" w:lineRule="auto"/>
        <w:ind w:left="0" w:firstLine="0"/>
        <w:rPr>
          <w:rFonts w:ascii="Arial" w:hAnsi="Arial" w:cs="Arial"/>
          <w:b/>
          <w:szCs w:val="22"/>
        </w:rPr>
      </w:pPr>
      <w:r w:rsidRPr="00605EA1">
        <w:rPr>
          <w:rFonts w:ascii="Arial" w:hAnsi="Arial" w:cs="Arial"/>
          <w:szCs w:val="22"/>
        </w:rPr>
        <w:t>Este Aditamento será regido e interpretado de acordo com as leis da República Federativa do Brasil.</w:t>
      </w:r>
    </w:p>
    <w:p w:rsidR="004C620B" w:rsidRPr="001E66A9" w:rsidRDefault="00605EA1">
      <w:pPr>
        <w:numPr>
          <w:ilvl w:val="1"/>
          <w:numId w:val="74"/>
        </w:numPr>
        <w:spacing w:after="140" w:line="276" w:lineRule="auto"/>
        <w:ind w:left="0" w:firstLine="0"/>
        <w:rPr>
          <w:rFonts w:ascii="Arial" w:hAnsi="Arial" w:cs="Arial"/>
          <w:szCs w:val="22"/>
        </w:rPr>
      </w:pPr>
      <w:r w:rsidRPr="00605EA1">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4C620B" w:rsidRPr="001E66A9" w:rsidRDefault="00605EA1">
      <w:pPr>
        <w:widowControl w:val="0"/>
        <w:spacing w:before="140" w:after="0" w:line="276" w:lineRule="auto"/>
        <w:rPr>
          <w:rFonts w:ascii="Arial" w:hAnsi="Arial" w:cs="Arial"/>
          <w:szCs w:val="22"/>
        </w:rPr>
      </w:pPr>
      <w:r w:rsidRPr="00605EA1">
        <w:rPr>
          <w:rFonts w:ascii="Arial" w:hAnsi="Arial" w:cs="Arial"/>
          <w:szCs w:val="22"/>
        </w:rPr>
        <w:t>Estando assim, as Partes certas e ajustadas, firmam o presente Aditamento, em 3 (três) vias de igual teor e forma, juntamente com 2 (duas) testemunhas abaixo identificadas, que também a assinam.</w:t>
      </w:r>
    </w:p>
    <w:p w:rsidR="004C620B" w:rsidRPr="001E66A9" w:rsidRDefault="004C620B">
      <w:pPr>
        <w:widowControl w:val="0"/>
        <w:spacing w:after="0" w:line="276" w:lineRule="auto"/>
        <w:jc w:val="center"/>
        <w:rPr>
          <w:rFonts w:ascii="Arial" w:hAnsi="Arial" w:cs="Arial"/>
          <w:szCs w:val="22"/>
        </w:rPr>
      </w:pPr>
    </w:p>
    <w:p w:rsidR="004C620B" w:rsidRPr="001E66A9" w:rsidRDefault="00605EA1">
      <w:pPr>
        <w:widowControl w:val="0"/>
        <w:spacing w:after="0" w:line="276" w:lineRule="auto"/>
        <w:jc w:val="center"/>
        <w:rPr>
          <w:rFonts w:ascii="Arial" w:hAnsi="Arial" w:cs="Arial"/>
          <w:szCs w:val="22"/>
        </w:rPr>
      </w:pPr>
      <w:r w:rsidRPr="00605EA1">
        <w:rPr>
          <w:rFonts w:ascii="Arial" w:hAnsi="Arial" w:cs="Arial"/>
          <w:szCs w:val="22"/>
        </w:rPr>
        <w:t>São Paulo, [●] de [●] de [●].</w:t>
      </w:r>
    </w:p>
    <w:p w:rsidR="004C620B" w:rsidRPr="001E66A9" w:rsidRDefault="004C620B">
      <w:pPr>
        <w:widowControl w:val="0"/>
        <w:spacing w:after="0" w:line="276" w:lineRule="auto"/>
        <w:jc w:val="center"/>
        <w:rPr>
          <w:rFonts w:ascii="Arial" w:hAnsi="Arial" w:cs="Arial"/>
          <w:szCs w:val="22"/>
        </w:rPr>
      </w:pPr>
    </w:p>
    <w:p w:rsidR="004C620B" w:rsidRPr="001E66A9" w:rsidRDefault="00605EA1">
      <w:pPr>
        <w:spacing w:after="0" w:line="276" w:lineRule="auto"/>
        <w:jc w:val="center"/>
        <w:rPr>
          <w:rFonts w:ascii="Arial" w:hAnsi="Arial" w:cs="Arial"/>
          <w:i/>
          <w:szCs w:val="22"/>
        </w:rPr>
      </w:pPr>
      <w:r w:rsidRPr="00605EA1">
        <w:rPr>
          <w:rFonts w:ascii="Arial" w:hAnsi="Arial" w:cs="Arial"/>
          <w:i/>
          <w:szCs w:val="22"/>
        </w:rPr>
        <w:t>[ASSINATURA DAS PARTES]</w:t>
      </w:r>
    </w:p>
    <w:p w:rsidR="004C620B" w:rsidRPr="001E66A9" w:rsidRDefault="004C620B">
      <w:pPr>
        <w:spacing w:after="0" w:line="276" w:lineRule="auto"/>
        <w:jc w:val="left"/>
        <w:rPr>
          <w:rFonts w:ascii="Arial" w:hAnsi="Arial" w:cs="Arial"/>
          <w:b/>
          <w:szCs w:val="22"/>
        </w:rPr>
      </w:pPr>
    </w:p>
    <w:p w:rsidR="004C620B" w:rsidRPr="001E66A9" w:rsidRDefault="004C620B">
      <w:pPr>
        <w:pStyle w:val="Body"/>
        <w:widowControl w:val="0"/>
        <w:spacing w:before="140" w:after="0" w:line="276" w:lineRule="auto"/>
        <w:rPr>
          <w:b/>
          <w:sz w:val="22"/>
        </w:rPr>
      </w:pPr>
    </w:p>
    <w:sectPr w:rsidR="004C620B" w:rsidRPr="001E66A9" w:rsidSect="00500B80">
      <w:headerReference w:type="even" r:id="rId20"/>
      <w:footerReference w:type="even" r:id="rId21"/>
      <w:footerReference w:type="default" r:id="rId22"/>
      <w:headerReference w:type="first" r:id="rId23"/>
      <w:footerReference w:type="first" r:id="rId24"/>
      <w:pgSz w:w="11906" w:h="16838" w:code="121"/>
      <w:pgMar w:top="3686" w:right="1304" w:bottom="2268" w:left="2398" w:header="850" w:footer="85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83" w:rsidRDefault="008B0A83">
      <w:r>
        <w:separator/>
      </w:r>
    </w:p>
    <w:p w:rsidR="008B0A83" w:rsidRDefault="008B0A83"/>
    <w:p w:rsidR="008B0A83" w:rsidRDefault="008B0A83"/>
  </w:endnote>
  <w:endnote w:type="continuationSeparator" w:id="0">
    <w:p w:rsidR="008B0A83" w:rsidRDefault="008B0A83">
      <w:r>
        <w:continuationSeparator/>
      </w:r>
    </w:p>
    <w:p w:rsidR="008B0A83" w:rsidRDefault="008B0A83"/>
    <w:p w:rsidR="008B0A83" w:rsidRDefault="008B0A83"/>
  </w:endnote>
  <w:endnote w:type="continuationNotice" w:id="1">
    <w:p w:rsidR="008B0A83" w:rsidRDefault="008B0A83">
      <w:pPr>
        <w:spacing w:after="0"/>
      </w:pP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6B" w:rsidRDefault="0000786B">
    <w:pPr>
      <w:spacing w:after="0"/>
      <w:jc w:val="left"/>
      <w:rPr>
        <w:color w:val="000000"/>
        <w:sz w:val="17"/>
      </w:rPr>
    </w:pPr>
    <w:bookmarkStart w:id="182" w:name="TITUS1FooterEvenPages"/>
    <w:r>
      <w:rPr>
        <w:color w:val="000000"/>
        <w:sz w:val="17"/>
      </w:rPr>
      <w:t> </w:t>
    </w:r>
  </w:p>
  <w:bookmarkEnd w:id="182"/>
  <w:p w:rsidR="0000786B" w:rsidRDefault="00605EA1">
    <w:r>
      <w:fldChar w:fldCharType="begin"/>
    </w:r>
    <w:r w:rsidR="0000786B">
      <w:instrText xml:space="preserve"> DOCPROPERTY iManageFooter \* MERGEFORMAT </w:instrText>
    </w:r>
    <w:r>
      <w:fldChar w:fldCharType="separate"/>
    </w:r>
    <w:r w:rsidR="0000786B">
      <w:t>JUR_SP - 36417701v12 - 1776019.456974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6B" w:rsidRDefault="0000786B">
    <w:pPr>
      <w:pStyle w:val="Rodap"/>
      <w:spacing w:after="0"/>
      <w:jc w:val="left"/>
      <w:rPr>
        <w:color w:val="000000"/>
        <w:sz w:val="17"/>
      </w:rPr>
    </w:pPr>
    <w:bookmarkStart w:id="183" w:name="TITUS1FooterPrimary"/>
    <w:r>
      <w:rPr>
        <w:color w:val="000000"/>
        <w:sz w:val="17"/>
      </w:rPr>
      <w:t> </w:t>
    </w:r>
  </w:p>
  <w:bookmarkEnd w:id="183"/>
  <w:p w:rsidR="0000786B" w:rsidRDefault="00605EA1">
    <w:pPr>
      <w:pStyle w:val="Rodap"/>
    </w:pPr>
    <w:r>
      <w:fldChar w:fldCharType="begin"/>
    </w:r>
    <w:r w:rsidR="0000786B">
      <w:instrText xml:space="preserve"> DOCPROPERTY iManageFooter \* MERGEFORMAT </w:instrText>
    </w:r>
    <w:r>
      <w:fldChar w:fldCharType="separate"/>
    </w:r>
    <w:r w:rsidR="0000786B">
      <w:t>JUR_SP - 36417701v11 - 1776019.456974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6B" w:rsidRDefault="00605EA1">
    <w:pPr>
      <w:pStyle w:val="Rodap"/>
    </w:pPr>
    <w:fldSimple w:instr=" DOCPROPERTY iManageFooter \* MERGEFORMAT ">
      <w:r w:rsidR="0000786B">
        <w:t>JUR_SP - 36417701v7 - 1776019.456974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83" w:rsidRDefault="008B0A83">
      <w:r>
        <w:separator/>
      </w:r>
    </w:p>
    <w:p w:rsidR="008B0A83" w:rsidRDefault="008B0A83"/>
    <w:p w:rsidR="008B0A83" w:rsidRDefault="008B0A83"/>
  </w:footnote>
  <w:footnote w:type="continuationSeparator" w:id="0">
    <w:p w:rsidR="008B0A83" w:rsidRDefault="008B0A83">
      <w:r>
        <w:continuationSeparator/>
      </w:r>
    </w:p>
    <w:p w:rsidR="008B0A83" w:rsidRDefault="008B0A83"/>
    <w:p w:rsidR="008B0A83" w:rsidRDefault="008B0A83"/>
  </w:footnote>
  <w:footnote w:type="continuationNotice" w:id="1">
    <w:p w:rsidR="008B0A83" w:rsidRDefault="008B0A8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6B" w:rsidRDefault="0000786B">
    <w:pPr>
      <w:pStyle w:val="Cabealho"/>
    </w:pPr>
  </w:p>
  <w:p w:rsidR="0000786B" w:rsidRDefault="000078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6B" w:rsidRDefault="0000786B">
    <w:pPr>
      <w:pStyle w:val="Cabealho"/>
      <w:jc w:val="right"/>
      <w:rPr>
        <w:rFonts w:ascii="Arial" w:hAnsi="Arial" w:cs="Arial"/>
        <w:b/>
        <w:sz w:val="20"/>
      </w:rPr>
    </w:pPr>
    <w:r>
      <w:rPr>
        <w:noProof/>
      </w:rPr>
      <w:drawing>
        <wp:inline distT="0" distB="0" distL="0" distR="0">
          <wp:extent cx="980991" cy="567760"/>
          <wp:effectExtent l="0" t="0" r="0" b="3810"/>
          <wp:docPr id="11" name="Imagem 1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779" cy="589051"/>
                  </a:xfrm>
                  <a:prstGeom prst="rect">
                    <a:avLst/>
                  </a:prstGeom>
                  <a:noFill/>
                  <a:ln>
                    <a:noFill/>
                  </a:ln>
                </pic:spPr>
              </pic:pic>
            </a:graphicData>
          </a:graphic>
        </wp:inline>
      </w:drawing>
    </w:r>
  </w:p>
  <w:p w:rsidR="0000786B" w:rsidRDefault="0000786B">
    <w:pPr>
      <w:pStyle w:val="Cabealho"/>
      <w:jc w:val="right"/>
      <w:rPr>
        <w:rFonts w:ascii="Arial" w:hAnsi="Arial" w:cs="Arial"/>
        <w:b/>
        <w:sz w:val="20"/>
      </w:rPr>
    </w:pPr>
  </w:p>
  <w:p w:rsidR="0000786B" w:rsidRDefault="0000786B">
    <w:pPr>
      <w:pStyle w:val="Cabealho"/>
      <w:jc w:val="right"/>
      <w:rPr>
        <w:rFonts w:ascii="Arial" w:hAnsi="Arial" w:cs="Arial"/>
        <w:b/>
        <w:sz w:val="20"/>
      </w:rPr>
    </w:pPr>
    <w:r>
      <w:rPr>
        <w:rFonts w:ascii="Arial" w:hAnsi="Arial" w:cs="Arial"/>
        <w:b/>
        <w:sz w:val="20"/>
      </w:rPr>
      <w:t>M I N U T A</w:t>
    </w:r>
  </w:p>
  <w:p w:rsidR="00CF1555" w:rsidRDefault="0000786B">
    <w:pPr>
      <w:pStyle w:val="Cabealho"/>
      <w:jc w:val="right"/>
      <w:rPr>
        <w:rFonts w:ascii="Arial" w:hAnsi="Arial"/>
        <w:b/>
        <w:sz w:val="20"/>
      </w:rPr>
    </w:pPr>
    <w:r>
      <w:rPr>
        <w:rFonts w:ascii="Arial" w:hAnsi="Arial"/>
        <w:b/>
        <w:sz w:val="20"/>
      </w:rPr>
      <w:t xml:space="preserve">Comentários </w:t>
    </w:r>
    <w:r w:rsidR="00CF1555">
      <w:rPr>
        <w:rFonts w:ascii="Arial" w:hAnsi="Arial"/>
        <w:b/>
        <w:sz w:val="20"/>
      </w:rPr>
      <w:t>MF</w:t>
    </w:r>
  </w:p>
  <w:p w:rsidR="0000786B" w:rsidRDefault="00CF1555">
    <w:pPr>
      <w:pStyle w:val="Cabealho"/>
      <w:jc w:val="right"/>
      <w:rPr>
        <w:rFonts w:ascii="Arial" w:hAnsi="Arial" w:cs="Arial"/>
        <w:sz w:val="20"/>
      </w:rPr>
    </w:pPr>
    <w:r>
      <w:rPr>
        <w:rFonts w:ascii="Arial" w:hAnsi="Arial"/>
        <w:sz w:val="20"/>
      </w:rPr>
      <w:t>29.</w:t>
    </w:r>
    <w:r w:rsidR="0000786B">
      <w:rPr>
        <w:rFonts w:ascii="Arial" w:hAnsi="Arial"/>
        <w:sz w:val="20"/>
      </w:rPr>
      <w:t>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4">
    <w:nsid w:val="7377627F"/>
    <w:multiLevelType w:val="multilevel"/>
    <w:tmpl w:val="248A4290"/>
    <w:lvl w:ilvl="0">
      <w:start w:val="8"/>
      <w:numFmt w:val="decimal"/>
      <w:lvlText w:val="%1."/>
      <w:lvlJc w:val="left"/>
      <w:pPr>
        <w:ind w:left="360" w:hanging="360"/>
      </w:pPr>
      <w:rPr>
        <w:rFonts w:hint="default"/>
        <w:i/>
      </w:rPr>
    </w:lvl>
    <w:lvl w:ilvl="1">
      <w:start w:val="3"/>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5">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6"/>
  </w:num>
  <w:num w:numId="2">
    <w:abstractNumId w:val="7"/>
  </w:num>
  <w:num w:numId="3">
    <w:abstractNumId w:val="4"/>
  </w:num>
  <w:num w:numId="4">
    <w:abstractNumId w:val="17"/>
  </w:num>
  <w:num w:numId="5">
    <w:abstractNumId w:val="13"/>
  </w:num>
  <w:num w:numId="6">
    <w:abstractNumId w:val="2"/>
  </w:num>
  <w:num w:numId="7">
    <w:abstractNumId w:val="12"/>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5"/>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0"/>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0"/>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6"/>
  </w:num>
  <w:num w:numId="68">
    <w:abstractNumId w:val="17"/>
  </w:num>
  <w:num w:numId="69">
    <w:abstractNumId w:val="17"/>
  </w:num>
  <w:num w:numId="70">
    <w:abstractNumId w:val="17"/>
  </w:num>
  <w:num w:numId="71">
    <w:abstractNumId w:val="18"/>
  </w:num>
  <w:num w:numId="72">
    <w:abstractNumId w:val="8"/>
  </w:num>
  <w:num w:numId="73">
    <w:abstractNumId w:val="1"/>
  </w:num>
  <w:num w:numId="74">
    <w:abstractNumId w:val="9"/>
  </w:num>
  <w:num w:numId="75">
    <w:abstractNumId w:val="17"/>
  </w:num>
  <w:num w:numId="76">
    <w:abstractNumId w:val="17"/>
  </w:num>
  <w:num w:numId="77">
    <w:abstractNumId w:val="17"/>
  </w:num>
  <w:num w:numId="78">
    <w:abstractNumId w:val="17"/>
  </w:num>
  <w:num w:numId="79">
    <w:abstractNumId w:val="17"/>
  </w:num>
  <w:num w:numId="80">
    <w:abstractNumId w:val="19"/>
  </w:num>
  <w:num w:numId="81">
    <w:abstractNumId w:val="17"/>
  </w:num>
  <w:num w:numId="82">
    <w:abstractNumId w:val="17"/>
  </w:num>
  <w:num w:numId="83">
    <w:abstractNumId w:val="5"/>
  </w:num>
  <w:num w:numId="84">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85">
    <w:abstractNumId w:val="20"/>
  </w:num>
  <w:num w:numId="86">
    <w:abstractNumId w:val="11"/>
  </w:num>
  <w:num w:numId="87">
    <w:abstractNumId w:val="14"/>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mi Sagae Mello de Moura Dumans">
    <w15:presenceInfo w15:providerId="AD" w15:userId="S::aimi@mattosfilho.com.br::3c72ac51-1e33-4261-a25b-50d68a2f5cc6"/>
  </w15:person>
  <w15:person w15:author="Luís Felipe Oliveira Haddad">
    <w15:presenceInfo w15:providerId="AD" w15:userId="S::LH04484@mattosfilho.com.br::71e7407e-dad3-474e-964d-13b1d46ea3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trackRevisions/>
  <w:defaultTabStop w:val="709"/>
  <w:hyphenationZone w:val="425"/>
  <w:evenAndOddHeaders/>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4C620B"/>
    <w:rsid w:val="000043A4"/>
    <w:rsid w:val="0000786B"/>
    <w:rsid w:val="000213EA"/>
    <w:rsid w:val="0007411D"/>
    <w:rsid w:val="00092761"/>
    <w:rsid w:val="000B6268"/>
    <w:rsid w:val="001068B6"/>
    <w:rsid w:val="00110349"/>
    <w:rsid w:val="00163CC2"/>
    <w:rsid w:val="00177CB2"/>
    <w:rsid w:val="00182194"/>
    <w:rsid w:val="00196C54"/>
    <w:rsid w:val="001D10A9"/>
    <w:rsid w:val="001D2960"/>
    <w:rsid w:val="001D433C"/>
    <w:rsid w:val="001E66A9"/>
    <w:rsid w:val="00204CC6"/>
    <w:rsid w:val="00245BEA"/>
    <w:rsid w:val="00261921"/>
    <w:rsid w:val="00273F05"/>
    <w:rsid w:val="002C52B2"/>
    <w:rsid w:val="002D4E65"/>
    <w:rsid w:val="002F1468"/>
    <w:rsid w:val="00357B70"/>
    <w:rsid w:val="00364F6D"/>
    <w:rsid w:val="00393A51"/>
    <w:rsid w:val="003B5F75"/>
    <w:rsid w:val="00447F3A"/>
    <w:rsid w:val="004A14C7"/>
    <w:rsid w:val="004C620B"/>
    <w:rsid w:val="004D2169"/>
    <w:rsid w:val="00500B80"/>
    <w:rsid w:val="00504FD6"/>
    <w:rsid w:val="00523D54"/>
    <w:rsid w:val="00534B36"/>
    <w:rsid w:val="00541C3A"/>
    <w:rsid w:val="00542678"/>
    <w:rsid w:val="0057556B"/>
    <w:rsid w:val="005A7A1C"/>
    <w:rsid w:val="005B5D69"/>
    <w:rsid w:val="005C65E2"/>
    <w:rsid w:val="00605EA1"/>
    <w:rsid w:val="00610A26"/>
    <w:rsid w:val="00643E7D"/>
    <w:rsid w:val="006842F3"/>
    <w:rsid w:val="006A2DB5"/>
    <w:rsid w:val="006A4BD3"/>
    <w:rsid w:val="006C135E"/>
    <w:rsid w:val="006D0EB2"/>
    <w:rsid w:val="006F0F0E"/>
    <w:rsid w:val="0075090B"/>
    <w:rsid w:val="0075606E"/>
    <w:rsid w:val="00780F12"/>
    <w:rsid w:val="007827AE"/>
    <w:rsid w:val="00844F33"/>
    <w:rsid w:val="00852368"/>
    <w:rsid w:val="00885DAB"/>
    <w:rsid w:val="008B0A83"/>
    <w:rsid w:val="008C3793"/>
    <w:rsid w:val="00931EBC"/>
    <w:rsid w:val="00945A27"/>
    <w:rsid w:val="009477E2"/>
    <w:rsid w:val="00974D04"/>
    <w:rsid w:val="00980705"/>
    <w:rsid w:val="009A73D8"/>
    <w:rsid w:val="009F380F"/>
    <w:rsid w:val="00A105C3"/>
    <w:rsid w:val="00A138D2"/>
    <w:rsid w:val="00A148FC"/>
    <w:rsid w:val="00A3654C"/>
    <w:rsid w:val="00A45745"/>
    <w:rsid w:val="00A55014"/>
    <w:rsid w:val="00A57C22"/>
    <w:rsid w:val="00AA0E7E"/>
    <w:rsid w:val="00AD6AA6"/>
    <w:rsid w:val="00B324FB"/>
    <w:rsid w:val="00B32BAC"/>
    <w:rsid w:val="00B56DAE"/>
    <w:rsid w:val="00B713EA"/>
    <w:rsid w:val="00BB3893"/>
    <w:rsid w:val="00BE166B"/>
    <w:rsid w:val="00C16A99"/>
    <w:rsid w:val="00C63AB0"/>
    <w:rsid w:val="00C65A1C"/>
    <w:rsid w:val="00C80B20"/>
    <w:rsid w:val="00CA12D7"/>
    <w:rsid w:val="00CF1555"/>
    <w:rsid w:val="00D02CFA"/>
    <w:rsid w:val="00D460DB"/>
    <w:rsid w:val="00DD5531"/>
    <w:rsid w:val="00DE5D4E"/>
    <w:rsid w:val="00E1349E"/>
    <w:rsid w:val="00E20C6F"/>
    <w:rsid w:val="00E26562"/>
    <w:rsid w:val="00E4608C"/>
    <w:rsid w:val="00E51EA5"/>
    <w:rsid w:val="00E95BE1"/>
    <w:rsid w:val="00EC02DA"/>
    <w:rsid w:val="00EC596B"/>
    <w:rsid w:val="00F03397"/>
    <w:rsid w:val="00F270FF"/>
    <w:rsid w:val="00F30531"/>
    <w:rsid w:val="00F53F20"/>
    <w:rsid w:val="00F8190D"/>
    <w:rsid w:val="00FA2815"/>
    <w:rsid w:val="00FC63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B80"/>
    <w:pPr>
      <w:spacing w:after="120"/>
      <w:jc w:val="both"/>
    </w:pPr>
    <w:rPr>
      <w:sz w:val="22"/>
    </w:rPr>
  </w:style>
  <w:style w:type="paragraph" w:styleId="Ttulo1">
    <w:name w:val="heading 1"/>
    <w:basedOn w:val="Normal"/>
    <w:next w:val="Normal"/>
    <w:link w:val="Ttulo1Char"/>
    <w:qFormat/>
    <w:rsid w:val="00500B80"/>
    <w:pPr>
      <w:keepNext/>
      <w:outlineLvl w:val="0"/>
    </w:pPr>
    <w:rPr>
      <w:rFonts w:ascii="CG Times" w:hAnsi="CG Times"/>
      <w:b/>
    </w:rPr>
  </w:style>
  <w:style w:type="paragraph" w:styleId="Ttulo2">
    <w:name w:val="heading 2"/>
    <w:basedOn w:val="Normal"/>
    <w:next w:val="Normal"/>
    <w:link w:val="Ttulo2Char"/>
    <w:qFormat/>
    <w:rsid w:val="00500B80"/>
    <w:pPr>
      <w:keepNext/>
      <w:outlineLvl w:val="1"/>
    </w:pPr>
    <w:rPr>
      <w:rFonts w:ascii="CG Times" w:hAnsi="CG Times"/>
    </w:rPr>
  </w:style>
  <w:style w:type="paragraph" w:styleId="Ttulo3">
    <w:name w:val="heading 3"/>
    <w:basedOn w:val="Normal"/>
    <w:next w:val="Normal"/>
    <w:link w:val="Ttulo3Char"/>
    <w:qFormat/>
    <w:rsid w:val="00500B80"/>
    <w:pPr>
      <w:keepNext/>
      <w:jc w:val="center"/>
      <w:outlineLvl w:val="2"/>
    </w:pPr>
    <w:rPr>
      <w:rFonts w:ascii="CG Times" w:hAnsi="CG Times"/>
      <w:b/>
    </w:rPr>
  </w:style>
  <w:style w:type="paragraph" w:styleId="Ttulo4">
    <w:name w:val="heading 4"/>
    <w:basedOn w:val="Normal"/>
    <w:next w:val="Normal"/>
    <w:link w:val="Ttulo4Char"/>
    <w:qFormat/>
    <w:rsid w:val="00500B80"/>
    <w:pPr>
      <w:keepNext/>
      <w:jc w:val="center"/>
      <w:outlineLvl w:val="3"/>
    </w:pPr>
    <w:rPr>
      <w:rFonts w:ascii="CG Times" w:hAnsi="CG Times"/>
      <w:b/>
      <w:color w:val="0000FF"/>
    </w:rPr>
  </w:style>
  <w:style w:type="paragraph" w:styleId="Ttulo5">
    <w:name w:val="heading 5"/>
    <w:basedOn w:val="Normal"/>
    <w:next w:val="Normal"/>
    <w:link w:val="Ttulo5Char"/>
    <w:qFormat/>
    <w:rsid w:val="00500B80"/>
    <w:pPr>
      <w:keepNext/>
      <w:numPr>
        <w:ilvl w:val="4"/>
        <w:numId w:val="2"/>
      </w:numPr>
      <w:tabs>
        <w:tab w:val="left" w:pos="2268"/>
      </w:tabs>
      <w:outlineLvl w:val="4"/>
    </w:pPr>
    <w:rPr>
      <w:sz w:val="24"/>
    </w:rPr>
  </w:style>
  <w:style w:type="paragraph" w:styleId="Ttulo6">
    <w:name w:val="heading 6"/>
    <w:basedOn w:val="Normal"/>
    <w:next w:val="Normal"/>
    <w:link w:val="Ttulo6Char"/>
    <w:qFormat/>
    <w:rsid w:val="00500B80"/>
    <w:pPr>
      <w:keepNext/>
      <w:numPr>
        <w:ilvl w:val="5"/>
        <w:numId w:val="2"/>
      </w:numPr>
      <w:tabs>
        <w:tab w:val="left" w:pos="2268"/>
      </w:tabs>
      <w:spacing w:after="240"/>
      <w:jc w:val="center"/>
      <w:outlineLvl w:val="5"/>
    </w:pPr>
    <w:rPr>
      <w:bCs/>
      <w:smallCaps/>
      <w:u w:val="single"/>
    </w:rPr>
  </w:style>
  <w:style w:type="paragraph" w:styleId="Ttulo7">
    <w:name w:val="heading 7"/>
    <w:basedOn w:val="Normal"/>
    <w:next w:val="Normal"/>
    <w:link w:val="Ttulo7Char"/>
    <w:qFormat/>
    <w:rsid w:val="00500B80"/>
    <w:pPr>
      <w:keepNext/>
      <w:numPr>
        <w:ilvl w:val="6"/>
        <w:numId w:val="2"/>
      </w:numPr>
      <w:tabs>
        <w:tab w:val="left" w:pos="2268"/>
      </w:tabs>
      <w:spacing w:after="240"/>
      <w:jc w:val="center"/>
      <w:outlineLvl w:val="6"/>
    </w:pPr>
    <w:rPr>
      <w:bCs/>
    </w:rPr>
  </w:style>
  <w:style w:type="paragraph" w:styleId="Ttulo8">
    <w:name w:val="heading 8"/>
    <w:basedOn w:val="Normal"/>
    <w:next w:val="Normal"/>
    <w:link w:val="Ttulo8Char"/>
    <w:qFormat/>
    <w:rsid w:val="00500B80"/>
    <w:pPr>
      <w:keepNext/>
      <w:numPr>
        <w:ilvl w:val="7"/>
        <w:numId w:val="2"/>
      </w:numPr>
      <w:spacing w:after="240"/>
      <w:outlineLvl w:val="7"/>
    </w:pPr>
  </w:style>
  <w:style w:type="paragraph" w:styleId="Ttulo9">
    <w:name w:val="heading 9"/>
    <w:basedOn w:val="Normal"/>
    <w:next w:val="Normal"/>
    <w:link w:val="Ttulo9Char"/>
    <w:semiHidden/>
    <w:unhideWhenUsed/>
    <w:qFormat/>
    <w:rsid w:val="00500B8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00B80"/>
    <w:rPr>
      <w:color w:val="0000FF"/>
      <w:u w:val="single"/>
    </w:rPr>
  </w:style>
  <w:style w:type="paragraph" w:styleId="Rodap">
    <w:name w:val="footer"/>
    <w:basedOn w:val="Normal"/>
    <w:link w:val="RodapChar"/>
    <w:rsid w:val="00500B80"/>
    <w:pPr>
      <w:tabs>
        <w:tab w:val="center" w:pos="4252"/>
        <w:tab w:val="right" w:pos="8504"/>
      </w:tabs>
    </w:pPr>
  </w:style>
  <w:style w:type="paragraph" w:customStyle="1" w:styleId="BodyText21">
    <w:name w:val="Body Text 21"/>
    <w:basedOn w:val="Normal"/>
    <w:rsid w:val="00500B80"/>
    <w:pPr>
      <w:widowControl w:val="0"/>
      <w:spacing w:after="0"/>
    </w:pPr>
    <w:rPr>
      <w:rFonts w:ascii="Arial" w:hAnsi="Arial"/>
      <w:sz w:val="24"/>
      <w:lang w:eastAsia="en-US"/>
    </w:rPr>
  </w:style>
  <w:style w:type="paragraph" w:styleId="Cabealho">
    <w:name w:val="header"/>
    <w:basedOn w:val="Normal"/>
    <w:link w:val="CabealhoChar"/>
    <w:rsid w:val="00500B80"/>
    <w:pPr>
      <w:tabs>
        <w:tab w:val="center" w:pos="4252"/>
        <w:tab w:val="right" w:pos="8504"/>
      </w:tabs>
    </w:pPr>
  </w:style>
  <w:style w:type="paragraph" w:styleId="Corpodetexto2">
    <w:name w:val="Body Text 2"/>
    <w:basedOn w:val="Normal"/>
    <w:link w:val="Corpodetexto2Char"/>
    <w:rsid w:val="00500B80"/>
    <w:pPr>
      <w:spacing w:after="0"/>
    </w:pPr>
    <w:rPr>
      <w:rFonts w:ascii="Arial" w:hAnsi="Arial"/>
      <w:b/>
      <w:sz w:val="24"/>
      <w:lang w:eastAsia="en-US"/>
    </w:rPr>
  </w:style>
  <w:style w:type="paragraph" w:styleId="Corpodetexto3">
    <w:name w:val="Body Text 3"/>
    <w:basedOn w:val="Normal"/>
    <w:link w:val="Corpodetexto3Char"/>
    <w:rsid w:val="00500B80"/>
    <w:pPr>
      <w:spacing w:after="0"/>
    </w:pPr>
    <w:rPr>
      <w:rFonts w:ascii="Arial" w:hAnsi="Arial"/>
      <w:sz w:val="24"/>
      <w:lang w:eastAsia="en-US"/>
    </w:rPr>
  </w:style>
  <w:style w:type="paragraph" w:styleId="Recuodecorpodetexto">
    <w:name w:val="Body Text Indent"/>
    <w:basedOn w:val="Normal"/>
    <w:link w:val="RecuodecorpodetextoChar"/>
    <w:rsid w:val="00500B80"/>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500B80"/>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00B80"/>
    <w:pPr>
      <w:widowControl w:val="0"/>
      <w:tabs>
        <w:tab w:val="left" w:pos="720"/>
      </w:tabs>
      <w:spacing w:after="0" w:line="240" w:lineRule="atLeast"/>
    </w:pPr>
    <w:rPr>
      <w:rFonts w:ascii="Times" w:hAnsi="Times"/>
      <w:snapToGrid w:val="0"/>
      <w:sz w:val="24"/>
    </w:rPr>
  </w:style>
  <w:style w:type="character" w:customStyle="1" w:styleId="INDENT2">
    <w:name w:val="INDENT 2"/>
    <w:rsid w:val="00500B80"/>
    <w:rPr>
      <w:rFonts w:ascii="Times New Roman" w:hAnsi="Times New Roman"/>
      <w:sz w:val="24"/>
    </w:rPr>
  </w:style>
  <w:style w:type="paragraph" w:styleId="Recuodecorpodetexto2">
    <w:name w:val="Body Text Indent 2"/>
    <w:basedOn w:val="Normal"/>
    <w:link w:val="Recuodecorpodetexto2Char"/>
    <w:rsid w:val="00500B80"/>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500B80"/>
    <w:rPr>
      <w:color w:val="0000FF"/>
      <w:spacing w:val="0"/>
      <w:u w:val="double"/>
    </w:rPr>
  </w:style>
  <w:style w:type="character" w:styleId="Refdecomentrio">
    <w:name w:val="annotation reference"/>
    <w:semiHidden/>
    <w:rsid w:val="00500B80"/>
    <w:rPr>
      <w:sz w:val="16"/>
      <w:szCs w:val="16"/>
    </w:rPr>
  </w:style>
  <w:style w:type="paragraph" w:styleId="Textodecomentrio">
    <w:name w:val="annotation text"/>
    <w:basedOn w:val="Normal"/>
    <w:link w:val="TextodecomentrioChar"/>
    <w:semiHidden/>
    <w:rsid w:val="00500B80"/>
    <w:rPr>
      <w:sz w:val="20"/>
    </w:rPr>
  </w:style>
  <w:style w:type="paragraph" w:styleId="Assuntodocomentrio">
    <w:name w:val="annotation subject"/>
    <w:basedOn w:val="Textodecomentrio"/>
    <w:next w:val="Textodecomentrio"/>
    <w:link w:val="AssuntodocomentrioChar"/>
    <w:semiHidden/>
    <w:rsid w:val="00500B80"/>
    <w:rPr>
      <w:b/>
      <w:bCs/>
    </w:rPr>
  </w:style>
  <w:style w:type="paragraph" w:styleId="Textodebalo">
    <w:name w:val="Balloon Text"/>
    <w:basedOn w:val="Normal"/>
    <w:link w:val="TextodebaloChar"/>
    <w:semiHidden/>
    <w:rsid w:val="00500B80"/>
    <w:rPr>
      <w:rFonts w:ascii="Tahoma" w:hAnsi="Tahoma" w:cs="Tahoma"/>
      <w:sz w:val="16"/>
      <w:szCs w:val="16"/>
    </w:rPr>
  </w:style>
  <w:style w:type="character" w:customStyle="1" w:styleId="apple-style-span">
    <w:name w:val="apple-style-span"/>
    <w:basedOn w:val="Fontepargpadro"/>
    <w:rsid w:val="00500B80"/>
  </w:style>
  <w:style w:type="table" w:styleId="Tabelacomgrade">
    <w:name w:val="Table Grid"/>
    <w:basedOn w:val="Tabelanormal"/>
    <w:uiPriority w:val="39"/>
    <w:rsid w:val="00500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500B80"/>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00B80"/>
  </w:style>
  <w:style w:type="paragraph" w:customStyle="1" w:styleId="Char2">
    <w:name w:val="Char2"/>
    <w:basedOn w:val="Normal"/>
    <w:rsid w:val="00500B80"/>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00B80"/>
    <w:pPr>
      <w:spacing w:after="0"/>
    </w:pPr>
    <w:rPr>
      <w:sz w:val="20"/>
    </w:rPr>
  </w:style>
  <w:style w:type="character" w:styleId="Refdenotaderodap">
    <w:name w:val="footnote reference"/>
    <w:semiHidden/>
    <w:rsid w:val="00500B80"/>
    <w:rPr>
      <w:vertAlign w:val="superscript"/>
    </w:rPr>
  </w:style>
  <w:style w:type="character" w:customStyle="1" w:styleId="PinheiroGuimares-Advogados">
    <w:name w:val="Pinheiro Guimarães - Advogados"/>
    <w:semiHidden/>
    <w:rsid w:val="00500B80"/>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00B80"/>
  </w:style>
  <w:style w:type="paragraph" w:customStyle="1" w:styleId="Corpodetexto21">
    <w:name w:val="Corpo de texto 21"/>
    <w:basedOn w:val="Normal"/>
    <w:rsid w:val="00500B80"/>
    <w:pPr>
      <w:widowControl w:val="0"/>
      <w:spacing w:after="220"/>
      <w:ind w:left="2127" w:hanging="709"/>
    </w:pPr>
  </w:style>
  <w:style w:type="paragraph" w:customStyle="1" w:styleId="Default">
    <w:name w:val="Default"/>
    <w:rsid w:val="00500B80"/>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500B80"/>
  </w:style>
  <w:style w:type="paragraph" w:styleId="PargrafodaLista">
    <w:name w:val="List Paragraph"/>
    <w:basedOn w:val="Normal"/>
    <w:link w:val="PargrafodaListaChar"/>
    <w:uiPriority w:val="34"/>
    <w:qFormat/>
    <w:rsid w:val="00500B80"/>
    <w:pPr>
      <w:ind w:left="720"/>
      <w:contextualSpacing/>
    </w:pPr>
  </w:style>
  <w:style w:type="character" w:customStyle="1" w:styleId="Ttulo1Char">
    <w:name w:val="Título 1 Char"/>
    <w:basedOn w:val="Fontepargpadro"/>
    <w:link w:val="Ttulo1"/>
    <w:rsid w:val="00500B80"/>
    <w:rPr>
      <w:rFonts w:ascii="CG Times" w:hAnsi="CG Times"/>
      <w:b/>
      <w:sz w:val="26"/>
    </w:rPr>
  </w:style>
  <w:style w:type="character" w:customStyle="1" w:styleId="Ttulo2Char">
    <w:name w:val="Título 2 Char"/>
    <w:basedOn w:val="Fontepargpadro"/>
    <w:link w:val="Ttulo2"/>
    <w:rsid w:val="00500B80"/>
    <w:rPr>
      <w:rFonts w:ascii="CG Times" w:hAnsi="CG Times"/>
      <w:sz w:val="26"/>
    </w:rPr>
  </w:style>
  <w:style w:type="character" w:customStyle="1" w:styleId="Ttulo3Char">
    <w:name w:val="Título 3 Char"/>
    <w:basedOn w:val="Fontepargpadro"/>
    <w:link w:val="Ttulo3"/>
    <w:rsid w:val="00500B80"/>
    <w:rPr>
      <w:rFonts w:ascii="CG Times" w:hAnsi="CG Times"/>
      <w:b/>
      <w:sz w:val="26"/>
    </w:rPr>
  </w:style>
  <w:style w:type="character" w:customStyle="1" w:styleId="Ttulo4Char">
    <w:name w:val="Título 4 Char"/>
    <w:basedOn w:val="Fontepargpadro"/>
    <w:link w:val="Ttulo4"/>
    <w:rsid w:val="00500B80"/>
    <w:rPr>
      <w:rFonts w:ascii="CG Times" w:hAnsi="CG Times"/>
      <w:b/>
      <w:color w:val="0000FF"/>
      <w:sz w:val="26"/>
    </w:rPr>
  </w:style>
  <w:style w:type="character" w:customStyle="1" w:styleId="Ttulo5Char">
    <w:name w:val="Título 5 Char"/>
    <w:basedOn w:val="Fontepargpadro"/>
    <w:link w:val="Ttulo5"/>
    <w:rsid w:val="00500B80"/>
    <w:rPr>
      <w:sz w:val="24"/>
    </w:rPr>
  </w:style>
  <w:style w:type="character" w:customStyle="1" w:styleId="Ttulo6Char">
    <w:name w:val="Título 6 Char"/>
    <w:basedOn w:val="Fontepargpadro"/>
    <w:link w:val="Ttulo6"/>
    <w:rsid w:val="00500B80"/>
    <w:rPr>
      <w:bCs/>
      <w:smallCaps/>
      <w:sz w:val="26"/>
      <w:u w:val="single"/>
    </w:rPr>
  </w:style>
  <w:style w:type="character" w:customStyle="1" w:styleId="Ttulo7Char">
    <w:name w:val="Título 7 Char"/>
    <w:basedOn w:val="Fontepargpadro"/>
    <w:link w:val="Ttulo7"/>
    <w:rsid w:val="00500B80"/>
    <w:rPr>
      <w:bCs/>
      <w:sz w:val="26"/>
    </w:rPr>
  </w:style>
  <w:style w:type="character" w:customStyle="1" w:styleId="Ttulo8Char">
    <w:name w:val="Título 8 Char"/>
    <w:basedOn w:val="Fontepargpadro"/>
    <w:link w:val="Ttulo8"/>
    <w:rsid w:val="00500B80"/>
    <w:rPr>
      <w:sz w:val="22"/>
    </w:rPr>
  </w:style>
  <w:style w:type="character" w:customStyle="1" w:styleId="RodapChar">
    <w:name w:val="Rodapé Char"/>
    <w:basedOn w:val="Fontepargpadro"/>
    <w:link w:val="Rodap"/>
    <w:rsid w:val="00500B80"/>
    <w:rPr>
      <w:sz w:val="26"/>
    </w:rPr>
  </w:style>
  <w:style w:type="character" w:customStyle="1" w:styleId="CabealhoChar">
    <w:name w:val="Cabeçalho Char"/>
    <w:basedOn w:val="Fontepargpadro"/>
    <w:link w:val="Cabealho"/>
    <w:rsid w:val="00500B80"/>
    <w:rPr>
      <w:sz w:val="26"/>
    </w:rPr>
  </w:style>
  <w:style w:type="character" w:customStyle="1" w:styleId="Corpodetexto2Char">
    <w:name w:val="Corpo de texto 2 Char"/>
    <w:basedOn w:val="Fontepargpadro"/>
    <w:link w:val="Corpodetexto2"/>
    <w:rsid w:val="00500B80"/>
    <w:rPr>
      <w:rFonts w:ascii="Arial" w:hAnsi="Arial"/>
      <w:b/>
      <w:sz w:val="24"/>
      <w:lang w:eastAsia="en-US"/>
    </w:rPr>
  </w:style>
  <w:style w:type="character" w:customStyle="1" w:styleId="Corpodetexto3Char">
    <w:name w:val="Corpo de texto 3 Char"/>
    <w:basedOn w:val="Fontepargpadro"/>
    <w:link w:val="Corpodetexto3"/>
    <w:rsid w:val="00500B80"/>
    <w:rPr>
      <w:rFonts w:ascii="Arial" w:hAnsi="Arial"/>
      <w:sz w:val="24"/>
      <w:lang w:eastAsia="en-US"/>
    </w:rPr>
  </w:style>
  <w:style w:type="character" w:customStyle="1" w:styleId="RecuodecorpodetextoChar">
    <w:name w:val="Recuo de corpo de texto Char"/>
    <w:basedOn w:val="Fontepargpadro"/>
    <w:link w:val="Recuodecorpodetexto"/>
    <w:rsid w:val="00500B80"/>
    <w:rPr>
      <w:color w:val="000000"/>
      <w:sz w:val="24"/>
      <w:lang w:eastAsia="en-US"/>
    </w:rPr>
  </w:style>
  <w:style w:type="character" w:customStyle="1" w:styleId="Recuodecorpodetexto2Char">
    <w:name w:val="Recuo de corpo de texto 2 Char"/>
    <w:basedOn w:val="Fontepargpadro"/>
    <w:link w:val="Recuodecorpodetexto2"/>
    <w:rsid w:val="00500B80"/>
    <w:rPr>
      <w:rFonts w:ascii="Frutiger Light" w:hAnsi="Frutiger Light"/>
      <w:sz w:val="26"/>
      <w:szCs w:val="26"/>
    </w:rPr>
  </w:style>
  <w:style w:type="character" w:customStyle="1" w:styleId="TextodecomentrioChar">
    <w:name w:val="Texto de comentário Char"/>
    <w:basedOn w:val="Fontepargpadro"/>
    <w:link w:val="Textodecomentrio"/>
    <w:semiHidden/>
    <w:rsid w:val="00500B80"/>
  </w:style>
  <w:style w:type="character" w:customStyle="1" w:styleId="AssuntodocomentrioChar">
    <w:name w:val="Assunto do comentário Char"/>
    <w:basedOn w:val="TextodecomentrioChar"/>
    <w:link w:val="Assuntodocomentrio"/>
    <w:semiHidden/>
    <w:rsid w:val="00500B80"/>
    <w:rPr>
      <w:b/>
      <w:bCs/>
    </w:rPr>
  </w:style>
  <w:style w:type="character" w:customStyle="1" w:styleId="TextodebaloChar">
    <w:name w:val="Texto de balão Char"/>
    <w:basedOn w:val="Fontepargpadro"/>
    <w:link w:val="Textodebalo"/>
    <w:semiHidden/>
    <w:rsid w:val="00500B80"/>
    <w:rPr>
      <w:rFonts w:ascii="Tahoma" w:hAnsi="Tahoma" w:cs="Tahoma"/>
      <w:sz w:val="16"/>
      <w:szCs w:val="16"/>
    </w:rPr>
  </w:style>
  <w:style w:type="character" w:customStyle="1" w:styleId="CorpodetextoChar">
    <w:name w:val="Corpo de texto Char"/>
    <w:basedOn w:val="Fontepargpadro"/>
    <w:link w:val="Corpodetexto"/>
    <w:rsid w:val="00500B80"/>
    <w:rPr>
      <w:sz w:val="26"/>
    </w:rPr>
  </w:style>
  <w:style w:type="paragraph" w:customStyle="1" w:styleId="sub">
    <w:name w:val="sub"/>
    <w:uiPriority w:val="99"/>
    <w:rsid w:val="00500B80"/>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uiPriority w:val="99"/>
    <w:rsid w:val="00500B80"/>
    <w:pPr>
      <w:keepNext/>
      <w:keepLines/>
      <w:numPr>
        <w:numId w:val="4"/>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rsid w:val="00500B80"/>
    <w:pPr>
      <w:numPr>
        <w:ilvl w:val="1"/>
        <w:numId w:val="4"/>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rsid w:val="00500B80"/>
    <w:pPr>
      <w:numPr>
        <w:ilvl w:val="2"/>
        <w:numId w:val="4"/>
      </w:numPr>
      <w:spacing w:after="140" w:line="290" w:lineRule="auto"/>
      <w:outlineLvl w:val="2"/>
    </w:pPr>
    <w:rPr>
      <w:rFonts w:ascii="Arial" w:eastAsia="MS Mincho" w:hAnsi="Arial" w:cs="Arial"/>
      <w:sz w:val="20"/>
      <w:szCs w:val="24"/>
    </w:rPr>
  </w:style>
  <w:style w:type="paragraph" w:customStyle="1" w:styleId="Level4">
    <w:name w:val="Level 4"/>
    <w:basedOn w:val="Normal"/>
    <w:uiPriority w:val="99"/>
    <w:rsid w:val="00500B80"/>
    <w:pPr>
      <w:numPr>
        <w:ilvl w:val="3"/>
        <w:numId w:val="4"/>
      </w:numPr>
      <w:spacing w:after="140" w:line="290" w:lineRule="auto"/>
      <w:outlineLvl w:val="3"/>
    </w:pPr>
    <w:rPr>
      <w:rFonts w:ascii="Arial" w:eastAsia="MS Mincho" w:hAnsi="Arial" w:cs="Arial"/>
      <w:sz w:val="20"/>
      <w:szCs w:val="24"/>
    </w:rPr>
  </w:style>
  <w:style w:type="paragraph" w:customStyle="1" w:styleId="Level5">
    <w:name w:val="Level 5"/>
    <w:basedOn w:val="Normal"/>
    <w:uiPriority w:val="99"/>
    <w:rsid w:val="00500B80"/>
    <w:pPr>
      <w:numPr>
        <w:ilvl w:val="4"/>
        <w:numId w:val="4"/>
      </w:numPr>
      <w:spacing w:after="140" w:line="290" w:lineRule="auto"/>
    </w:pPr>
    <w:rPr>
      <w:rFonts w:ascii="Arial" w:eastAsia="MS Mincho" w:hAnsi="Arial" w:cs="Arial"/>
      <w:sz w:val="20"/>
      <w:szCs w:val="24"/>
    </w:rPr>
  </w:style>
  <w:style w:type="paragraph" w:customStyle="1" w:styleId="Level6">
    <w:name w:val="Level 6"/>
    <w:basedOn w:val="Normal"/>
    <w:uiPriority w:val="99"/>
    <w:rsid w:val="00500B80"/>
    <w:pPr>
      <w:numPr>
        <w:ilvl w:val="5"/>
        <w:numId w:val="4"/>
      </w:numPr>
      <w:spacing w:after="0"/>
    </w:pPr>
    <w:rPr>
      <w:rFonts w:eastAsia="MS Mincho"/>
      <w:sz w:val="24"/>
      <w:szCs w:val="24"/>
    </w:rPr>
  </w:style>
  <w:style w:type="paragraph" w:styleId="Reviso">
    <w:name w:val="Revision"/>
    <w:hidden/>
    <w:uiPriority w:val="99"/>
    <w:semiHidden/>
    <w:rsid w:val="00500B80"/>
    <w:rPr>
      <w:sz w:val="22"/>
    </w:rPr>
  </w:style>
  <w:style w:type="paragraph" w:customStyle="1" w:styleId="Heading">
    <w:name w:val="Heading"/>
    <w:basedOn w:val="Normal"/>
    <w:rsid w:val="00500B80"/>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rsid w:val="00500B80"/>
    <w:pPr>
      <w:spacing w:after="140" w:line="290" w:lineRule="auto"/>
    </w:pPr>
    <w:rPr>
      <w:rFonts w:ascii="Arial" w:hAnsi="Arial" w:cs="Arial"/>
      <w:sz w:val="20"/>
      <w:szCs w:val="22"/>
    </w:rPr>
  </w:style>
  <w:style w:type="paragraph" w:customStyle="1" w:styleId="Parties">
    <w:name w:val="Parties"/>
    <w:basedOn w:val="Normal"/>
    <w:rsid w:val="00500B80"/>
    <w:pPr>
      <w:numPr>
        <w:numId w:val="2"/>
      </w:numPr>
      <w:spacing w:after="140" w:line="290" w:lineRule="auto"/>
    </w:pPr>
    <w:rPr>
      <w:rFonts w:ascii="Arial" w:hAnsi="Arial" w:cs="Arial"/>
      <w:sz w:val="20"/>
      <w:szCs w:val="22"/>
    </w:rPr>
  </w:style>
  <w:style w:type="paragraph" w:customStyle="1" w:styleId="Recitals">
    <w:name w:val="Recitals"/>
    <w:basedOn w:val="Normal"/>
    <w:rsid w:val="00500B80"/>
    <w:pPr>
      <w:numPr>
        <w:ilvl w:val="1"/>
        <w:numId w:val="2"/>
      </w:numPr>
    </w:pPr>
  </w:style>
  <w:style w:type="paragraph" w:customStyle="1" w:styleId="Parties2">
    <w:name w:val="Parties 2"/>
    <w:basedOn w:val="Normal"/>
    <w:rsid w:val="00500B80"/>
    <w:pPr>
      <w:numPr>
        <w:ilvl w:val="2"/>
        <w:numId w:val="2"/>
      </w:numPr>
    </w:pPr>
  </w:style>
  <w:style w:type="paragraph" w:customStyle="1" w:styleId="Recitals2">
    <w:name w:val="Recitals 2"/>
    <w:basedOn w:val="Normal"/>
    <w:rsid w:val="00500B80"/>
    <w:pPr>
      <w:numPr>
        <w:ilvl w:val="3"/>
        <w:numId w:val="2"/>
      </w:numPr>
    </w:pPr>
  </w:style>
  <w:style w:type="character" w:customStyle="1" w:styleId="Ttulo9Char">
    <w:name w:val="Título 9 Char"/>
    <w:basedOn w:val="Fontepargpadro"/>
    <w:link w:val="Ttulo9"/>
    <w:semiHidden/>
    <w:rsid w:val="00500B80"/>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rsid w:val="00500B80"/>
    <w:pPr>
      <w:widowControl w:val="0"/>
      <w:spacing w:after="0"/>
    </w:pPr>
    <w:rPr>
      <w:rFonts w:ascii="Univers (W1)" w:hAnsi="Univers (W1)" w:cs="Univers (W1)"/>
      <w:sz w:val="24"/>
      <w:szCs w:val="24"/>
    </w:rPr>
  </w:style>
  <w:style w:type="character" w:customStyle="1" w:styleId="Level2Char">
    <w:name w:val="Level 2 Char"/>
    <w:link w:val="Level2"/>
    <w:rsid w:val="00500B80"/>
    <w:rPr>
      <w:rFonts w:ascii="Arial" w:eastAsia="MS Mincho" w:hAnsi="Arial"/>
      <w:szCs w:val="24"/>
    </w:rPr>
  </w:style>
  <w:style w:type="character" w:customStyle="1" w:styleId="Level3Char">
    <w:name w:val="Level 3 Char"/>
    <w:link w:val="Level3"/>
    <w:uiPriority w:val="99"/>
    <w:locked/>
    <w:rsid w:val="00500B80"/>
    <w:rPr>
      <w:rFonts w:ascii="Arial" w:eastAsia="MS Mincho" w:hAnsi="Arial" w:cs="Arial"/>
      <w:szCs w:val="24"/>
    </w:rPr>
  </w:style>
  <w:style w:type="paragraph" w:styleId="Sumrio8">
    <w:name w:val="toc 8"/>
    <w:basedOn w:val="Normal"/>
    <w:next w:val="Normal"/>
    <w:autoRedefine/>
    <w:rsid w:val="00500B80"/>
    <w:pPr>
      <w:spacing w:after="0" w:line="300" w:lineRule="atLeast"/>
      <w:ind w:left="1440"/>
    </w:pPr>
    <w:rPr>
      <w:rFonts w:ascii="Calibri" w:hAnsi="Calibri" w:cs="Calibri"/>
      <w:sz w:val="20"/>
    </w:rPr>
  </w:style>
  <w:style w:type="character" w:customStyle="1" w:styleId="Level1Char">
    <w:name w:val="Level 1 Char"/>
    <w:basedOn w:val="Fontepargpadro"/>
    <w:link w:val="Level1"/>
    <w:rsid w:val="00500B80"/>
    <w:rPr>
      <w:rFonts w:ascii="Arial" w:eastAsia="MS Mincho" w:hAnsi="Arial" w:cs="Arial"/>
      <w:b/>
      <w:color w:val="000000"/>
      <w:sz w:val="22"/>
      <w:szCs w:val="22"/>
    </w:rPr>
  </w:style>
  <w:style w:type="character" w:customStyle="1" w:styleId="PargrafodaListaChar">
    <w:name w:val="Parágrafo da Lista Char"/>
    <w:link w:val="PargrafodaLista"/>
    <w:uiPriority w:val="34"/>
    <w:rsid w:val="00500B80"/>
    <w:rPr>
      <w:sz w:val="22"/>
    </w:rPr>
  </w:style>
  <w:style w:type="paragraph" w:customStyle="1" w:styleId="textbody">
    <w:name w:val="textbody"/>
    <w:basedOn w:val="Normal"/>
    <w:rsid w:val="00500B80"/>
    <w:pPr>
      <w:spacing w:before="100" w:beforeAutospacing="1" w:after="100" w:afterAutospacing="1"/>
      <w:jc w:val="left"/>
    </w:pPr>
    <w:rPr>
      <w:sz w:val="24"/>
      <w:szCs w:val="24"/>
    </w:rPr>
  </w:style>
  <w:style w:type="character" w:styleId="Forte">
    <w:name w:val="Strong"/>
    <w:basedOn w:val="Fontepargpadro"/>
    <w:uiPriority w:val="22"/>
    <w:qFormat/>
    <w:rsid w:val="00500B80"/>
    <w:rPr>
      <w:b/>
      <w:bCs/>
    </w:rPr>
  </w:style>
  <w:style w:type="paragraph" w:customStyle="1" w:styleId="Anexo6">
    <w:name w:val="Anexo 6"/>
    <w:basedOn w:val="Normal"/>
    <w:rsid w:val="00500B80"/>
    <w:pPr>
      <w:numPr>
        <w:ilvl w:val="5"/>
        <w:numId w:val="85"/>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sid w:val="00500B80"/>
    <w:rPr>
      <w:rFonts w:ascii="Arial" w:hAnsi="Arial" w:cs="Arial"/>
      <w:szCs w:val="22"/>
    </w:rPr>
  </w:style>
</w:styles>
</file>

<file path=word/webSettings.xml><?xml version="1.0" encoding="utf-8"?>
<w:webSettings xmlns:r="http://schemas.openxmlformats.org/officeDocument/2006/relationships" xmlns:w="http://schemas.openxmlformats.org/wordprocessingml/2006/main">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 J U R _ S P ! 3 6 4 1 7 7 0 1 . 1 2 < / d o c u m e n t i d >  
     < s e n d e r i d > M P P < / s e n d e r i d >  
     < s e n d e r e m a i l > M P O M P I L I O @ P N . C O M . B R < / s e n d e r e m a i l >  
     < l a s t m o d i f i e d > 2 0 2 0 - 0 4 - 2 0 T 1 9 : 2 4 : 0 0 . 0 0 0 0 0 0 0 - 0 3 : 0 0 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6E099C2D-7875-4536-93B2-988C49462F84}">
  <ds:schemaRefs>
    <ds:schemaRef ds:uri="http://schemas.openxmlformats.org/officeDocument/2006/bibliography"/>
  </ds:schemaRefs>
</ds:datastoreItem>
</file>

<file path=customXml/itemProps11.xml><?xml version="1.0" encoding="utf-8"?>
<ds:datastoreItem xmlns:ds="http://schemas.openxmlformats.org/officeDocument/2006/customXml" ds:itemID="{78817BDD-D15E-4E07-9B78-08E8D34B2CE7}">
  <ds:schemaRefs>
    <ds:schemaRef ds:uri="http://schemas.openxmlformats.org/officeDocument/2006/bibliography"/>
  </ds:schemaRefs>
</ds:datastoreItem>
</file>

<file path=customXml/itemProps2.xml><?xml version="1.0" encoding="utf-8"?>
<ds:datastoreItem xmlns:ds="http://schemas.openxmlformats.org/officeDocument/2006/customXml" ds:itemID="{CF0DD741-6D83-4786-BBB2-3B11DAB2EFEE}">
  <ds:schemaRefs>
    <ds:schemaRef ds:uri="http://www.imanage.com/work/xmlschema"/>
  </ds:schemaRefs>
</ds:datastoreItem>
</file>

<file path=customXml/itemProps3.xml><?xml version="1.0" encoding="utf-8"?>
<ds:datastoreItem xmlns:ds="http://schemas.openxmlformats.org/officeDocument/2006/customXml" ds:itemID="{EBB36099-ACD0-48A9-987F-425F9F53348B}">
  <ds:schemaRefs>
    <ds:schemaRef ds:uri="http://schemas.openxmlformats.org/officeDocument/2006/bibliography"/>
  </ds:schemaRefs>
</ds:datastoreItem>
</file>

<file path=customXml/itemProps4.xml><?xml version="1.0" encoding="utf-8"?>
<ds:datastoreItem xmlns:ds="http://schemas.openxmlformats.org/officeDocument/2006/customXml" ds:itemID="{1C4877DA-007A-44AC-BD67-4EB4826AC04D}">
  <ds:schemaRefs>
    <ds:schemaRef ds:uri="http://schemas.openxmlformats.org/officeDocument/2006/bibliography"/>
  </ds:schemaRefs>
</ds:datastoreItem>
</file>

<file path=customXml/itemProps5.xml><?xml version="1.0" encoding="utf-8"?>
<ds:datastoreItem xmlns:ds="http://schemas.openxmlformats.org/officeDocument/2006/customXml" ds:itemID="{0AF647F0-EE22-44C2-A310-193EA073231E}">
  <ds:schemaRefs>
    <ds:schemaRef ds:uri="http://schemas.openxmlformats.org/officeDocument/2006/bibliography"/>
  </ds:schemaRefs>
</ds:datastoreItem>
</file>

<file path=customXml/itemProps6.xml><?xml version="1.0" encoding="utf-8"?>
<ds:datastoreItem xmlns:ds="http://schemas.openxmlformats.org/officeDocument/2006/customXml" ds:itemID="{DFFF1D27-9D49-434A-AE0E-AE7FB9FA1639}">
  <ds:schemaRefs>
    <ds:schemaRef ds:uri="http://schemas.openxmlformats.org/officeDocument/2006/bibliography"/>
  </ds:schemaRefs>
</ds:datastoreItem>
</file>

<file path=customXml/itemProps7.xml><?xml version="1.0" encoding="utf-8"?>
<ds:datastoreItem xmlns:ds="http://schemas.openxmlformats.org/officeDocument/2006/customXml" ds:itemID="{EA4A7976-AC20-4D38-9A03-14CB8A27100A}">
  <ds:schemaRefs>
    <ds:schemaRef ds:uri="http://schemas.openxmlformats.org/officeDocument/2006/bibliography"/>
  </ds:schemaRefs>
</ds:datastoreItem>
</file>

<file path=customXml/itemProps8.xml><?xml version="1.0" encoding="utf-8"?>
<ds:datastoreItem xmlns:ds="http://schemas.openxmlformats.org/officeDocument/2006/customXml" ds:itemID="{0861432E-0908-4797-8CE7-1397C646A237}">
  <ds:schemaRefs>
    <ds:schemaRef ds:uri="http://schemas.openxmlformats.org/officeDocument/2006/bibliography"/>
  </ds:schemaRefs>
</ds:datastoreItem>
</file>

<file path=customXml/itemProps9.xml><?xml version="1.0" encoding="utf-8"?>
<ds:datastoreItem xmlns:ds="http://schemas.openxmlformats.org/officeDocument/2006/customXml" ds:itemID="{730C52A1-B80F-417B-9F68-6174268F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21464</Words>
  <Characters>115910</Characters>
  <Application>Microsoft Office Word</Application>
  <DocSecurity>0</DocSecurity>
  <Lines>965</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137100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Mattos Filho</cp:lastModifiedBy>
  <cp:revision>4</cp:revision>
  <cp:lastPrinted>2019-11-11T21:52:00Z</cp:lastPrinted>
  <dcterms:created xsi:type="dcterms:W3CDTF">2020-04-29T21:50:00Z</dcterms:created>
  <dcterms:modified xsi:type="dcterms:W3CDTF">2020-04-29T22:26:00Z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- 36417701v12 - 1776019.456974</vt:lpwstr>
  </property>
</Properties>
</file>