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</w:t>
      </w:r>
      <w:bookmarkStart w:id="0" w:name="_GoBack"/>
      <w:bookmarkEnd w:id="0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29 de outubro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BNP.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 xml:space="preserve">Sr.(a)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EB5AA2" w:rsidRPr="00EC143A">
        <w:rPr>
          <w:rFonts w:eastAsia="MS Mincho" w:cs="Tahoma"/>
          <w:sz w:val="22"/>
          <w:highlight w:val="yellow"/>
          <w:lang w:eastAsia="pt-BR"/>
        </w:rPr>
        <w:t>Matheus Gomes Faria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B1043C" w:rsidRDefault="004C311B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de </w:t>
      </w:r>
      <w:r>
        <w:rPr>
          <w:rFonts w:eastAsia="MS Mincho" w:cs="Tahoma"/>
          <w:sz w:val="22"/>
          <w:lang w:eastAsia="pt-BR"/>
        </w:rPr>
        <w:lastRenderedPageBreak/>
        <w:t>Colocação, da Concessionária Linha Universidade S.A. (“</w:t>
      </w:r>
      <w:r w:rsidRPr="004C311B">
        <w:rPr>
          <w:rFonts w:eastAsia="MS Mincho" w:cs="Tahoma"/>
          <w:sz w:val="22"/>
          <w:u w:val="single"/>
          <w:lang w:eastAsia="pt-BR"/>
        </w:rPr>
        <w:t>3ª Emissão de Debêntures</w:t>
      </w:r>
      <w:r>
        <w:rPr>
          <w:rFonts w:eastAsia="MS Mincho" w:cs="Tahoma"/>
          <w:sz w:val="22"/>
          <w:lang w:eastAsia="pt-BR"/>
        </w:rPr>
        <w:t xml:space="preserve">”) inicialmente aprovadas na Assembleia Geral de Debenturistas </w:t>
      </w:r>
      <w:r w:rsidR="00AF2389">
        <w:rPr>
          <w:rFonts w:eastAsia="MS Mincho" w:cs="Tahoma"/>
          <w:sz w:val="22"/>
          <w:lang w:eastAsia="pt-BR"/>
        </w:rPr>
        <w:t xml:space="preserve">da 1ª Emissão </w:t>
      </w:r>
      <w:r>
        <w:rPr>
          <w:rFonts w:eastAsia="MS Mincho" w:cs="Tahoma"/>
          <w:sz w:val="22"/>
          <w:lang w:eastAsia="pt-BR"/>
        </w:rPr>
        <w:t xml:space="preserve">realizada em 07 de junho de 2021, de modo que o prazo de vencimento das Debêntures da 3ª Emissão passará a ser </w:t>
      </w:r>
      <w:r w:rsidRPr="00EC143A">
        <w:rPr>
          <w:rFonts w:cs="Tahoma"/>
          <w:sz w:val="22"/>
        </w:rPr>
        <w:t>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</w:t>
      </w:r>
      <w:r w:rsidR="00AF2389">
        <w:rPr>
          <w:rFonts w:cs="Tahoma"/>
          <w:sz w:val="22"/>
        </w:rPr>
        <w:t>;</w:t>
      </w:r>
    </w:p>
    <w:p w:rsidR="00AF2389" w:rsidRDefault="00AF2389" w:rsidP="00AF2389">
      <w:pPr>
        <w:pStyle w:val="PargrafodaLista"/>
        <w:spacing w:line="340" w:lineRule="exact"/>
        <w:ind w:left="866"/>
        <w:rPr>
          <w:rFonts w:cs="Tahoma"/>
          <w:sz w:val="22"/>
        </w:rPr>
      </w:pPr>
    </w:p>
    <w:p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896C73" w:rsidRPr="00EC143A">
        <w:rPr>
          <w:rFonts w:cs="Tahoma"/>
          <w:sz w:val="22"/>
        </w:rPr>
        <w:t>7.10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1ª Emissão </w:t>
      </w:r>
      <w:r w:rsidRPr="00EC143A">
        <w:rPr>
          <w:rFonts w:cs="Tahoma"/>
          <w:sz w:val="22"/>
        </w:rPr>
        <w:t xml:space="preserve">em </w:t>
      </w:r>
      <w:r w:rsidR="00EF4B86">
        <w:rPr>
          <w:rFonts w:cs="Tahoma"/>
          <w:sz w:val="22"/>
        </w:rPr>
        <w:t>03</w:t>
      </w:r>
      <w:r w:rsidR="00EF4B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</w:t>
      </w:r>
      <w:r w:rsidR="00EF4B86">
        <w:rPr>
          <w:rFonts w:cs="Tahoma"/>
          <w:sz w:val="22"/>
        </w:rPr>
        <w:t>três</w:t>
      </w:r>
      <w:r w:rsidRPr="00EC143A">
        <w:rPr>
          <w:rFonts w:cs="Tahoma"/>
          <w:sz w:val="22"/>
        </w:rPr>
        <w:t xml:space="preserve">) meses, de modo que o vencimento </w:t>
      </w:r>
      <w:r w:rsidR="00EC143A">
        <w:rPr>
          <w:rFonts w:cs="Tahoma"/>
          <w:sz w:val="22"/>
        </w:rPr>
        <w:t xml:space="preserve">e, por consequência, o pagamento do Valor Nominal Unitário </w:t>
      </w:r>
      <w:r w:rsidRPr="00EC143A">
        <w:rPr>
          <w:rFonts w:cs="Tahoma"/>
          <w:sz w:val="22"/>
        </w:rPr>
        <w:t xml:space="preserve">das Debêntures ocorrerá em </w:t>
      </w:r>
      <w:r w:rsidR="00616EDF">
        <w:rPr>
          <w:rFonts w:cs="Tahoma"/>
          <w:sz w:val="22"/>
        </w:rPr>
        <w:t>[</w:t>
      </w:r>
      <w:r w:rsidR="00EF4B86">
        <w:rPr>
          <w:rFonts w:cs="Tahoma"/>
          <w:sz w:val="22"/>
        </w:rPr>
        <w:t>02 de janeiro de 2022</w:t>
      </w:r>
      <w:r w:rsidR="00616EDF">
        <w:rPr>
          <w:rFonts w:cs="Tahoma"/>
          <w:sz w:val="22"/>
        </w:rPr>
        <w:t>]</w:t>
      </w:r>
      <w:r w:rsidRPr="00EC143A">
        <w:rPr>
          <w:rFonts w:cs="Tahoma"/>
          <w:sz w:val="22"/>
        </w:rPr>
        <w:t xml:space="preserve">; </w:t>
      </w:r>
    </w:p>
    <w:p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, no valor de 0,30% (trinta centésimos por cento) do saldo do Valor Nominal Unitário das Debêntures no momento da renovação da dívida,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726515" w:rsidRPr="00137868">
        <w:rPr>
          <w:rFonts w:cs="Tahoma"/>
          <w:sz w:val="22"/>
        </w:rPr>
        <w:t>;</w:t>
      </w:r>
    </w:p>
    <w:p w:rsidR="00EF4B86" w:rsidRPr="00616EDF" w:rsidRDefault="00EF4B86" w:rsidP="00616EDF">
      <w:pPr>
        <w:pStyle w:val="PargrafodaLista"/>
        <w:rPr>
          <w:rFonts w:cs="Tahoma"/>
          <w:sz w:val="22"/>
        </w:rPr>
      </w:pPr>
    </w:p>
    <w:p w:rsidR="00EF4B86" w:rsidRPr="00EC143A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 (conforme definidos na Escritura da 1ª Emissão), de modo que a 1ª Emissão passará a ser da espécie quirografária com garantia fidejussória adicional;</w:t>
      </w:r>
    </w:p>
    <w:p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</w:t>
      </w:r>
      <w:r w:rsidR="005B7B07">
        <w:rPr>
          <w:rFonts w:cs="Tahoma"/>
          <w:sz w:val="22"/>
        </w:rPr>
        <w:t>i</w:t>
      </w:r>
      <w:r w:rsidRPr="00EC143A">
        <w:rPr>
          <w:rFonts w:cs="Tahoma"/>
          <w:sz w:val="22"/>
        </w:rPr>
        <w:t>i”</w:t>
      </w:r>
      <w:r w:rsidR="005B7B07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r w:rsidR="00270C74">
        <w:rPr>
          <w:rFonts w:cs="Tahoma"/>
          <w:sz w:val="22"/>
        </w:rPr>
        <w:t>iv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 xml:space="preserve">”); </w:t>
      </w:r>
    </w:p>
    <w:p w:rsidR="00726515" w:rsidRPr="00EC143A" w:rsidRDefault="00726515" w:rsidP="00726515">
      <w:pPr>
        <w:pStyle w:val="PargrafodaLista"/>
        <w:rPr>
          <w:rFonts w:cs="Tahoma"/>
          <w:sz w:val="22"/>
        </w:rPr>
      </w:pPr>
    </w:p>
    <w:p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>autorização para que o Agente Fiduciário pratique todas as providências e assine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às garantias,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AF2389" w:rsidRDefault="00AF2389" w:rsidP="00AF2389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alteração das condições da </w:t>
      </w:r>
      <w:r>
        <w:rPr>
          <w:rFonts w:eastAsia="MS Mincho" w:cs="Tahoma"/>
          <w:sz w:val="22"/>
          <w:lang w:eastAsia="pt-BR"/>
        </w:rPr>
        <w:t>3ª (Terceira) Emissão de Debêntures, sendo certo que a 3ª (Terceira) Emissão de Debêntures</w:t>
      </w:r>
      <w:r w:rsidR="005B7B07">
        <w:rPr>
          <w:rFonts w:eastAsia="MS Mincho" w:cs="Tahoma"/>
          <w:sz w:val="22"/>
          <w:lang w:eastAsia="pt-BR"/>
        </w:rPr>
        <w:t xml:space="preserve"> </w:t>
      </w:r>
      <w:r>
        <w:rPr>
          <w:rFonts w:eastAsia="MS Mincho" w:cs="Tahoma"/>
          <w:sz w:val="22"/>
          <w:lang w:eastAsia="pt-BR"/>
        </w:rPr>
        <w:t>ter</w:t>
      </w:r>
      <w:r w:rsidR="005B7B07">
        <w:rPr>
          <w:rFonts w:eastAsia="MS Mincho" w:cs="Tahoma"/>
          <w:sz w:val="22"/>
          <w:lang w:eastAsia="pt-BR"/>
        </w:rPr>
        <w:t>á</w:t>
      </w:r>
      <w:r>
        <w:rPr>
          <w:rFonts w:eastAsia="MS Mincho" w:cs="Tahoma"/>
          <w:sz w:val="22"/>
          <w:lang w:eastAsia="pt-BR"/>
        </w:rPr>
        <w:t xml:space="preserve"> as seguintes características</w:t>
      </w:r>
      <w:r>
        <w:rPr>
          <w:rFonts w:cs="Tahoma"/>
          <w:sz w:val="22"/>
        </w:rPr>
        <w:t>;</w:t>
      </w:r>
    </w:p>
    <w:p w:rsidR="00AF2389" w:rsidRDefault="00AF2389" w:rsidP="00AF2389">
      <w:pPr>
        <w:pStyle w:val="PargrafodaLista"/>
        <w:suppressAutoHyphens/>
        <w:ind w:left="1080"/>
        <w:rPr>
          <w:rFonts w:eastAsia="MS Mincho" w:cs="Tahoma"/>
          <w:b/>
          <w:bCs/>
          <w:sz w:val="22"/>
          <w:lang w:eastAsia="pt-BR"/>
        </w:rPr>
      </w:pPr>
    </w:p>
    <w:p w:rsidR="00AF2389" w:rsidRPr="005B7B07" w:rsidRDefault="00AF2389" w:rsidP="00AF2389">
      <w:pPr>
        <w:pStyle w:val="PargrafodaLista"/>
        <w:suppressAutoHyphens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lastRenderedPageBreak/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Debêntures será de 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 (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5B7B07" w:rsidRPr="005B7B07">
        <w:rPr>
          <w:rFonts w:cs="Tahoma"/>
          <w:i/>
          <w:sz w:val="22"/>
        </w:rPr>
        <w:t>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</w:t>
      </w:r>
      <w:r w:rsidRPr="005B7B07">
        <w:rPr>
          <w:rFonts w:eastAsia="MS Mincho" w:cs="Tahoma"/>
          <w:i/>
          <w:sz w:val="22"/>
          <w:lang w:eastAsia="pt-BR"/>
        </w:rPr>
        <w:t>.</w:t>
      </w:r>
    </w:p>
    <w:p w:rsidR="00AF2389" w:rsidRDefault="00AF2389" w:rsidP="00AF2389">
      <w:pPr>
        <w:pStyle w:val="PargrafodaLista"/>
        <w:spacing w:line="340" w:lineRule="exact"/>
        <w:ind w:left="1080"/>
        <w:rPr>
          <w:rFonts w:cs="Tahoma"/>
          <w:sz w:val="22"/>
        </w:rPr>
      </w:pPr>
    </w:p>
    <w:p w:rsidR="00E33C7B" w:rsidRPr="00EC143A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>a alteração da Cláusula 7.10 da Escritura de Emissão para prorrogar o prazo de vencimento das Debêntures</w:t>
      </w:r>
      <w:r w:rsidR="005B7B07">
        <w:rPr>
          <w:rFonts w:cs="Tahoma"/>
          <w:sz w:val="22"/>
        </w:rPr>
        <w:t xml:space="preserve"> da 1ª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>em [</w:t>
      </w:r>
      <w:r w:rsidR="00EF4B86" w:rsidRPr="00EF4B86">
        <w:rPr>
          <w:rFonts w:cs="Tahoma"/>
          <w:sz w:val="22"/>
        </w:rPr>
        <w:t>02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janeiro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2022</w:t>
      </w:r>
      <w:r w:rsidR="00681EF1" w:rsidRPr="00EF4B86">
        <w:rPr>
          <w:rFonts w:cs="Tahoma"/>
          <w:sz w:val="22"/>
        </w:rPr>
        <w:t>];</w:t>
      </w:r>
    </w:p>
    <w:p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:rsidR="00137868" w:rsidRPr="00616EDF" w:rsidRDefault="00137868" w:rsidP="00616EDF">
      <w:pPr>
        <w:pStyle w:val="PargrafodaLista"/>
        <w:rPr>
          <w:rFonts w:cs="Tahoma"/>
          <w:sz w:val="22"/>
        </w:rPr>
      </w:pPr>
    </w:p>
    <w:p w:rsidR="00137868" w:rsidRPr="00EC143A" w:rsidRDefault="00137868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Fidejussória, de modo que a 1ª Emissão passará a ser da espécie quirografária com garantia fidejussória adicional;</w:t>
      </w:r>
    </w:p>
    <w:p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E24967">
        <w:rPr>
          <w:rFonts w:cs="Tahoma"/>
          <w:sz w:val="22"/>
        </w:rPr>
        <w:t>, dos termos de liberação das Garantias Reais</w:t>
      </w:r>
      <w:r w:rsidR="00137868">
        <w:rPr>
          <w:rFonts w:cs="Tahoma"/>
          <w:sz w:val="22"/>
        </w:rPr>
        <w:t xml:space="preserve"> e dos documentos necessários para prorrogação da Garantia Fidejussória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:rsidR="00EC143A" w:rsidRPr="00EC143A" w:rsidRDefault="00EC143A" w:rsidP="00EC143A">
      <w:pPr>
        <w:pStyle w:val="PargrafodaLista"/>
        <w:rPr>
          <w:rFonts w:cs="Tahoma"/>
          <w:sz w:val="22"/>
        </w:rPr>
      </w:pPr>
    </w:p>
    <w:p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aditamento às garantias, 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EC143A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Primeira Emissão de Debêntures Simples, Não Conversíveis em Ações, da Espécie com Garantia Real e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C6417C"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C6417C"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C7587F" w:rsidRPr="00EC143A" w:rsidRDefault="00C7587F" w:rsidP="00894796">
      <w:pPr>
        <w:spacing w:line="276" w:lineRule="auto"/>
        <w:jc w:val="center"/>
        <w:rPr>
          <w:rFonts w:cs="Tahoma"/>
          <w:b/>
          <w:smallCaps/>
          <w:snapToGrid w:val="0"/>
          <w:sz w:val="22"/>
        </w:rPr>
      </w:pPr>
    </w:p>
    <w:p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:rsidTr="00C6417C">
        <w:tc>
          <w:tcPr>
            <w:tcW w:w="8988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:rsidTr="00C6417C">
        <w:tc>
          <w:tcPr>
            <w:tcW w:w="8988" w:type="dxa"/>
          </w:tcPr>
          <w:p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:rsidR="007B34EC" w:rsidRPr="00EC143A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7B34EC"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PRIMEIRA EMISSÃO DE DEBÊNTURES SIMPLES, NÃO CONVERSÍVEIS EM AÇÕES, DA ESPÉCIE COM GARANTIA REAL E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Nota MF: Lista de debenturistas e representantes a ser confirmada.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José Munhoz Bonilha Neto e Laurence Brigitte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Sylvie</w:t>
      </w:r>
      <w:proofErr w:type="spellEnd"/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Beaumanoir</w:t>
      </w:r>
      <w:proofErr w:type="spellEnd"/>
      <w:r w:rsidR="00F8511F" w:rsidRPr="00EC143A">
        <w:rPr>
          <w:rFonts w:eastAsia="MS Mincho" w:cs="Tahoma"/>
          <w:sz w:val="22"/>
          <w:lang w:eastAsia="pt-BR"/>
        </w:rPr>
        <w:t>]</w:t>
      </w: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C0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61" w:rsidRDefault="000E6C61" w:rsidP="00965482">
      <w:r>
        <w:separator/>
      </w:r>
    </w:p>
  </w:endnote>
  <w:endnote w:type="continuationSeparator" w:id="0">
    <w:p w:rsidR="000E6C61" w:rsidRDefault="000E6C61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61" w:rsidRDefault="000E6C61" w:rsidP="00965482">
      <w:r>
        <w:separator/>
      </w:r>
    </w:p>
  </w:footnote>
  <w:footnote w:type="continuationSeparator" w:id="0">
    <w:p w:rsidR="000E6C61" w:rsidRDefault="000E6C61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70924"/>
    <w:rsid w:val="00075473"/>
    <w:rsid w:val="000C1E80"/>
    <w:rsid w:val="000C6ECB"/>
    <w:rsid w:val="000E6C61"/>
    <w:rsid w:val="000F11E4"/>
    <w:rsid w:val="000F643E"/>
    <w:rsid w:val="00111812"/>
    <w:rsid w:val="00137868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6BB2"/>
    <w:rsid w:val="0020758F"/>
    <w:rsid w:val="0021156F"/>
    <w:rsid w:val="002348E2"/>
    <w:rsid w:val="00240215"/>
    <w:rsid w:val="00254532"/>
    <w:rsid w:val="00270C74"/>
    <w:rsid w:val="002A6ACB"/>
    <w:rsid w:val="002A6BE1"/>
    <w:rsid w:val="002C3174"/>
    <w:rsid w:val="002D26C3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A38F7"/>
    <w:rsid w:val="003A3BF8"/>
    <w:rsid w:val="003B4BC6"/>
    <w:rsid w:val="003C29F6"/>
    <w:rsid w:val="003C7EE0"/>
    <w:rsid w:val="003D5889"/>
    <w:rsid w:val="003F1F6C"/>
    <w:rsid w:val="00407C60"/>
    <w:rsid w:val="00463C8E"/>
    <w:rsid w:val="00465A27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B1EDD"/>
    <w:rsid w:val="005B7B07"/>
    <w:rsid w:val="005E43A5"/>
    <w:rsid w:val="005F36F4"/>
    <w:rsid w:val="005F7FE7"/>
    <w:rsid w:val="00601C3A"/>
    <w:rsid w:val="00616EDF"/>
    <w:rsid w:val="00653286"/>
    <w:rsid w:val="00664763"/>
    <w:rsid w:val="00681EF1"/>
    <w:rsid w:val="006F0DDB"/>
    <w:rsid w:val="006F7875"/>
    <w:rsid w:val="00723A37"/>
    <w:rsid w:val="00724E7D"/>
    <w:rsid w:val="00726515"/>
    <w:rsid w:val="007313ED"/>
    <w:rsid w:val="00744887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333"/>
    <w:rsid w:val="00802F53"/>
    <w:rsid w:val="00830B4F"/>
    <w:rsid w:val="0084138A"/>
    <w:rsid w:val="00851974"/>
    <w:rsid w:val="00870BD9"/>
    <w:rsid w:val="0087312E"/>
    <w:rsid w:val="0087533C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00A24"/>
    <w:rsid w:val="00A130E0"/>
    <w:rsid w:val="00A15069"/>
    <w:rsid w:val="00A16FF9"/>
    <w:rsid w:val="00A476BA"/>
    <w:rsid w:val="00A47F51"/>
    <w:rsid w:val="00A754D4"/>
    <w:rsid w:val="00A75DA2"/>
    <w:rsid w:val="00A767AA"/>
    <w:rsid w:val="00A9249F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B13F4"/>
    <w:rsid w:val="00CB668C"/>
    <w:rsid w:val="00CE0CD3"/>
    <w:rsid w:val="00D15D20"/>
    <w:rsid w:val="00D40229"/>
    <w:rsid w:val="00D54129"/>
    <w:rsid w:val="00DC4D8D"/>
    <w:rsid w:val="00E05B4E"/>
    <w:rsid w:val="00E1028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2148D"/>
    <w:rsid w:val="00F3452E"/>
    <w:rsid w:val="00F37A12"/>
    <w:rsid w:val="00F45ECD"/>
    <w:rsid w:val="00F50501"/>
    <w:rsid w:val="00F519A4"/>
    <w:rsid w:val="00F64AFA"/>
    <w:rsid w:val="00F75090"/>
    <w:rsid w:val="00F83999"/>
    <w:rsid w:val="00F84186"/>
    <w:rsid w:val="00F8511F"/>
    <w:rsid w:val="00F8680A"/>
    <w:rsid w:val="00FA0936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C45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092B-8282-42B3-B45A-373AAF66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1269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Rebeca Salles</cp:lastModifiedBy>
  <cp:revision>3</cp:revision>
  <cp:lastPrinted>2021-03-15T15:21:00Z</cp:lastPrinted>
  <dcterms:created xsi:type="dcterms:W3CDTF">2021-09-10T01:08:00Z</dcterms:created>
  <dcterms:modified xsi:type="dcterms:W3CDTF">2021-09-14T14:24:00Z</dcterms:modified>
</cp:coreProperties>
</file>