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CA2" w:rsidRDefault="00CE2CA2" w:rsidP="00CE2CA2">
      <w:pPr>
        <w:widowControl w:val="0"/>
        <w:spacing w:after="240" w:line="320" w:lineRule="atLeast"/>
        <w:rPr>
          <w:rFonts w:ascii="Arial" w:hAnsi="Arial" w:cs="Arial"/>
          <w:b/>
          <w:szCs w:val="22"/>
        </w:rPr>
      </w:pPr>
      <w:r>
        <w:rPr>
          <w:rFonts w:ascii="Arial" w:hAnsi="Arial" w:cs="Arial"/>
          <w:b/>
          <w:szCs w:val="22"/>
        </w:rPr>
        <w:t>2º (SEGUNDO) ADITAMENTO AO INSTRUMENTO PARTICULAR DE ESCRITURA DA 1ª (PRIMEIRA) EMISSÃO DE DEBÊNTURES SIMPLES, NÃO CONVERSÍVEIS EM AÇÕES, DA ESPÉCIE QUIROGRAFÁRIA, COM GARANTIA FIDEJUSSÓRIA ADICIONAL, A SER C</w:t>
      </w:r>
      <w:bookmarkStart w:id="0" w:name="_GoBack"/>
      <w:bookmarkEnd w:id="0"/>
      <w:r>
        <w:rPr>
          <w:rFonts w:ascii="Arial" w:hAnsi="Arial" w:cs="Arial"/>
          <w:b/>
          <w:szCs w:val="22"/>
        </w:rPr>
        <w:t xml:space="preserve">ONVOLADA EM ESPÉCIE COM GARANTIA REAL E GARANTIA FIDEJUSSÓRIA ADICIONAL, EM TRÊS SÉRIES, PARA DISTRIBUIÇÃO PÚBLICA COM ESFORÇOS RESTRITOS, DA </w:t>
      </w:r>
      <w:r>
        <w:rPr>
          <w:rFonts w:ascii="Arial" w:hAnsi="Arial" w:cs="Arial"/>
          <w:b/>
          <w:snapToGrid w:val="0"/>
          <w:szCs w:val="22"/>
        </w:rPr>
        <w:t>CONCESSIONÁRIA LINHA UNIVERSIDADE S.A</w:t>
      </w:r>
      <w:r>
        <w:rPr>
          <w:b/>
          <w:snapToGrid w:val="0"/>
        </w:rPr>
        <w:t>.</w:t>
      </w:r>
      <w:r>
        <w:rPr>
          <w:i/>
          <w:snapToGrid w:val="0"/>
        </w:rPr>
        <w:t xml:space="preserve"> </w:t>
      </w:r>
    </w:p>
    <w:p w:rsidR="00CE2CA2" w:rsidRDefault="00CE2CA2" w:rsidP="00CE2CA2">
      <w:pPr>
        <w:widowControl w:val="0"/>
        <w:spacing w:after="240" w:line="320" w:lineRule="atLeast"/>
        <w:rPr>
          <w:rFonts w:ascii="Arial" w:hAnsi="Arial" w:cs="Arial"/>
          <w:szCs w:val="22"/>
        </w:rPr>
      </w:pPr>
      <w:r>
        <w:rPr>
          <w:rFonts w:ascii="Arial" w:hAnsi="Arial" w:cs="Arial"/>
          <w:szCs w:val="22"/>
        </w:rPr>
        <w:t xml:space="preserve">Celebram este </w:t>
      </w:r>
      <w:r>
        <w:rPr>
          <w:rFonts w:ascii="Arial" w:hAnsi="Arial" w:cs="Arial"/>
          <w:i/>
          <w:szCs w:val="22"/>
        </w:rPr>
        <w:t>“2º (Segundo) Aditamento ao</w:t>
      </w:r>
      <w:r>
        <w:rPr>
          <w:rFonts w:ascii="Arial" w:hAnsi="Arial" w:cs="Arial"/>
          <w:szCs w:val="22"/>
        </w:rPr>
        <w:t xml:space="preserve"> </w:t>
      </w:r>
      <w:r>
        <w:rPr>
          <w:rFonts w:ascii="Arial" w:hAnsi="Arial" w:cs="Arial"/>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da </w:t>
      </w:r>
      <w:r>
        <w:rPr>
          <w:rFonts w:ascii="Arial" w:hAnsi="Arial" w:cs="Arial"/>
          <w:i/>
          <w:snapToGrid w:val="0"/>
          <w:szCs w:val="22"/>
        </w:rPr>
        <w:t>Concessionária Linha Universidade S.A</w:t>
      </w:r>
      <w:r>
        <w:rPr>
          <w:i/>
          <w:snapToGrid w:val="0"/>
        </w:rPr>
        <w:t xml:space="preserve">.” </w:t>
      </w:r>
      <w:r>
        <w:rPr>
          <w:rFonts w:ascii="Arial" w:hAnsi="Arial" w:cs="Arial"/>
          <w:szCs w:val="22"/>
        </w:rPr>
        <w:t>(“</w:t>
      </w:r>
      <w:r>
        <w:rPr>
          <w:rFonts w:ascii="Arial" w:hAnsi="Arial" w:cs="Arial"/>
          <w:b/>
          <w:szCs w:val="22"/>
        </w:rPr>
        <w:t>Aditamento</w:t>
      </w:r>
      <w:r>
        <w:rPr>
          <w:rFonts w:ascii="Arial" w:hAnsi="Arial" w:cs="Arial"/>
          <w:szCs w:val="22"/>
        </w:rPr>
        <w:t xml:space="preserve">”): </w:t>
      </w:r>
    </w:p>
    <w:p w:rsidR="00CE2CA2" w:rsidRDefault="00CE2CA2" w:rsidP="00CE2CA2">
      <w:pPr>
        <w:pStyle w:val="PargrafodaLista"/>
        <w:widowControl w:val="0"/>
        <w:numPr>
          <w:ilvl w:val="0"/>
          <w:numId w:val="5"/>
        </w:numPr>
        <w:spacing w:after="240" w:line="320" w:lineRule="atLeast"/>
        <w:ind w:left="0" w:hanging="11"/>
        <w:contextualSpacing w:val="0"/>
        <w:rPr>
          <w:rFonts w:ascii="Arial" w:hAnsi="Arial" w:cs="Arial"/>
          <w:szCs w:val="22"/>
        </w:rPr>
      </w:pPr>
      <w:r>
        <w:rPr>
          <w:rFonts w:ascii="Arial" w:hAnsi="Arial" w:cs="Arial"/>
          <w:b/>
          <w:smallCaps/>
          <w:snapToGrid w:val="0"/>
          <w:szCs w:val="22"/>
        </w:rPr>
        <w:t>CONCESSIONÁRIA LINHA UNIVERSIDADE S.A.</w:t>
      </w:r>
      <w:r>
        <w:rPr>
          <w:rFonts w:ascii="Arial" w:hAnsi="Arial" w:cs="Arial"/>
          <w:szCs w:val="22"/>
        </w:rPr>
        <w:t>, sociedade por ações sem registro de emissor de valores mobiliários perante a CVM, com sede na Cidade de São Paulo, Estado de São Paulo, na Rua Olimpíadas, nº 134, conjunto 72, sala H, 7º andar, Condomínio Alpha Tower, Vila Olímpia, 04551-000, inscrita no CNPJ sob o nº 35.588.161/0001-22, com seus atos constitutivos registrados perante a JUCESP sob o NIRE nº 35.300.545.044, neste ato representada nos termos de seu estatuto social (“</w:t>
      </w:r>
      <w:r>
        <w:rPr>
          <w:rFonts w:ascii="Arial" w:hAnsi="Arial" w:cs="Arial"/>
          <w:b/>
          <w:szCs w:val="22"/>
        </w:rPr>
        <w:t>Companhia</w:t>
      </w:r>
      <w:r>
        <w:rPr>
          <w:rFonts w:ascii="Arial" w:hAnsi="Arial" w:cs="Arial"/>
          <w:szCs w:val="22"/>
        </w:rPr>
        <w:t xml:space="preserve">”), como emissora e ofertante das Debêntures; e </w:t>
      </w:r>
    </w:p>
    <w:p w:rsidR="00CE2CA2" w:rsidRDefault="00CE2CA2" w:rsidP="00CE2CA2">
      <w:pPr>
        <w:pStyle w:val="PargrafodaLista"/>
        <w:widowControl w:val="0"/>
        <w:numPr>
          <w:ilvl w:val="0"/>
          <w:numId w:val="5"/>
        </w:numPr>
        <w:spacing w:after="240" w:line="320" w:lineRule="atLeast"/>
        <w:ind w:left="0" w:hanging="11"/>
        <w:contextualSpacing w:val="0"/>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cs="Arial"/>
          <w:smallCaps/>
          <w:szCs w:val="22"/>
        </w:rPr>
        <w:t xml:space="preserve"> </w:t>
      </w:r>
      <w:r>
        <w:rPr>
          <w:rFonts w:ascii="Arial" w:hAnsi="Arial" w:cs="Arial"/>
          <w:szCs w:val="22"/>
        </w:rPr>
        <w:t xml:space="preserve">instituição financeira, localizada na Cidade de São Paulo, Estado de São Paulo, na Rua Joaquim Floriano 466, bloco B, </w:t>
      </w:r>
      <w:proofErr w:type="spellStart"/>
      <w:r>
        <w:rPr>
          <w:rFonts w:ascii="Arial" w:hAnsi="Arial" w:cs="Arial"/>
          <w:szCs w:val="22"/>
        </w:rPr>
        <w:t>conj</w:t>
      </w:r>
      <w:proofErr w:type="spellEnd"/>
      <w:r>
        <w:rPr>
          <w:rFonts w:ascii="Arial" w:hAnsi="Arial" w:cs="Arial"/>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rsidR="00CE2CA2" w:rsidRDefault="00CE2CA2" w:rsidP="00CE2CA2">
      <w:pPr>
        <w:widowControl w:val="0"/>
        <w:spacing w:after="240" w:line="320" w:lineRule="atLeast"/>
        <w:rPr>
          <w:rFonts w:ascii="Arial" w:hAnsi="Arial" w:cs="Arial"/>
          <w:b/>
          <w:szCs w:val="22"/>
        </w:rPr>
      </w:pPr>
      <w:r>
        <w:rPr>
          <w:rFonts w:ascii="Arial" w:hAnsi="Arial" w:cs="Arial"/>
          <w:b/>
          <w:szCs w:val="22"/>
        </w:rPr>
        <w:t>CONSIDERANDO QUE:</w:t>
      </w:r>
    </w:p>
    <w:p w:rsidR="00CE2CA2" w:rsidRDefault="00CE2CA2" w:rsidP="00CE2CA2">
      <w:pPr>
        <w:widowControl w:val="0"/>
        <w:numPr>
          <w:ilvl w:val="0"/>
          <w:numId w:val="3"/>
        </w:numPr>
        <w:spacing w:after="240" w:line="320" w:lineRule="atLeast"/>
        <w:rPr>
          <w:rFonts w:ascii="Arial" w:hAnsi="Arial" w:cs="Arial"/>
          <w:b/>
          <w:szCs w:val="22"/>
        </w:rPr>
      </w:pPr>
      <w:r>
        <w:rPr>
          <w:rFonts w:ascii="Arial" w:hAnsi="Arial" w:cs="Arial"/>
          <w:szCs w:val="22"/>
        </w:rPr>
        <w:t>em 29 de setembro de 2020, as Partes celebraram o “</w:t>
      </w:r>
      <w:r>
        <w:rPr>
          <w:rFonts w:ascii="Arial" w:hAnsi="Arial" w:cs="Arial"/>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w:t>
      </w:r>
      <w:r>
        <w:rPr>
          <w:rFonts w:ascii="Arial" w:hAnsi="Arial" w:cs="Arial"/>
          <w:i/>
          <w:szCs w:val="22"/>
        </w:rPr>
        <w:lastRenderedPageBreak/>
        <w:t xml:space="preserve">Esforços Restritos, da </w:t>
      </w:r>
      <w:r>
        <w:rPr>
          <w:rFonts w:ascii="Arial" w:hAnsi="Arial" w:cs="Arial"/>
          <w:i/>
          <w:snapToGrid w:val="0"/>
          <w:szCs w:val="22"/>
        </w:rPr>
        <w:t>Concessionária Linha Universidade S.A</w:t>
      </w:r>
      <w:r>
        <w:rPr>
          <w:i/>
          <w:snapToGrid w:val="0"/>
        </w:rPr>
        <w:t>.</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rsidR="00CE2CA2" w:rsidRDefault="00CE2CA2" w:rsidP="00CE2CA2">
      <w:pPr>
        <w:widowControl w:val="0"/>
        <w:numPr>
          <w:ilvl w:val="0"/>
          <w:numId w:val="3"/>
        </w:numPr>
        <w:spacing w:after="240" w:line="320" w:lineRule="atLeast"/>
        <w:rPr>
          <w:rFonts w:ascii="Arial" w:hAnsi="Arial" w:cs="Arial"/>
          <w:b/>
          <w:szCs w:val="22"/>
        </w:rPr>
      </w:pPr>
      <w:r>
        <w:rPr>
          <w:rFonts w:ascii="Arial" w:hAnsi="Arial" w:cs="Arial"/>
          <w:szCs w:val="22"/>
        </w:rPr>
        <w:t>a celebração do presente Aditamento estava prevista na Cláusula 7.8.1 da Escritura de Emissão;</w:t>
      </w:r>
    </w:p>
    <w:p w:rsidR="00CE2CA2" w:rsidRDefault="00CE2CA2" w:rsidP="00CE2CA2">
      <w:pPr>
        <w:widowControl w:val="0"/>
        <w:numPr>
          <w:ilvl w:val="0"/>
          <w:numId w:val="3"/>
        </w:numPr>
        <w:spacing w:after="240" w:line="320" w:lineRule="atLeast"/>
        <w:rPr>
          <w:rFonts w:ascii="Arial" w:hAnsi="Arial" w:cs="Arial"/>
          <w:b/>
          <w:szCs w:val="22"/>
        </w:rPr>
      </w:pPr>
      <w:r>
        <w:rPr>
          <w:rFonts w:ascii="Arial" w:hAnsi="Arial" w:cs="Arial"/>
          <w:szCs w:val="22"/>
        </w:rPr>
        <w:t xml:space="preserve">em conformidade com o disposto na Cláusula 7.8.1 da Escritura de Emissão não será necessária a realização de qualquer ato societário da Companhia ou de Assembleia Geral de Debenturistas para formalização e/ou aprovação do presente Aditamento; </w:t>
      </w:r>
    </w:p>
    <w:p w:rsidR="00CE2CA2" w:rsidRDefault="00CE2CA2" w:rsidP="00CE2CA2">
      <w:pPr>
        <w:widowControl w:val="0"/>
        <w:numPr>
          <w:ilvl w:val="0"/>
          <w:numId w:val="3"/>
        </w:numPr>
        <w:spacing w:after="240" w:line="320" w:lineRule="atLeast"/>
        <w:rPr>
          <w:rFonts w:ascii="Arial" w:hAnsi="Arial" w:cs="Arial"/>
          <w:b/>
          <w:szCs w:val="22"/>
        </w:rPr>
      </w:pPr>
      <w:r>
        <w:rPr>
          <w:rFonts w:ascii="Arial" w:hAnsi="Arial" w:cs="Arial"/>
          <w:szCs w:val="22"/>
        </w:rPr>
        <w:t>as Partes desejam aditar a Escritura de Emissão para refletir o registro do Contrato de Cessão Fiduciária, do Contrato de Alienação Fiduciária de Ações e a satisfação da condição suspensiva nele prevista, e formalizar a convolação da espécie das Debêntures de quirografária para a espécie com garantia real.</w:t>
      </w:r>
    </w:p>
    <w:p w:rsidR="00CE2CA2" w:rsidRDefault="00CE2CA2" w:rsidP="00CE2CA2">
      <w:pPr>
        <w:widowControl w:val="0"/>
        <w:spacing w:after="240" w:line="320" w:lineRule="atLeast"/>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rsidR="00CE2CA2" w:rsidRDefault="00CE2CA2" w:rsidP="00CE2CA2">
      <w:pPr>
        <w:numPr>
          <w:ilvl w:val="0"/>
          <w:numId w:val="4"/>
        </w:numPr>
        <w:spacing w:after="240" w:line="320" w:lineRule="atLeast"/>
        <w:ind w:left="0" w:firstLine="0"/>
        <w:rPr>
          <w:rFonts w:ascii="Arial" w:hAnsi="Arial" w:cs="Arial"/>
          <w:b/>
          <w:szCs w:val="22"/>
        </w:rPr>
      </w:pPr>
      <w:r>
        <w:rPr>
          <w:rFonts w:ascii="Arial" w:hAnsi="Arial" w:cs="Arial"/>
          <w:b/>
          <w:szCs w:val="22"/>
        </w:rPr>
        <w:t>DA AVERBAÇÃO DO ADITAMENTO</w:t>
      </w:r>
    </w:p>
    <w:p w:rsidR="00CE2CA2" w:rsidRDefault="00CE2CA2" w:rsidP="00CE2CA2">
      <w:pPr>
        <w:widowControl w:val="0"/>
        <w:numPr>
          <w:ilvl w:val="1"/>
          <w:numId w:val="4"/>
        </w:numPr>
        <w:spacing w:after="240" w:line="320" w:lineRule="atLeast"/>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conforme disposto pelo artigo 62, inciso II e §3º da Lei nº 6.404, de 15 de dezembro de 1976, conforme alterada (“</w:t>
      </w:r>
      <w:r>
        <w:rPr>
          <w:rFonts w:ascii="Arial" w:hAnsi="Arial" w:cs="Arial"/>
          <w:b/>
          <w:szCs w:val="22"/>
        </w:rPr>
        <w:t>Lei das Sociedades por Ações</w:t>
      </w:r>
      <w:r>
        <w:rPr>
          <w:rFonts w:ascii="Arial" w:hAnsi="Arial" w:cs="Arial"/>
          <w:szCs w:val="22"/>
        </w:rPr>
        <w:t xml:space="preserve">”), observado o disposto na </w:t>
      </w:r>
      <w:r>
        <w:rPr>
          <w:rFonts w:ascii="Arial" w:hAnsi="Arial" w:cs="Arial"/>
          <w:color w:val="000000"/>
          <w:szCs w:val="22"/>
        </w:rPr>
        <w:t>Lei nº 14.030/2020</w:t>
      </w:r>
      <w:r>
        <w:rPr>
          <w:rFonts w:ascii="Arial" w:hAnsi="Arial" w:cs="Arial"/>
          <w:szCs w:val="22"/>
        </w:rPr>
        <w:t xml:space="preserve">. </w:t>
      </w:r>
    </w:p>
    <w:p w:rsidR="00CE2CA2" w:rsidRDefault="00CE2CA2" w:rsidP="00CE2CA2">
      <w:pPr>
        <w:numPr>
          <w:ilvl w:val="0"/>
          <w:numId w:val="4"/>
        </w:numPr>
        <w:spacing w:after="240" w:line="320" w:lineRule="atLeast"/>
        <w:ind w:left="0" w:hanging="11"/>
        <w:rPr>
          <w:rFonts w:ascii="Arial" w:hAnsi="Arial" w:cs="Arial"/>
          <w:b/>
          <w:szCs w:val="22"/>
        </w:rPr>
      </w:pPr>
      <w:r>
        <w:rPr>
          <w:rFonts w:ascii="Arial" w:hAnsi="Arial" w:cs="Arial"/>
          <w:b/>
          <w:szCs w:val="22"/>
        </w:rPr>
        <w:t>ALTERAÇÕES</w:t>
      </w:r>
    </w:p>
    <w:p w:rsidR="00CE2CA2" w:rsidRDefault="00CE2CA2" w:rsidP="00CE2CA2">
      <w:pPr>
        <w:widowControl w:val="0"/>
        <w:numPr>
          <w:ilvl w:val="1"/>
          <w:numId w:val="4"/>
        </w:numPr>
        <w:spacing w:after="240" w:line="320" w:lineRule="atLeast"/>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rsidR="00CE2CA2" w:rsidRDefault="00CE2CA2" w:rsidP="00CE2CA2">
      <w:pPr>
        <w:widowControl w:val="0"/>
        <w:numPr>
          <w:ilvl w:val="1"/>
          <w:numId w:val="4"/>
        </w:numPr>
        <w:spacing w:after="240" w:line="320" w:lineRule="atLeas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rsidR="00CE2CA2" w:rsidRDefault="00CE2CA2" w:rsidP="00CE2CA2">
      <w:pPr>
        <w:widowControl w:val="0"/>
        <w:spacing w:after="240" w:line="320" w:lineRule="atLeast"/>
        <w:ind w:left="426"/>
        <w:rPr>
          <w:rFonts w:ascii="Arial" w:hAnsi="Arial" w:cs="Arial"/>
          <w:b/>
          <w:i/>
          <w:szCs w:val="22"/>
        </w:rPr>
      </w:pPr>
      <w:r>
        <w:rPr>
          <w:rFonts w:ascii="Arial" w:hAnsi="Arial" w:cs="Arial"/>
          <w:i/>
          <w:szCs w:val="22"/>
        </w:rPr>
        <w:t>“7.8 Espécie. As Debêntures serão da espécie com garantia real e com garantia fidejussória adicional.”</w:t>
      </w:r>
    </w:p>
    <w:p w:rsidR="00CE2CA2" w:rsidRDefault="00CE2CA2" w:rsidP="00CE2CA2">
      <w:pPr>
        <w:widowControl w:val="0"/>
        <w:numPr>
          <w:ilvl w:val="1"/>
          <w:numId w:val="4"/>
        </w:numPr>
        <w:spacing w:after="240" w:line="320" w:lineRule="atLeas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rsidR="00CE2CA2" w:rsidRDefault="00CE2CA2" w:rsidP="00CE2CA2">
      <w:pPr>
        <w:widowControl w:val="0"/>
        <w:numPr>
          <w:ilvl w:val="1"/>
          <w:numId w:val="4"/>
        </w:numPr>
        <w:spacing w:after="240" w:line="320" w:lineRule="atLeast"/>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Instrumento Particular de Escritura da 1ª Emissão Pública de Debêntures Simples, Não Conversíveis em Ações, da Espécie com Garantia Real, com Garantia Fidejussória Adicional, Em Três Séries, Para Distribuição Pública com Esforços Restritos, da Concessionária Linha Universidade S.A.</w:t>
      </w:r>
      <w:r>
        <w:rPr>
          <w:rFonts w:ascii="Arial" w:hAnsi="Arial" w:cs="Arial"/>
          <w:szCs w:val="22"/>
        </w:rPr>
        <w:t xml:space="preserve">”. </w:t>
      </w:r>
    </w:p>
    <w:p w:rsidR="00CE2CA2" w:rsidRDefault="00CE2CA2" w:rsidP="00CE2CA2">
      <w:pPr>
        <w:numPr>
          <w:ilvl w:val="0"/>
          <w:numId w:val="4"/>
        </w:numPr>
        <w:spacing w:after="240" w:line="320" w:lineRule="atLeast"/>
        <w:ind w:left="0" w:firstLine="0"/>
        <w:rPr>
          <w:rFonts w:ascii="Arial" w:hAnsi="Arial" w:cs="Arial"/>
          <w:b/>
          <w:szCs w:val="22"/>
        </w:rPr>
      </w:pPr>
      <w:r>
        <w:rPr>
          <w:rFonts w:ascii="Arial" w:hAnsi="Arial" w:cs="Arial"/>
          <w:b/>
          <w:szCs w:val="22"/>
        </w:rPr>
        <w:t>RATIFICAÇÃO E CONSOLIDAÇÃO</w:t>
      </w:r>
    </w:p>
    <w:p w:rsidR="00CE2CA2" w:rsidRDefault="00CE2CA2" w:rsidP="00CE2CA2">
      <w:pPr>
        <w:widowControl w:val="0"/>
        <w:numPr>
          <w:ilvl w:val="1"/>
          <w:numId w:val="4"/>
        </w:numPr>
        <w:spacing w:after="240" w:line="320" w:lineRule="atLeast"/>
        <w:ind w:left="0" w:firstLine="0"/>
        <w:rPr>
          <w:rFonts w:ascii="Arial" w:hAnsi="Arial" w:cs="Arial"/>
          <w:b/>
          <w:szCs w:val="22"/>
        </w:rPr>
      </w:pPr>
      <w:r>
        <w:rPr>
          <w:rFonts w:ascii="Arial" w:hAnsi="Arial" w:cs="Arial"/>
          <w:szCs w:val="22"/>
        </w:rPr>
        <w:t>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Aditamento.</w:t>
      </w:r>
    </w:p>
    <w:p w:rsidR="00CE2CA2" w:rsidRDefault="00CE2CA2" w:rsidP="00CE2CA2">
      <w:pPr>
        <w:numPr>
          <w:ilvl w:val="0"/>
          <w:numId w:val="4"/>
        </w:numPr>
        <w:spacing w:after="240" w:line="320" w:lineRule="atLeast"/>
        <w:ind w:left="0" w:firstLine="0"/>
        <w:rPr>
          <w:rFonts w:ascii="Arial" w:hAnsi="Arial" w:cs="Arial"/>
          <w:b/>
          <w:szCs w:val="22"/>
        </w:rPr>
      </w:pPr>
      <w:r>
        <w:rPr>
          <w:rFonts w:ascii="Arial" w:hAnsi="Arial" w:cs="Arial"/>
          <w:b/>
          <w:szCs w:val="22"/>
        </w:rPr>
        <w:t>DISPOSIÇÕES FINAIS</w:t>
      </w:r>
    </w:p>
    <w:p w:rsidR="00CE2CA2" w:rsidRDefault="00CE2CA2" w:rsidP="00CE2CA2">
      <w:pPr>
        <w:numPr>
          <w:ilvl w:val="1"/>
          <w:numId w:val="4"/>
        </w:numPr>
        <w:spacing w:after="240" w:line="320" w:lineRule="atLeast"/>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rsidR="00CE2CA2" w:rsidRDefault="00CE2CA2" w:rsidP="00CE2CA2">
      <w:pPr>
        <w:numPr>
          <w:ilvl w:val="1"/>
          <w:numId w:val="4"/>
        </w:numPr>
        <w:spacing w:after="240" w:line="320" w:lineRule="atLeast"/>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rsidR="00CE2CA2" w:rsidRDefault="00CE2CA2" w:rsidP="00CE2CA2">
      <w:pPr>
        <w:numPr>
          <w:ilvl w:val="0"/>
          <w:numId w:val="4"/>
        </w:numPr>
        <w:spacing w:after="240" w:line="320" w:lineRule="atLeast"/>
        <w:ind w:left="0" w:firstLine="0"/>
        <w:rPr>
          <w:rFonts w:ascii="Arial" w:hAnsi="Arial" w:cs="Arial"/>
          <w:b/>
          <w:szCs w:val="22"/>
        </w:rPr>
      </w:pPr>
      <w:r>
        <w:rPr>
          <w:rFonts w:ascii="Arial" w:hAnsi="Arial" w:cs="Arial"/>
          <w:b/>
          <w:szCs w:val="22"/>
        </w:rPr>
        <w:t>LEI APLICÁVEL E FORO</w:t>
      </w:r>
    </w:p>
    <w:p w:rsidR="00CE2CA2" w:rsidRDefault="00CE2CA2" w:rsidP="00CE2CA2">
      <w:pPr>
        <w:numPr>
          <w:ilvl w:val="1"/>
          <w:numId w:val="4"/>
        </w:numPr>
        <w:spacing w:after="240" w:line="320" w:lineRule="atLeast"/>
        <w:ind w:left="0" w:firstLine="0"/>
        <w:rPr>
          <w:rFonts w:ascii="Arial" w:hAnsi="Arial" w:cs="Arial"/>
          <w:b/>
          <w:szCs w:val="22"/>
        </w:rPr>
      </w:pPr>
      <w:r>
        <w:rPr>
          <w:rFonts w:ascii="Arial" w:hAnsi="Arial" w:cs="Arial"/>
          <w:szCs w:val="22"/>
        </w:rPr>
        <w:t>Este Aditamento será regido e interpretado de acordo com as leis da República Federativa do Brasil.</w:t>
      </w:r>
    </w:p>
    <w:p w:rsidR="00CE2CA2" w:rsidRDefault="00CE2CA2" w:rsidP="00CE2CA2">
      <w:pPr>
        <w:numPr>
          <w:ilvl w:val="1"/>
          <w:numId w:val="4"/>
        </w:numPr>
        <w:spacing w:after="240" w:line="320" w:lineRule="atLeast"/>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rsidR="00CE2CA2" w:rsidRDefault="00CE2CA2" w:rsidP="00CE2CA2">
      <w:pPr>
        <w:widowControl w:val="0"/>
        <w:spacing w:after="240" w:line="320" w:lineRule="atLeast"/>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rsidR="00CE2CA2" w:rsidRDefault="00CE2CA2" w:rsidP="00CE2CA2">
      <w:pPr>
        <w:widowControl w:val="0"/>
        <w:spacing w:after="240" w:line="320" w:lineRule="atLeast"/>
        <w:jc w:val="center"/>
        <w:rPr>
          <w:rFonts w:ascii="Arial" w:hAnsi="Arial" w:cs="Arial"/>
          <w:szCs w:val="22"/>
        </w:rPr>
      </w:pPr>
      <w:r>
        <w:rPr>
          <w:rFonts w:ascii="Arial" w:hAnsi="Arial" w:cs="Arial"/>
          <w:szCs w:val="22"/>
        </w:rPr>
        <w:t xml:space="preserve">São Paulo, [●] de </w:t>
      </w:r>
      <w:r w:rsidR="00F15147">
        <w:rPr>
          <w:rFonts w:ascii="Arial" w:hAnsi="Arial" w:cs="Arial"/>
          <w:szCs w:val="22"/>
        </w:rPr>
        <w:t>[●]</w:t>
      </w:r>
      <w:r w:rsidR="00F15147">
        <w:rPr>
          <w:rFonts w:ascii="Arial" w:hAnsi="Arial" w:cs="Arial"/>
          <w:szCs w:val="22"/>
        </w:rPr>
        <w:t xml:space="preserve"> </w:t>
      </w:r>
      <w:r>
        <w:rPr>
          <w:rFonts w:ascii="Arial" w:hAnsi="Arial" w:cs="Arial"/>
          <w:szCs w:val="22"/>
        </w:rPr>
        <w:t>de 2020.</w:t>
      </w:r>
    </w:p>
    <w:p w:rsidR="00CE2CA2" w:rsidRDefault="00CE2CA2" w:rsidP="00CE2CA2">
      <w:pPr>
        <w:pStyle w:val="Body"/>
        <w:widowControl w:val="0"/>
        <w:spacing w:after="120" w:line="276" w:lineRule="auto"/>
        <w:jc w:val="center"/>
        <w:rPr>
          <w:sz w:val="22"/>
        </w:rPr>
      </w:pPr>
      <w:r>
        <w:rPr>
          <w:sz w:val="22"/>
        </w:rPr>
        <w:t>(</w:t>
      </w:r>
      <w:r>
        <w:rPr>
          <w:i/>
          <w:sz w:val="22"/>
        </w:rPr>
        <w:t>As assinaturas seguem na página seguinte.</w:t>
      </w:r>
      <w:r>
        <w:rPr>
          <w:sz w:val="22"/>
        </w:rPr>
        <w:t>)</w:t>
      </w:r>
    </w:p>
    <w:p w:rsidR="00CE2CA2" w:rsidRDefault="00CE2CA2" w:rsidP="00CE2CA2">
      <w:pPr>
        <w:pStyle w:val="Body"/>
        <w:widowControl w:val="0"/>
        <w:spacing w:after="120" w:line="276" w:lineRule="auto"/>
        <w:jc w:val="center"/>
        <w:rPr>
          <w:sz w:val="22"/>
        </w:rPr>
      </w:pPr>
      <w:r>
        <w:rPr>
          <w:sz w:val="22"/>
        </w:rPr>
        <w:t>(</w:t>
      </w:r>
      <w:r>
        <w:rPr>
          <w:i/>
          <w:sz w:val="22"/>
        </w:rPr>
        <w:t>Restante desta página intencionalmente deixado em branco.</w:t>
      </w:r>
      <w:r>
        <w:rPr>
          <w:sz w:val="22"/>
        </w:rPr>
        <w:t>)</w:t>
      </w:r>
    </w:p>
    <w:p w:rsidR="00CE2CA2" w:rsidRDefault="00CE2CA2" w:rsidP="00CE2CA2">
      <w:pPr>
        <w:spacing w:after="0"/>
        <w:jc w:val="left"/>
        <w:rPr>
          <w:rFonts w:ascii="Arial" w:hAnsi="Arial" w:cs="Arial"/>
          <w:szCs w:val="22"/>
        </w:rPr>
      </w:pPr>
      <w:r>
        <w:rPr>
          <w:rFonts w:ascii="Arial" w:hAnsi="Arial" w:cs="Arial"/>
          <w:szCs w:val="22"/>
        </w:rPr>
        <w:br w:type="page"/>
      </w:r>
    </w:p>
    <w:p w:rsidR="00CE2CA2" w:rsidRDefault="00CE2CA2" w:rsidP="00CE2CA2">
      <w:pPr>
        <w:widowControl w:val="0"/>
        <w:spacing w:after="240" w:line="320" w:lineRule="atLeast"/>
        <w:rPr>
          <w:rFonts w:ascii="Arial" w:hAnsi="Arial" w:cs="Arial"/>
          <w:szCs w:val="22"/>
        </w:rPr>
      </w:pPr>
    </w:p>
    <w:p w:rsidR="00CE2CA2" w:rsidRDefault="00CE2CA2" w:rsidP="00CE2CA2">
      <w:pPr>
        <w:pStyle w:val="Body"/>
        <w:widowControl w:val="0"/>
        <w:spacing w:after="120" w:line="276" w:lineRule="auto"/>
        <w:rPr>
          <w:sz w:val="22"/>
        </w:rPr>
      </w:pPr>
      <w:r>
        <w:rPr>
          <w:i/>
          <w:sz w:val="22"/>
        </w:rPr>
        <w:t xml:space="preserve">Página de Assinaturas (1/3) do 2º (Segundo) Aditamento ao 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da </w:t>
      </w:r>
      <w:r>
        <w:rPr>
          <w:i/>
          <w:snapToGrid w:val="0"/>
          <w:sz w:val="22"/>
        </w:rPr>
        <w:t>Concessionária Linha Universidade S.A. celebrado</w:t>
      </w:r>
      <w:r>
        <w:rPr>
          <w:i/>
          <w:sz w:val="22"/>
        </w:rPr>
        <w:t xml:space="preserve"> entre a </w:t>
      </w:r>
      <w:r>
        <w:rPr>
          <w:i/>
          <w:snapToGrid w:val="0"/>
          <w:sz w:val="22"/>
        </w:rPr>
        <w:t>Concessionária</w:t>
      </w:r>
      <w:r>
        <w:rPr>
          <w:i/>
          <w:sz w:val="22"/>
        </w:rPr>
        <w:t xml:space="preserve"> Linha Universidade S.A. e a </w:t>
      </w:r>
      <w:r>
        <w:rPr>
          <w:bCs/>
          <w:i/>
          <w:sz w:val="22"/>
        </w:rPr>
        <w:t>Simplific Pavarini Distribuidora de Títulos e Valores Mobiliários Ltda.</w:t>
      </w:r>
    </w:p>
    <w:p w:rsidR="00CE2CA2" w:rsidRDefault="00CE2CA2" w:rsidP="00CE2CA2">
      <w:pPr>
        <w:pStyle w:val="Body"/>
        <w:widowControl w:val="0"/>
        <w:spacing w:after="120" w:line="276" w:lineRule="auto"/>
        <w:rPr>
          <w:sz w:val="22"/>
        </w:rPr>
      </w:pPr>
    </w:p>
    <w:p w:rsidR="00CE2CA2" w:rsidRDefault="00CE2CA2" w:rsidP="00CE2CA2">
      <w:pPr>
        <w:pStyle w:val="Body"/>
        <w:widowControl w:val="0"/>
        <w:spacing w:after="120" w:line="276" w:lineRule="auto"/>
        <w:jc w:val="center"/>
        <w:rPr>
          <w:b/>
          <w:smallCaps/>
          <w:snapToGrid w:val="0"/>
          <w:sz w:val="22"/>
        </w:rPr>
      </w:pPr>
      <w:r>
        <w:rPr>
          <w:b/>
          <w:i/>
          <w:smallCaps/>
          <w:snapToGrid w:val="0"/>
          <w:sz w:val="22"/>
        </w:rPr>
        <w:t>CONCESSIONÁRIA LINHA UNIVERSIDADE S.A</w:t>
      </w:r>
    </w:p>
    <w:p w:rsidR="00CE2CA2" w:rsidRDefault="00CE2CA2" w:rsidP="00CE2CA2">
      <w:pPr>
        <w:pStyle w:val="Body"/>
        <w:widowControl w:val="0"/>
        <w:spacing w:after="120" w:line="276" w:lineRule="auto"/>
        <w:rPr>
          <w:sz w:val="22"/>
        </w:rPr>
      </w:pPr>
    </w:p>
    <w:p w:rsidR="00CE2CA2" w:rsidRDefault="00CE2CA2" w:rsidP="00CE2CA2">
      <w:pPr>
        <w:pStyle w:val="Body"/>
        <w:widowControl w:val="0"/>
        <w:spacing w:after="120" w:line="276" w:lineRule="auto"/>
        <w:rPr>
          <w:sz w:val="22"/>
        </w:rPr>
      </w:pPr>
    </w:p>
    <w:p w:rsidR="00CE2CA2" w:rsidRDefault="00CE2CA2" w:rsidP="00CE2CA2">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Tr="00CE2CA2">
        <w:trPr>
          <w:cantSplit/>
        </w:trPr>
        <w:tc>
          <w:tcPr>
            <w:tcW w:w="4253" w:type="dxa"/>
            <w:tcBorders>
              <w:top w:val="single" w:sz="6" w:space="0" w:color="auto"/>
            </w:tcBorders>
          </w:tcPr>
          <w:p w:rsidR="00CE2CA2" w:rsidRDefault="00CE2CA2" w:rsidP="00CE2CA2">
            <w:pPr>
              <w:pStyle w:val="Body"/>
              <w:widowControl w:val="0"/>
              <w:spacing w:after="120" w:line="276" w:lineRule="auto"/>
              <w:rPr>
                <w:sz w:val="22"/>
              </w:rPr>
            </w:pPr>
            <w:r>
              <w:rPr>
                <w:sz w:val="22"/>
              </w:rPr>
              <w:t>Nome:</w:t>
            </w:r>
            <w:r>
              <w:rPr>
                <w:sz w:val="22"/>
              </w:rPr>
              <w:br/>
              <w:t>Cargo:</w:t>
            </w:r>
          </w:p>
        </w:tc>
        <w:tc>
          <w:tcPr>
            <w:tcW w:w="567" w:type="dxa"/>
          </w:tcPr>
          <w:p w:rsidR="00CE2CA2" w:rsidRDefault="00CE2CA2" w:rsidP="00CE2CA2">
            <w:pPr>
              <w:pStyle w:val="Body"/>
              <w:widowControl w:val="0"/>
              <w:spacing w:after="120" w:line="276" w:lineRule="auto"/>
              <w:rPr>
                <w:sz w:val="22"/>
              </w:rPr>
            </w:pPr>
          </w:p>
        </w:tc>
        <w:tc>
          <w:tcPr>
            <w:tcW w:w="4253" w:type="dxa"/>
            <w:tcBorders>
              <w:top w:val="single" w:sz="6" w:space="0" w:color="auto"/>
            </w:tcBorders>
          </w:tcPr>
          <w:p w:rsidR="00CE2CA2" w:rsidRDefault="00CE2CA2" w:rsidP="00CE2CA2">
            <w:pPr>
              <w:pStyle w:val="Body"/>
              <w:widowControl w:val="0"/>
              <w:spacing w:after="120" w:line="276" w:lineRule="auto"/>
              <w:rPr>
                <w:sz w:val="22"/>
              </w:rPr>
            </w:pPr>
            <w:r>
              <w:rPr>
                <w:sz w:val="22"/>
              </w:rPr>
              <w:t>Nome:</w:t>
            </w:r>
            <w:r>
              <w:rPr>
                <w:sz w:val="22"/>
              </w:rPr>
              <w:br/>
              <w:t>Cargo:</w:t>
            </w:r>
          </w:p>
        </w:tc>
      </w:tr>
    </w:tbl>
    <w:p w:rsidR="00CE2CA2" w:rsidRDefault="00CE2CA2" w:rsidP="00CE2CA2">
      <w:pPr>
        <w:pStyle w:val="Body"/>
        <w:widowControl w:val="0"/>
        <w:spacing w:after="120" w:line="276" w:lineRule="auto"/>
        <w:rPr>
          <w:sz w:val="22"/>
        </w:rPr>
      </w:pPr>
    </w:p>
    <w:p w:rsidR="00CE2CA2" w:rsidRDefault="00CE2CA2" w:rsidP="00CE2CA2">
      <w:pPr>
        <w:widowControl w:val="0"/>
        <w:spacing w:line="276" w:lineRule="auto"/>
        <w:jc w:val="left"/>
        <w:rPr>
          <w:rFonts w:ascii="Arial" w:hAnsi="Arial" w:cs="Arial"/>
          <w:szCs w:val="22"/>
        </w:rPr>
      </w:pPr>
      <w:r>
        <w:rPr>
          <w:rFonts w:ascii="Arial" w:hAnsi="Arial" w:cs="Arial"/>
          <w:szCs w:val="22"/>
        </w:rPr>
        <w:br w:type="page"/>
      </w:r>
    </w:p>
    <w:p w:rsidR="00CE2CA2" w:rsidRDefault="00CE2CA2" w:rsidP="00CE2CA2">
      <w:pPr>
        <w:pStyle w:val="Body"/>
        <w:widowControl w:val="0"/>
        <w:spacing w:after="120" w:line="276" w:lineRule="auto"/>
        <w:rPr>
          <w:sz w:val="22"/>
        </w:rPr>
      </w:pPr>
      <w:r>
        <w:rPr>
          <w:i/>
          <w:sz w:val="22"/>
        </w:rPr>
        <w:t xml:space="preserve">Página de Assinaturas (2/3) do 2º (Segundo) Aditamento ao 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da </w:t>
      </w:r>
      <w:r>
        <w:rPr>
          <w:i/>
          <w:snapToGrid w:val="0"/>
          <w:sz w:val="22"/>
        </w:rPr>
        <w:t>Concessionária Linha Universidade S.A. celebrado</w:t>
      </w:r>
      <w:r>
        <w:rPr>
          <w:i/>
          <w:sz w:val="22"/>
        </w:rPr>
        <w:t xml:space="preserve"> entre a </w:t>
      </w:r>
      <w:r>
        <w:rPr>
          <w:i/>
          <w:snapToGrid w:val="0"/>
          <w:sz w:val="22"/>
        </w:rPr>
        <w:t>Concessionária</w:t>
      </w:r>
      <w:r>
        <w:rPr>
          <w:i/>
          <w:sz w:val="22"/>
        </w:rPr>
        <w:t xml:space="preserve"> Linha Universidade S.A. e a </w:t>
      </w:r>
      <w:r>
        <w:rPr>
          <w:bCs/>
          <w:i/>
          <w:sz w:val="22"/>
        </w:rPr>
        <w:t>Simplific Pavarini Distribuidora de Títulos e Valores Mobiliários Ltda.</w:t>
      </w:r>
    </w:p>
    <w:p w:rsidR="00CE2CA2" w:rsidRDefault="00CE2CA2" w:rsidP="00CE2CA2">
      <w:pPr>
        <w:pStyle w:val="Body"/>
        <w:widowControl w:val="0"/>
        <w:spacing w:after="120" w:line="276" w:lineRule="auto"/>
        <w:rPr>
          <w:sz w:val="22"/>
        </w:rPr>
      </w:pPr>
    </w:p>
    <w:p w:rsidR="00CE2CA2" w:rsidRDefault="00CE2CA2" w:rsidP="00CE2CA2">
      <w:pPr>
        <w:pStyle w:val="Body"/>
        <w:widowControl w:val="0"/>
        <w:spacing w:after="120" w:line="276" w:lineRule="auto"/>
        <w:jc w:val="center"/>
        <w:rPr>
          <w:b/>
          <w:i/>
          <w:smallCaps/>
          <w:snapToGrid w:val="0"/>
          <w:sz w:val="22"/>
        </w:rPr>
      </w:pPr>
      <w:r>
        <w:rPr>
          <w:b/>
          <w:i/>
          <w:smallCaps/>
          <w:sz w:val="22"/>
        </w:rPr>
        <w:t>SIMPLIFIC PAVARINI DISTRIBUIDORA DE TÍTULOS E VALORES MOBILIÁRIOS LTDA.</w:t>
      </w:r>
    </w:p>
    <w:p w:rsidR="00CE2CA2" w:rsidRDefault="00CE2CA2" w:rsidP="00CE2CA2">
      <w:pPr>
        <w:pStyle w:val="Body"/>
        <w:widowControl w:val="0"/>
        <w:spacing w:after="120" w:line="276" w:lineRule="auto"/>
        <w:jc w:val="center"/>
        <w:rPr>
          <w:b/>
          <w:i/>
          <w:smallCaps/>
          <w:snapToGrid w:val="0"/>
          <w:sz w:val="22"/>
        </w:rPr>
      </w:pPr>
    </w:p>
    <w:p w:rsidR="00CE2CA2" w:rsidRDefault="00CE2CA2" w:rsidP="00CE2CA2">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Tr="00CE2CA2">
        <w:trPr>
          <w:cantSplit/>
        </w:trPr>
        <w:tc>
          <w:tcPr>
            <w:tcW w:w="2231" w:type="dxa"/>
          </w:tcPr>
          <w:p w:rsidR="00CE2CA2" w:rsidRDefault="00CE2CA2" w:rsidP="00CE2CA2">
            <w:pPr>
              <w:pStyle w:val="Body"/>
              <w:widowControl w:val="0"/>
              <w:spacing w:after="120" w:line="276" w:lineRule="auto"/>
              <w:rPr>
                <w:sz w:val="22"/>
              </w:rPr>
            </w:pPr>
          </w:p>
        </w:tc>
        <w:tc>
          <w:tcPr>
            <w:tcW w:w="4500" w:type="dxa"/>
            <w:tcBorders>
              <w:top w:val="single" w:sz="4" w:space="0" w:color="auto"/>
            </w:tcBorders>
          </w:tcPr>
          <w:p w:rsidR="00CE2CA2" w:rsidRDefault="00CE2CA2" w:rsidP="00CE2CA2">
            <w:pPr>
              <w:pStyle w:val="Body"/>
              <w:widowControl w:val="0"/>
              <w:spacing w:after="120" w:line="276" w:lineRule="auto"/>
              <w:rPr>
                <w:sz w:val="22"/>
              </w:rPr>
            </w:pPr>
            <w:r>
              <w:rPr>
                <w:sz w:val="22"/>
              </w:rPr>
              <w:t>Nome:</w:t>
            </w:r>
            <w:r>
              <w:rPr>
                <w:sz w:val="22"/>
              </w:rPr>
              <w:br/>
              <w:t>Cargo:</w:t>
            </w:r>
          </w:p>
        </w:tc>
        <w:tc>
          <w:tcPr>
            <w:tcW w:w="2342" w:type="dxa"/>
          </w:tcPr>
          <w:p w:rsidR="00CE2CA2" w:rsidRDefault="00CE2CA2" w:rsidP="00CE2CA2">
            <w:pPr>
              <w:pStyle w:val="Body"/>
              <w:widowControl w:val="0"/>
              <w:spacing w:after="120" w:line="276" w:lineRule="auto"/>
              <w:rPr>
                <w:sz w:val="22"/>
              </w:rPr>
            </w:pPr>
          </w:p>
        </w:tc>
      </w:tr>
    </w:tbl>
    <w:p w:rsidR="00CE2CA2" w:rsidRDefault="00CE2CA2" w:rsidP="00CE2CA2">
      <w:pPr>
        <w:pStyle w:val="Body"/>
        <w:widowControl w:val="0"/>
        <w:spacing w:after="120" w:line="276" w:lineRule="auto"/>
        <w:rPr>
          <w:sz w:val="22"/>
        </w:rPr>
      </w:pPr>
    </w:p>
    <w:p w:rsidR="00CE2CA2" w:rsidRDefault="00CE2CA2" w:rsidP="00CE2CA2">
      <w:pPr>
        <w:widowControl w:val="0"/>
        <w:spacing w:line="276" w:lineRule="auto"/>
        <w:jc w:val="left"/>
        <w:rPr>
          <w:rFonts w:ascii="Arial" w:hAnsi="Arial" w:cs="Arial"/>
          <w:szCs w:val="22"/>
        </w:rPr>
      </w:pPr>
      <w:r>
        <w:rPr>
          <w:rFonts w:ascii="Arial" w:hAnsi="Arial" w:cs="Arial"/>
          <w:szCs w:val="22"/>
        </w:rPr>
        <w:br w:type="page"/>
      </w:r>
    </w:p>
    <w:p w:rsidR="00CE2CA2" w:rsidRDefault="00CE2CA2" w:rsidP="00CE2CA2">
      <w:pPr>
        <w:pStyle w:val="Body"/>
        <w:widowControl w:val="0"/>
        <w:spacing w:after="120" w:line="276" w:lineRule="auto"/>
        <w:rPr>
          <w:sz w:val="22"/>
        </w:rPr>
      </w:pPr>
      <w:r>
        <w:rPr>
          <w:i/>
          <w:sz w:val="22"/>
        </w:rPr>
        <w:t xml:space="preserve">Página de Assinaturas (3/3) do 2º (Segundo) Aditamento ao 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da </w:t>
      </w:r>
      <w:r>
        <w:rPr>
          <w:i/>
          <w:snapToGrid w:val="0"/>
          <w:sz w:val="22"/>
        </w:rPr>
        <w:t>Concessionária Linha Universidade S.A. celebrado</w:t>
      </w:r>
      <w:r>
        <w:rPr>
          <w:i/>
          <w:sz w:val="22"/>
        </w:rPr>
        <w:t xml:space="preserve"> entre a </w:t>
      </w:r>
      <w:r>
        <w:rPr>
          <w:i/>
          <w:snapToGrid w:val="0"/>
          <w:sz w:val="22"/>
        </w:rPr>
        <w:t>Concessionária</w:t>
      </w:r>
      <w:r>
        <w:rPr>
          <w:i/>
          <w:sz w:val="22"/>
        </w:rPr>
        <w:t xml:space="preserve"> Linha Universidade S.A. e a </w:t>
      </w:r>
      <w:r>
        <w:rPr>
          <w:bCs/>
          <w:i/>
          <w:sz w:val="22"/>
        </w:rPr>
        <w:t>Simplific Pavarini Distribuidora de Títulos e Valores Mobiliários Ltda.</w:t>
      </w:r>
    </w:p>
    <w:p w:rsidR="00CE2CA2" w:rsidRDefault="00CE2CA2" w:rsidP="00CE2CA2">
      <w:pPr>
        <w:pStyle w:val="Body"/>
        <w:widowControl w:val="0"/>
        <w:spacing w:after="120" w:line="276" w:lineRule="auto"/>
        <w:rPr>
          <w:sz w:val="22"/>
        </w:rPr>
      </w:pPr>
    </w:p>
    <w:p w:rsidR="00CE2CA2" w:rsidRDefault="00CE2CA2" w:rsidP="00CE2CA2">
      <w:pPr>
        <w:pStyle w:val="Body"/>
        <w:widowControl w:val="0"/>
        <w:spacing w:after="120" w:line="276" w:lineRule="auto"/>
        <w:rPr>
          <w:sz w:val="22"/>
        </w:rPr>
      </w:pPr>
      <w:r>
        <w:rPr>
          <w:b/>
          <w:sz w:val="22"/>
        </w:rPr>
        <w:t>TESTEMUNHAS</w:t>
      </w:r>
      <w:r>
        <w:rPr>
          <w:sz w:val="22"/>
        </w:rPr>
        <w:t>:</w:t>
      </w:r>
    </w:p>
    <w:p w:rsidR="00CE2CA2" w:rsidRDefault="00CE2CA2" w:rsidP="00CE2CA2">
      <w:pPr>
        <w:pStyle w:val="Body"/>
        <w:widowControl w:val="0"/>
        <w:spacing w:after="120" w:line="276" w:lineRule="auto"/>
        <w:rPr>
          <w:sz w:val="22"/>
        </w:rPr>
      </w:pPr>
    </w:p>
    <w:p w:rsidR="00CE2CA2" w:rsidRDefault="00CE2CA2" w:rsidP="00CE2CA2">
      <w:pPr>
        <w:pStyle w:val="Body"/>
        <w:widowControl w:val="0"/>
        <w:spacing w:after="120" w:line="276" w:lineRule="auto"/>
        <w:rPr>
          <w:sz w:val="22"/>
        </w:rPr>
      </w:pPr>
    </w:p>
    <w:p w:rsidR="00CE2CA2" w:rsidRDefault="00CE2CA2" w:rsidP="00CE2CA2">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Tr="00CE2CA2">
        <w:trPr>
          <w:cantSplit/>
        </w:trPr>
        <w:tc>
          <w:tcPr>
            <w:tcW w:w="4253" w:type="dxa"/>
            <w:tcBorders>
              <w:top w:val="single" w:sz="6" w:space="0" w:color="auto"/>
            </w:tcBorders>
          </w:tcPr>
          <w:p w:rsidR="00CE2CA2" w:rsidRDefault="00CE2CA2" w:rsidP="00CE2CA2">
            <w:pPr>
              <w:pStyle w:val="Body"/>
              <w:widowControl w:val="0"/>
              <w:spacing w:after="120" w:line="276" w:lineRule="auto"/>
              <w:rPr>
                <w:sz w:val="22"/>
              </w:rPr>
            </w:pPr>
            <w:r>
              <w:rPr>
                <w:sz w:val="22"/>
              </w:rPr>
              <w:t>Nome:</w:t>
            </w:r>
            <w:r>
              <w:rPr>
                <w:sz w:val="22"/>
              </w:rPr>
              <w:br/>
              <w:t>RG.:</w:t>
            </w:r>
            <w:r>
              <w:rPr>
                <w:sz w:val="22"/>
              </w:rPr>
              <w:br/>
              <w:t>CPF:</w:t>
            </w:r>
          </w:p>
        </w:tc>
        <w:tc>
          <w:tcPr>
            <w:tcW w:w="567" w:type="dxa"/>
          </w:tcPr>
          <w:p w:rsidR="00CE2CA2" w:rsidRDefault="00CE2CA2" w:rsidP="00CE2CA2">
            <w:pPr>
              <w:pStyle w:val="Body"/>
              <w:widowControl w:val="0"/>
              <w:spacing w:after="120" w:line="276" w:lineRule="auto"/>
              <w:rPr>
                <w:sz w:val="22"/>
              </w:rPr>
            </w:pPr>
          </w:p>
        </w:tc>
        <w:tc>
          <w:tcPr>
            <w:tcW w:w="4253" w:type="dxa"/>
            <w:tcBorders>
              <w:top w:val="single" w:sz="6" w:space="0" w:color="auto"/>
            </w:tcBorders>
          </w:tcPr>
          <w:p w:rsidR="00CE2CA2" w:rsidRDefault="00CE2CA2" w:rsidP="00CE2CA2">
            <w:pPr>
              <w:pStyle w:val="Body"/>
              <w:widowControl w:val="0"/>
              <w:spacing w:after="120" w:line="276" w:lineRule="auto"/>
              <w:rPr>
                <w:sz w:val="22"/>
              </w:rPr>
            </w:pPr>
            <w:r>
              <w:rPr>
                <w:sz w:val="22"/>
              </w:rPr>
              <w:t>Nome:</w:t>
            </w:r>
            <w:r>
              <w:rPr>
                <w:sz w:val="22"/>
              </w:rPr>
              <w:br/>
              <w:t>RG.:</w:t>
            </w:r>
            <w:r>
              <w:rPr>
                <w:sz w:val="22"/>
              </w:rPr>
              <w:br/>
              <w:t>CPF:</w:t>
            </w:r>
          </w:p>
        </w:tc>
      </w:tr>
    </w:tbl>
    <w:p w:rsidR="00CE2CA2" w:rsidRDefault="00CE2CA2" w:rsidP="00CE2CA2">
      <w:pPr>
        <w:pStyle w:val="Body"/>
        <w:widowControl w:val="0"/>
        <w:spacing w:after="120" w:line="276" w:lineRule="auto"/>
        <w:rPr>
          <w:sz w:val="22"/>
        </w:rPr>
      </w:pPr>
    </w:p>
    <w:p w:rsidR="00CE2CA2" w:rsidRDefault="00CE2CA2" w:rsidP="00CE2CA2">
      <w:pPr>
        <w:spacing w:after="0"/>
        <w:jc w:val="left"/>
        <w:rPr>
          <w:rFonts w:ascii="Arial" w:hAnsi="Arial" w:cs="Arial"/>
          <w:sz w:val="20"/>
          <w:szCs w:val="22"/>
        </w:rPr>
      </w:pPr>
      <w:r>
        <w:br w:type="page"/>
      </w:r>
    </w:p>
    <w:p w:rsidR="00CE2CA2" w:rsidRPr="002518D8" w:rsidRDefault="00CE2CA2" w:rsidP="00CE2CA2">
      <w:pPr>
        <w:widowControl w:val="0"/>
        <w:spacing w:after="240" w:line="320" w:lineRule="atLeast"/>
        <w:jc w:val="center"/>
        <w:rPr>
          <w:rFonts w:ascii="Arial" w:hAnsi="Arial" w:cs="Arial"/>
          <w:b/>
          <w:szCs w:val="22"/>
        </w:rPr>
      </w:pPr>
      <w:r w:rsidRPr="002518D8">
        <w:rPr>
          <w:b/>
        </w:rPr>
        <w:t>ANEXO I</w:t>
      </w:r>
    </w:p>
    <w:p w:rsidR="00CE2CA2" w:rsidRDefault="00CE2CA2" w:rsidP="00CE2CA2">
      <w:pPr>
        <w:pStyle w:val="Body"/>
        <w:widowControl w:val="0"/>
        <w:spacing w:after="240" w:line="320" w:lineRule="atLeast"/>
        <w:jc w:val="center"/>
        <w:rPr>
          <w:b/>
          <w:sz w:val="22"/>
        </w:rPr>
      </w:pPr>
      <w:r w:rsidRPr="002518D8">
        <w:rPr>
          <w:b/>
          <w:sz w:val="22"/>
        </w:rPr>
        <w:t>Consolidação da Escritura de Emissão</w:t>
      </w:r>
    </w:p>
    <w:p w:rsidR="00CE2CA2" w:rsidRDefault="00CE2CA2">
      <w:pPr>
        <w:spacing w:after="0"/>
        <w:jc w:val="left"/>
        <w:rPr>
          <w:rFonts w:ascii="Arial" w:hAnsi="Arial" w:cs="Arial"/>
          <w:b/>
          <w:szCs w:val="22"/>
        </w:rPr>
      </w:pPr>
    </w:p>
    <w:p w:rsidR="006B3686" w:rsidRDefault="00CE2CA2">
      <w:pPr>
        <w:pStyle w:val="Heading"/>
      </w:pPr>
      <w:r>
        <w:t>INSTRUMENTO PARTICULAR DE ESCRITURA DA 1ª (PRIMEIRA) EMISSÃO DE DEBÊNTURES SIMPLES, NÃO CONVERSÍVEIS EM AÇÕES, DA ESPÉCIE COM GARANTIA REAL</w:t>
      </w:r>
      <w:r>
        <w:t>, COM</w:t>
      </w:r>
      <w:r>
        <w:t xml:space="preserve"> GARANTIA FIDEJUSSÓRIA ADICIONAL, EM TRÊS SÉRIES, PARA DISTRIBUIÇÃO PÚBLICA COM ESFORÇOS RESTRITOS, DA CONCESSIONÁRIA LINHA UNIVERSIDADE S.A. </w:t>
      </w:r>
    </w:p>
    <w:p w:rsidR="006B3686" w:rsidRDefault="00CE2CA2">
      <w:pPr>
        <w:pStyle w:val="Body"/>
        <w:widowControl w:val="0"/>
        <w:spacing w:after="120" w:line="276" w:lineRule="auto"/>
        <w:rPr>
          <w:sz w:val="22"/>
        </w:rPr>
      </w:pPr>
      <w:r>
        <w:rPr>
          <w:sz w:val="22"/>
        </w:rPr>
        <w:t>Celebram este “</w:t>
      </w:r>
      <w:bookmarkStart w:id="1" w:name="_Hlk52233348"/>
      <w:r>
        <w:rPr>
          <w:i/>
          <w:sz w:val="22"/>
        </w:rPr>
        <w:t>Instrumento Particular de Escritura da 1ª (Primeira) Emissão de Debêntures Simples, Não Conversíveis em Ações, da Espécie com Garantia Real</w:t>
      </w:r>
      <w:r>
        <w:rPr>
          <w:i/>
          <w:sz w:val="22"/>
        </w:rPr>
        <w:t>,</w:t>
      </w:r>
      <w:r>
        <w:rPr>
          <w:i/>
          <w:sz w:val="22"/>
        </w:rPr>
        <w:t xml:space="preserve"> </w:t>
      </w:r>
      <w:r>
        <w:rPr>
          <w:i/>
          <w:sz w:val="22"/>
        </w:rPr>
        <w:t xml:space="preserve">com </w:t>
      </w:r>
      <w:r>
        <w:rPr>
          <w:i/>
          <w:sz w:val="22"/>
        </w:rPr>
        <w:t xml:space="preserve">Garantia Fidejussória Adicional, em Três Séries, Para Distribuição Pública com Esforços Restritos de Colocação, da </w:t>
      </w:r>
      <w:r>
        <w:rPr>
          <w:i/>
          <w:snapToGrid w:val="0"/>
          <w:sz w:val="22"/>
        </w:rPr>
        <w:t>Concessionária Linha Universidade S.A.</w:t>
      </w:r>
      <w:bookmarkEnd w:id="1"/>
      <w:r>
        <w:rPr>
          <w:sz w:val="22"/>
        </w:rPr>
        <w:t>” (“</w:t>
      </w:r>
      <w:r>
        <w:rPr>
          <w:b/>
          <w:sz w:val="22"/>
        </w:rPr>
        <w:t>Escritura de Emissão</w:t>
      </w:r>
      <w:r>
        <w:rPr>
          <w:sz w:val="22"/>
        </w:rPr>
        <w:t>”):</w:t>
      </w:r>
    </w:p>
    <w:p w:rsidR="006B3686" w:rsidRDefault="00CE2CA2">
      <w:pPr>
        <w:pStyle w:val="Parties"/>
        <w:widowControl w:val="0"/>
        <w:spacing w:after="120" w:line="276" w:lineRule="auto"/>
        <w:ind w:left="0" w:firstLine="0"/>
        <w:rPr>
          <w:sz w:val="22"/>
        </w:rPr>
      </w:pPr>
      <w:r>
        <w:rPr>
          <w:b/>
          <w:smallCaps/>
          <w:snapToGrid w:val="0"/>
          <w:sz w:val="22"/>
        </w:rPr>
        <w:t>CONCESSIONÁRIA LINHA UNIVERSIDADE S.A.</w:t>
      </w:r>
      <w:r>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b/>
          <w:sz w:val="22"/>
        </w:rPr>
        <w:t>Companhia</w:t>
      </w:r>
      <w:r>
        <w:rPr>
          <w:sz w:val="22"/>
        </w:rPr>
        <w:t xml:space="preserve">”), como emissora e ofertante das Debêntures (conforme definido abaixo); e </w:t>
      </w:r>
    </w:p>
    <w:p w:rsidR="006B3686" w:rsidRDefault="00CE2CA2">
      <w:pPr>
        <w:pStyle w:val="Parties"/>
        <w:widowControl w:val="0"/>
        <w:spacing w:after="120" w:line="276" w:lineRule="auto"/>
        <w:ind w:left="0" w:firstLine="0"/>
        <w:rPr>
          <w:sz w:val="22"/>
        </w:rPr>
      </w:pPr>
      <w:r>
        <w:rPr>
          <w:b/>
          <w:bCs/>
          <w:smallCaps/>
          <w:sz w:val="22"/>
        </w:rPr>
        <w:t>SIMPLIFIC PAVARINI DISTRIBUIDORA DE TÍTULOS E VALORES MOBILIÁRIOS LTDA.</w:t>
      </w:r>
      <w:r>
        <w:rPr>
          <w:bCs/>
          <w:smallCaps/>
          <w:sz w:val="22"/>
        </w:rPr>
        <w:t xml:space="preserve">, </w:t>
      </w:r>
      <w:r>
        <w:rPr>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rsidR="006B3686" w:rsidRDefault="00CE2CA2">
      <w:pPr>
        <w:pStyle w:val="Body"/>
        <w:widowControl w:val="0"/>
        <w:spacing w:after="120" w:line="276" w:lineRule="auto"/>
        <w:rPr>
          <w:sz w:val="22"/>
        </w:rPr>
      </w:pPr>
      <w:r>
        <w:rPr>
          <w:sz w:val="22"/>
        </w:rPr>
        <w:t>de acordo com os seguintes termos e condições:</w:t>
      </w:r>
    </w:p>
    <w:p w:rsidR="006B3686" w:rsidRDefault="00CE2CA2">
      <w:pPr>
        <w:pStyle w:val="Level1"/>
        <w:keepNext w:val="0"/>
        <w:keepLines w:val="0"/>
        <w:widowControl w:val="0"/>
        <w:spacing w:before="0" w:after="120" w:line="276" w:lineRule="auto"/>
        <w:ind w:left="0" w:firstLine="0"/>
        <w:rPr>
          <w:color w:val="auto"/>
        </w:rPr>
      </w:pPr>
      <w:bookmarkStart w:id="2" w:name="_Toc51602581"/>
      <w:r>
        <w:rPr>
          <w:color w:val="auto"/>
        </w:rPr>
        <w:t>DEFINIÇÕES</w:t>
      </w:r>
      <w:bookmarkEnd w:id="2"/>
    </w:p>
    <w:p w:rsidR="006B3686" w:rsidRDefault="00CE2CA2">
      <w:pPr>
        <w:pStyle w:val="Level2"/>
        <w:widowControl w:val="0"/>
        <w:spacing w:after="120" w:line="276" w:lineRule="auto"/>
        <w:ind w:left="0" w:firstLine="0"/>
        <w:rPr>
          <w:rFonts w:cs="Arial"/>
          <w:smallCaps/>
          <w:sz w:val="22"/>
          <w:szCs w:val="22"/>
          <w:u w:val="single"/>
        </w:rPr>
      </w:pPr>
      <w:bookmarkStart w:id="3" w:name="_Ref167514799"/>
      <w:bookmarkStart w:id="4" w:name="_Toc51602582"/>
      <w:r>
        <w:rPr>
          <w:rFonts w:cs="Arial"/>
          <w:sz w:val="22"/>
          <w:szCs w:val="22"/>
        </w:rPr>
        <w:t>Sem prejuízo das outras definições estabelecidas ao longo desta Escritura de Emissão, serão considerados termos definidos, no singular ou no plural, os termos a seguir.</w:t>
      </w:r>
      <w:bookmarkEnd w:id="3"/>
      <w:bookmarkEnd w:id="4"/>
      <w:r>
        <w:rPr>
          <w:rFonts w:cs="Arial"/>
          <w:sz w:val="22"/>
          <w:szCs w:val="22"/>
        </w:rPr>
        <w:t xml:space="preserve"> </w:t>
      </w:r>
    </w:p>
    <w:p w:rsidR="006B3686" w:rsidRDefault="00CE2CA2">
      <w:pPr>
        <w:pStyle w:val="Level4"/>
        <w:widowControl w:val="0"/>
        <w:tabs>
          <w:tab w:val="num" w:pos="851"/>
          <w:tab w:val="num" w:pos="1134"/>
        </w:tabs>
        <w:spacing w:after="120" w:line="276" w:lineRule="auto"/>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rsidR="006B3686" w:rsidRDefault="00CE2CA2">
      <w:pPr>
        <w:pStyle w:val="Level4"/>
        <w:widowControl w:val="0"/>
        <w:tabs>
          <w:tab w:val="num" w:pos="851"/>
          <w:tab w:val="num" w:pos="1134"/>
        </w:tabs>
        <w:spacing w:after="120" w:line="276" w:lineRule="auto"/>
        <w:ind w:left="0" w:firstLine="0"/>
        <w:rPr>
          <w:sz w:val="22"/>
          <w:szCs w:val="22"/>
          <w:lang w:val="es-ES"/>
        </w:rPr>
      </w:pPr>
      <w:r>
        <w:rPr>
          <w:sz w:val="22"/>
          <w:szCs w:val="22"/>
          <w:lang w:val="es-ES"/>
        </w:rPr>
        <w:t>“</w:t>
      </w:r>
      <w:r>
        <w:rPr>
          <w:b/>
          <w:sz w:val="22"/>
          <w:szCs w:val="22"/>
          <w:lang w:val="es-ES"/>
        </w:rPr>
        <w:t>Acciona Construcción</w:t>
      </w:r>
      <w:r>
        <w:rPr>
          <w:sz w:val="22"/>
          <w:szCs w:val="22"/>
          <w:lang w:val="es-ES"/>
        </w:rPr>
        <w:t xml:space="preserve">” significa a Acciona Construcción, S.A. </w:t>
      </w:r>
    </w:p>
    <w:p w:rsidR="006B3686" w:rsidRDefault="00CE2CA2">
      <w:pPr>
        <w:pStyle w:val="Level4"/>
        <w:widowControl w:val="0"/>
        <w:tabs>
          <w:tab w:val="num" w:pos="851"/>
          <w:tab w:val="num" w:pos="1134"/>
        </w:tabs>
        <w:spacing w:after="120" w:line="276" w:lineRule="auto"/>
        <w:ind w:left="0" w:firstLine="0"/>
        <w:rPr>
          <w:sz w:val="22"/>
          <w:szCs w:val="22"/>
        </w:rPr>
      </w:pPr>
      <w:bookmarkStart w:id="5" w:name="_Hlk51696281"/>
      <w:r>
        <w:rPr>
          <w:sz w:val="22"/>
          <w:szCs w:val="22"/>
        </w:rPr>
        <w:t>“</w:t>
      </w:r>
      <w:r>
        <w:rPr>
          <w:b/>
          <w:sz w:val="22"/>
          <w:szCs w:val="22"/>
        </w:rPr>
        <w:t>Acionistas</w:t>
      </w:r>
      <w:r>
        <w:rPr>
          <w:sz w:val="22"/>
          <w:szCs w:val="22"/>
        </w:rPr>
        <w:t xml:space="preserve">” significa a Acciona </w:t>
      </w:r>
      <w:proofErr w:type="spellStart"/>
      <w:r>
        <w:rPr>
          <w:sz w:val="22"/>
          <w:szCs w:val="22"/>
        </w:rPr>
        <w:t>Concesiones</w:t>
      </w:r>
      <w:proofErr w:type="spellEnd"/>
      <w:r>
        <w:rPr>
          <w:sz w:val="22"/>
          <w:szCs w:val="22"/>
        </w:rPr>
        <w:t xml:space="preserve">, a Acciona </w:t>
      </w:r>
      <w:proofErr w:type="spellStart"/>
      <w:r>
        <w:rPr>
          <w:sz w:val="22"/>
          <w:szCs w:val="22"/>
        </w:rPr>
        <w:t>Construcción</w:t>
      </w:r>
      <w:proofErr w:type="spellEnd"/>
      <w:r>
        <w:rPr>
          <w:sz w:val="22"/>
          <w:szCs w:val="22"/>
        </w:rPr>
        <w:t xml:space="preserve"> e a Linha Universidade Investimentos.</w:t>
      </w:r>
    </w:p>
    <w:p w:rsidR="006B3686" w:rsidRDefault="00CE2CA2">
      <w:pPr>
        <w:pStyle w:val="Level4"/>
        <w:widowControl w:val="0"/>
        <w:tabs>
          <w:tab w:val="num" w:pos="851"/>
          <w:tab w:val="num" w:pos="1134"/>
        </w:tabs>
        <w:spacing w:after="120" w:line="276" w:lineRule="auto"/>
        <w:ind w:left="0" w:firstLine="0"/>
        <w:rPr>
          <w:sz w:val="22"/>
          <w:szCs w:val="22"/>
        </w:rPr>
      </w:pPr>
      <w:bookmarkStart w:id="6" w:name="_Hlk40694099"/>
      <w:bookmarkEnd w:id="5"/>
      <w:r>
        <w:rPr>
          <w:sz w:val="22"/>
          <w:szCs w:val="22"/>
        </w:rPr>
        <w:t>“</w:t>
      </w:r>
      <w:r>
        <w:rPr>
          <w:b/>
          <w:sz w:val="22"/>
          <w:szCs w:val="22"/>
        </w:rPr>
        <w:t>Acordo de Pagamento</w:t>
      </w:r>
      <w:r>
        <w:rPr>
          <w:sz w:val="22"/>
          <w:szCs w:val="22"/>
        </w:rPr>
        <w:t xml:space="preserve">” significa o “Acordo de Pagamento por Conta e Ordem, Assunção de Dívida e Outras Avenças” a ser celebrado, dentre outros, entre a Companhia, o Banco Santander (Brasil) S.A., o Banco BTG Pactual S.A., Banco </w:t>
      </w:r>
      <w:proofErr w:type="spellStart"/>
      <w:r>
        <w:rPr>
          <w:sz w:val="22"/>
          <w:szCs w:val="22"/>
        </w:rPr>
        <w:t>Crédit</w:t>
      </w:r>
      <w:proofErr w:type="spellEnd"/>
      <w:r>
        <w:rPr>
          <w:sz w:val="22"/>
          <w:szCs w:val="22"/>
        </w:rPr>
        <w:t xml:space="preserve"> </w:t>
      </w:r>
      <w:proofErr w:type="spellStart"/>
      <w:r>
        <w:rPr>
          <w:sz w:val="22"/>
          <w:szCs w:val="22"/>
        </w:rPr>
        <w:t>Agricole</w:t>
      </w:r>
      <w:proofErr w:type="spellEnd"/>
      <w:r>
        <w:rPr>
          <w:sz w:val="22"/>
          <w:szCs w:val="22"/>
        </w:rPr>
        <w:t xml:space="preserve"> Brasil S.A., Banco ABC Brasil S.A., Banco Nacional de Desenvolvimento Econômico e Social – BNDES e a Concessionária Move São Paulo S.A.</w:t>
      </w:r>
      <w:bookmarkEnd w:id="6"/>
      <w:r>
        <w:rPr>
          <w:sz w:val="22"/>
          <w:szCs w:val="22"/>
        </w:rPr>
        <w:t xml:space="preserve"> </w:t>
      </w:r>
    </w:p>
    <w:p w:rsidR="006B3686" w:rsidRDefault="00CE2CA2">
      <w:pPr>
        <w:pStyle w:val="Level4"/>
        <w:widowControl w:val="0"/>
        <w:tabs>
          <w:tab w:val="num" w:pos="851"/>
          <w:tab w:val="num" w:pos="1134"/>
        </w:tabs>
        <w:spacing w:after="120" w:line="276" w:lineRule="auto"/>
        <w:ind w:left="0" w:firstLine="0"/>
        <w:rPr>
          <w:sz w:val="22"/>
          <w:szCs w:val="22"/>
        </w:rPr>
      </w:pPr>
      <w:bookmarkStart w:id="7" w:name="_Hlk43148304"/>
      <w:bookmarkStart w:id="8" w:name="_Hlk51696214"/>
      <w:r>
        <w:rPr>
          <w:sz w:val="22"/>
          <w:szCs w:val="22"/>
        </w:rPr>
        <w:t>“</w:t>
      </w:r>
      <w:r>
        <w:rPr>
          <w:b/>
          <w:sz w:val="22"/>
          <w:szCs w:val="22"/>
        </w:rPr>
        <w:t>Aditamentos ao Contrato de Concessão</w:t>
      </w:r>
      <w:r>
        <w:rPr>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7"/>
    </w:p>
    <w:bookmarkEnd w:id="8"/>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rsidR="006B3686" w:rsidRDefault="00CE2CA2">
      <w:pPr>
        <w:pStyle w:val="Level4"/>
        <w:widowControl w:val="0"/>
        <w:tabs>
          <w:tab w:val="num" w:pos="851"/>
          <w:tab w:val="num" w:pos="1134"/>
        </w:tabs>
        <w:spacing w:after="120" w:line="276" w:lineRule="auto"/>
        <w:ind w:left="0" w:firstLine="0"/>
        <w:rPr>
          <w:bCs/>
          <w:sz w:val="22"/>
          <w:szCs w:val="22"/>
        </w:rPr>
      </w:pPr>
      <w:r>
        <w:rPr>
          <w:bCs/>
          <w:sz w:val="22"/>
          <w:szCs w:val="22"/>
        </w:rPr>
        <w:t>“</w:t>
      </w:r>
      <w:r>
        <w:rPr>
          <w:b/>
          <w:bCs/>
          <w:sz w:val="22"/>
          <w:szCs w:val="22"/>
        </w:rPr>
        <w:t>AGE Companhia</w:t>
      </w:r>
      <w:r>
        <w:rPr>
          <w:bCs/>
          <w:sz w:val="22"/>
          <w:szCs w:val="22"/>
        </w:rPr>
        <w:t xml:space="preserve">” tem o significado previsto na Cláusula </w:t>
      </w:r>
      <w:r>
        <w:rPr>
          <w:bCs/>
          <w:sz w:val="22"/>
          <w:szCs w:val="22"/>
        </w:rPr>
        <w:fldChar w:fldCharType="begin"/>
      </w:r>
      <w:r>
        <w:rPr>
          <w:bCs/>
          <w:sz w:val="22"/>
          <w:szCs w:val="22"/>
        </w:rPr>
        <w:instrText xml:space="preserve"> REF _Ref40350060 \r \p \h  \* MERGEFORMAT </w:instrText>
      </w:r>
      <w:r>
        <w:rPr>
          <w:bCs/>
          <w:sz w:val="22"/>
          <w:szCs w:val="22"/>
        </w:rPr>
      </w:r>
      <w:r>
        <w:rPr>
          <w:bCs/>
          <w:sz w:val="22"/>
          <w:szCs w:val="22"/>
        </w:rPr>
        <w:fldChar w:fldCharType="separate"/>
      </w:r>
      <w:r>
        <w:rPr>
          <w:bCs/>
          <w:sz w:val="22"/>
          <w:szCs w:val="22"/>
        </w:rPr>
        <w:t>2.1 abaixo</w:t>
      </w:r>
      <w:r>
        <w:rPr>
          <w:bCs/>
          <w:sz w:val="22"/>
          <w:szCs w:val="22"/>
        </w:rPr>
        <w:fldChar w:fldCharType="end"/>
      </w:r>
      <w:r>
        <w:rPr>
          <w:bCs/>
          <w:sz w:val="22"/>
          <w:szCs w:val="22"/>
        </w:rPr>
        <w:t>.</w:t>
      </w:r>
    </w:p>
    <w:p w:rsidR="006B3686" w:rsidRDefault="00CE2CA2">
      <w:pPr>
        <w:pStyle w:val="Level4"/>
        <w:widowControl w:val="0"/>
        <w:tabs>
          <w:tab w:val="num" w:pos="851"/>
          <w:tab w:val="num" w:pos="1134"/>
        </w:tabs>
        <w:spacing w:after="120" w:line="276" w:lineRule="auto"/>
        <w:ind w:left="0" w:firstLine="0"/>
        <w:rPr>
          <w:bCs/>
          <w:sz w:val="22"/>
          <w:szCs w:val="22"/>
        </w:rPr>
      </w:pPr>
      <w:r>
        <w:rPr>
          <w:sz w:val="22"/>
          <w:szCs w:val="22"/>
        </w:rPr>
        <w:t>“</w:t>
      </w:r>
      <w:r>
        <w:rPr>
          <w:b/>
          <w:sz w:val="22"/>
          <w:szCs w:val="22"/>
        </w:rPr>
        <w:t>Autorizações Societárias das Acionistas</w:t>
      </w:r>
      <w:r>
        <w:rPr>
          <w:sz w:val="22"/>
          <w:szCs w:val="22"/>
        </w:rPr>
        <w:t>”</w:t>
      </w:r>
      <w:r>
        <w:rPr>
          <w:b/>
          <w:sz w:val="22"/>
          <w:szCs w:val="22"/>
        </w:rPr>
        <w:t xml:space="preserve"> </w:t>
      </w:r>
      <w:r>
        <w:rPr>
          <w:sz w:val="22"/>
          <w:szCs w:val="22"/>
        </w:rPr>
        <w:t xml:space="preserve">significa, em conjunto, as deliberações societárias das Acionistas da Companhia autorizando a constituição da Alienação Fiduciária de Ações. </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rsidR="006B3686" w:rsidRDefault="00CE2CA2">
      <w:pPr>
        <w:pStyle w:val="Level4"/>
        <w:widowControl w:val="0"/>
        <w:tabs>
          <w:tab w:val="num" w:pos="851"/>
          <w:tab w:val="num" w:pos="1134"/>
        </w:tabs>
        <w:spacing w:after="120" w:line="276" w:lineRule="auto"/>
        <w:ind w:left="0" w:firstLine="0"/>
        <w:rPr>
          <w:b/>
          <w:sz w:val="22"/>
          <w:szCs w:val="22"/>
        </w:rPr>
      </w:pPr>
      <w:r>
        <w:rPr>
          <w:sz w:val="22"/>
          <w:szCs w:val="22"/>
        </w:rPr>
        <w:t>“</w:t>
      </w:r>
      <w:r>
        <w:rPr>
          <w:b/>
          <w:sz w:val="22"/>
          <w:szCs w:val="22"/>
        </w:rPr>
        <w:t>Amortização Obrigatória Parcial</w:t>
      </w:r>
      <w:r>
        <w:rPr>
          <w:sz w:val="22"/>
          <w:szCs w:val="22"/>
        </w:rPr>
        <w:t xml:space="preserve">” tem o significado atribuído na Cláusula </w:t>
      </w:r>
      <w:r>
        <w:rPr>
          <w:sz w:val="22"/>
          <w:szCs w:val="22"/>
        </w:rPr>
        <w:fldChar w:fldCharType="begin"/>
      </w:r>
      <w:r>
        <w:rPr>
          <w:sz w:val="22"/>
          <w:szCs w:val="22"/>
        </w:rPr>
        <w:instrText xml:space="preserve"> REF _Ref37877429 \r \h  \* MERGEFORMAT </w:instrText>
      </w:r>
      <w:r>
        <w:rPr>
          <w:sz w:val="22"/>
          <w:szCs w:val="22"/>
        </w:rPr>
      </w:r>
      <w:r>
        <w:rPr>
          <w:sz w:val="22"/>
          <w:szCs w:val="22"/>
        </w:rPr>
        <w:fldChar w:fldCharType="separate"/>
      </w:r>
      <w:r>
        <w:rPr>
          <w:sz w:val="22"/>
          <w:szCs w:val="22"/>
        </w:rPr>
        <w:t>7.15</w:t>
      </w:r>
      <w:r>
        <w:rPr>
          <w:sz w:val="22"/>
          <w:szCs w:val="22"/>
        </w:rPr>
        <w:fldChar w:fldCharType="end"/>
      </w:r>
      <w:r>
        <w:rPr>
          <w:sz w:val="22"/>
          <w:szCs w:val="22"/>
        </w:rPr>
        <w:t xml:space="preserve"> abaixo.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ANBIMA</w:t>
      </w:r>
      <w:r>
        <w:rPr>
          <w:sz w:val="22"/>
          <w:szCs w:val="22"/>
        </w:rPr>
        <w:t>” significa ANBIMA – Associação Brasileira das Entidades dos Mercados Financeiro e de Capitais.</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rPr>
          <w:sz w:val="22"/>
          <w:szCs w:val="22"/>
        </w:rPr>
        <w:fldChar w:fldCharType="begin"/>
      </w:r>
      <w:r>
        <w:rPr>
          <w:sz w:val="22"/>
          <w:szCs w:val="22"/>
        </w:rPr>
        <w:instrText xml:space="preserve"> REF _Ref379625198 \r \h  \* MERGEFORMAT </w:instrText>
      </w:r>
      <w:r>
        <w:rPr>
          <w:sz w:val="22"/>
          <w:szCs w:val="22"/>
        </w:rPr>
      </w:r>
      <w:r>
        <w:rPr>
          <w:sz w:val="22"/>
          <w:szCs w:val="22"/>
        </w:rPr>
        <w:fldChar w:fldCharType="separate"/>
      </w:r>
      <w:r>
        <w:rPr>
          <w:sz w:val="22"/>
          <w:szCs w:val="22"/>
        </w:rPr>
        <w:t>11.1</w:t>
      </w:r>
      <w:r>
        <w:rPr>
          <w:sz w:val="22"/>
          <w:szCs w:val="22"/>
        </w:rPr>
        <w:fldChar w:fldCharType="end"/>
      </w:r>
      <w:r>
        <w:rPr>
          <w:sz w:val="22"/>
          <w:szCs w:val="22"/>
        </w:rPr>
        <w:t xml:space="preserve"> abaixo.</w:t>
      </w:r>
    </w:p>
    <w:p w:rsidR="006B3686" w:rsidRDefault="00CE2CA2">
      <w:pPr>
        <w:pStyle w:val="Level4"/>
        <w:widowControl w:val="0"/>
        <w:tabs>
          <w:tab w:val="num" w:pos="851"/>
          <w:tab w:val="num" w:pos="1134"/>
        </w:tabs>
        <w:spacing w:after="120" w:line="276" w:lineRule="auto"/>
        <w:ind w:left="0" w:firstLine="0"/>
        <w:rPr>
          <w:sz w:val="22"/>
          <w:szCs w:val="22"/>
        </w:rPr>
      </w:pPr>
      <w:proofErr w:type="gramStart"/>
      <w:r>
        <w:rPr>
          <w:sz w:val="22"/>
          <w:szCs w:val="22"/>
        </w:rPr>
        <w:t>“</w:t>
      </w:r>
      <w:r>
        <w:rPr>
          <w:b/>
          <w:sz w:val="22"/>
          <w:szCs w:val="22"/>
        </w:rPr>
        <w:t>Ativos e Direitos Alienados</w:t>
      </w:r>
      <w:proofErr w:type="gramEnd"/>
      <w:r>
        <w:rPr>
          <w:b/>
          <w:sz w:val="22"/>
          <w:szCs w:val="22"/>
        </w:rPr>
        <w:t xml:space="preserve"> Fiduciariamente</w:t>
      </w:r>
      <w:r>
        <w:rPr>
          <w:sz w:val="22"/>
          <w:szCs w:val="22"/>
        </w:rPr>
        <w:t xml:space="preserve">” tem o significado previsto na Cláusula </w:t>
      </w:r>
      <w:r>
        <w:rPr>
          <w:sz w:val="22"/>
          <w:szCs w:val="22"/>
        </w:rPr>
        <w:fldChar w:fldCharType="begin"/>
      </w:r>
      <w:r>
        <w:rPr>
          <w:sz w:val="22"/>
          <w:szCs w:val="22"/>
        </w:rPr>
        <w:instrText xml:space="preserve"> REF _Ref40350135 \r \p \h  \* MERGEFORMAT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dentre Deloitte </w:t>
      </w:r>
      <w:proofErr w:type="spellStart"/>
      <w:r>
        <w:rPr>
          <w:sz w:val="22"/>
          <w:szCs w:val="22"/>
        </w:rPr>
        <w:t>Touche</w:t>
      </w:r>
      <w:proofErr w:type="spellEnd"/>
      <w:r>
        <w:rPr>
          <w:sz w:val="22"/>
          <w:szCs w:val="22"/>
        </w:rPr>
        <w:t xml:space="preserve"> </w:t>
      </w:r>
      <w:proofErr w:type="spellStart"/>
      <w:r>
        <w:rPr>
          <w:sz w:val="22"/>
          <w:szCs w:val="22"/>
        </w:rPr>
        <w:t>Tohmatsu</w:t>
      </w:r>
      <w:proofErr w:type="spellEnd"/>
      <w:r>
        <w:rPr>
          <w:sz w:val="22"/>
          <w:szCs w:val="22"/>
        </w:rPr>
        <w:t xml:space="preserve"> Auditores Independentes, Ernst &amp; Young </w:t>
      </w:r>
      <w:proofErr w:type="spellStart"/>
      <w:r>
        <w:rPr>
          <w:sz w:val="22"/>
          <w:szCs w:val="22"/>
        </w:rPr>
        <w:t>Terco</w:t>
      </w:r>
      <w:proofErr w:type="spellEnd"/>
      <w:r>
        <w:rPr>
          <w:sz w:val="22"/>
          <w:szCs w:val="22"/>
        </w:rPr>
        <w:t xml:space="preserve"> Auditores Independentes, KPMG Auditores Independentes e </w:t>
      </w:r>
      <w:proofErr w:type="spellStart"/>
      <w:r>
        <w:rPr>
          <w:sz w:val="22"/>
          <w:szCs w:val="22"/>
        </w:rPr>
        <w:t>PricewaterhouseCoopers</w:t>
      </w:r>
      <w:proofErr w:type="spellEnd"/>
      <w:r>
        <w:rPr>
          <w:sz w:val="22"/>
          <w:szCs w:val="22"/>
        </w:rPr>
        <w:t xml:space="preserve"> Auditores Independentes. </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Banco Liquidante</w:t>
      </w:r>
      <w:r>
        <w:rPr>
          <w:sz w:val="22"/>
          <w:szCs w:val="22"/>
        </w:rPr>
        <w:t xml:space="preserve">” significa o Itaú Unibanco S.A., instituição financeira com sede na Cidade de São Paulo, Estado de São Paulo, na Praça Alfredo Egydio de Souza Aranha, nº 100, inscrita no CNPJ sob o nº 60.701.190/0001-04, </w:t>
      </w:r>
      <w:r>
        <w:rPr>
          <w:rFonts w:eastAsia="Arial Unicode MS"/>
          <w:color w:val="000000"/>
          <w:sz w:val="22"/>
          <w:szCs w:val="22"/>
        </w:rPr>
        <w:t xml:space="preserve">sendo que essa definição inclui qualquer outra instituição que venha a </w:t>
      </w:r>
      <w:proofErr w:type="gramStart"/>
      <w:r>
        <w:rPr>
          <w:rFonts w:eastAsia="Arial Unicode MS"/>
          <w:color w:val="000000"/>
          <w:sz w:val="22"/>
          <w:szCs w:val="22"/>
        </w:rPr>
        <w:t>suceder o</w:t>
      </w:r>
      <w:proofErr w:type="gramEnd"/>
      <w:r>
        <w:rPr>
          <w:rFonts w:eastAsia="Arial Unicode MS"/>
          <w:color w:val="000000"/>
          <w:sz w:val="22"/>
          <w:szCs w:val="22"/>
        </w:rPr>
        <w:t xml:space="preserve"> Banco Liquidante</w:t>
      </w:r>
      <w:r>
        <w:rPr>
          <w:sz w:val="22"/>
          <w:szCs w:val="22"/>
        </w:rPr>
        <w:t>.</w:t>
      </w:r>
    </w:p>
    <w:p w:rsidR="006B3686" w:rsidRDefault="00CE2CA2">
      <w:pPr>
        <w:pStyle w:val="Level4"/>
        <w:widowControl w:val="0"/>
        <w:tabs>
          <w:tab w:val="num" w:pos="851"/>
          <w:tab w:val="num" w:pos="1134"/>
        </w:tabs>
        <w:spacing w:after="120" w:line="276" w:lineRule="auto"/>
        <w:ind w:left="0" w:firstLine="0"/>
        <w:rPr>
          <w:iCs/>
          <w:sz w:val="22"/>
          <w:szCs w:val="22"/>
        </w:rPr>
      </w:pPr>
      <w:r>
        <w:rPr>
          <w:iCs/>
          <w:sz w:val="22"/>
          <w:szCs w:val="22"/>
        </w:rPr>
        <w:t>“</w:t>
      </w:r>
      <w:proofErr w:type="spellStart"/>
      <w:r>
        <w:rPr>
          <w:b/>
          <w:iCs/>
          <w:sz w:val="22"/>
          <w:szCs w:val="22"/>
        </w:rPr>
        <w:t>CCBs</w:t>
      </w:r>
      <w:proofErr w:type="spellEnd"/>
      <w:r>
        <w:rPr>
          <w:iCs/>
          <w:sz w:val="22"/>
          <w:szCs w:val="22"/>
        </w:rPr>
        <w:t xml:space="preserve">” </w:t>
      </w:r>
      <w:bookmarkStart w:id="9" w:name="_Hlk40693963"/>
      <w:r>
        <w:rPr>
          <w:sz w:val="22"/>
          <w:szCs w:val="22"/>
        </w:rPr>
        <w:t xml:space="preserve">significam, em conjunto (i) Cédula de Crédito Bancário a ser emitida em favor do Banco Santander (Brasil) S.A; (ii) Cédula de Crédito Bancário a ser emitida em favor do Banco ABC Brasil S.A.; (iii) Cédula de Crédito Bancário a ser emitida em favor do Banco </w:t>
      </w:r>
      <w:proofErr w:type="spellStart"/>
      <w:r>
        <w:rPr>
          <w:sz w:val="22"/>
          <w:szCs w:val="22"/>
        </w:rPr>
        <w:t>Crédit</w:t>
      </w:r>
      <w:proofErr w:type="spellEnd"/>
      <w:r>
        <w:rPr>
          <w:sz w:val="22"/>
          <w:szCs w:val="22"/>
        </w:rPr>
        <w:t xml:space="preserve"> </w:t>
      </w:r>
      <w:proofErr w:type="spellStart"/>
      <w:r>
        <w:rPr>
          <w:sz w:val="22"/>
          <w:szCs w:val="22"/>
        </w:rPr>
        <w:t>Agricole</w:t>
      </w:r>
      <w:proofErr w:type="spellEnd"/>
      <w:r>
        <w:rPr>
          <w:sz w:val="22"/>
          <w:szCs w:val="22"/>
        </w:rPr>
        <w:t xml:space="preserve"> Brasil S.A.; e (iv) Cédula de Crédito Bancário a ser emitida em favor do Banco BTG Pactual S.A., todas no âmbito da assunção de dívidas da Concessionária Move São Paulo S.A. </w:t>
      </w:r>
      <w:bookmarkEnd w:id="9"/>
    </w:p>
    <w:p w:rsidR="006B3686" w:rsidRDefault="00CE2CA2">
      <w:pPr>
        <w:pStyle w:val="Level4"/>
        <w:widowControl w:val="0"/>
        <w:tabs>
          <w:tab w:val="num" w:pos="851"/>
          <w:tab w:val="num" w:pos="1134"/>
        </w:tabs>
        <w:spacing w:after="120" w:line="276" w:lineRule="auto"/>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 xml:space="preserve"> “</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Compartilhamento de Garantias Reais</w:t>
      </w:r>
      <w:r>
        <w:rPr>
          <w:sz w:val="22"/>
          <w:szCs w:val="22"/>
        </w:rPr>
        <w:t xml:space="preserve">” tem o significado previsto na Cláusula </w:t>
      </w:r>
      <w:r>
        <w:rPr>
          <w:sz w:val="22"/>
          <w:szCs w:val="22"/>
        </w:rPr>
        <w:fldChar w:fldCharType="begin"/>
      </w:r>
      <w:r>
        <w:rPr>
          <w:sz w:val="22"/>
          <w:szCs w:val="22"/>
        </w:rPr>
        <w:instrText xml:space="preserve"> REF _Ref40350569 \r \p \h  \* MERGEFORMAT </w:instrText>
      </w:r>
      <w:r>
        <w:rPr>
          <w:sz w:val="22"/>
          <w:szCs w:val="22"/>
        </w:rPr>
      </w:r>
      <w:r>
        <w:rPr>
          <w:sz w:val="22"/>
          <w:szCs w:val="22"/>
        </w:rPr>
        <w:fldChar w:fldCharType="separate"/>
      </w:r>
      <w:r>
        <w:rPr>
          <w:sz w:val="22"/>
          <w:szCs w:val="22"/>
        </w:rPr>
        <w:t>8.3 abaixo</w:t>
      </w:r>
      <w:r>
        <w:rPr>
          <w:sz w:val="22"/>
          <w:szCs w:val="22"/>
        </w:rPr>
        <w:fldChar w:fldCharType="end"/>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Comunicação de Amortização Obrigatória Parcial</w:t>
      </w:r>
      <w:r>
        <w:rPr>
          <w:sz w:val="22"/>
          <w:szCs w:val="22"/>
        </w:rPr>
        <w:t xml:space="preserve">” tem o significado previsto na Cláusula </w:t>
      </w:r>
      <w:r>
        <w:rPr>
          <w:sz w:val="22"/>
          <w:szCs w:val="22"/>
        </w:rPr>
        <w:fldChar w:fldCharType="begin"/>
      </w:r>
      <w:r>
        <w:rPr>
          <w:sz w:val="22"/>
          <w:szCs w:val="22"/>
        </w:rPr>
        <w:instrText xml:space="preserve"> REF _Ref40355376 \r \p \h  \* MERGEFORMAT </w:instrText>
      </w:r>
      <w:r>
        <w:rPr>
          <w:sz w:val="22"/>
          <w:szCs w:val="22"/>
        </w:rPr>
      </w:r>
      <w:r>
        <w:rPr>
          <w:sz w:val="22"/>
          <w:szCs w:val="22"/>
        </w:rPr>
        <w:fldChar w:fldCharType="separate"/>
      </w:r>
      <w:r>
        <w:rPr>
          <w:sz w:val="22"/>
          <w:szCs w:val="22"/>
        </w:rPr>
        <w:t>7.15.1 abaixo</w:t>
      </w:r>
      <w:r>
        <w:rPr>
          <w:sz w:val="22"/>
          <w:szCs w:val="22"/>
        </w:rPr>
        <w:fldChar w:fldCharType="end"/>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.1 abaixo.  </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Concessão</w:t>
      </w:r>
      <w:r>
        <w:rPr>
          <w:sz w:val="22"/>
          <w:szCs w:val="22"/>
        </w:rPr>
        <w:t>” significa a concessão outorgada nos termos Contrato de Concessão, conforme aditado.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 xml:space="preserve"> “</w:t>
      </w:r>
      <w:r>
        <w:rPr>
          <w:b/>
          <w:sz w:val="22"/>
          <w:szCs w:val="22"/>
        </w:rPr>
        <w:t>Contas Vinculadas</w:t>
      </w:r>
      <w:r>
        <w:rPr>
          <w:sz w:val="22"/>
          <w:szCs w:val="22"/>
        </w:rPr>
        <w:t xml:space="preserve">” </w:t>
      </w:r>
      <w:bookmarkStart w:id="10" w:name="_Hlk43139661"/>
      <w:r>
        <w:rPr>
          <w:sz w:val="22"/>
          <w:szCs w:val="22"/>
        </w:rPr>
        <w:t xml:space="preserve">significam as contas vinculadas de titularidade da Companhia a serem abertas junto ao Banco Depositário, cujas informações constam do </w:t>
      </w:r>
      <w:r>
        <w:rPr>
          <w:b/>
          <w:sz w:val="22"/>
          <w:szCs w:val="22"/>
          <w:u w:val="single"/>
        </w:rPr>
        <w:t>Anexo 3</w:t>
      </w:r>
      <w:r>
        <w:rPr>
          <w:sz w:val="22"/>
          <w:szCs w:val="22"/>
        </w:rPr>
        <w:t xml:space="preserve"> do Contrato de Cessão Fiduciária, movimentável exclusivamente pelo Banco Depositário, observado os termos do Contrato de Cessão Fiduciária e do contrato de administração de conta, na qual será depositado todos e quaisquer valores referentes aos Direitos Creditórios da Cedente e aos Direitos Creditórios da Concessão.</w:t>
      </w:r>
      <w:bookmarkEnd w:id="10"/>
    </w:p>
    <w:p w:rsidR="006B3686" w:rsidRDefault="00CE2CA2">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Alienação Fiduciária de Ações</w:t>
      </w:r>
      <w:r>
        <w:rPr>
          <w:sz w:val="22"/>
          <w:szCs w:val="22"/>
        </w:rPr>
        <w:t xml:space="preserve">” tem o significado previsto na Cláusula </w:t>
      </w:r>
      <w:r>
        <w:rPr>
          <w:sz w:val="22"/>
          <w:szCs w:val="22"/>
        </w:rPr>
        <w:fldChar w:fldCharType="begin"/>
      </w:r>
      <w:r>
        <w:rPr>
          <w:sz w:val="22"/>
          <w:szCs w:val="22"/>
        </w:rPr>
        <w:instrText xml:space="preserve"> REF _Ref40350135 \r \p \h  \* MERGEFORMAT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rsidR="006B3686" w:rsidRDefault="00CE2CA2">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Cessão Fiduciária</w:t>
      </w:r>
      <w:r>
        <w:rPr>
          <w:sz w:val="22"/>
          <w:szCs w:val="22"/>
        </w:rPr>
        <w:t xml:space="preserve">” tem o significado previsto na Cláusula </w:t>
      </w:r>
      <w:r>
        <w:rPr>
          <w:sz w:val="22"/>
          <w:szCs w:val="22"/>
        </w:rPr>
        <w:fldChar w:fldCharType="begin"/>
      </w:r>
      <w:r>
        <w:rPr>
          <w:sz w:val="22"/>
          <w:szCs w:val="22"/>
        </w:rPr>
        <w:instrText xml:space="preserve"> REF _Ref40350664 \r \p \h  \* MERGEFORMAT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rsidR="006B3686" w:rsidRDefault="00CE2CA2">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11" w:name="_Hlk51703390"/>
      <w:r>
        <w:rPr>
          <w:i/>
          <w:sz w:val="22"/>
          <w:szCs w:val="22"/>
        </w:rPr>
        <w:t>e Garantia Fidejussória Adicional</w:t>
      </w:r>
      <w:bookmarkEnd w:id="11"/>
      <w:r>
        <w:rPr>
          <w:i/>
          <w:sz w:val="22"/>
          <w:szCs w:val="22"/>
        </w:rPr>
        <w:t>, da 1ª (Primeira) Emissão da Concessionária Linha Universidade S.A</w:t>
      </w:r>
      <w:r>
        <w:rPr>
          <w:i/>
          <w:snapToGrid w:val="0"/>
          <w:sz w:val="22"/>
          <w:szCs w:val="22"/>
        </w:rPr>
        <w:t>.</w:t>
      </w:r>
      <w:r>
        <w:rPr>
          <w:sz w:val="22"/>
          <w:szCs w:val="22"/>
        </w:rPr>
        <w:t>”, celebrado entre a Companhia e o Coordenador Líder.</w:t>
      </w:r>
    </w:p>
    <w:p w:rsidR="006B3686" w:rsidRDefault="00CE2CA2">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rsidR="006B3686" w:rsidRDefault="00CE2CA2">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Concessão</w:t>
      </w:r>
      <w:r>
        <w:rPr>
          <w:sz w:val="22"/>
          <w:szCs w:val="22"/>
        </w:rPr>
        <w:t xml:space="preserve">” significa o Contrato de Concessão Patrocinada nº 015/2013, conforme aditado, celebrado com o Poder Concedente, por intermédio da sua </w:t>
      </w:r>
      <w:bookmarkStart w:id="12" w:name="_Hlk40287426"/>
      <w:r>
        <w:rPr>
          <w:sz w:val="22"/>
          <w:szCs w:val="22"/>
        </w:rPr>
        <w:t>Secretaria de Estado dos Transportes Metropolitanos</w:t>
      </w:r>
      <w:bookmarkEnd w:id="12"/>
      <w:r>
        <w:rPr>
          <w:sz w:val="22"/>
          <w:szCs w:val="22"/>
        </w:rPr>
        <w:t xml:space="preserve"> (STM), e a Companhia, em razão do procedimento licitatório promovido pelo Poder Concedente nos termos do Edital de Concessão nº 004/2013.</w:t>
      </w:r>
    </w:p>
    <w:p w:rsidR="006B3686" w:rsidRDefault="00CE2CA2">
      <w:pPr>
        <w:pStyle w:val="Level4"/>
        <w:widowControl w:val="0"/>
        <w:tabs>
          <w:tab w:val="num" w:pos="851"/>
          <w:tab w:val="num" w:pos="1134"/>
          <w:tab w:val="num" w:pos="1418"/>
        </w:tabs>
        <w:spacing w:after="120" w:line="276" w:lineRule="auto"/>
        <w:ind w:left="0" w:firstLine="0"/>
        <w:rPr>
          <w:sz w:val="22"/>
          <w:szCs w:val="22"/>
        </w:rPr>
      </w:pPr>
      <w:bookmarkStart w:id="13" w:name="_Hlk51696525"/>
      <w:r>
        <w:rPr>
          <w:sz w:val="22"/>
          <w:szCs w:val="22"/>
        </w:rPr>
        <w:t>“</w:t>
      </w:r>
      <w:r>
        <w:rPr>
          <w:b/>
          <w:sz w:val="22"/>
          <w:szCs w:val="22"/>
        </w:rPr>
        <w:t>Contrato de EPC</w:t>
      </w:r>
      <w:r>
        <w:rPr>
          <w:sz w:val="22"/>
          <w:szCs w:val="22"/>
        </w:rPr>
        <w:t>” significa o “</w:t>
      </w:r>
      <w:proofErr w:type="spellStart"/>
      <w:r>
        <w:rPr>
          <w:i/>
          <w:sz w:val="22"/>
          <w:szCs w:val="22"/>
        </w:rPr>
        <w:t>Engineering</w:t>
      </w:r>
      <w:proofErr w:type="spellEnd"/>
      <w:r>
        <w:rPr>
          <w:i/>
          <w:sz w:val="22"/>
          <w:szCs w:val="22"/>
        </w:rPr>
        <w:t xml:space="preserve">, </w:t>
      </w:r>
      <w:proofErr w:type="spellStart"/>
      <w:r>
        <w:rPr>
          <w:i/>
          <w:sz w:val="22"/>
          <w:szCs w:val="22"/>
        </w:rPr>
        <w:t>Procurement</w:t>
      </w:r>
      <w:proofErr w:type="spellEnd"/>
      <w:r>
        <w:rPr>
          <w:i/>
          <w:sz w:val="22"/>
          <w:szCs w:val="22"/>
        </w:rPr>
        <w:t xml:space="preserve"> </w:t>
      </w:r>
      <w:proofErr w:type="spellStart"/>
      <w:r>
        <w:rPr>
          <w:i/>
          <w:sz w:val="22"/>
          <w:szCs w:val="22"/>
        </w:rPr>
        <w:t>and</w:t>
      </w:r>
      <w:proofErr w:type="spellEnd"/>
      <w:r>
        <w:rPr>
          <w:i/>
          <w:sz w:val="22"/>
          <w:szCs w:val="22"/>
        </w:rPr>
        <w:t xml:space="preserve"> </w:t>
      </w:r>
      <w:proofErr w:type="spellStart"/>
      <w:r>
        <w:rPr>
          <w:i/>
          <w:sz w:val="22"/>
          <w:szCs w:val="22"/>
        </w:rPr>
        <w:t>Construction</w:t>
      </w:r>
      <w:proofErr w:type="spellEnd"/>
      <w:r>
        <w:rPr>
          <w:i/>
          <w:sz w:val="22"/>
          <w:szCs w:val="22"/>
        </w:rPr>
        <w:t xml:space="preserve"> </w:t>
      </w:r>
      <w:proofErr w:type="spellStart"/>
      <w:r>
        <w:rPr>
          <w:i/>
          <w:sz w:val="22"/>
          <w:szCs w:val="22"/>
        </w:rPr>
        <w:t>Contract</w:t>
      </w:r>
      <w:proofErr w:type="spellEnd"/>
      <w:r>
        <w:rPr>
          <w:sz w:val="22"/>
          <w:szCs w:val="22"/>
        </w:rPr>
        <w:t xml:space="preserve">”, celebrado entre a Companhia, na qualidade de contratante e a Acciona </w:t>
      </w:r>
      <w:proofErr w:type="spellStart"/>
      <w:r>
        <w:rPr>
          <w:sz w:val="22"/>
          <w:szCs w:val="22"/>
        </w:rPr>
        <w:t>Constucción</w:t>
      </w:r>
      <w:proofErr w:type="spellEnd"/>
      <w:r>
        <w:rPr>
          <w:sz w:val="22"/>
          <w:szCs w:val="22"/>
        </w:rPr>
        <w:t>, na qualidade de construtora, em 10 de julho de 2020.</w:t>
      </w:r>
    </w:p>
    <w:bookmarkEnd w:id="13"/>
    <w:p w:rsidR="006B3686" w:rsidRDefault="00CE2CA2">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rPr>
          <w:sz w:val="22"/>
          <w:szCs w:val="22"/>
        </w:rPr>
        <w:fldChar w:fldCharType="begin"/>
      </w:r>
      <w:r>
        <w:rPr>
          <w:sz w:val="22"/>
          <w:szCs w:val="22"/>
        </w:rPr>
        <w:instrText xml:space="preserve"> REF _Ref37879943 \r \p \h  \* MERGEFORMAT </w:instrText>
      </w:r>
      <w:r>
        <w:rPr>
          <w:sz w:val="22"/>
          <w:szCs w:val="22"/>
        </w:rPr>
      </w:r>
      <w:r>
        <w:rPr>
          <w:sz w:val="22"/>
          <w:szCs w:val="22"/>
        </w:rPr>
        <w:fldChar w:fldCharType="separate"/>
      </w:r>
      <w:r>
        <w:rPr>
          <w:sz w:val="22"/>
          <w:szCs w:val="22"/>
        </w:rPr>
        <w:t>8.1 abaixo</w:t>
      </w:r>
      <w:r>
        <w:rPr>
          <w:sz w:val="22"/>
          <w:szCs w:val="22"/>
        </w:rPr>
        <w:fldChar w:fldCharType="end"/>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rPr>
          <w:sz w:val="22"/>
          <w:szCs w:val="22"/>
        </w:rPr>
        <w:fldChar w:fldCharType="begin"/>
      </w:r>
      <w:r>
        <w:rPr>
          <w:sz w:val="22"/>
          <w:szCs w:val="22"/>
        </w:rPr>
        <w:instrText xml:space="preserve"> REF _Ref37879035 \r \h  \* MERGEFORMAT </w:instrText>
      </w:r>
      <w:r>
        <w:rPr>
          <w:sz w:val="22"/>
          <w:szCs w:val="22"/>
        </w:rPr>
      </w:r>
      <w:r>
        <w:rPr>
          <w:sz w:val="22"/>
          <w:szCs w:val="22"/>
        </w:rPr>
        <w:fldChar w:fldCharType="separate"/>
      </w:r>
      <w:r>
        <w:rPr>
          <w:sz w:val="22"/>
          <w:szCs w:val="22"/>
        </w:rPr>
        <w:t>8.2.1</w:t>
      </w:r>
      <w:r>
        <w:rPr>
          <w:sz w:val="22"/>
          <w:szCs w:val="22"/>
        </w:rPr>
        <w:fldChar w:fldCharType="end"/>
      </w:r>
      <w:r>
        <w:rPr>
          <w:sz w:val="22"/>
          <w:szCs w:val="22"/>
        </w:rPr>
        <w:t xml:space="preserve"> abaixo. </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Coordenador Líder</w:t>
      </w:r>
      <w:r>
        <w:rPr>
          <w:sz w:val="22"/>
          <w:szCs w:val="22"/>
        </w:rPr>
        <w:t>” significa a instituição integrante do sistema de distribuição de valores mobiliários contratada para coordenar e intermediar a Oferta, sendo a instituição líder da distribuição.</w:t>
      </w:r>
    </w:p>
    <w:p w:rsidR="006B3686" w:rsidRDefault="00CE2CA2">
      <w:pPr>
        <w:pStyle w:val="Level4"/>
        <w:widowControl w:val="0"/>
        <w:tabs>
          <w:tab w:val="num" w:pos="851"/>
          <w:tab w:val="num" w:pos="1134"/>
        </w:tabs>
        <w:spacing w:after="120" w:line="276" w:lineRule="auto"/>
        <w:ind w:left="0" w:firstLine="0"/>
        <w:rPr>
          <w:iCs/>
          <w:sz w:val="22"/>
          <w:szCs w:val="22"/>
        </w:rPr>
      </w:pPr>
      <w:r>
        <w:rPr>
          <w:sz w:val="22"/>
          <w:szCs w:val="22"/>
        </w:rPr>
        <w:t>“</w:t>
      </w:r>
      <w:r>
        <w:rPr>
          <w:b/>
          <w:sz w:val="22"/>
          <w:szCs w:val="22"/>
        </w:rPr>
        <w:t>Credores Existentes</w:t>
      </w:r>
      <w:r>
        <w:rPr>
          <w:sz w:val="22"/>
          <w:szCs w:val="22"/>
        </w:rPr>
        <w:t xml:space="preserve">” significa, em conjunto, o </w:t>
      </w:r>
      <w:r>
        <w:rPr>
          <w:bCs/>
          <w:iCs/>
          <w:sz w:val="22"/>
          <w:szCs w:val="22"/>
        </w:rPr>
        <w:t xml:space="preserve">Banco ABC Brasil S.A., Banco BTG Pactual S.A., Banco </w:t>
      </w:r>
      <w:proofErr w:type="spellStart"/>
      <w:r>
        <w:rPr>
          <w:bCs/>
          <w:iCs/>
          <w:sz w:val="22"/>
          <w:szCs w:val="22"/>
        </w:rPr>
        <w:t>Crédit</w:t>
      </w:r>
      <w:proofErr w:type="spellEnd"/>
      <w:r>
        <w:rPr>
          <w:bCs/>
          <w:iCs/>
          <w:sz w:val="22"/>
          <w:szCs w:val="22"/>
        </w:rPr>
        <w:t xml:space="preserve"> </w:t>
      </w:r>
      <w:proofErr w:type="spellStart"/>
      <w:r>
        <w:rPr>
          <w:bCs/>
          <w:iCs/>
          <w:sz w:val="22"/>
          <w:szCs w:val="22"/>
        </w:rPr>
        <w:t>Agricole</w:t>
      </w:r>
      <w:proofErr w:type="spellEnd"/>
      <w:r>
        <w:rPr>
          <w:bCs/>
          <w:iCs/>
          <w:sz w:val="22"/>
          <w:szCs w:val="22"/>
        </w:rPr>
        <w:t xml:space="preserve"> Brasil S.A., Banco Santander (Brasil) S.A. e BNDES - Banco Nacional de Desenvolvimento Econômico e Social.</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CVM</w:t>
      </w:r>
      <w:r>
        <w:rPr>
          <w:sz w:val="22"/>
          <w:szCs w:val="22"/>
        </w:rPr>
        <w:t>” significa Comissão de Valores Mobiliários.</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Data de Emissão</w:t>
      </w:r>
      <w:r>
        <w:rPr>
          <w:sz w:val="22"/>
          <w:szCs w:val="22"/>
        </w:rPr>
        <w:t>” tem o significado previsto na Cláusula </w:t>
      </w:r>
      <w:r>
        <w:rPr>
          <w:sz w:val="22"/>
          <w:szCs w:val="22"/>
        </w:rPr>
        <w:fldChar w:fldCharType="begin"/>
      </w:r>
      <w:r>
        <w:rPr>
          <w:sz w:val="22"/>
          <w:szCs w:val="22"/>
        </w:rPr>
        <w:instrText xml:space="preserve"> REF _Ref264653840 \r \h  \* MERGEFORMAT </w:instrText>
      </w:r>
      <w:r>
        <w:rPr>
          <w:sz w:val="22"/>
          <w:szCs w:val="22"/>
        </w:rPr>
      </w:r>
      <w:r>
        <w:rPr>
          <w:sz w:val="22"/>
          <w:szCs w:val="22"/>
        </w:rPr>
        <w:fldChar w:fldCharType="separate"/>
      </w:r>
      <w:r>
        <w:rPr>
          <w:sz w:val="22"/>
          <w:szCs w:val="22"/>
        </w:rPr>
        <w:t>7.9</w:t>
      </w:r>
      <w:r>
        <w:rPr>
          <w:sz w:val="22"/>
          <w:szCs w:val="22"/>
        </w:rPr>
        <w:fldChar w:fldCharType="end"/>
      </w:r>
      <w:r>
        <w:rPr>
          <w:sz w:val="22"/>
          <w:szCs w:val="22"/>
        </w:rPr>
        <w:t xml:space="preserve"> abaixo.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Data de Subscrição e Integralização</w:t>
      </w:r>
      <w:r>
        <w:rPr>
          <w:sz w:val="22"/>
          <w:szCs w:val="22"/>
        </w:rPr>
        <w:t>” tem o significado previsto na Cláusula </w:t>
      </w:r>
      <w:r>
        <w:rPr>
          <w:sz w:val="22"/>
          <w:szCs w:val="22"/>
        </w:rPr>
        <w:fldChar w:fldCharType="begin"/>
      </w:r>
      <w:r>
        <w:rPr>
          <w:sz w:val="22"/>
          <w:szCs w:val="22"/>
        </w:rPr>
        <w:instrText xml:space="preserve"> REF _Ref529293817 \r \h  \* MERGEFORMAT </w:instrText>
      </w:r>
      <w:r>
        <w:rPr>
          <w:sz w:val="22"/>
          <w:szCs w:val="22"/>
        </w:rPr>
      </w:r>
      <w:r>
        <w:rPr>
          <w:sz w:val="22"/>
          <w:szCs w:val="22"/>
        </w:rPr>
        <w:fldChar w:fldCharType="separate"/>
      </w:r>
      <w:r>
        <w:rPr>
          <w:sz w:val="22"/>
          <w:szCs w:val="22"/>
        </w:rPr>
        <w:t>6.3</w:t>
      </w:r>
      <w:r>
        <w:rPr>
          <w:sz w:val="22"/>
          <w:szCs w:val="22"/>
        </w:rPr>
        <w:fldChar w:fldCharType="end"/>
      </w:r>
      <w:r>
        <w:rPr>
          <w:sz w:val="22"/>
          <w:szCs w:val="22"/>
        </w:rPr>
        <w:t xml:space="preserve"> abaixo.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Data de Vencimento</w:t>
      </w:r>
      <w:r>
        <w:rPr>
          <w:sz w:val="22"/>
          <w:szCs w:val="22"/>
        </w:rPr>
        <w:t>” tem o significado previsto na Cláusula </w:t>
      </w:r>
      <w:r>
        <w:rPr>
          <w:sz w:val="22"/>
          <w:szCs w:val="22"/>
        </w:rPr>
        <w:fldChar w:fldCharType="begin"/>
      </w:r>
      <w:r>
        <w:rPr>
          <w:sz w:val="22"/>
          <w:szCs w:val="22"/>
        </w:rPr>
        <w:instrText xml:space="preserve"> REF _Ref272250319 \r \h  \* MERGEFORMAT </w:instrText>
      </w:r>
      <w:r>
        <w:rPr>
          <w:sz w:val="22"/>
          <w:szCs w:val="22"/>
        </w:rPr>
      </w:r>
      <w:r>
        <w:rPr>
          <w:sz w:val="22"/>
          <w:szCs w:val="22"/>
        </w:rPr>
        <w:fldChar w:fldCharType="separate"/>
      </w:r>
      <w:r>
        <w:rPr>
          <w:sz w:val="22"/>
          <w:szCs w:val="22"/>
        </w:rPr>
        <w:t>7.10</w:t>
      </w:r>
      <w:r>
        <w:rPr>
          <w:sz w:val="22"/>
          <w:szCs w:val="22"/>
        </w:rPr>
        <w:fldChar w:fldCharType="end"/>
      </w:r>
      <w:r>
        <w:rPr>
          <w:sz w:val="22"/>
          <w:szCs w:val="22"/>
        </w:rPr>
        <w:t xml:space="preserve"> abaixo.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 xml:space="preserve">debêntures objeto desta Escritura de Emissão. </w:t>
      </w:r>
      <w:r>
        <w:rPr>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rsidR="006B3686" w:rsidRDefault="00CE2CA2">
      <w:pPr>
        <w:pStyle w:val="Level4"/>
        <w:widowControl w:val="0"/>
        <w:tabs>
          <w:tab w:val="num" w:pos="851"/>
          <w:tab w:val="num" w:pos="1134"/>
        </w:tabs>
        <w:spacing w:after="120" w:line="276" w:lineRule="auto"/>
        <w:ind w:left="0" w:firstLine="0"/>
        <w:rPr>
          <w:sz w:val="22"/>
          <w:szCs w:val="22"/>
        </w:rPr>
      </w:pPr>
      <w:r>
        <w:rPr>
          <w:bCs/>
          <w:sz w:val="22"/>
          <w:szCs w:val="22"/>
        </w:rPr>
        <w:t>“</w:t>
      </w:r>
      <w:r>
        <w:rPr>
          <w:b/>
          <w:bCs/>
          <w:sz w:val="22"/>
          <w:szCs w:val="22"/>
        </w:rPr>
        <w:t>Debêntures da Primeira Série</w:t>
      </w:r>
      <w:r>
        <w:rPr>
          <w:bCs/>
          <w:sz w:val="22"/>
          <w:szCs w:val="22"/>
        </w:rPr>
        <w:t xml:space="preserve">” tem o significado previsto na Cláusula </w:t>
      </w:r>
      <w:r>
        <w:rPr>
          <w:bCs/>
          <w:sz w:val="22"/>
          <w:szCs w:val="22"/>
        </w:rPr>
        <w:fldChar w:fldCharType="begin"/>
      </w:r>
      <w:r>
        <w:rPr>
          <w:bCs/>
          <w:sz w:val="22"/>
          <w:szCs w:val="22"/>
        </w:rPr>
        <w:instrText xml:space="preserve"> REF _Ref310951543 \r \p \h  \* MERGEFORMAT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bCs/>
          <w:sz w:val="22"/>
          <w:szCs w:val="22"/>
        </w:rPr>
        <w:t>“</w:t>
      </w:r>
      <w:r>
        <w:rPr>
          <w:b/>
          <w:bCs/>
          <w:sz w:val="22"/>
          <w:szCs w:val="22"/>
        </w:rPr>
        <w:t>Debêntures da Segunda Série</w:t>
      </w:r>
      <w:r>
        <w:rPr>
          <w:bCs/>
          <w:sz w:val="22"/>
          <w:szCs w:val="22"/>
        </w:rPr>
        <w:t>” tem o significado previsto na Cláusula 7.3 abaixo.</w:t>
      </w:r>
    </w:p>
    <w:p w:rsidR="006B3686" w:rsidRDefault="00CE2CA2">
      <w:pPr>
        <w:pStyle w:val="Level4"/>
        <w:widowControl w:val="0"/>
        <w:tabs>
          <w:tab w:val="num" w:pos="851"/>
          <w:tab w:val="num" w:pos="1134"/>
        </w:tabs>
        <w:spacing w:after="120" w:line="276" w:lineRule="auto"/>
        <w:ind w:left="0" w:firstLine="0"/>
        <w:rPr>
          <w:sz w:val="22"/>
          <w:szCs w:val="22"/>
        </w:rPr>
      </w:pPr>
      <w:r>
        <w:rPr>
          <w:bCs/>
          <w:sz w:val="22"/>
          <w:szCs w:val="22"/>
        </w:rPr>
        <w:t>“</w:t>
      </w:r>
      <w:r>
        <w:rPr>
          <w:b/>
          <w:bCs/>
          <w:sz w:val="22"/>
          <w:szCs w:val="22"/>
        </w:rPr>
        <w:t>Debêntures da Terceira Série</w:t>
      </w:r>
      <w:r>
        <w:rPr>
          <w:bCs/>
          <w:sz w:val="22"/>
          <w:szCs w:val="22"/>
        </w:rPr>
        <w:t xml:space="preserve">” tem o significado previsto na Cláusula </w:t>
      </w:r>
      <w:r>
        <w:rPr>
          <w:bCs/>
          <w:sz w:val="22"/>
          <w:szCs w:val="22"/>
        </w:rPr>
        <w:fldChar w:fldCharType="begin"/>
      </w:r>
      <w:r>
        <w:rPr>
          <w:bCs/>
          <w:sz w:val="22"/>
          <w:szCs w:val="22"/>
        </w:rPr>
        <w:instrText xml:space="preserve"> REF _Ref310951543 \r \p \h  \* MERGEFORMAT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bCs/>
          <w:sz w:val="22"/>
          <w:szCs w:val="22"/>
        </w:rPr>
        <w:t xml:space="preserve"> </w:t>
      </w: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Demonstrações Financeiras da Companhia</w:t>
      </w:r>
      <w:r>
        <w:rPr>
          <w:sz w:val="22"/>
          <w:szCs w:val="22"/>
        </w:rPr>
        <w:t xml:space="preserve">” tem o significado previsto na Cláusula </w:t>
      </w:r>
      <w:r>
        <w:rPr>
          <w:sz w:val="22"/>
          <w:szCs w:val="22"/>
        </w:rPr>
        <w:fldChar w:fldCharType="begin"/>
      </w:r>
      <w:r>
        <w:rPr>
          <w:sz w:val="22"/>
          <w:szCs w:val="22"/>
        </w:rPr>
        <w:instrText xml:space="preserve"> REF _Ref262552287 \r \h  \* MERGEFORMAT </w:instrText>
      </w:r>
      <w:r>
        <w:rPr>
          <w:sz w:val="22"/>
          <w:szCs w:val="22"/>
        </w:rPr>
      </w:r>
      <w:r>
        <w:rPr>
          <w:sz w:val="22"/>
          <w:szCs w:val="22"/>
        </w:rPr>
        <w:fldChar w:fldCharType="separate"/>
      </w:r>
      <w:r>
        <w:rPr>
          <w:sz w:val="22"/>
          <w:szCs w:val="22"/>
        </w:rPr>
        <w:t>9.1(i)</w:t>
      </w:r>
      <w:r>
        <w:rPr>
          <w:sz w:val="22"/>
          <w:szCs w:val="22"/>
        </w:rPr>
        <w:fldChar w:fldCharType="end"/>
      </w:r>
      <w:r>
        <w:rPr>
          <w:sz w:val="22"/>
          <w:szCs w:val="22"/>
        </w:rPr>
        <w:t xml:space="preserve"> abaixo.</w:t>
      </w:r>
    </w:p>
    <w:p w:rsidR="006B3686" w:rsidRDefault="00CE2CA2">
      <w:pPr>
        <w:pStyle w:val="Level4"/>
        <w:widowControl w:val="0"/>
        <w:tabs>
          <w:tab w:val="clear" w:pos="822"/>
          <w:tab w:val="num" w:pos="851"/>
          <w:tab w:val="left" w:pos="1134"/>
        </w:tabs>
        <w:spacing w:after="120" w:line="276" w:lineRule="auto"/>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  </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Dívida com Partes Relacionadas da Move</w:t>
      </w:r>
      <w:r>
        <w:rPr>
          <w:sz w:val="22"/>
          <w:szCs w:val="22"/>
        </w:rPr>
        <w:t xml:space="preserve">” significa a dívida a ser assumida pela Companhia nos termos da Cláusula 2.2.3 do Contrato de Cessão com a Odebrecht </w:t>
      </w:r>
      <w:proofErr w:type="spellStart"/>
      <w:r>
        <w:rPr>
          <w:sz w:val="22"/>
          <w:szCs w:val="22"/>
        </w:rPr>
        <w:t>Transport</w:t>
      </w:r>
      <w:proofErr w:type="spellEnd"/>
      <w:r>
        <w:rPr>
          <w:sz w:val="22"/>
          <w:szCs w:val="22"/>
        </w:rPr>
        <w:t xml:space="preserve"> S.A., a Odebrecht Mobilidade S.A., a Construtora Queiroz Galvão S.A., a Queiroz Galvão S.A., a </w:t>
      </w:r>
      <w:proofErr w:type="spellStart"/>
      <w:r>
        <w:rPr>
          <w:sz w:val="22"/>
          <w:szCs w:val="22"/>
        </w:rPr>
        <w:t>Ruasinvest</w:t>
      </w:r>
      <w:proofErr w:type="spellEnd"/>
      <w:r>
        <w:rPr>
          <w:sz w:val="22"/>
          <w:szCs w:val="22"/>
        </w:rPr>
        <w:t xml:space="preserve"> Participações S.A., a Mitsui &amp; Co. Ltda. no valor de R$516.870.000,00 (quinhentos e dezesseis milhões e oitocentos e setenta mil reais), corrigido por 3% (três por cento) ao ano, </w:t>
      </w:r>
      <w:r>
        <w:rPr>
          <w:i/>
          <w:sz w:val="22"/>
          <w:szCs w:val="22"/>
        </w:rPr>
        <w:t>pro rata die</w:t>
      </w:r>
      <w:r>
        <w:rPr>
          <w:sz w:val="22"/>
          <w:szCs w:val="22"/>
        </w:rPr>
        <w:t xml:space="preserve">, com pagamentos de principal e juros previstos nos termos da Cláusula 2.2.3 do Contrato de Cessão; </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Dia Útil</w:t>
      </w:r>
      <w:r>
        <w:rPr>
          <w:sz w:val="22"/>
          <w:szCs w:val="22"/>
        </w:rPr>
        <w:t xml:space="preserve">” </w:t>
      </w:r>
      <w:bookmarkStart w:id="14" w:name="_Hlk38573230"/>
      <w:r>
        <w:rPr>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4"/>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Cedidos</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Creditórios Cedidos</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Creditórios Concessão</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Direitos Creditórios da Cedente</w:t>
      </w:r>
      <w:r>
        <w:rPr>
          <w:sz w:val="22"/>
          <w:szCs w:val="22"/>
        </w:rPr>
        <w:t>” tem o significado previsto na Cláusula </w:t>
      </w:r>
      <w:r>
        <w:rPr>
          <w:sz w:val="22"/>
          <w:szCs w:val="22"/>
        </w:rPr>
        <w:fldChar w:fldCharType="begin"/>
      </w:r>
      <w:r>
        <w:rPr>
          <w:sz w:val="22"/>
          <w:szCs w:val="22"/>
        </w:rPr>
        <w:instrText xml:space="preserve"> REF _Ref279333767 \n \p \h  \* MERGEFORMAT </w:instrText>
      </w:r>
      <w:r>
        <w:rPr>
          <w:sz w:val="22"/>
          <w:szCs w:val="22"/>
        </w:rPr>
      </w:r>
      <w:r>
        <w:rPr>
          <w:sz w:val="22"/>
          <w:szCs w:val="22"/>
        </w:rPr>
        <w:fldChar w:fldCharType="separate"/>
      </w:r>
      <w:r>
        <w:rPr>
          <w:sz w:val="22"/>
          <w:szCs w:val="22"/>
        </w:rPr>
        <w:t>9.1 abaixo</w:t>
      </w:r>
      <w:r>
        <w:rPr>
          <w:sz w:val="22"/>
          <w:szCs w:val="22"/>
        </w:rPr>
        <w:fldChar w:fldCharType="end"/>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bookmarkStart w:id="15" w:name="_Hlk51697192"/>
      <w:r>
        <w:rPr>
          <w:sz w:val="22"/>
          <w:szCs w:val="22"/>
        </w:rPr>
        <w:t>“</w:t>
      </w:r>
      <w:r>
        <w:rPr>
          <w:b/>
          <w:sz w:val="22"/>
          <w:szCs w:val="22"/>
        </w:rPr>
        <w:t>Distrato EPC</w:t>
      </w:r>
      <w:r>
        <w:rPr>
          <w:sz w:val="22"/>
          <w:szCs w:val="22"/>
        </w:rPr>
        <w:t xml:space="preserve">” significa o Instrumento de Distrato a ser celebrado pela Concessionária Move São Paulo S.A., pelo Consórcio Expresso Linha 6, com interveniência anuência da Companhia e da Acciona </w:t>
      </w:r>
      <w:proofErr w:type="spellStart"/>
      <w:r>
        <w:rPr>
          <w:sz w:val="22"/>
          <w:szCs w:val="22"/>
        </w:rPr>
        <w:t>Construcción</w:t>
      </w:r>
      <w:proofErr w:type="spellEnd"/>
      <w:r>
        <w:rPr>
          <w:sz w:val="22"/>
          <w:szCs w:val="22"/>
        </w:rPr>
        <w:t>.</w:t>
      </w:r>
    </w:p>
    <w:bookmarkEnd w:id="15"/>
    <w:p w:rsidR="006B3686" w:rsidRDefault="00CE2CA2">
      <w:pPr>
        <w:pStyle w:val="Level4"/>
        <w:widowControl w:val="0"/>
        <w:tabs>
          <w:tab w:val="num" w:pos="851"/>
          <w:tab w:val="num" w:pos="1134"/>
        </w:tabs>
        <w:spacing w:after="120" w:line="276" w:lineRule="auto"/>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  </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DOESP</w:t>
      </w:r>
      <w:r>
        <w:rPr>
          <w:sz w:val="22"/>
          <w:szCs w:val="22"/>
        </w:rPr>
        <w:t>” significa Diário Oficial do Estado de São Paulo.</w:t>
      </w:r>
    </w:p>
    <w:p w:rsidR="006B3686" w:rsidRDefault="00CE2CA2">
      <w:pPr>
        <w:pStyle w:val="Level4"/>
        <w:widowControl w:val="0"/>
        <w:tabs>
          <w:tab w:val="num" w:pos="0"/>
          <w:tab w:val="num" w:pos="851"/>
          <w:tab w:val="num" w:pos="1134"/>
        </w:tabs>
        <w:spacing w:after="120" w:line="276" w:lineRule="auto"/>
        <w:ind w:left="0" w:firstLine="0"/>
        <w:rPr>
          <w:sz w:val="22"/>
          <w:szCs w:val="22"/>
        </w:rPr>
      </w:pPr>
      <w:r>
        <w:rPr>
          <w:sz w:val="22"/>
          <w:szCs w:val="22"/>
        </w:rPr>
        <w:t>“</w:t>
      </w:r>
      <w:r>
        <w:rPr>
          <w:b/>
          <w:sz w:val="22"/>
          <w:szCs w:val="22"/>
        </w:rPr>
        <w:t>Efeito Adverso Relevante</w:t>
      </w:r>
      <w:r>
        <w:rPr>
          <w:sz w:val="22"/>
          <w:szCs w:val="22"/>
        </w:rPr>
        <w:t xml:space="preserve">” significa qualquer efeito adverso relevante (i) na situação (econômica, financeira, </w:t>
      </w:r>
      <w:proofErr w:type="spellStart"/>
      <w:r>
        <w:rPr>
          <w:sz w:val="22"/>
          <w:szCs w:val="22"/>
        </w:rPr>
        <w:t>reputacional</w:t>
      </w:r>
      <w:proofErr w:type="spellEnd"/>
      <w:r>
        <w:rPr>
          <w:sz w:val="22"/>
          <w:szCs w:val="22"/>
        </w:rPr>
        <w:t xml:space="preserve"> ou operacional) da Companhia e/ou da Garantidora e/ou na Concessão; ou (ii) no pontual cumprimento das obrigações assumidas pela Companhia e/ou pela Garantidora perante os Debenturistas, nos termos desta Escritura de Emissão e/ou dos Contratos de Garantia, conforme o caso; (iii) nos poderes ou capacidade jurídica e/ou econômico financeira da Companhia e/ou da Garantidora de cumprir qualquer de suas obrigações nos termos desta Escritura de Emissão e/ou dos Contratos de Garantia, conforme o caso.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Endividamentos Permitidos</w:t>
      </w:r>
      <w:r>
        <w:rPr>
          <w:sz w:val="22"/>
          <w:szCs w:val="22"/>
        </w:rPr>
        <w:t xml:space="preserve">” significa, em conjunto, o Contrato de Cessão, o Distrato EPC, as </w:t>
      </w:r>
      <w:proofErr w:type="spellStart"/>
      <w:r>
        <w:rPr>
          <w:sz w:val="22"/>
          <w:szCs w:val="22"/>
        </w:rPr>
        <w:t>CCBs</w:t>
      </w:r>
      <w:proofErr w:type="spellEnd"/>
      <w:r>
        <w:rPr>
          <w:sz w:val="22"/>
          <w:szCs w:val="22"/>
        </w:rPr>
        <w:t>, a Dívida com Partes Relacionadas da Move e a Dívida de Longo Prazo.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Encargos Moratórios</w:t>
      </w:r>
      <w:r>
        <w:rPr>
          <w:sz w:val="22"/>
          <w:szCs w:val="22"/>
        </w:rPr>
        <w:t>” tem o significado previsto na Cláusula </w:t>
      </w:r>
      <w:r>
        <w:rPr>
          <w:sz w:val="22"/>
          <w:szCs w:val="22"/>
        </w:rPr>
        <w:fldChar w:fldCharType="begin"/>
      </w:r>
      <w:r>
        <w:rPr>
          <w:sz w:val="22"/>
          <w:szCs w:val="22"/>
        </w:rPr>
        <w:instrText xml:space="preserve"> REF _Ref279851957 \r \h  \* MERGEFORMAT </w:instrText>
      </w:r>
      <w:r>
        <w:rPr>
          <w:sz w:val="22"/>
          <w:szCs w:val="22"/>
        </w:rPr>
      </w:r>
      <w:r>
        <w:rPr>
          <w:sz w:val="22"/>
          <w:szCs w:val="22"/>
        </w:rPr>
        <w:fldChar w:fldCharType="separate"/>
      </w:r>
      <w:r>
        <w:rPr>
          <w:sz w:val="22"/>
          <w:szCs w:val="22"/>
        </w:rPr>
        <w:t>7.20</w:t>
      </w:r>
      <w:r>
        <w:rPr>
          <w:sz w:val="22"/>
          <w:szCs w:val="22"/>
        </w:rPr>
        <w:fldChar w:fldCharType="end"/>
      </w:r>
      <w:r>
        <w:rPr>
          <w:sz w:val="22"/>
          <w:szCs w:val="22"/>
        </w:rPr>
        <w:t xml:space="preserve"> abaixo.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Escriturador</w:t>
      </w:r>
      <w:r>
        <w:rPr>
          <w:sz w:val="22"/>
          <w:szCs w:val="22"/>
        </w:rPr>
        <w:t>” significa o Itaú Corretora de Valores S.A, instituição financeira, localizada na Cidade de São Paulo, Estado de São Paulo, na A</w:t>
      </w:r>
      <w:r>
        <w:rPr>
          <w:b/>
          <w:sz w:val="22"/>
          <w:szCs w:val="22"/>
        </w:rPr>
        <w:t>v</w:t>
      </w:r>
      <w:r>
        <w:rPr>
          <w:sz w:val="22"/>
          <w:szCs w:val="22"/>
        </w:rPr>
        <w:t xml:space="preserve">enida Brigadeiro Faria Lima, 3.500, 3º andar, CEP 04538-132, inscrita no CNPJ sob o nº 61.194.353/0001-64, </w:t>
      </w:r>
      <w:r>
        <w:rPr>
          <w:rFonts w:eastAsia="Arial Unicode MS"/>
          <w:color w:val="000000"/>
          <w:sz w:val="22"/>
          <w:szCs w:val="22"/>
        </w:rPr>
        <w:t>sendo que essa definição incluí qualquer outra instituição que venha a suceder o Escriturador</w:t>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Evento de Vencimento Antecipado</w:t>
      </w:r>
      <w:r>
        <w:rPr>
          <w:sz w:val="22"/>
          <w:szCs w:val="22"/>
        </w:rPr>
        <w:t>” tem o significado previsto na Cláusula </w:t>
      </w:r>
      <w:r>
        <w:rPr>
          <w:sz w:val="22"/>
          <w:szCs w:val="22"/>
        </w:rPr>
        <w:fldChar w:fldCharType="begin"/>
      </w:r>
      <w:r>
        <w:rPr>
          <w:sz w:val="22"/>
          <w:szCs w:val="22"/>
        </w:rPr>
        <w:instrText xml:space="preserve"> REF _Ref37878946 \r \h  \* MERGEFORMAT </w:instrText>
      </w:r>
      <w:r>
        <w:rPr>
          <w:sz w:val="22"/>
          <w:szCs w:val="22"/>
        </w:rPr>
      </w:r>
      <w:r>
        <w:rPr>
          <w:sz w:val="22"/>
          <w:szCs w:val="22"/>
        </w:rPr>
        <w:fldChar w:fldCharType="separate"/>
      </w:r>
      <w:r>
        <w:rPr>
          <w:sz w:val="22"/>
          <w:szCs w:val="22"/>
        </w:rPr>
        <w:t>7.23</w:t>
      </w:r>
      <w:r>
        <w:rPr>
          <w:sz w:val="22"/>
          <w:szCs w:val="22"/>
        </w:rPr>
        <w:fldChar w:fldCharType="end"/>
      </w:r>
      <w:r>
        <w:rPr>
          <w:sz w:val="22"/>
          <w:szCs w:val="22"/>
        </w:rPr>
        <w:t xml:space="preserve"> abaixo.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rPr>
          <w:sz w:val="22"/>
          <w:szCs w:val="22"/>
        </w:rPr>
        <w:fldChar w:fldCharType="begin"/>
      </w:r>
      <w:r>
        <w:rPr>
          <w:sz w:val="22"/>
          <w:szCs w:val="22"/>
        </w:rPr>
        <w:instrText xml:space="preserve"> REF _Ref356481657 \r \h  \* MERGEFORMAT </w:instrText>
      </w:r>
      <w:r>
        <w:rPr>
          <w:sz w:val="22"/>
          <w:szCs w:val="22"/>
        </w:rPr>
      </w:r>
      <w:r>
        <w:rPr>
          <w:sz w:val="22"/>
          <w:szCs w:val="22"/>
        </w:rPr>
        <w:fldChar w:fldCharType="separate"/>
      </w:r>
      <w:r>
        <w:rPr>
          <w:sz w:val="22"/>
          <w:szCs w:val="22"/>
        </w:rPr>
        <w:t>7.23.1</w:t>
      </w:r>
      <w:r>
        <w:rPr>
          <w:sz w:val="22"/>
          <w:szCs w:val="22"/>
        </w:rPr>
        <w:fldChar w:fldCharType="end"/>
      </w:r>
      <w:r>
        <w:rPr>
          <w:sz w:val="22"/>
          <w:szCs w:val="22"/>
        </w:rPr>
        <w:t xml:space="preserve"> abaixo</w:t>
      </w:r>
      <w:r>
        <w:rPr>
          <w:b/>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r>
        <w:rPr>
          <w:sz w:val="22"/>
          <w:szCs w:val="22"/>
        </w:rPr>
        <w:fldChar w:fldCharType="begin"/>
      </w:r>
      <w:r>
        <w:rPr>
          <w:sz w:val="22"/>
          <w:szCs w:val="22"/>
        </w:rPr>
        <w:instrText xml:space="preserve"> REF _Ref356481704 \r \h  \* MERGEFORMAT </w:instrText>
      </w:r>
      <w:r>
        <w:rPr>
          <w:sz w:val="22"/>
          <w:szCs w:val="22"/>
        </w:rPr>
      </w:r>
      <w:r>
        <w:rPr>
          <w:sz w:val="22"/>
          <w:szCs w:val="22"/>
        </w:rPr>
        <w:fldChar w:fldCharType="separate"/>
      </w:r>
      <w:r>
        <w:rPr>
          <w:sz w:val="22"/>
          <w:szCs w:val="22"/>
        </w:rPr>
        <w:t>7.23.2</w:t>
      </w:r>
      <w:r>
        <w:rPr>
          <w:sz w:val="22"/>
          <w:szCs w:val="22"/>
        </w:rPr>
        <w:fldChar w:fldCharType="end"/>
      </w:r>
      <w:r>
        <w:rPr>
          <w:sz w:val="22"/>
          <w:szCs w:val="22"/>
        </w:rPr>
        <w:t xml:space="preserve"> abaixo.</w:t>
      </w:r>
    </w:p>
    <w:p w:rsidR="006B3686" w:rsidRDefault="00CE2CA2">
      <w:pPr>
        <w:pStyle w:val="Level4"/>
        <w:widowControl w:val="0"/>
        <w:tabs>
          <w:tab w:val="num" w:pos="0"/>
          <w:tab w:val="num" w:pos="851"/>
          <w:tab w:val="num" w:pos="1134"/>
        </w:tabs>
        <w:spacing w:after="120" w:line="276" w:lineRule="auto"/>
        <w:ind w:left="0" w:firstLine="0"/>
        <w:rPr>
          <w:sz w:val="22"/>
          <w:szCs w:val="22"/>
        </w:rPr>
      </w:pPr>
      <w:r>
        <w:rPr>
          <w:sz w:val="22"/>
          <w:szCs w:val="22"/>
        </w:rPr>
        <w:t>“</w:t>
      </w:r>
      <w:r>
        <w:rPr>
          <w:b/>
          <w:sz w:val="22"/>
          <w:szCs w:val="22"/>
        </w:rPr>
        <w:t>Garantias Reais</w:t>
      </w:r>
      <w:r>
        <w:rPr>
          <w:sz w:val="22"/>
          <w:szCs w:val="22"/>
        </w:rPr>
        <w:t xml:space="preserve">” significa, em conjunto, a Alienação Fiduciária das Ações da Companhia e a Cessão Fiduciária de Direitos Creditórios. </w:t>
      </w:r>
    </w:p>
    <w:p w:rsidR="006B3686" w:rsidRDefault="00CE2CA2">
      <w:pPr>
        <w:pStyle w:val="Level4"/>
        <w:widowControl w:val="0"/>
        <w:tabs>
          <w:tab w:val="num" w:pos="0"/>
          <w:tab w:val="num" w:pos="851"/>
          <w:tab w:val="num" w:pos="1134"/>
        </w:tabs>
        <w:spacing w:after="120" w:line="276" w:lineRule="auto"/>
        <w:ind w:left="0" w:firstLine="0"/>
        <w:rPr>
          <w:sz w:val="22"/>
          <w:szCs w:val="22"/>
        </w:rPr>
      </w:pPr>
      <w:r>
        <w:rPr>
          <w:sz w:val="22"/>
          <w:szCs w:val="22"/>
        </w:rPr>
        <w:t>“</w:t>
      </w:r>
      <w:r>
        <w:rPr>
          <w:b/>
          <w:sz w:val="22"/>
          <w:szCs w:val="22"/>
        </w:rPr>
        <w:t>Garantia Fidejussória</w:t>
      </w:r>
      <w:r>
        <w:rPr>
          <w:sz w:val="22"/>
          <w:szCs w:val="22"/>
        </w:rPr>
        <w:t>” tem o significado previsto na Cláusula 8.1.</w:t>
      </w:r>
    </w:p>
    <w:p w:rsidR="006B3686" w:rsidRDefault="00CE2CA2">
      <w:pPr>
        <w:pStyle w:val="Level4"/>
        <w:widowControl w:val="0"/>
        <w:tabs>
          <w:tab w:val="num" w:pos="851"/>
          <w:tab w:val="num" w:pos="1134"/>
        </w:tabs>
        <w:spacing w:after="120" w:line="276" w:lineRule="auto"/>
        <w:ind w:left="0" w:firstLine="0"/>
        <w:rPr>
          <w:sz w:val="22"/>
          <w:szCs w:val="22"/>
          <w:lang w:val="es-ES"/>
        </w:rPr>
      </w:pPr>
      <w:r>
        <w:rPr>
          <w:sz w:val="22"/>
          <w:szCs w:val="22"/>
          <w:lang w:val="es-ES"/>
        </w:rPr>
        <w:t>“</w:t>
      </w:r>
      <w:proofErr w:type="spellStart"/>
      <w:r>
        <w:rPr>
          <w:b/>
          <w:sz w:val="22"/>
          <w:szCs w:val="22"/>
          <w:lang w:val="es-ES"/>
        </w:rPr>
        <w:t>Garantidora</w:t>
      </w:r>
      <w:proofErr w:type="spellEnd"/>
      <w:r>
        <w:rPr>
          <w:sz w:val="22"/>
          <w:szCs w:val="22"/>
          <w:lang w:val="es-ES"/>
        </w:rPr>
        <w:t xml:space="preserve">” significa a </w:t>
      </w:r>
      <w:bookmarkStart w:id="16" w:name="_Hlk38571858"/>
      <w:r>
        <w:rPr>
          <w:sz w:val="22"/>
          <w:szCs w:val="22"/>
          <w:lang w:val="es-ES"/>
        </w:rPr>
        <w:t>Acciona, S.A.</w:t>
      </w:r>
      <w:bookmarkEnd w:id="16"/>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rsidR="006B3686" w:rsidRDefault="00CE2CA2">
      <w:pPr>
        <w:pStyle w:val="Level4"/>
        <w:widowControl w:val="0"/>
        <w:tabs>
          <w:tab w:val="num" w:pos="851"/>
          <w:tab w:val="num" w:pos="1134"/>
          <w:tab w:val="num" w:pos="1276"/>
        </w:tabs>
        <w:spacing w:after="120" w:line="276" w:lineRule="auto"/>
        <w:ind w:left="0" w:firstLine="0"/>
        <w:rPr>
          <w:sz w:val="22"/>
          <w:szCs w:val="22"/>
        </w:rPr>
      </w:pPr>
      <w:r>
        <w:rPr>
          <w:sz w:val="22"/>
          <w:szCs w:val="22"/>
        </w:rPr>
        <w:t>“</w:t>
      </w:r>
      <w:r>
        <w:rPr>
          <w:b/>
          <w:sz w:val="22"/>
          <w:szCs w:val="22"/>
        </w:rPr>
        <w:t>Instrumentos de Dívida Credores Existentes</w:t>
      </w:r>
      <w:r>
        <w:rPr>
          <w:sz w:val="22"/>
          <w:szCs w:val="22"/>
        </w:rPr>
        <w:t xml:space="preserve">” </w:t>
      </w:r>
      <w:bookmarkStart w:id="17" w:name="_Hlk40694060"/>
      <w:r>
        <w:rPr>
          <w:sz w:val="22"/>
          <w:szCs w:val="22"/>
        </w:rPr>
        <w:t xml:space="preserve">significa, em conjunto, as </w:t>
      </w:r>
      <w:proofErr w:type="spellStart"/>
      <w:r>
        <w:rPr>
          <w:sz w:val="22"/>
          <w:szCs w:val="22"/>
        </w:rPr>
        <w:t>CCBs</w:t>
      </w:r>
      <w:proofErr w:type="spellEnd"/>
      <w:r>
        <w:rPr>
          <w:sz w:val="22"/>
          <w:szCs w:val="22"/>
        </w:rPr>
        <w:t xml:space="preserve"> e o Acordo de Pagamento;</w:t>
      </w:r>
      <w:bookmarkEnd w:id="17"/>
    </w:p>
    <w:p w:rsidR="006B3686" w:rsidRDefault="00CE2CA2">
      <w:pPr>
        <w:pStyle w:val="Level4"/>
        <w:widowControl w:val="0"/>
        <w:tabs>
          <w:tab w:val="num" w:pos="851"/>
          <w:tab w:val="num" w:pos="1134"/>
          <w:tab w:val="num" w:pos="1276"/>
        </w:tabs>
        <w:spacing w:after="120" w:line="276" w:lineRule="auto"/>
        <w:ind w:left="0" w:firstLine="0"/>
        <w:rPr>
          <w:sz w:val="22"/>
          <w:szCs w:val="22"/>
        </w:rPr>
      </w:pPr>
      <w:r>
        <w:rPr>
          <w:sz w:val="22"/>
          <w:szCs w:val="22"/>
        </w:rPr>
        <w:t>“</w:t>
      </w:r>
      <w:r>
        <w:rPr>
          <w:b/>
          <w:sz w:val="22"/>
          <w:szCs w:val="22"/>
        </w:rPr>
        <w:t>Investidores Qualificados</w:t>
      </w:r>
      <w:r>
        <w:rPr>
          <w:sz w:val="22"/>
          <w:szCs w:val="22"/>
        </w:rPr>
        <w:t>” tem o significado previsto no artigo 9º</w:t>
      </w:r>
      <w:r>
        <w:rPr>
          <w:sz w:val="22"/>
          <w:szCs w:val="22"/>
        </w:rPr>
        <w:noBreakHyphen/>
        <w:t>B da Instrução CVM 539.</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JUCESP</w:t>
      </w:r>
      <w:r>
        <w:rPr>
          <w:sz w:val="22"/>
          <w:szCs w:val="22"/>
        </w:rPr>
        <w:t>” significa Junta Comercial do Estado de São Paulo.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Pr>
          <w:i/>
          <w:sz w:val="22"/>
          <w:szCs w:val="22"/>
        </w:rPr>
        <w:t xml:space="preserve">U.S. </w:t>
      </w:r>
      <w:proofErr w:type="spellStart"/>
      <w:r>
        <w:rPr>
          <w:i/>
          <w:sz w:val="22"/>
          <w:szCs w:val="22"/>
        </w:rPr>
        <w:t>Foreign</w:t>
      </w:r>
      <w:proofErr w:type="spellEnd"/>
      <w:r>
        <w:rPr>
          <w:i/>
          <w:sz w:val="22"/>
          <w:szCs w:val="22"/>
        </w:rPr>
        <w:t xml:space="preserve"> </w:t>
      </w:r>
      <w:proofErr w:type="spellStart"/>
      <w:r>
        <w:rPr>
          <w:i/>
          <w:sz w:val="22"/>
          <w:szCs w:val="22"/>
        </w:rPr>
        <w:t>Corrupt</w:t>
      </w:r>
      <w:proofErr w:type="spellEnd"/>
      <w:r>
        <w:rPr>
          <w:i/>
          <w:sz w:val="22"/>
          <w:szCs w:val="22"/>
        </w:rPr>
        <w:t xml:space="preserve"> </w:t>
      </w:r>
      <w:proofErr w:type="spellStart"/>
      <w:r>
        <w:rPr>
          <w:i/>
          <w:sz w:val="22"/>
          <w:szCs w:val="22"/>
        </w:rPr>
        <w:t>Practices</w:t>
      </w:r>
      <w:proofErr w:type="spellEnd"/>
      <w:r>
        <w:rPr>
          <w:i/>
          <w:sz w:val="22"/>
          <w:szCs w:val="22"/>
        </w:rPr>
        <w:t xml:space="preserve"> </w:t>
      </w:r>
      <w:proofErr w:type="spellStart"/>
      <w:r>
        <w:rPr>
          <w:i/>
          <w:sz w:val="22"/>
          <w:szCs w:val="22"/>
        </w:rPr>
        <w:t>Act</w:t>
      </w:r>
      <w:proofErr w:type="spellEnd"/>
      <w:r>
        <w:rPr>
          <w:i/>
          <w:sz w:val="22"/>
          <w:szCs w:val="22"/>
        </w:rPr>
        <w:t xml:space="preserve"> </w:t>
      </w:r>
      <w:proofErr w:type="spellStart"/>
      <w:r>
        <w:rPr>
          <w:i/>
          <w:sz w:val="22"/>
          <w:szCs w:val="22"/>
        </w:rPr>
        <w:t>of</w:t>
      </w:r>
      <w:proofErr w:type="spellEnd"/>
      <w:r>
        <w:rPr>
          <w:i/>
          <w:sz w:val="22"/>
          <w:szCs w:val="22"/>
        </w:rPr>
        <w:t xml:space="preserve"> 1977</w:t>
      </w:r>
      <w:r>
        <w:rPr>
          <w:sz w:val="22"/>
          <w:szCs w:val="22"/>
        </w:rPr>
        <w:t xml:space="preserve">, da OECD </w:t>
      </w:r>
      <w:proofErr w:type="spellStart"/>
      <w:r>
        <w:rPr>
          <w:i/>
          <w:sz w:val="22"/>
          <w:szCs w:val="22"/>
        </w:rPr>
        <w:t>Convention</w:t>
      </w:r>
      <w:proofErr w:type="spellEnd"/>
      <w:r>
        <w:rPr>
          <w:i/>
          <w:sz w:val="22"/>
          <w:szCs w:val="22"/>
        </w:rPr>
        <w:t xml:space="preserve"> </w:t>
      </w:r>
      <w:proofErr w:type="spellStart"/>
      <w:r>
        <w:rPr>
          <w:i/>
          <w:sz w:val="22"/>
          <w:szCs w:val="22"/>
        </w:rPr>
        <w:t>on</w:t>
      </w:r>
      <w:proofErr w:type="spellEnd"/>
      <w:r>
        <w:rPr>
          <w:i/>
          <w:sz w:val="22"/>
          <w:szCs w:val="22"/>
        </w:rPr>
        <w:t xml:space="preserve"> </w:t>
      </w:r>
      <w:proofErr w:type="spellStart"/>
      <w:r>
        <w:rPr>
          <w:i/>
          <w:sz w:val="22"/>
          <w:szCs w:val="22"/>
        </w:rPr>
        <w:t>Combating</w:t>
      </w:r>
      <w:proofErr w:type="spellEnd"/>
      <w:r>
        <w:rPr>
          <w:i/>
          <w:sz w:val="22"/>
          <w:szCs w:val="22"/>
        </w:rPr>
        <w:t xml:space="preserve"> </w:t>
      </w:r>
      <w:proofErr w:type="spellStart"/>
      <w:r>
        <w:rPr>
          <w:i/>
          <w:sz w:val="22"/>
          <w:szCs w:val="22"/>
        </w:rPr>
        <w:t>Bribery</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Foreign</w:t>
      </w:r>
      <w:proofErr w:type="spellEnd"/>
      <w:r>
        <w:rPr>
          <w:i/>
          <w:sz w:val="22"/>
          <w:szCs w:val="22"/>
        </w:rPr>
        <w:t xml:space="preserve"> </w:t>
      </w:r>
      <w:proofErr w:type="spellStart"/>
      <w:r>
        <w:rPr>
          <w:i/>
          <w:sz w:val="22"/>
          <w:szCs w:val="22"/>
        </w:rPr>
        <w:t>Public</w:t>
      </w:r>
      <w:proofErr w:type="spellEnd"/>
      <w:r>
        <w:rPr>
          <w:i/>
          <w:sz w:val="22"/>
          <w:szCs w:val="22"/>
        </w:rPr>
        <w:t xml:space="preserve"> </w:t>
      </w:r>
      <w:proofErr w:type="spellStart"/>
      <w:r>
        <w:rPr>
          <w:i/>
          <w:sz w:val="22"/>
          <w:szCs w:val="22"/>
        </w:rPr>
        <w:t>Officials</w:t>
      </w:r>
      <w:proofErr w:type="spellEnd"/>
      <w:r>
        <w:rPr>
          <w:sz w:val="22"/>
          <w:szCs w:val="22"/>
        </w:rPr>
        <w:t xml:space="preserve"> </w:t>
      </w:r>
      <w:r>
        <w:rPr>
          <w:i/>
          <w:sz w:val="22"/>
          <w:szCs w:val="22"/>
        </w:rPr>
        <w:t>in</w:t>
      </w:r>
      <w:r>
        <w:rPr>
          <w:sz w:val="22"/>
          <w:szCs w:val="22"/>
        </w:rPr>
        <w:t xml:space="preserve"> </w:t>
      </w:r>
      <w:proofErr w:type="spellStart"/>
      <w:r>
        <w:rPr>
          <w:i/>
          <w:sz w:val="22"/>
          <w:szCs w:val="22"/>
        </w:rPr>
        <w:t>International</w:t>
      </w:r>
      <w:proofErr w:type="spellEnd"/>
      <w:r>
        <w:rPr>
          <w:i/>
          <w:sz w:val="22"/>
          <w:szCs w:val="22"/>
        </w:rPr>
        <w:t xml:space="preserve"> Business </w:t>
      </w:r>
      <w:proofErr w:type="spellStart"/>
      <w:r>
        <w:rPr>
          <w:i/>
          <w:sz w:val="22"/>
          <w:szCs w:val="22"/>
        </w:rPr>
        <w:t>Transactions</w:t>
      </w:r>
      <w:proofErr w:type="spellEnd"/>
      <w:r>
        <w:rPr>
          <w:i/>
          <w:sz w:val="22"/>
          <w:szCs w:val="22"/>
        </w:rPr>
        <w:t xml:space="preserve"> e do UK </w:t>
      </w:r>
      <w:proofErr w:type="spellStart"/>
      <w:r>
        <w:rPr>
          <w:i/>
          <w:sz w:val="22"/>
          <w:szCs w:val="22"/>
        </w:rPr>
        <w:t>Bribery</w:t>
      </w:r>
      <w:proofErr w:type="spellEnd"/>
      <w:r>
        <w:rPr>
          <w:i/>
          <w:sz w:val="22"/>
          <w:szCs w:val="22"/>
        </w:rPr>
        <w:t xml:space="preserve"> </w:t>
      </w:r>
      <w:proofErr w:type="spellStart"/>
      <w:r>
        <w:rPr>
          <w:i/>
          <w:sz w:val="22"/>
          <w:szCs w:val="22"/>
        </w:rPr>
        <w:t>Act</w:t>
      </w:r>
      <w:proofErr w:type="spellEnd"/>
      <w:r>
        <w:rPr>
          <w:i/>
          <w:sz w:val="22"/>
          <w:szCs w:val="22"/>
        </w:rPr>
        <w:t xml:space="preserve"> (UKBA)</w:t>
      </w:r>
      <w:r>
        <w:rPr>
          <w:sz w:val="22"/>
          <w:szCs w:val="22"/>
        </w:rPr>
        <w:t xml:space="preserve">. </w:t>
      </w:r>
    </w:p>
    <w:p w:rsidR="006B3686" w:rsidRDefault="00CE2CA2">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rsidR="006B3686" w:rsidRDefault="00CE2CA2">
      <w:pPr>
        <w:pStyle w:val="Level4"/>
        <w:widowControl w:val="0"/>
        <w:tabs>
          <w:tab w:val="num" w:pos="851"/>
          <w:tab w:val="num" w:pos="1134"/>
          <w:tab w:val="num" w:pos="1418"/>
        </w:tabs>
        <w:spacing w:after="120" w:line="276" w:lineRule="auto"/>
        <w:ind w:left="0" w:firstLine="0"/>
        <w:rPr>
          <w:sz w:val="22"/>
          <w:szCs w:val="22"/>
        </w:rPr>
      </w:pPr>
      <w:r>
        <w:rPr>
          <w:sz w:val="22"/>
          <w:szCs w:val="22"/>
        </w:rPr>
        <w:t>“</w:t>
      </w:r>
      <w:r>
        <w:rPr>
          <w:b/>
          <w:color w:val="000000"/>
          <w:sz w:val="22"/>
          <w:szCs w:val="22"/>
        </w:rPr>
        <w:t>Lei nº 14.030/2020</w:t>
      </w:r>
      <w:r>
        <w:rPr>
          <w:color w:val="000000"/>
          <w:sz w:val="22"/>
          <w:szCs w:val="22"/>
        </w:rPr>
        <w:t xml:space="preserve">” significa a </w:t>
      </w:r>
      <w:r>
        <w:rPr>
          <w:sz w:val="22"/>
          <w:szCs w:val="22"/>
        </w:rPr>
        <w:t>Lei nº 14.030, de 29 de julho de 2020.</w:t>
      </w:r>
    </w:p>
    <w:p w:rsidR="006B3686" w:rsidRDefault="00CE2CA2">
      <w:pPr>
        <w:pStyle w:val="Level4"/>
        <w:widowControl w:val="0"/>
        <w:tabs>
          <w:tab w:val="num" w:pos="851"/>
          <w:tab w:val="num" w:pos="1134"/>
          <w:tab w:val="num" w:pos="1560"/>
        </w:tabs>
        <w:spacing w:after="120" w:line="276" w:lineRule="auto"/>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rsidR="006B3686" w:rsidRDefault="00CE2CA2">
      <w:pPr>
        <w:pStyle w:val="Level4"/>
        <w:widowControl w:val="0"/>
        <w:tabs>
          <w:tab w:val="num" w:pos="851"/>
          <w:tab w:val="num" w:pos="1134"/>
          <w:tab w:val="num" w:pos="1560"/>
        </w:tabs>
        <w:spacing w:after="120" w:line="276" w:lineRule="auto"/>
        <w:ind w:left="0" w:firstLine="0"/>
        <w:rPr>
          <w:sz w:val="22"/>
          <w:szCs w:val="22"/>
        </w:rPr>
      </w:pPr>
      <w:r>
        <w:rPr>
          <w:sz w:val="22"/>
          <w:szCs w:val="22"/>
        </w:rPr>
        <w:t>“</w:t>
      </w:r>
      <w:r>
        <w:rPr>
          <w:b/>
          <w:sz w:val="22"/>
          <w:szCs w:val="22"/>
        </w:rPr>
        <w:t>Lei do Mercado de Valores Mobiliários</w:t>
      </w:r>
      <w:r>
        <w:rPr>
          <w:sz w:val="22"/>
          <w:szCs w:val="22"/>
        </w:rPr>
        <w:t>” significa a Lei nº 6.385, de 7 de dezembro de 1976, conforme alterada.</w:t>
      </w:r>
    </w:p>
    <w:p w:rsidR="006B3686" w:rsidRDefault="00CE2CA2">
      <w:pPr>
        <w:pStyle w:val="Level4"/>
        <w:widowControl w:val="0"/>
        <w:tabs>
          <w:tab w:val="num" w:pos="851"/>
          <w:tab w:val="num" w:pos="1134"/>
          <w:tab w:val="num" w:pos="1276"/>
        </w:tabs>
        <w:spacing w:after="120" w:line="276" w:lineRule="auto"/>
        <w:ind w:left="0" w:firstLine="0"/>
        <w:rPr>
          <w:iCs/>
          <w:sz w:val="22"/>
          <w:szCs w:val="22"/>
        </w:rPr>
      </w:pPr>
      <w:r>
        <w:rPr>
          <w:iCs/>
          <w:sz w:val="22"/>
          <w:szCs w:val="22"/>
        </w:rPr>
        <w:t>“</w:t>
      </w:r>
      <w:r>
        <w:rPr>
          <w:b/>
          <w:iCs/>
          <w:sz w:val="22"/>
          <w:szCs w:val="22"/>
        </w:rPr>
        <w:t>Linha Universidade Investimentos</w:t>
      </w:r>
      <w:r>
        <w:rPr>
          <w:iCs/>
          <w:sz w:val="22"/>
          <w:szCs w:val="22"/>
        </w:rPr>
        <w:t>” significa a Linha Universidade Investimentos S.A.</w:t>
      </w:r>
      <w:r>
        <w:rPr>
          <w:rFonts w:eastAsia="Times New Roman"/>
          <w:b/>
          <w:sz w:val="22"/>
          <w:szCs w:val="22"/>
          <w:lang w:eastAsia="zh-CN"/>
        </w:rPr>
        <w:t xml:space="preserve"> </w:t>
      </w:r>
    </w:p>
    <w:p w:rsidR="006B3686" w:rsidRDefault="00CE2CA2">
      <w:pPr>
        <w:pStyle w:val="Level4"/>
        <w:widowControl w:val="0"/>
        <w:tabs>
          <w:tab w:val="num" w:pos="851"/>
          <w:tab w:val="num" w:pos="1134"/>
          <w:tab w:val="num" w:pos="1418"/>
        </w:tabs>
        <w:spacing w:after="120" w:line="276" w:lineRule="auto"/>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Medidas COVID-19</w:t>
      </w:r>
      <w:r>
        <w:rPr>
          <w:sz w:val="22"/>
          <w:szCs w:val="22"/>
        </w:rPr>
        <w:t xml:space="preserve">” tem o significado previsto na Cláusula </w:t>
      </w:r>
      <w:r>
        <w:rPr>
          <w:sz w:val="22"/>
          <w:szCs w:val="22"/>
        </w:rPr>
        <w:fldChar w:fldCharType="begin"/>
      </w:r>
      <w:r>
        <w:rPr>
          <w:sz w:val="22"/>
          <w:szCs w:val="22"/>
        </w:rPr>
        <w:instrText xml:space="preserve"> REF _Ref40355570 \r \p \h  \* MERGEFORMAT </w:instrText>
      </w:r>
      <w:r>
        <w:rPr>
          <w:sz w:val="22"/>
          <w:szCs w:val="22"/>
        </w:rPr>
      </w:r>
      <w:r>
        <w:rPr>
          <w:sz w:val="22"/>
          <w:szCs w:val="22"/>
        </w:rPr>
        <w:fldChar w:fldCharType="separate"/>
      </w:r>
      <w:r>
        <w:rPr>
          <w:sz w:val="22"/>
          <w:szCs w:val="22"/>
        </w:rPr>
        <w:t>7.23.2(ii) abaixo</w:t>
      </w:r>
      <w:r>
        <w:rPr>
          <w:sz w:val="22"/>
          <w:szCs w:val="22"/>
        </w:rPr>
        <w:fldChar w:fldCharType="end"/>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Move</w:t>
      </w:r>
      <w:r>
        <w:rPr>
          <w:sz w:val="22"/>
          <w:szCs w:val="22"/>
        </w:rPr>
        <w:t>” significa a Concessionária Move São Paulo S.A.</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Obrigações Garantidas</w:t>
      </w:r>
      <w:r>
        <w:rPr>
          <w:sz w:val="22"/>
          <w:szCs w:val="22"/>
        </w:rPr>
        <w:t xml:space="preserve">” tem o significado previsto na Cláusula </w:t>
      </w:r>
      <w:r>
        <w:rPr>
          <w:sz w:val="22"/>
          <w:szCs w:val="22"/>
        </w:rPr>
        <w:fldChar w:fldCharType="begin"/>
      </w:r>
      <w:r>
        <w:rPr>
          <w:sz w:val="22"/>
          <w:szCs w:val="22"/>
        </w:rPr>
        <w:instrText xml:space="preserve"> REF _Ref37080663 \r \h  \* MERGEFORMAT </w:instrText>
      </w:r>
      <w:r>
        <w:rPr>
          <w:sz w:val="22"/>
          <w:szCs w:val="22"/>
        </w:rPr>
      </w:r>
      <w:r>
        <w:rPr>
          <w:sz w:val="22"/>
          <w:szCs w:val="22"/>
        </w:rPr>
        <w:fldChar w:fldCharType="separate"/>
      </w:r>
      <w:r>
        <w:rPr>
          <w:sz w:val="22"/>
          <w:szCs w:val="22"/>
        </w:rPr>
        <w:t>8.1</w:t>
      </w:r>
      <w:r>
        <w:rPr>
          <w:sz w:val="22"/>
          <w:szCs w:val="22"/>
        </w:rPr>
        <w:fldChar w:fldCharType="end"/>
      </w:r>
      <w:r>
        <w:rPr>
          <w:sz w:val="22"/>
          <w:szCs w:val="22"/>
        </w:rPr>
        <w:t xml:space="preserve"> abaixo.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País</w:t>
      </w:r>
      <w:r>
        <w:rPr>
          <w:sz w:val="22"/>
          <w:szCs w:val="22"/>
        </w:rPr>
        <w:t xml:space="preserve"> </w:t>
      </w:r>
      <w:r>
        <w:rPr>
          <w:b/>
          <w:sz w:val="22"/>
          <w:szCs w:val="22"/>
        </w:rPr>
        <w:t>Sancionado</w:t>
      </w:r>
      <w:r>
        <w:rPr>
          <w:sz w:val="22"/>
          <w:szCs w:val="22"/>
        </w:rPr>
        <w:t xml:space="preserve">” tem o significado previsto na Cláusula </w:t>
      </w:r>
      <w:r>
        <w:rPr>
          <w:sz w:val="22"/>
          <w:szCs w:val="22"/>
        </w:rPr>
        <w:fldChar w:fldCharType="begin"/>
      </w:r>
      <w:r>
        <w:rPr>
          <w:sz w:val="22"/>
          <w:szCs w:val="22"/>
        </w:rPr>
        <w:instrText xml:space="preserve"> REF _Ref40355878 \r \p \h  \* MERGEFORMAT </w:instrText>
      </w:r>
      <w:r>
        <w:rPr>
          <w:sz w:val="22"/>
          <w:szCs w:val="22"/>
        </w:rPr>
      </w:r>
      <w:r>
        <w:rPr>
          <w:sz w:val="22"/>
          <w:szCs w:val="22"/>
        </w:rPr>
        <w:fldChar w:fldCharType="separate"/>
      </w:r>
      <w:r>
        <w:rPr>
          <w:sz w:val="22"/>
          <w:szCs w:val="22"/>
        </w:rPr>
        <w:t>12.1(</w:t>
      </w:r>
      <w:proofErr w:type="spellStart"/>
      <w:r>
        <w:rPr>
          <w:sz w:val="22"/>
          <w:szCs w:val="22"/>
        </w:rPr>
        <w:t>xix</w:t>
      </w:r>
      <w:proofErr w:type="spellEnd"/>
      <w:r>
        <w:rPr>
          <w:sz w:val="22"/>
          <w:szCs w:val="22"/>
        </w:rPr>
        <w:t>) abaixo</w:t>
      </w:r>
      <w:r>
        <w:rPr>
          <w:sz w:val="22"/>
          <w:szCs w:val="22"/>
        </w:rPr>
        <w:fldChar w:fldCharType="end"/>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Pessoa Sancionada</w:t>
      </w:r>
      <w:r>
        <w:rPr>
          <w:sz w:val="22"/>
          <w:szCs w:val="22"/>
        </w:rPr>
        <w:t xml:space="preserve">” tem o significado previsto na Cláusula </w:t>
      </w:r>
      <w:r>
        <w:rPr>
          <w:sz w:val="22"/>
          <w:szCs w:val="22"/>
        </w:rPr>
        <w:fldChar w:fldCharType="begin"/>
      </w:r>
      <w:r>
        <w:rPr>
          <w:sz w:val="22"/>
          <w:szCs w:val="22"/>
        </w:rPr>
        <w:instrText xml:space="preserve"> REF _Ref40355878 \r \p \h  \* MERGEFORMAT </w:instrText>
      </w:r>
      <w:r>
        <w:rPr>
          <w:sz w:val="22"/>
          <w:szCs w:val="22"/>
        </w:rPr>
      </w:r>
      <w:r>
        <w:rPr>
          <w:sz w:val="22"/>
          <w:szCs w:val="22"/>
        </w:rPr>
        <w:fldChar w:fldCharType="separate"/>
      </w:r>
      <w:r>
        <w:rPr>
          <w:sz w:val="22"/>
          <w:szCs w:val="22"/>
        </w:rPr>
        <w:t>12.1(</w:t>
      </w:r>
      <w:proofErr w:type="spellStart"/>
      <w:r>
        <w:rPr>
          <w:sz w:val="22"/>
          <w:szCs w:val="22"/>
        </w:rPr>
        <w:t>xix</w:t>
      </w:r>
      <w:proofErr w:type="spellEnd"/>
      <w:r>
        <w:rPr>
          <w:sz w:val="22"/>
          <w:szCs w:val="22"/>
        </w:rPr>
        <w:t>) abaixo</w:t>
      </w:r>
      <w:r>
        <w:rPr>
          <w:sz w:val="22"/>
          <w:szCs w:val="22"/>
        </w:rPr>
        <w:fldChar w:fldCharType="end"/>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Poder Concedente</w:t>
      </w:r>
      <w:r>
        <w:rPr>
          <w:sz w:val="22"/>
          <w:szCs w:val="22"/>
        </w:rPr>
        <w:t>” significa o Estado de São Paulo, por intermédio da sua Secretaria de Estado dos Transportes Metropolitanos.</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Projeto</w:t>
      </w:r>
      <w:r>
        <w:rPr>
          <w:sz w:val="22"/>
          <w:szCs w:val="22"/>
        </w:rPr>
        <w:t>” tem o significado previsto na Cláusula 4.1 abaixo.</w:t>
      </w:r>
    </w:p>
    <w:p w:rsidR="006B3686" w:rsidRDefault="00CE2CA2">
      <w:pPr>
        <w:pStyle w:val="Level4"/>
        <w:widowControl w:val="0"/>
        <w:tabs>
          <w:tab w:val="num" w:pos="851"/>
          <w:tab w:val="num" w:pos="1134"/>
          <w:tab w:val="left" w:pos="1276"/>
        </w:tabs>
        <w:spacing w:after="120" w:line="276" w:lineRule="auto"/>
        <w:ind w:left="0" w:firstLine="0"/>
        <w:rPr>
          <w:sz w:val="22"/>
          <w:szCs w:val="22"/>
        </w:rPr>
      </w:pPr>
      <w:r>
        <w:rPr>
          <w:sz w:val="22"/>
          <w:szCs w:val="22"/>
        </w:rPr>
        <w:t>“</w:t>
      </w:r>
      <w:r>
        <w:rPr>
          <w:b/>
          <w:sz w:val="22"/>
          <w:szCs w:val="22"/>
        </w:rPr>
        <w:t>Recebíveis</w:t>
      </w:r>
      <w:r>
        <w:rPr>
          <w:sz w:val="22"/>
          <w:szCs w:val="22"/>
        </w:rPr>
        <w:t xml:space="preserve">” tem o significado previsto na Cláusula </w:t>
      </w:r>
      <w:r>
        <w:rPr>
          <w:sz w:val="22"/>
          <w:szCs w:val="22"/>
        </w:rPr>
        <w:fldChar w:fldCharType="begin"/>
      </w:r>
      <w:r>
        <w:rPr>
          <w:sz w:val="22"/>
          <w:szCs w:val="22"/>
        </w:rPr>
        <w:instrText xml:space="preserve"> REF _Ref40350664 \r \p \h  \* MERGEFORMAT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rsidR="006B3686" w:rsidRDefault="00CE2CA2">
      <w:pPr>
        <w:pStyle w:val="Level4"/>
        <w:widowControl w:val="0"/>
        <w:tabs>
          <w:tab w:val="num" w:pos="851"/>
          <w:tab w:val="num" w:pos="1134"/>
          <w:tab w:val="left" w:pos="1418"/>
        </w:tabs>
        <w:spacing w:after="120" w:line="276" w:lineRule="auto"/>
        <w:ind w:left="0" w:firstLine="0"/>
        <w:rPr>
          <w:sz w:val="22"/>
          <w:szCs w:val="22"/>
        </w:rPr>
      </w:pPr>
      <w:r>
        <w:rPr>
          <w:sz w:val="22"/>
          <w:szCs w:val="22"/>
        </w:rPr>
        <w:t>"</w:t>
      </w:r>
      <w:r>
        <w:rPr>
          <w:b/>
          <w:sz w:val="22"/>
          <w:szCs w:val="22"/>
        </w:rPr>
        <w:t>Remuneração</w:t>
      </w:r>
      <w:r>
        <w:rPr>
          <w:sz w:val="22"/>
          <w:szCs w:val="22"/>
        </w:rPr>
        <w:t>" tem o significado previsto na Cláusula </w:t>
      </w:r>
      <w:r>
        <w:rPr>
          <w:sz w:val="22"/>
          <w:szCs w:val="22"/>
        </w:rPr>
        <w:fldChar w:fldCharType="begin"/>
      </w:r>
      <w:r>
        <w:rPr>
          <w:sz w:val="22"/>
          <w:szCs w:val="22"/>
        </w:rPr>
        <w:instrText xml:space="preserve"> REF _Ref328665579 \r \h  \* MERGEFORMAT </w:instrText>
      </w:r>
      <w:r>
        <w:rPr>
          <w:sz w:val="22"/>
          <w:szCs w:val="22"/>
        </w:rPr>
      </w:r>
      <w:r>
        <w:rPr>
          <w:sz w:val="22"/>
          <w:szCs w:val="22"/>
        </w:rPr>
        <w:fldChar w:fldCharType="separate"/>
      </w:r>
      <w:r>
        <w:rPr>
          <w:sz w:val="22"/>
          <w:szCs w:val="22"/>
        </w:rPr>
        <w:t>7.12.2</w:t>
      </w:r>
      <w:r>
        <w:rPr>
          <w:sz w:val="22"/>
          <w:szCs w:val="22"/>
        </w:rPr>
        <w:fldChar w:fldCharType="end"/>
      </w:r>
      <w:r>
        <w:rPr>
          <w:sz w:val="22"/>
          <w:szCs w:val="22"/>
        </w:rPr>
        <w:t xml:space="preserve"> abaixo.</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r>
        <w:rPr>
          <w:sz w:val="22"/>
          <w:szCs w:val="22"/>
        </w:rPr>
        <w:fldChar w:fldCharType="begin"/>
      </w:r>
      <w:r>
        <w:rPr>
          <w:sz w:val="22"/>
          <w:szCs w:val="22"/>
        </w:rPr>
        <w:instrText xml:space="preserve"> REF _Ref40353727 \r \p \h  \* MERGEFORMAT </w:instrText>
      </w:r>
      <w:r>
        <w:rPr>
          <w:sz w:val="22"/>
          <w:szCs w:val="22"/>
        </w:rPr>
      </w:r>
      <w:r>
        <w:rPr>
          <w:sz w:val="22"/>
          <w:szCs w:val="22"/>
        </w:rPr>
        <w:fldChar w:fldCharType="separate"/>
      </w:r>
      <w:r>
        <w:rPr>
          <w:sz w:val="22"/>
          <w:szCs w:val="22"/>
        </w:rPr>
        <w:t>7.23.2(i) abaixo</w:t>
      </w:r>
      <w:r>
        <w:rPr>
          <w:sz w:val="22"/>
          <w:szCs w:val="22"/>
        </w:rPr>
        <w:fldChar w:fldCharType="end"/>
      </w:r>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r>
        <w:rPr>
          <w:sz w:val="22"/>
          <w:szCs w:val="22"/>
        </w:rPr>
        <w:fldChar w:fldCharType="begin"/>
      </w:r>
      <w:r>
        <w:rPr>
          <w:sz w:val="22"/>
          <w:szCs w:val="22"/>
        </w:rPr>
        <w:instrText xml:space="preserve"> REF _Ref37080392 \r \h  \* MERGEFORMAT </w:instrText>
      </w:r>
      <w:r>
        <w:rPr>
          <w:sz w:val="22"/>
          <w:szCs w:val="22"/>
        </w:rPr>
      </w:r>
      <w:r>
        <w:rPr>
          <w:sz w:val="22"/>
          <w:szCs w:val="22"/>
        </w:rPr>
        <w:fldChar w:fldCharType="separate"/>
      </w:r>
      <w:r>
        <w:rPr>
          <w:sz w:val="22"/>
          <w:szCs w:val="22"/>
        </w:rPr>
        <w:t>7.14</w:t>
      </w:r>
      <w:r>
        <w:rPr>
          <w:sz w:val="22"/>
          <w:szCs w:val="22"/>
        </w:rPr>
        <w:fldChar w:fldCharType="end"/>
      </w:r>
      <w:r>
        <w:rPr>
          <w:sz w:val="22"/>
          <w:szCs w:val="22"/>
        </w:rPr>
        <w:t xml:space="preserve"> abaixo.</w:t>
      </w:r>
      <w:r>
        <w:rPr>
          <w:b/>
          <w:sz w:val="22"/>
          <w:szCs w:val="22"/>
        </w:rPr>
        <w:t xml:space="preserve">  </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Sanções</w:t>
      </w:r>
      <w:r>
        <w:rPr>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Pr>
          <w:i/>
          <w:sz w:val="22"/>
          <w:szCs w:val="22"/>
        </w:rPr>
        <w:t xml:space="preserve">U.S. </w:t>
      </w:r>
      <w:proofErr w:type="spellStart"/>
      <w:r>
        <w:rPr>
          <w:i/>
          <w:sz w:val="22"/>
          <w:szCs w:val="22"/>
        </w:rPr>
        <w:t>Department</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Treasury’s</w:t>
      </w:r>
      <w:proofErr w:type="spellEnd"/>
      <w:r>
        <w:rPr>
          <w:i/>
          <w:sz w:val="22"/>
          <w:szCs w:val="22"/>
        </w:rPr>
        <w:t xml:space="preserve"> Office </w:t>
      </w:r>
      <w:proofErr w:type="spellStart"/>
      <w:r>
        <w:rPr>
          <w:i/>
          <w:sz w:val="22"/>
          <w:szCs w:val="22"/>
        </w:rPr>
        <w:t>of</w:t>
      </w:r>
      <w:proofErr w:type="spellEnd"/>
      <w:r>
        <w:rPr>
          <w:i/>
          <w:sz w:val="22"/>
          <w:szCs w:val="22"/>
        </w:rPr>
        <w:t xml:space="preserve"> </w:t>
      </w:r>
      <w:proofErr w:type="spellStart"/>
      <w:r>
        <w:rPr>
          <w:i/>
          <w:sz w:val="22"/>
          <w:szCs w:val="22"/>
        </w:rPr>
        <w:t>Foreign</w:t>
      </w:r>
      <w:proofErr w:type="spellEnd"/>
      <w:r>
        <w:rPr>
          <w:i/>
          <w:sz w:val="22"/>
          <w:szCs w:val="22"/>
        </w:rPr>
        <w:t xml:space="preserve"> </w:t>
      </w:r>
      <w:proofErr w:type="spellStart"/>
      <w:r>
        <w:rPr>
          <w:i/>
          <w:sz w:val="22"/>
          <w:szCs w:val="22"/>
        </w:rPr>
        <w:t>Assets</w:t>
      </w:r>
      <w:proofErr w:type="spellEnd"/>
      <w:r>
        <w:rPr>
          <w:i/>
          <w:sz w:val="22"/>
          <w:szCs w:val="22"/>
        </w:rPr>
        <w:t xml:space="preserve"> </w:t>
      </w:r>
      <w:proofErr w:type="spellStart"/>
      <w:r>
        <w:rPr>
          <w:i/>
          <w:sz w:val="22"/>
          <w:szCs w:val="22"/>
        </w:rPr>
        <w:t>Control</w:t>
      </w:r>
      <w:proofErr w:type="spellEnd"/>
      <w:r>
        <w:rPr>
          <w:sz w:val="22"/>
          <w:szCs w:val="22"/>
        </w:rPr>
        <w:t xml:space="preserve">, o </w:t>
      </w:r>
      <w:r>
        <w:rPr>
          <w:i/>
          <w:sz w:val="22"/>
          <w:szCs w:val="22"/>
        </w:rPr>
        <w:t xml:space="preserve">U.S. </w:t>
      </w:r>
      <w:proofErr w:type="spellStart"/>
      <w:r>
        <w:rPr>
          <w:i/>
          <w:sz w:val="22"/>
          <w:szCs w:val="22"/>
        </w:rPr>
        <w:t>Department</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State</w:t>
      </w:r>
      <w:proofErr w:type="spellEnd"/>
      <w:r>
        <w:rPr>
          <w:sz w:val="22"/>
          <w:szCs w:val="22"/>
        </w:rPr>
        <w:t xml:space="preserve"> e o </w:t>
      </w:r>
      <w:r>
        <w:rPr>
          <w:i/>
          <w:sz w:val="22"/>
          <w:szCs w:val="22"/>
        </w:rPr>
        <w:t xml:space="preserve">U.S. </w:t>
      </w:r>
      <w:proofErr w:type="spellStart"/>
      <w:r>
        <w:rPr>
          <w:i/>
          <w:sz w:val="22"/>
          <w:szCs w:val="22"/>
        </w:rPr>
        <w:t>Department</w:t>
      </w:r>
      <w:proofErr w:type="spellEnd"/>
      <w:r>
        <w:rPr>
          <w:i/>
          <w:sz w:val="22"/>
          <w:szCs w:val="22"/>
        </w:rPr>
        <w:t xml:space="preserve"> </w:t>
      </w:r>
      <w:proofErr w:type="spellStart"/>
      <w:r>
        <w:rPr>
          <w:i/>
          <w:sz w:val="22"/>
          <w:szCs w:val="22"/>
        </w:rPr>
        <w:t>of</w:t>
      </w:r>
      <w:proofErr w:type="spellEnd"/>
      <w:r>
        <w:rPr>
          <w:i/>
          <w:sz w:val="22"/>
          <w:szCs w:val="22"/>
        </w:rPr>
        <w:t xml:space="preserve"> </w:t>
      </w:r>
      <w:proofErr w:type="spellStart"/>
      <w:r>
        <w:rPr>
          <w:i/>
          <w:sz w:val="22"/>
          <w:szCs w:val="22"/>
        </w:rPr>
        <w:t>Commerce’s</w:t>
      </w:r>
      <w:proofErr w:type="spellEnd"/>
      <w:r>
        <w:rPr>
          <w:i/>
          <w:sz w:val="22"/>
          <w:szCs w:val="22"/>
        </w:rPr>
        <w:t xml:space="preserve"> Bureau </w:t>
      </w:r>
      <w:proofErr w:type="spellStart"/>
      <w:r>
        <w:rPr>
          <w:i/>
          <w:sz w:val="22"/>
          <w:szCs w:val="22"/>
        </w:rPr>
        <w:t>of</w:t>
      </w:r>
      <w:proofErr w:type="spellEnd"/>
      <w:r>
        <w:rPr>
          <w:i/>
          <w:sz w:val="22"/>
          <w:szCs w:val="22"/>
        </w:rPr>
        <w:t xml:space="preserve"> </w:t>
      </w:r>
      <w:proofErr w:type="spellStart"/>
      <w:r>
        <w:rPr>
          <w:i/>
          <w:sz w:val="22"/>
          <w:szCs w:val="22"/>
        </w:rPr>
        <w:t>Industry</w:t>
      </w:r>
      <w:proofErr w:type="spellEnd"/>
      <w:r>
        <w:rPr>
          <w:i/>
          <w:sz w:val="22"/>
          <w:szCs w:val="22"/>
        </w:rPr>
        <w:t xml:space="preserve"> </w:t>
      </w:r>
      <w:proofErr w:type="spellStart"/>
      <w:r>
        <w:rPr>
          <w:i/>
          <w:sz w:val="22"/>
          <w:szCs w:val="22"/>
        </w:rPr>
        <w:t>and</w:t>
      </w:r>
      <w:proofErr w:type="spellEnd"/>
      <w:r>
        <w:rPr>
          <w:i/>
          <w:sz w:val="22"/>
          <w:szCs w:val="22"/>
        </w:rPr>
        <w:t xml:space="preserve"> Security</w:t>
      </w:r>
      <w:r>
        <w:rPr>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Série</w:t>
      </w:r>
      <w:r>
        <w:rPr>
          <w:sz w:val="22"/>
          <w:szCs w:val="22"/>
        </w:rPr>
        <w:t>” significa cada série das Debêntures que serão emitidas.</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“STM” significa a Secretaria de Estado dos Transportes Metropolitanos;</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 xml:space="preserve">over </w:t>
      </w:r>
      <w:proofErr w:type="spellStart"/>
      <w:r>
        <w:rPr>
          <w:i/>
          <w:sz w:val="22"/>
          <w:szCs w:val="22"/>
        </w:rPr>
        <w:t>extra-grupo</w:t>
      </w:r>
      <w:proofErr w:type="spellEnd"/>
      <w:r>
        <w:rPr>
          <w:sz w:val="22"/>
          <w:szCs w:val="22"/>
        </w:rPr>
        <w:t>", expressas na forma percentual ao ano, base 252 (duzentos e cinquenta e dois) dias úteis, calculadas e divulgadas diariamente pela B3, no informativo diário disponível em sua página na Internet (</w:t>
      </w:r>
      <w:hyperlink r:id="rId27" w:history="1">
        <w:r>
          <w:rPr>
            <w:rStyle w:val="Hyperlink"/>
            <w:sz w:val="22"/>
            <w:szCs w:val="22"/>
          </w:rPr>
          <w:t>http://www.b3.com.br</w:t>
        </w:r>
      </w:hyperlink>
      <w:r>
        <w:rPr>
          <w:sz w:val="22"/>
          <w:szCs w:val="22"/>
        </w:rPr>
        <w:t>).</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Valor da Amortização Parcial</w:t>
      </w:r>
      <w:r>
        <w:rPr>
          <w:sz w:val="22"/>
          <w:szCs w:val="22"/>
        </w:rPr>
        <w:t xml:space="preserve">” tem o significado previsto na Cláusula </w:t>
      </w:r>
      <w:r>
        <w:rPr>
          <w:sz w:val="22"/>
          <w:szCs w:val="22"/>
        </w:rPr>
        <w:fldChar w:fldCharType="begin"/>
      </w:r>
      <w:r>
        <w:rPr>
          <w:sz w:val="22"/>
          <w:szCs w:val="22"/>
        </w:rPr>
        <w:instrText xml:space="preserve"> REF _Ref40355465 \r \p \h  \* MERGEFORMAT </w:instrText>
      </w:r>
      <w:r>
        <w:rPr>
          <w:sz w:val="22"/>
          <w:szCs w:val="22"/>
        </w:rPr>
      </w:r>
      <w:r>
        <w:rPr>
          <w:sz w:val="22"/>
          <w:szCs w:val="22"/>
        </w:rPr>
        <w:fldChar w:fldCharType="separate"/>
      </w:r>
      <w:r>
        <w:rPr>
          <w:sz w:val="22"/>
          <w:szCs w:val="22"/>
        </w:rPr>
        <w:t>7.15.2 abaixo</w:t>
      </w:r>
      <w:r>
        <w:rPr>
          <w:sz w:val="22"/>
          <w:szCs w:val="22"/>
        </w:rPr>
        <w:fldChar w:fldCharType="end"/>
      </w:r>
      <w:r>
        <w:rPr>
          <w:sz w:val="22"/>
          <w:szCs w:val="22"/>
        </w:rPr>
        <w:t xml:space="preserve">.  </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Valor do Resgate Obrigatório</w:t>
      </w:r>
      <w:r>
        <w:rPr>
          <w:sz w:val="22"/>
          <w:szCs w:val="22"/>
        </w:rPr>
        <w:t xml:space="preserve">” tem o significado previsto na Cláusula </w:t>
      </w:r>
      <w:r>
        <w:rPr>
          <w:sz w:val="22"/>
          <w:szCs w:val="22"/>
        </w:rPr>
        <w:fldChar w:fldCharType="begin"/>
      </w:r>
      <w:r>
        <w:rPr>
          <w:sz w:val="22"/>
          <w:szCs w:val="22"/>
        </w:rPr>
        <w:instrText xml:space="preserve"> REF _Ref37080739 \r \h  \* MERGEFORMAT </w:instrText>
      </w:r>
      <w:r>
        <w:rPr>
          <w:sz w:val="22"/>
          <w:szCs w:val="22"/>
        </w:rPr>
      </w:r>
      <w:r>
        <w:rPr>
          <w:sz w:val="22"/>
          <w:szCs w:val="22"/>
        </w:rPr>
        <w:fldChar w:fldCharType="separate"/>
      </w:r>
      <w:r>
        <w:rPr>
          <w:sz w:val="22"/>
          <w:szCs w:val="22"/>
        </w:rPr>
        <w:t>7.14.2</w:t>
      </w:r>
      <w:r>
        <w:rPr>
          <w:sz w:val="22"/>
          <w:szCs w:val="22"/>
        </w:rPr>
        <w:fldChar w:fldCharType="end"/>
      </w:r>
      <w:r>
        <w:rPr>
          <w:sz w:val="22"/>
          <w:szCs w:val="22"/>
        </w:rPr>
        <w:t xml:space="preserve"> abaixo.  </w:t>
      </w:r>
    </w:p>
    <w:p w:rsidR="006B3686" w:rsidRDefault="00CE2CA2">
      <w:pPr>
        <w:pStyle w:val="Level4"/>
        <w:widowControl w:val="0"/>
        <w:tabs>
          <w:tab w:val="num" w:pos="851"/>
          <w:tab w:val="num" w:pos="1134"/>
        </w:tabs>
        <w:spacing w:after="120" w:line="276" w:lineRule="auto"/>
        <w:ind w:left="0" w:firstLine="0"/>
        <w:rPr>
          <w:sz w:val="22"/>
          <w:szCs w:val="22"/>
        </w:rPr>
      </w:pPr>
      <w:r>
        <w:rPr>
          <w:sz w:val="22"/>
          <w:szCs w:val="22"/>
        </w:rPr>
        <w:t>“</w:t>
      </w:r>
      <w:r>
        <w:rPr>
          <w:b/>
          <w:sz w:val="22"/>
          <w:szCs w:val="22"/>
        </w:rPr>
        <w:t>Valor Nominal Unitário</w:t>
      </w:r>
      <w:r>
        <w:rPr>
          <w:sz w:val="22"/>
          <w:szCs w:val="22"/>
        </w:rPr>
        <w:t>" tem o significado previsto na Cláusula </w:t>
      </w:r>
      <w:r>
        <w:rPr>
          <w:sz w:val="22"/>
          <w:szCs w:val="22"/>
        </w:rPr>
        <w:fldChar w:fldCharType="begin"/>
      </w:r>
      <w:r>
        <w:rPr>
          <w:sz w:val="22"/>
          <w:szCs w:val="22"/>
        </w:rPr>
        <w:instrText xml:space="preserve"> REF _Ref264653613 \r \h  \* MERGEFORMAT </w:instrText>
      </w:r>
      <w:r>
        <w:rPr>
          <w:sz w:val="22"/>
          <w:szCs w:val="22"/>
        </w:rPr>
      </w:r>
      <w:r>
        <w:rPr>
          <w:sz w:val="22"/>
          <w:szCs w:val="22"/>
        </w:rPr>
        <w:fldChar w:fldCharType="separate"/>
      </w:r>
      <w:r>
        <w:rPr>
          <w:sz w:val="22"/>
          <w:szCs w:val="22"/>
        </w:rPr>
        <w:t>7.4</w:t>
      </w:r>
      <w:r>
        <w:rPr>
          <w:sz w:val="22"/>
          <w:szCs w:val="22"/>
        </w:rPr>
        <w:fldChar w:fldCharType="end"/>
      </w:r>
      <w:r>
        <w:rPr>
          <w:sz w:val="22"/>
          <w:szCs w:val="22"/>
        </w:rPr>
        <w:t xml:space="preserve"> abaixo.</w:t>
      </w:r>
    </w:p>
    <w:p w:rsidR="006B3686" w:rsidRDefault="00CE2CA2">
      <w:pPr>
        <w:pStyle w:val="Level1"/>
        <w:keepNext w:val="0"/>
        <w:keepLines w:val="0"/>
        <w:widowControl w:val="0"/>
        <w:tabs>
          <w:tab w:val="clear" w:pos="680"/>
          <w:tab w:val="num" w:pos="851"/>
        </w:tabs>
        <w:spacing w:before="0" w:after="120" w:line="276" w:lineRule="auto"/>
        <w:ind w:left="0" w:firstLine="0"/>
        <w:rPr>
          <w:smallCaps/>
          <w:color w:val="auto"/>
        </w:rPr>
      </w:pPr>
      <w:bookmarkStart w:id="18" w:name="_Toc51602583"/>
      <w:bookmarkStart w:id="19" w:name="_Ref532040236"/>
      <w:r>
        <w:rPr>
          <w:smallCaps/>
          <w:color w:val="auto"/>
        </w:rPr>
        <w:t>AUTORIZAÇÕES</w:t>
      </w:r>
      <w:bookmarkEnd w:id="18"/>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20" w:name="_Ref40350060"/>
      <w:bookmarkStart w:id="21" w:name="_Toc51602584"/>
      <w:bookmarkEnd w:id="19"/>
      <w:r>
        <w:rPr>
          <w:rFonts w:cs="Arial"/>
          <w:sz w:val="22"/>
          <w:szCs w:val="22"/>
        </w:rPr>
        <w:t>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29 de setembro de 2020 (“</w:t>
      </w:r>
      <w:r>
        <w:rPr>
          <w:rFonts w:cs="Arial"/>
          <w:b/>
          <w:sz w:val="22"/>
          <w:szCs w:val="22"/>
        </w:rPr>
        <w:t>AGE Companhia</w:t>
      </w:r>
      <w:r>
        <w:rPr>
          <w:rFonts w:cs="Arial"/>
          <w:sz w:val="22"/>
          <w:szCs w:val="22"/>
        </w:rPr>
        <w:t>”).</w:t>
      </w:r>
      <w:bookmarkEnd w:id="20"/>
      <w:bookmarkEnd w:id="21"/>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22" w:name="_Ref37878694"/>
      <w:bookmarkStart w:id="23" w:name="_Toc51602585"/>
      <w:r>
        <w:rPr>
          <w:rFonts w:cs="Arial"/>
          <w:sz w:val="22"/>
          <w:szCs w:val="22"/>
        </w:rPr>
        <w:t xml:space="preserve">A constituição da Alienação Fiduciária de Ações, bem como a celebração do Contrato de Alienação Fiduciária de Ações será realizada com base nas </w:t>
      </w:r>
      <w:bookmarkEnd w:id="22"/>
      <w:r>
        <w:rPr>
          <w:rFonts w:cs="Arial"/>
          <w:sz w:val="22"/>
          <w:szCs w:val="22"/>
        </w:rPr>
        <w:t>Autorizações Societárias das Acionistas.</w:t>
      </w:r>
      <w:bookmarkEnd w:id="23"/>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24" w:name="_Hlk38570429"/>
      <w:bookmarkStart w:id="25" w:name="_Toc51602586"/>
      <w:r>
        <w:rPr>
          <w:rFonts w:cs="Arial"/>
          <w:sz w:val="22"/>
          <w:szCs w:val="22"/>
        </w:rPr>
        <w:t>A constituição da Garantia Fidejussória será realizada com base nas deliberações da Garantidora.</w:t>
      </w:r>
      <w:bookmarkEnd w:id="24"/>
      <w:bookmarkEnd w:id="25"/>
    </w:p>
    <w:p w:rsidR="006B3686" w:rsidRDefault="00CE2CA2">
      <w:pPr>
        <w:pStyle w:val="Level1"/>
        <w:keepNext w:val="0"/>
        <w:keepLines w:val="0"/>
        <w:widowControl w:val="0"/>
        <w:tabs>
          <w:tab w:val="clear" w:pos="680"/>
          <w:tab w:val="num" w:pos="851"/>
        </w:tabs>
        <w:spacing w:before="0" w:after="120" w:line="276" w:lineRule="auto"/>
        <w:ind w:left="0" w:firstLine="0"/>
        <w:rPr>
          <w:smallCaps/>
          <w:color w:val="auto"/>
        </w:rPr>
      </w:pPr>
      <w:bookmarkStart w:id="26" w:name="_Ref330905317"/>
      <w:bookmarkStart w:id="27" w:name="_Toc51602587"/>
      <w:r>
        <w:rPr>
          <w:smallCaps/>
          <w:color w:val="auto"/>
        </w:rPr>
        <w:t>REQUISITOS</w:t>
      </w:r>
      <w:bookmarkEnd w:id="26"/>
      <w:bookmarkEnd w:id="27"/>
    </w:p>
    <w:p w:rsidR="006B3686" w:rsidRDefault="00CE2CA2">
      <w:pPr>
        <w:pStyle w:val="Level2"/>
        <w:widowControl w:val="0"/>
        <w:numPr>
          <w:ilvl w:val="0"/>
          <w:numId w:val="0"/>
        </w:numPr>
        <w:spacing w:after="120" w:line="276" w:lineRule="auto"/>
        <w:rPr>
          <w:rFonts w:cs="Arial"/>
          <w:sz w:val="22"/>
          <w:szCs w:val="22"/>
        </w:rPr>
      </w:pPr>
      <w:bookmarkStart w:id="28" w:name="_Ref376965967"/>
      <w:bookmarkStart w:id="29" w:name="_Toc51602588"/>
      <w:r>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28"/>
      <w:bookmarkEnd w:id="29"/>
    </w:p>
    <w:p w:rsidR="006B3686" w:rsidRDefault="00CE2CA2">
      <w:pPr>
        <w:pStyle w:val="Level2"/>
        <w:widowControl w:val="0"/>
        <w:tabs>
          <w:tab w:val="clear" w:pos="680"/>
          <w:tab w:val="num" w:pos="851"/>
        </w:tabs>
        <w:spacing w:after="120" w:line="276" w:lineRule="auto"/>
        <w:ind w:left="0" w:firstLine="0"/>
        <w:rPr>
          <w:rFonts w:cs="Arial"/>
          <w:b/>
          <w:sz w:val="22"/>
          <w:szCs w:val="22"/>
        </w:rPr>
      </w:pPr>
      <w:bookmarkStart w:id="30" w:name="_Toc51602589"/>
      <w:r>
        <w:rPr>
          <w:rFonts w:cs="Arial"/>
          <w:b/>
          <w:i/>
          <w:iCs/>
          <w:sz w:val="22"/>
          <w:szCs w:val="22"/>
        </w:rPr>
        <w:t>Arquivamento e publicação das atas dos atos societários</w:t>
      </w:r>
      <w:r>
        <w:rPr>
          <w:rFonts w:cs="Arial"/>
          <w:b/>
          <w:iCs/>
          <w:sz w:val="22"/>
          <w:szCs w:val="22"/>
        </w:rPr>
        <w:t>.</w:t>
      </w:r>
      <w:bookmarkEnd w:id="30"/>
      <w:r>
        <w:rPr>
          <w:rFonts w:cs="Arial"/>
          <w:b/>
          <w:sz w:val="22"/>
          <w:szCs w:val="22"/>
        </w:rPr>
        <w:t xml:space="preserve"> </w:t>
      </w:r>
    </w:p>
    <w:p w:rsidR="006B3686" w:rsidRDefault="00CE2CA2">
      <w:pPr>
        <w:pStyle w:val="Level3"/>
        <w:widowControl w:val="0"/>
        <w:tabs>
          <w:tab w:val="clear" w:pos="1361"/>
          <w:tab w:val="num" w:pos="851"/>
        </w:tabs>
        <w:spacing w:after="120" w:line="276" w:lineRule="auto"/>
        <w:ind w:left="0" w:firstLine="0"/>
        <w:rPr>
          <w:sz w:val="22"/>
          <w:szCs w:val="22"/>
        </w:rPr>
      </w:pPr>
      <w:bookmarkStart w:id="31" w:name="_Toc51602590"/>
      <w:r>
        <w:rPr>
          <w:sz w:val="22"/>
          <w:szCs w:val="22"/>
        </w:rPr>
        <w:t xml:space="preserve">Nos termos do artigo 62, inciso I, e do artigo 289, parágrafo 1º, da Lei das Sociedades por Ações, a ata da AGE Companhia será arquivada na JUCESP e publicada no DOESP e no jornal </w:t>
      </w:r>
      <w:bookmarkStart w:id="32" w:name="_Hlk40694136"/>
      <w:r>
        <w:rPr>
          <w:sz w:val="22"/>
          <w:szCs w:val="22"/>
        </w:rPr>
        <w:t>“Data Mercantil”</w:t>
      </w:r>
      <w:bookmarkEnd w:id="32"/>
      <w:r>
        <w:rPr>
          <w:sz w:val="22"/>
          <w:szCs w:val="22"/>
        </w:rPr>
        <w:t xml:space="preserve">, observado os termos do artigo 6 da </w:t>
      </w:r>
      <w:r>
        <w:rPr>
          <w:color w:val="000000"/>
          <w:sz w:val="22"/>
          <w:szCs w:val="22"/>
        </w:rPr>
        <w:t>Lei nº 14.030/2020</w:t>
      </w:r>
      <w:r>
        <w:rPr>
          <w:sz w:val="22"/>
          <w:szCs w:val="22"/>
        </w:rPr>
        <w:t>.</w:t>
      </w:r>
      <w:bookmarkEnd w:id="31"/>
      <w:r>
        <w:rPr>
          <w:sz w:val="22"/>
          <w:szCs w:val="22"/>
        </w:rPr>
        <w:t xml:space="preserve"> </w:t>
      </w:r>
    </w:p>
    <w:p w:rsidR="006B3686" w:rsidRDefault="00CE2CA2">
      <w:pPr>
        <w:pStyle w:val="Level2"/>
        <w:widowControl w:val="0"/>
        <w:tabs>
          <w:tab w:val="clear" w:pos="680"/>
          <w:tab w:val="num" w:pos="851"/>
        </w:tabs>
        <w:spacing w:after="120" w:line="276" w:lineRule="auto"/>
        <w:ind w:left="0" w:firstLine="0"/>
        <w:rPr>
          <w:rFonts w:cs="Arial"/>
          <w:b/>
          <w:sz w:val="22"/>
          <w:szCs w:val="22"/>
        </w:rPr>
      </w:pPr>
      <w:bookmarkStart w:id="33" w:name="_Ref528689374"/>
      <w:bookmarkStart w:id="34" w:name="_Toc51602591"/>
      <w:bookmarkStart w:id="35" w:name="_Ref411417147"/>
      <w:r>
        <w:rPr>
          <w:rFonts w:cs="Arial"/>
          <w:b/>
          <w:i/>
          <w:sz w:val="22"/>
          <w:szCs w:val="22"/>
        </w:rPr>
        <w:t>Inscrição desta Escritura de Emissão e seus aditamentos</w:t>
      </w:r>
      <w:r>
        <w:rPr>
          <w:rFonts w:cs="Arial"/>
          <w:b/>
          <w:sz w:val="22"/>
          <w:szCs w:val="22"/>
        </w:rPr>
        <w:t>.</w:t>
      </w:r>
      <w:bookmarkEnd w:id="33"/>
      <w:bookmarkEnd w:id="34"/>
      <w:r>
        <w:rPr>
          <w:rFonts w:cs="Arial"/>
          <w:b/>
          <w:sz w:val="22"/>
          <w:szCs w:val="22"/>
        </w:rPr>
        <w:t xml:space="preserve"> </w:t>
      </w:r>
    </w:p>
    <w:p w:rsidR="006B3686" w:rsidRDefault="00CE2CA2">
      <w:pPr>
        <w:pStyle w:val="Level3"/>
        <w:widowControl w:val="0"/>
        <w:tabs>
          <w:tab w:val="clear" w:pos="1361"/>
          <w:tab w:val="num" w:pos="851"/>
        </w:tabs>
        <w:spacing w:after="120" w:line="276" w:lineRule="auto"/>
        <w:ind w:left="0" w:firstLine="0"/>
        <w:rPr>
          <w:sz w:val="22"/>
          <w:szCs w:val="22"/>
        </w:rPr>
      </w:pPr>
      <w:bookmarkStart w:id="36" w:name="_Ref528683189"/>
      <w:bookmarkStart w:id="37" w:name="_Toc51602592"/>
      <w:r>
        <w:rPr>
          <w:sz w:val="22"/>
          <w:szCs w:val="22"/>
        </w:rPr>
        <w:t>Nos termos do artigo 62, inciso II e parágrafo 3º, da Lei das Sociedades por Ações, esta Escritura de Emissão e seus aditamentos serão inscritos na JUCE</w:t>
      </w:r>
      <w:bookmarkEnd w:id="35"/>
      <w:bookmarkEnd w:id="36"/>
      <w:r>
        <w:rPr>
          <w:sz w:val="22"/>
          <w:szCs w:val="22"/>
        </w:rPr>
        <w:t xml:space="preserve">SP, observado os termos do artigo 6 da </w:t>
      </w:r>
      <w:r>
        <w:rPr>
          <w:color w:val="000000"/>
          <w:sz w:val="22"/>
          <w:szCs w:val="22"/>
        </w:rPr>
        <w:t>Lei nº 14.030/2020</w:t>
      </w:r>
      <w:r>
        <w:rPr>
          <w:sz w:val="22"/>
          <w:szCs w:val="22"/>
        </w:rPr>
        <w:t>.</w:t>
      </w:r>
      <w:bookmarkEnd w:id="37"/>
    </w:p>
    <w:p w:rsidR="006B3686" w:rsidRDefault="00CE2CA2">
      <w:pPr>
        <w:pStyle w:val="Level3"/>
        <w:widowControl w:val="0"/>
        <w:tabs>
          <w:tab w:val="clear" w:pos="1361"/>
          <w:tab w:val="num" w:pos="851"/>
        </w:tabs>
        <w:spacing w:after="120" w:line="276" w:lineRule="auto"/>
        <w:ind w:left="0" w:firstLine="0"/>
        <w:rPr>
          <w:sz w:val="22"/>
          <w:szCs w:val="22"/>
        </w:rPr>
      </w:pPr>
      <w:bookmarkStart w:id="38" w:name="_Toc51602593"/>
      <w:r>
        <w:rPr>
          <w:sz w:val="22"/>
          <w:szCs w:val="22"/>
        </w:rPr>
        <w:t xml:space="preserve">Caso a Companhia não realize, nos termos previstos nesta Escritura de Emissão, as formalidades previstas na Cláusula </w:t>
      </w:r>
      <w:r>
        <w:rPr>
          <w:sz w:val="22"/>
          <w:szCs w:val="22"/>
        </w:rPr>
        <w:fldChar w:fldCharType="begin"/>
      </w:r>
      <w:r>
        <w:rPr>
          <w:sz w:val="22"/>
          <w:szCs w:val="22"/>
        </w:rPr>
        <w:instrText xml:space="preserve"> REF _Ref528683189 \r \h  \* MERGEFORMAT </w:instrText>
      </w:r>
      <w:r>
        <w:rPr>
          <w:sz w:val="22"/>
          <w:szCs w:val="22"/>
        </w:rPr>
      </w:r>
      <w:r>
        <w:rPr>
          <w:sz w:val="22"/>
          <w:szCs w:val="22"/>
        </w:rPr>
        <w:fldChar w:fldCharType="separate"/>
      </w:r>
      <w:r>
        <w:rPr>
          <w:sz w:val="22"/>
          <w:szCs w:val="22"/>
        </w:rPr>
        <w:t>3.2.1</w:t>
      </w:r>
      <w:r>
        <w:rPr>
          <w:sz w:val="22"/>
          <w:szCs w:val="22"/>
        </w:rPr>
        <w:fldChar w:fldCharType="end"/>
      </w:r>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38"/>
    </w:p>
    <w:p w:rsidR="006B3686" w:rsidRDefault="00CE2CA2">
      <w:pPr>
        <w:pStyle w:val="Level2"/>
        <w:widowControl w:val="0"/>
        <w:tabs>
          <w:tab w:val="clear" w:pos="680"/>
          <w:tab w:val="num" w:pos="851"/>
        </w:tabs>
        <w:spacing w:after="120" w:line="276" w:lineRule="auto"/>
        <w:ind w:left="0" w:firstLine="0"/>
        <w:rPr>
          <w:rFonts w:cs="Arial"/>
          <w:b/>
          <w:sz w:val="22"/>
          <w:szCs w:val="22"/>
        </w:rPr>
      </w:pPr>
      <w:bookmarkStart w:id="39" w:name="_Toc51602594"/>
      <w:bookmarkStart w:id="40" w:name="_Ref201729546"/>
      <w:bookmarkStart w:id="41" w:name="_Ref500505971"/>
      <w:r>
        <w:rPr>
          <w:rFonts w:cs="Arial"/>
          <w:b/>
          <w:i/>
          <w:sz w:val="22"/>
          <w:szCs w:val="22"/>
        </w:rPr>
        <w:t>Depósito para distribuição</w:t>
      </w:r>
      <w:r>
        <w:rPr>
          <w:rFonts w:cs="Arial"/>
          <w:b/>
          <w:sz w:val="22"/>
          <w:szCs w:val="22"/>
        </w:rPr>
        <w:t>.</w:t>
      </w:r>
      <w:bookmarkEnd w:id="39"/>
      <w:r>
        <w:rPr>
          <w:rFonts w:cs="Arial"/>
          <w:b/>
          <w:sz w:val="22"/>
          <w:szCs w:val="22"/>
        </w:rPr>
        <w:t xml:space="preserve"> </w:t>
      </w:r>
    </w:p>
    <w:p w:rsidR="006B3686" w:rsidRDefault="00CE2CA2">
      <w:pPr>
        <w:pStyle w:val="Level3"/>
        <w:widowControl w:val="0"/>
        <w:tabs>
          <w:tab w:val="clear" w:pos="1361"/>
          <w:tab w:val="num" w:pos="851"/>
        </w:tabs>
        <w:spacing w:after="120" w:line="276" w:lineRule="auto"/>
        <w:ind w:left="0" w:firstLine="0"/>
        <w:rPr>
          <w:sz w:val="22"/>
          <w:szCs w:val="22"/>
        </w:rPr>
      </w:pPr>
      <w:bookmarkStart w:id="42" w:name="_Toc51602595"/>
      <w:bookmarkEnd w:id="40"/>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41"/>
      <w:bookmarkEnd w:id="42"/>
    </w:p>
    <w:p w:rsidR="006B3686" w:rsidRDefault="00CE2CA2">
      <w:pPr>
        <w:pStyle w:val="Level2"/>
        <w:keepNext/>
        <w:widowControl w:val="0"/>
        <w:tabs>
          <w:tab w:val="clear" w:pos="680"/>
          <w:tab w:val="num" w:pos="851"/>
        </w:tabs>
        <w:spacing w:after="120" w:line="276" w:lineRule="auto"/>
        <w:ind w:left="0" w:firstLine="0"/>
        <w:rPr>
          <w:rFonts w:cs="Arial"/>
          <w:b/>
          <w:sz w:val="22"/>
          <w:szCs w:val="22"/>
        </w:rPr>
      </w:pPr>
      <w:bookmarkStart w:id="43" w:name="_Ref529290575"/>
      <w:bookmarkStart w:id="44" w:name="_Toc51602596"/>
      <w:r>
        <w:rPr>
          <w:rFonts w:cs="Arial"/>
          <w:b/>
          <w:i/>
          <w:sz w:val="22"/>
          <w:szCs w:val="22"/>
        </w:rPr>
        <w:t>Depósito para negociação e custódia eletrônica</w:t>
      </w:r>
      <w:r>
        <w:rPr>
          <w:rFonts w:cs="Arial"/>
          <w:b/>
          <w:sz w:val="22"/>
          <w:szCs w:val="22"/>
        </w:rPr>
        <w:t>.</w:t>
      </w:r>
      <w:bookmarkEnd w:id="43"/>
      <w:bookmarkEnd w:id="44"/>
      <w:r>
        <w:rPr>
          <w:rFonts w:cs="Arial"/>
          <w:b/>
          <w:sz w:val="22"/>
          <w:szCs w:val="22"/>
        </w:rPr>
        <w:t xml:space="preserve"> </w:t>
      </w:r>
    </w:p>
    <w:p w:rsidR="006B3686" w:rsidRDefault="00CE2CA2">
      <w:pPr>
        <w:pStyle w:val="Level3"/>
        <w:widowControl w:val="0"/>
        <w:tabs>
          <w:tab w:val="clear" w:pos="1361"/>
          <w:tab w:val="num" w:pos="851"/>
        </w:tabs>
        <w:spacing w:after="120" w:line="276" w:lineRule="auto"/>
        <w:ind w:left="0" w:firstLine="0"/>
        <w:rPr>
          <w:sz w:val="22"/>
          <w:szCs w:val="22"/>
        </w:rPr>
      </w:pPr>
      <w:bookmarkStart w:id="45" w:name="_Ref528003806"/>
      <w:bookmarkStart w:id="46" w:name="_Toc51602597"/>
      <w:r>
        <w:rPr>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5"/>
      <w:bookmarkEnd w:id="46"/>
      <w:r>
        <w:rPr>
          <w:sz w:val="22"/>
          <w:szCs w:val="22"/>
        </w:rPr>
        <w:t xml:space="preserve"> </w:t>
      </w:r>
      <w:bookmarkStart w:id="47" w:name="_Ref523149590"/>
    </w:p>
    <w:p w:rsidR="006B3686" w:rsidRDefault="00CE2CA2">
      <w:pPr>
        <w:pStyle w:val="Level3"/>
        <w:widowControl w:val="0"/>
        <w:tabs>
          <w:tab w:val="clear" w:pos="1361"/>
          <w:tab w:val="num" w:pos="851"/>
        </w:tabs>
        <w:spacing w:after="120" w:line="276" w:lineRule="auto"/>
        <w:ind w:left="0" w:firstLine="0"/>
        <w:rPr>
          <w:sz w:val="22"/>
          <w:szCs w:val="22"/>
        </w:rPr>
      </w:pPr>
      <w:bookmarkStart w:id="48" w:name="_Toc51602598"/>
      <w:r>
        <w:rPr>
          <w:sz w:val="22"/>
          <w:szCs w:val="22"/>
        </w:rPr>
        <w:t xml:space="preserve">Não obstante o disposto na Cláusula </w:t>
      </w:r>
      <w:r>
        <w:rPr>
          <w:sz w:val="22"/>
          <w:szCs w:val="22"/>
        </w:rPr>
        <w:fldChar w:fldCharType="begin"/>
      </w:r>
      <w:r>
        <w:rPr>
          <w:sz w:val="22"/>
          <w:szCs w:val="22"/>
        </w:rPr>
        <w:instrText xml:space="preserve"> REF _Ref528003806 \r \h  \* MERGEFORMAT </w:instrText>
      </w:r>
      <w:r>
        <w:rPr>
          <w:sz w:val="22"/>
          <w:szCs w:val="22"/>
        </w:rPr>
      </w:r>
      <w:r>
        <w:rPr>
          <w:sz w:val="22"/>
          <w:szCs w:val="22"/>
        </w:rPr>
        <w:fldChar w:fldCharType="separate"/>
      </w:r>
      <w:r>
        <w:rPr>
          <w:sz w:val="22"/>
          <w:szCs w:val="22"/>
        </w:rPr>
        <w:t>3.4.1</w:t>
      </w:r>
      <w:r>
        <w:rPr>
          <w:sz w:val="22"/>
          <w:szCs w:val="22"/>
        </w:rPr>
        <w:fldChar w:fldCharType="end"/>
      </w:r>
      <w:r>
        <w:rPr>
          <w:sz w:val="22"/>
          <w:szCs w:val="22"/>
        </w:rPr>
        <w:t xml:space="preserve"> acima, </w:t>
      </w:r>
      <w:bookmarkEnd w:id="47"/>
      <w:r>
        <w:rPr>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48"/>
    </w:p>
    <w:p w:rsidR="006B3686" w:rsidRDefault="00CE2CA2">
      <w:pPr>
        <w:pStyle w:val="Level2"/>
        <w:widowControl w:val="0"/>
        <w:tabs>
          <w:tab w:val="clear" w:pos="680"/>
          <w:tab w:val="num" w:pos="851"/>
        </w:tabs>
        <w:spacing w:after="120" w:line="276" w:lineRule="auto"/>
        <w:ind w:left="0" w:firstLine="0"/>
        <w:rPr>
          <w:rFonts w:cs="Arial"/>
          <w:b/>
          <w:i/>
          <w:sz w:val="22"/>
          <w:szCs w:val="22"/>
        </w:rPr>
      </w:pPr>
      <w:bookmarkStart w:id="49" w:name="_Toc51602599"/>
      <w:r>
        <w:rPr>
          <w:rFonts w:cs="Arial"/>
          <w:b/>
          <w:i/>
          <w:sz w:val="22"/>
          <w:szCs w:val="22"/>
        </w:rPr>
        <w:t>Registro da Oferta pela CVM.</w:t>
      </w:r>
      <w:bookmarkEnd w:id="49"/>
      <w:r>
        <w:rPr>
          <w:rFonts w:cs="Arial"/>
          <w:b/>
          <w:i/>
          <w:sz w:val="22"/>
          <w:szCs w:val="22"/>
        </w:rPr>
        <w:t xml:space="preserve"> </w:t>
      </w:r>
    </w:p>
    <w:p w:rsidR="006B3686" w:rsidRDefault="00CE2CA2">
      <w:pPr>
        <w:pStyle w:val="Level3"/>
        <w:widowControl w:val="0"/>
        <w:tabs>
          <w:tab w:val="clear" w:pos="1361"/>
          <w:tab w:val="left" w:pos="851"/>
        </w:tabs>
        <w:spacing w:after="120" w:line="276" w:lineRule="auto"/>
        <w:ind w:left="0" w:firstLine="0"/>
        <w:rPr>
          <w:sz w:val="22"/>
          <w:szCs w:val="22"/>
        </w:rPr>
      </w:pPr>
      <w:bookmarkStart w:id="50" w:name="_Toc51602600"/>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50"/>
    </w:p>
    <w:p w:rsidR="006B3686" w:rsidRDefault="00CE2CA2">
      <w:pPr>
        <w:pStyle w:val="Level2"/>
        <w:widowControl w:val="0"/>
        <w:tabs>
          <w:tab w:val="clear" w:pos="680"/>
          <w:tab w:val="num" w:pos="851"/>
        </w:tabs>
        <w:spacing w:after="120" w:line="276" w:lineRule="auto"/>
        <w:ind w:left="0" w:firstLine="0"/>
        <w:rPr>
          <w:rFonts w:cs="Arial"/>
          <w:b/>
          <w:sz w:val="22"/>
          <w:szCs w:val="22"/>
        </w:rPr>
      </w:pPr>
      <w:bookmarkStart w:id="51" w:name="_Toc51602601"/>
      <w:r>
        <w:rPr>
          <w:rFonts w:cs="Arial"/>
          <w:b/>
          <w:i/>
          <w:sz w:val="22"/>
          <w:szCs w:val="22"/>
        </w:rPr>
        <w:t>Registro da Oferta pela ANBIMA</w:t>
      </w:r>
      <w:r>
        <w:rPr>
          <w:rFonts w:cs="Arial"/>
          <w:b/>
          <w:sz w:val="22"/>
          <w:szCs w:val="22"/>
        </w:rPr>
        <w:t>.</w:t>
      </w:r>
      <w:bookmarkEnd w:id="51"/>
      <w:r>
        <w:rPr>
          <w:rFonts w:cs="Arial"/>
          <w:b/>
          <w:sz w:val="22"/>
          <w:szCs w:val="22"/>
        </w:rPr>
        <w:t xml:space="preserve"> </w:t>
      </w:r>
    </w:p>
    <w:p w:rsidR="006B3686" w:rsidRDefault="00CE2CA2">
      <w:pPr>
        <w:pStyle w:val="Level3"/>
        <w:widowControl w:val="0"/>
        <w:tabs>
          <w:tab w:val="num" w:pos="851"/>
        </w:tabs>
        <w:spacing w:after="120" w:line="276" w:lineRule="auto"/>
        <w:ind w:left="0" w:firstLine="0"/>
        <w:rPr>
          <w:sz w:val="22"/>
          <w:szCs w:val="22"/>
        </w:rPr>
      </w:pPr>
      <w:bookmarkStart w:id="52" w:name="_Toc51602602"/>
      <w:r>
        <w:rPr>
          <w:sz w:val="22"/>
          <w:szCs w:val="22"/>
        </w:rPr>
        <w:t>Nos termos do artigo 16 e seguintes do Código ANBIMA, por se tratar de oferta pública de debêntures com esforços restritos, esta Oferta está sujeita ao registro na ANBIMA, no prazo de até 15 (quinze) dias contados do comunicado de encerramento.</w:t>
      </w:r>
      <w:bookmarkEnd w:id="52"/>
      <w:r>
        <w:rPr>
          <w:sz w:val="22"/>
          <w:szCs w:val="22"/>
        </w:rPr>
        <w:t xml:space="preserve"> </w:t>
      </w:r>
    </w:p>
    <w:p w:rsidR="006B3686" w:rsidRDefault="00CE2CA2">
      <w:pPr>
        <w:pStyle w:val="Level2"/>
        <w:widowControl w:val="0"/>
        <w:tabs>
          <w:tab w:val="clear" w:pos="680"/>
          <w:tab w:val="num" w:pos="851"/>
        </w:tabs>
        <w:spacing w:after="120" w:line="276" w:lineRule="auto"/>
        <w:ind w:left="0" w:firstLine="0"/>
        <w:rPr>
          <w:rFonts w:cs="Arial"/>
          <w:b/>
          <w:sz w:val="22"/>
          <w:szCs w:val="22"/>
        </w:rPr>
      </w:pPr>
      <w:bookmarkStart w:id="53" w:name="_Toc51602603"/>
      <w:r>
        <w:rPr>
          <w:rFonts w:cs="Arial"/>
          <w:b/>
          <w:i/>
          <w:sz w:val="22"/>
          <w:szCs w:val="22"/>
        </w:rPr>
        <w:t>Registro dos Contratos de Garantia nos Cartórios de Registro de Títulos e Documentos</w:t>
      </w:r>
      <w:r>
        <w:rPr>
          <w:rFonts w:cs="Arial"/>
          <w:b/>
          <w:sz w:val="22"/>
          <w:szCs w:val="22"/>
        </w:rPr>
        <w:t>.</w:t>
      </w:r>
      <w:bookmarkEnd w:id="53"/>
      <w:r>
        <w:rPr>
          <w:rFonts w:cs="Arial"/>
          <w:b/>
          <w:sz w:val="22"/>
          <w:szCs w:val="22"/>
        </w:rPr>
        <w:t xml:space="preserve"> </w:t>
      </w:r>
    </w:p>
    <w:p w:rsidR="006B3686" w:rsidRDefault="00CE2CA2">
      <w:pPr>
        <w:pStyle w:val="Level3"/>
        <w:widowControl w:val="0"/>
        <w:tabs>
          <w:tab w:val="num" w:pos="851"/>
        </w:tabs>
        <w:spacing w:after="120" w:line="276" w:lineRule="auto"/>
        <w:ind w:left="0" w:firstLine="0"/>
        <w:rPr>
          <w:sz w:val="22"/>
          <w:szCs w:val="22"/>
        </w:rPr>
      </w:pPr>
      <w:bookmarkStart w:id="54" w:name="_Toc51602604"/>
      <w:r>
        <w:rPr>
          <w:sz w:val="22"/>
          <w:szCs w:val="22"/>
        </w:rPr>
        <w:t>Os Contratos de Garantia, assim como quaisquer aditamentos subsequentes aos Contratos de Garantia, serão levados a registro no competente Cartório de Registro de Títulos e Documentos, conforme prazos e termos indicados nos respectivos Contratos de Garantia.</w:t>
      </w:r>
      <w:bookmarkEnd w:id="54"/>
    </w:p>
    <w:p w:rsidR="006B3686" w:rsidRDefault="00CE2CA2">
      <w:pPr>
        <w:pStyle w:val="Level3"/>
        <w:widowControl w:val="0"/>
        <w:tabs>
          <w:tab w:val="num" w:pos="851"/>
        </w:tabs>
        <w:spacing w:after="120" w:line="276" w:lineRule="auto"/>
        <w:ind w:left="0" w:firstLine="0"/>
        <w:rPr>
          <w:sz w:val="22"/>
          <w:szCs w:val="22"/>
        </w:rPr>
      </w:pPr>
      <w:bookmarkStart w:id="55" w:name="_Ref447279616"/>
      <w:bookmarkStart w:id="56" w:name="_Toc51602605"/>
      <w:r>
        <w:rPr>
          <w:sz w:val="22"/>
          <w:szCs w:val="22"/>
        </w:rPr>
        <w:t xml:space="preserve">A Alienação Fiduciária de Ações que vier a ser constituída por meio do Contrato de Alienação Fiduciária de Ações será averbada nos respectivos livros de registro de ações nominativas da Companhia e/ou nos livros e sistemas da instituição financeira responsável pela prestação de serviços de escrituração das ações da Companhia, caso as ações da Companhia venham a se tornar escriturais, nos termos do artigo 39 da Lei das Sociedades por Ações, nos prazos previstos no Contrato de Alienação Fiduciária de </w:t>
      </w:r>
      <w:bookmarkEnd w:id="55"/>
      <w:r>
        <w:rPr>
          <w:sz w:val="22"/>
          <w:szCs w:val="22"/>
        </w:rPr>
        <w:t>Ações. A Companhia entregará, ao Agente Fiduciário, cópias integrais e autenticadas dos “Livros de Registro de Ações Nominativas” da Companhia e/ou declaração expedida pela instituição financeira responsável pela prestação de serviços de escrituração das ações da Companhia, caso as ações da Companhia venham a se tornar escriturais, evidenciando a referida averbação, nos prazos previstos no Contrato de Alienação Fiduciária de Ações.</w:t>
      </w:r>
      <w:bookmarkEnd w:id="56"/>
    </w:p>
    <w:p w:rsidR="006B3686" w:rsidRDefault="00CE2CA2">
      <w:pPr>
        <w:pStyle w:val="Level2"/>
        <w:widowControl w:val="0"/>
        <w:tabs>
          <w:tab w:val="clear" w:pos="680"/>
          <w:tab w:val="num" w:pos="851"/>
        </w:tabs>
        <w:spacing w:after="120" w:line="276" w:lineRule="auto"/>
        <w:ind w:left="0" w:firstLine="0"/>
        <w:rPr>
          <w:rFonts w:cs="Arial"/>
          <w:b/>
          <w:i/>
          <w:sz w:val="22"/>
          <w:szCs w:val="22"/>
        </w:rPr>
      </w:pPr>
      <w:bookmarkStart w:id="57" w:name="_Toc51602606"/>
      <w:r>
        <w:rPr>
          <w:rFonts w:cs="Arial"/>
          <w:b/>
          <w:i/>
          <w:sz w:val="22"/>
          <w:szCs w:val="22"/>
        </w:rPr>
        <w:t>Eficácia da Garantia Fidejussória</w:t>
      </w:r>
      <w:bookmarkEnd w:id="57"/>
    </w:p>
    <w:p w:rsidR="006B3686" w:rsidRDefault="00CE2CA2">
      <w:pPr>
        <w:pStyle w:val="Level3"/>
        <w:widowControl w:val="0"/>
        <w:tabs>
          <w:tab w:val="num" w:pos="851"/>
        </w:tabs>
        <w:spacing w:after="120" w:line="276" w:lineRule="auto"/>
        <w:ind w:left="0" w:firstLine="0"/>
        <w:rPr>
          <w:b/>
          <w:i/>
          <w:sz w:val="22"/>
          <w:szCs w:val="22"/>
        </w:rPr>
      </w:pPr>
      <w:bookmarkStart w:id="58" w:name="_Hlk38571142"/>
      <w:bookmarkStart w:id="59" w:name="_Toc51602607"/>
      <w:r>
        <w:rPr>
          <w:sz w:val="22"/>
          <w:szCs w:val="22"/>
        </w:rPr>
        <w:t>A Garantia Fidejussória deverá estar existente, válida e eficaz nos termos das leis estrangeiras aplicáveis.</w:t>
      </w:r>
      <w:bookmarkEnd w:id="58"/>
      <w:bookmarkEnd w:id="59"/>
    </w:p>
    <w:p w:rsidR="006B3686" w:rsidRDefault="00CE2CA2">
      <w:pPr>
        <w:pStyle w:val="Level1"/>
        <w:keepNext w:val="0"/>
        <w:keepLines w:val="0"/>
        <w:widowControl w:val="0"/>
        <w:tabs>
          <w:tab w:val="clear" w:pos="680"/>
          <w:tab w:val="num" w:pos="851"/>
        </w:tabs>
        <w:spacing w:before="0" w:after="120" w:line="276" w:lineRule="auto"/>
        <w:ind w:left="0" w:firstLine="0"/>
        <w:rPr>
          <w:smallCaps/>
          <w:color w:val="auto"/>
        </w:rPr>
      </w:pPr>
      <w:bookmarkStart w:id="60" w:name="_Toc51602608"/>
      <w:r>
        <w:rPr>
          <w:smallCaps/>
          <w:color w:val="auto"/>
        </w:rPr>
        <w:t>OBJETO SOCIAL DA COMPANHIA</w:t>
      </w:r>
      <w:bookmarkEnd w:id="60"/>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61" w:name="_Ref37879059"/>
      <w:bookmarkStart w:id="62" w:name="_Toc51602609"/>
      <w:r>
        <w:rPr>
          <w:rFonts w:cs="Arial"/>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Pr>
          <w:rFonts w:cs="Arial"/>
          <w:b/>
          <w:sz w:val="22"/>
          <w:szCs w:val="22"/>
        </w:rPr>
        <w:t>Projeto</w:t>
      </w:r>
      <w:r>
        <w:rPr>
          <w:rFonts w:cs="Arial"/>
          <w:sz w:val="22"/>
          <w:szCs w:val="22"/>
        </w:rPr>
        <w:t>”), nos termos e condições do Contrato de Concessão Patrocinada nº 015/2013, conforme aditado, celebrado com o Estado de São Paulo (“</w:t>
      </w:r>
      <w:r>
        <w:rPr>
          <w:rFonts w:cs="Arial"/>
          <w:b/>
          <w:sz w:val="22"/>
          <w:szCs w:val="22"/>
        </w:rPr>
        <w:t>Poder Concedente</w:t>
      </w:r>
      <w:r>
        <w:rPr>
          <w:rFonts w:cs="Arial"/>
          <w:sz w:val="22"/>
          <w:szCs w:val="22"/>
        </w:rPr>
        <w:t>”), por intermédio da sua Secretaria de Estado dos Transportes Metropolitanos (“</w:t>
      </w:r>
      <w:r>
        <w:rPr>
          <w:rFonts w:cs="Arial"/>
          <w:b/>
          <w:sz w:val="22"/>
          <w:szCs w:val="22"/>
        </w:rPr>
        <w:t>STM</w:t>
      </w:r>
      <w:r>
        <w:rPr>
          <w:rFonts w:cs="Arial"/>
          <w:sz w:val="22"/>
          <w:szCs w:val="22"/>
        </w:rPr>
        <w:t>”), e a Companhia, em razão do procedimento licitatório promovido pelo Poder Concedente nos termos do Edital de Concessão nº 004/2013 (“</w:t>
      </w:r>
      <w:r>
        <w:rPr>
          <w:rFonts w:cs="Arial"/>
          <w:b/>
          <w:sz w:val="22"/>
          <w:szCs w:val="22"/>
        </w:rPr>
        <w:t>Edita</w:t>
      </w:r>
      <w:r>
        <w:rPr>
          <w:rFonts w:cs="Arial"/>
          <w:sz w:val="22"/>
          <w:szCs w:val="22"/>
        </w:rPr>
        <w:t>l” e “</w:t>
      </w:r>
      <w:r>
        <w:rPr>
          <w:rFonts w:cs="Arial"/>
          <w:b/>
          <w:sz w:val="22"/>
          <w:szCs w:val="22"/>
        </w:rPr>
        <w:t>Contrato de Concessão</w:t>
      </w:r>
      <w:r>
        <w:rPr>
          <w:rFonts w:cs="Arial"/>
          <w:sz w:val="22"/>
          <w:szCs w:val="22"/>
        </w:rPr>
        <w:t>”, respectivamente).</w:t>
      </w:r>
      <w:bookmarkEnd w:id="61"/>
      <w:bookmarkEnd w:id="62"/>
    </w:p>
    <w:p w:rsidR="006B3686" w:rsidRDefault="00CE2CA2">
      <w:pPr>
        <w:pStyle w:val="Level1"/>
        <w:keepNext w:val="0"/>
        <w:keepLines w:val="0"/>
        <w:widowControl w:val="0"/>
        <w:spacing w:before="0" w:after="120" w:line="276" w:lineRule="auto"/>
        <w:ind w:left="0" w:firstLine="0"/>
        <w:rPr>
          <w:color w:val="auto"/>
        </w:rPr>
      </w:pPr>
      <w:bookmarkStart w:id="63" w:name="_Ref368578037"/>
      <w:bookmarkStart w:id="64" w:name="_Toc51602610"/>
      <w:r>
        <w:rPr>
          <w:color w:val="auto"/>
        </w:rPr>
        <w:t>DESTINAÇÃO DOS RECURSOS</w:t>
      </w:r>
      <w:bookmarkEnd w:id="63"/>
      <w:bookmarkEnd w:id="64"/>
    </w:p>
    <w:p w:rsidR="006B3686" w:rsidRDefault="00CE2CA2">
      <w:pPr>
        <w:pStyle w:val="Level2"/>
        <w:widowControl w:val="0"/>
        <w:tabs>
          <w:tab w:val="clear" w:pos="680"/>
          <w:tab w:val="num" w:pos="709"/>
        </w:tabs>
        <w:spacing w:after="120" w:line="276" w:lineRule="auto"/>
        <w:ind w:left="0" w:firstLine="0"/>
        <w:rPr>
          <w:rFonts w:cs="Arial"/>
          <w:b/>
          <w:i/>
          <w:sz w:val="22"/>
          <w:szCs w:val="22"/>
        </w:rPr>
      </w:pPr>
      <w:bookmarkStart w:id="65" w:name="_Ref264564155"/>
      <w:bookmarkStart w:id="66" w:name="_Hlk40288483"/>
      <w:bookmarkStart w:id="67" w:name="_Hlk40698730"/>
      <w:bookmarkStart w:id="68" w:name="_Toc51602611"/>
      <w:bookmarkStart w:id="69" w:name="_Ref164254172"/>
      <w:r>
        <w:rPr>
          <w:rFonts w:cs="Arial"/>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Pr>
          <w:rFonts w:cs="Arial"/>
          <w:b/>
          <w:bCs/>
          <w:sz w:val="22"/>
          <w:szCs w:val="22"/>
        </w:rPr>
        <w:t>Devedora Original</w:t>
      </w:r>
      <w:r>
        <w:rPr>
          <w:rFonts w:cs="Arial"/>
          <w:sz w:val="22"/>
          <w:szCs w:val="22"/>
        </w:rPr>
        <w:t>”), assumidas com os Credores Existentes, por conta e ordem da Devedora Original, no valor total de R$ 210.000.000,00 (duzentos e dez milhões de reais)  como parte do preço de aquisição da Concessão, e (ii) custos de implantação do Projeto (</w:t>
      </w:r>
      <w:proofErr w:type="spellStart"/>
      <w:r>
        <w:rPr>
          <w:rFonts w:cs="Arial"/>
          <w:i/>
          <w:iCs/>
          <w:sz w:val="22"/>
          <w:szCs w:val="22"/>
        </w:rPr>
        <w:t>capex</w:t>
      </w:r>
      <w:proofErr w:type="spellEnd"/>
      <w:r>
        <w:rPr>
          <w:rFonts w:cs="Arial"/>
          <w:sz w:val="22"/>
          <w:szCs w:val="22"/>
        </w:rPr>
        <w:t>) no valor remanescente.</w:t>
      </w:r>
      <w:bookmarkEnd w:id="65"/>
      <w:bookmarkEnd w:id="66"/>
      <w:bookmarkEnd w:id="67"/>
      <w:bookmarkEnd w:id="68"/>
    </w:p>
    <w:p w:rsidR="006B3686" w:rsidRDefault="00CE2CA2">
      <w:pPr>
        <w:pStyle w:val="Level1"/>
        <w:keepNext w:val="0"/>
        <w:keepLines w:val="0"/>
        <w:widowControl w:val="0"/>
        <w:tabs>
          <w:tab w:val="clear" w:pos="680"/>
          <w:tab w:val="num" w:pos="851"/>
        </w:tabs>
        <w:spacing w:before="0" w:after="120" w:line="276" w:lineRule="auto"/>
        <w:ind w:left="0" w:firstLine="0"/>
        <w:rPr>
          <w:smallCaps/>
          <w:color w:val="auto"/>
        </w:rPr>
      </w:pPr>
      <w:bookmarkStart w:id="70" w:name="_Toc51602612"/>
      <w:bookmarkEnd w:id="69"/>
      <w:r>
        <w:rPr>
          <w:smallCaps/>
          <w:color w:val="auto"/>
        </w:rPr>
        <w:t>CARACTERÍSTICAS DA OFERTA</w:t>
      </w:r>
      <w:bookmarkEnd w:id="70"/>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71" w:name="_Ref488943219"/>
      <w:bookmarkStart w:id="72" w:name="_Toc51602613"/>
      <w:r>
        <w:rPr>
          <w:rFonts w:cs="Arial"/>
          <w:i/>
          <w:sz w:val="22"/>
          <w:szCs w:val="22"/>
        </w:rPr>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71"/>
      <w:bookmarkEnd w:id="72"/>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73" w:name="_Ref529268539"/>
      <w:bookmarkStart w:id="74" w:name="_Toc51602614"/>
      <w:r>
        <w:rPr>
          <w:rFonts w:cs="Arial"/>
          <w:i/>
          <w:sz w:val="22"/>
          <w:szCs w:val="22"/>
        </w:rPr>
        <w:t>Prazo de Subscrição</w:t>
      </w:r>
      <w:r>
        <w:rPr>
          <w:rFonts w:cs="Arial"/>
          <w:sz w:val="22"/>
          <w:szCs w:val="22"/>
        </w:rPr>
        <w:t>. Respeitado o atendimento dos requisitos a que se refere a Cláusula </w:t>
      </w:r>
      <w:r>
        <w:rPr>
          <w:rFonts w:cs="Arial"/>
          <w:sz w:val="22"/>
          <w:szCs w:val="22"/>
        </w:rPr>
        <w:fldChar w:fldCharType="begin"/>
      </w:r>
      <w:r>
        <w:rPr>
          <w:rFonts w:cs="Arial"/>
          <w:sz w:val="22"/>
          <w:szCs w:val="22"/>
        </w:rPr>
        <w:instrText xml:space="preserve"> REF _Ref330905317 \n \p \h  \* MERGEFORMAT </w:instrText>
      </w:r>
      <w:r>
        <w:rPr>
          <w:rFonts w:cs="Arial"/>
          <w:sz w:val="22"/>
          <w:szCs w:val="22"/>
        </w:rPr>
      </w:r>
      <w:r>
        <w:rPr>
          <w:rFonts w:cs="Arial"/>
          <w:sz w:val="22"/>
          <w:szCs w:val="22"/>
        </w:rPr>
        <w:fldChar w:fldCharType="separate"/>
      </w:r>
      <w:r>
        <w:rPr>
          <w:rFonts w:cs="Arial"/>
          <w:sz w:val="22"/>
          <w:szCs w:val="22"/>
        </w:rPr>
        <w:t>3 acima</w:t>
      </w:r>
      <w:r>
        <w:rPr>
          <w:rFonts w:cs="Arial"/>
          <w:sz w:val="22"/>
          <w:szCs w:val="22"/>
        </w:rPr>
        <w:fldChar w:fldCharType="end"/>
      </w:r>
      <w:r>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Pr>
          <w:rFonts w:cs="Arial"/>
          <w:sz w:val="22"/>
          <w:szCs w:val="22"/>
        </w:rPr>
        <w:noBreakHyphen/>
        <w:t>A, 8º, parágrafo 2º, e 8º-A da Instrução CVM 476.</w:t>
      </w:r>
      <w:bookmarkEnd w:id="73"/>
      <w:bookmarkEnd w:id="74"/>
    </w:p>
    <w:p w:rsidR="006B3686" w:rsidRDefault="00CE2CA2">
      <w:pPr>
        <w:pStyle w:val="Level2"/>
        <w:widowControl w:val="0"/>
        <w:tabs>
          <w:tab w:val="clear" w:pos="680"/>
          <w:tab w:val="num" w:pos="851"/>
        </w:tabs>
        <w:spacing w:after="120" w:line="276" w:lineRule="auto"/>
        <w:ind w:left="0" w:firstLine="0"/>
        <w:rPr>
          <w:rFonts w:cs="Arial"/>
          <w:b/>
          <w:i/>
          <w:sz w:val="22"/>
          <w:szCs w:val="22"/>
        </w:rPr>
      </w:pPr>
      <w:bookmarkStart w:id="75" w:name="_Ref312315490"/>
      <w:bookmarkStart w:id="76" w:name="_Ref529293817"/>
      <w:bookmarkStart w:id="77" w:name="_Toc51602615"/>
      <w:r>
        <w:rPr>
          <w:rFonts w:cs="Arial"/>
          <w:i/>
          <w:sz w:val="22"/>
          <w:szCs w:val="22"/>
        </w:rPr>
        <w:t>Forma de Subscrição e de Integralização e Preço de Integralização</w:t>
      </w:r>
      <w:r>
        <w:rPr>
          <w:rFonts w:cs="Arial"/>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75"/>
      <w:r>
        <w:rPr>
          <w:rFonts w:cs="Arial"/>
          <w:sz w:val="22"/>
          <w:szCs w:val="22"/>
        </w:rPr>
        <w:t>A subscrição e integralização das Debêntures será realizada por Série, em 3 (três) eventos diferentes (cada evento, uma “</w:t>
      </w:r>
      <w:r>
        <w:rPr>
          <w:rFonts w:cs="Arial"/>
          <w:b/>
          <w:sz w:val="22"/>
          <w:szCs w:val="22"/>
        </w:rPr>
        <w:t>Data de Subscrição e Integralização</w:t>
      </w:r>
      <w:r>
        <w:rPr>
          <w:rFonts w:cs="Arial"/>
          <w:sz w:val="22"/>
          <w:szCs w:val="22"/>
        </w:rPr>
        <w:t>”).</w:t>
      </w:r>
      <w:bookmarkEnd w:id="76"/>
      <w:bookmarkEnd w:id="77"/>
      <w:r>
        <w:rPr>
          <w:rFonts w:cs="Arial"/>
          <w:sz w:val="22"/>
          <w:szCs w:val="22"/>
        </w:rPr>
        <w:t xml:space="preserve"> </w:t>
      </w:r>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78" w:name="_Ref264481789"/>
      <w:bookmarkStart w:id="79" w:name="_Ref310606049"/>
      <w:bookmarkStart w:id="80" w:name="_Toc51602616"/>
      <w:r>
        <w:rPr>
          <w:rFonts w:cs="Arial"/>
          <w:i/>
          <w:sz w:val="22"/>
          <w:szCs w:val="22"/>
        </w:rPr>
        <w:t>Negociação</w:t>
      </w:r>
      <w:r>
        <w:rPr>
          <w:rFonts w:cs="Arial"/>
          <w:sz w:val="22"/>
          <w:szCs w:val="22"/>
        </w:rPr>
        <w:t xml:space="preserve">. A negociação das Debêntures se dará nos termos da Cláusula </w:t>
      </w:r>
      <w:r>
        <w:rPr>
          <w:rFonts w:cs="Arial"/>
          <w:sz w:val="22"/>
          <w:szCs w:val="22"/>
        </w:rPr>
        <w:fldChar w:fldCharType="begin"/>
      </w:r>
      <w:r>
        <w:rPr>
          <w:rFonts w:cs="Arial"/>
          <w:sz w:val="22"/>
          <w:szCs w:val="22"/>
        </w:rPr>
        <w:instrText xml:space="preserve"> REF _Ref529290575 \r \h  \* MERGEFORMAT </w:instrText>
      </w:r>
      <w:r>
        <w:rPr>
          <w:rFonts w:cs="Arial"/>
          <w:sz w:val="22"/>
          <w:szCs w:val="22"/>
        </w:rPr>
      </w:r>
      <w:r>
        <w:rPr>
          <w:rFonts w:cs="Arial"/>
          <w:sz w:val="22"/>
          <w:szCs w:val="22"/>
        </w:rPr>
        <w:fldChar w:fldCharType="separate"/>
      </w:r>
      <w:r>
        <w:rPr>
          <w:rFonts w:cs="Arial"/>
          <w:sz w:val="22"/>
          <w:szCs w:val="22"/>
        </w:rPr>
        <w:t>3.4</w:t>
      </w:r>
      <w:r>
        <w:rPr>
          <w:rFonts w:cs="Arial"/>
          <w:sz w:val="22"/>
          <w:szCs w:val="22"/>
        </w:rPr>
        <w:fldChar w:fldCharType="end"/>
      </w:r>
      <w:r>
        <w:rPr>
          <w:rFonts w:cs="Arial"/>
          <w:sz w:val="22"/>
          <w:szCs w:val="22"/>
        </w:rPr>
        <w:t xml:space="preserve"> acima</w:t>
      </w:r>
      <w:bookmarkEnd w:id="78"/>
      <w:r>
        <w:rPr>
          <w:rFonts w:cs="Arial"/>
          <w:sz w:val="22"/>
          <w:szCs w:val="22"/>
        </w:rPr>
        <w:t>.</w:t>
      </w:r>
      <w:bookmarkEnd w:id="79"/>
      <w:bookmarkEnd w:id="80"/>
    </w:p>
    <w:p w:rsidR="006B3686" w:rsidRDefault="00CE2CA2">
      <w:pPr>
        <w:pStyle w:val="Level1"/>
        <w:keepNext w:val="0"/>
        <w:keepLines w:val="0"/>
        <w:widowControl w:val="0"/>
        <w:tabs>
          <w:tab w:val="clear" w:pos="680"/>
          <w:tab w:val="num" w:pos="851"/>
        </w:tabs>
        <w:spacing w:before="0" w:after="120" w:line="276" w:lineRule="auto"/>
        <w:ind w:left="0" w:firstLine="0"/>
        <w:rPr>
          <w:smallCaps/>
          <w:color w:val="auto"/>
        </w:rPr>
      </w:pPr>
      <w:bookmarkStart w:id="81" w:name="_Toc51602617"/>
      <w:r>
        <w:rPr>
          <w:smallCaps/>
          <w:color w:val="auto"/>
        </w:rPr>
        <w:t>CARACTERÍSTICAS DA EMISSÃO E DAS DEBÊNTURES</w:t>
      </w:r>
      <w:bookmarkEnd w:id="81"/>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82" w:name="_Toc51602618"/>
      <w:r>
        <w:rPr>
          <w:rFonts w:cs="Arial"/>
          <w:i/>
          <w:sz w:val="22"/>
          <w:szCs w:val="22"/>
        </w:rPr>
        <w:t>Número da Emissão</w:t>
      </w:r>
      <w:r>
        <w:rPr>
          <w:rFonts w:cs="Arial"/>
          <w:sz w:val="22"/>
          <w:szCs w:val="22"/>
        </w:rPr>
        <w:t xml:space="preserve">. </w:t>
      </w:r>
      <w:bookmarkStart w:id="83" w:name="_Ref130282607"/>
      <w:r>
        <w:rPr>
          <w:rFonts w:cs="Arial"/>
          <w:sz w:val="22"/>
          <w:szCs w:val="22"/>
        </w:rPr>
        <w:t>As Debêntures representam a 1ª (primeira) emissão de debêntures da Companhia.</w:t>
      </w:r>
      <w:bookmarkEnd w:id="82"/>
      <w:r>
        <w:rPr>
          <w:rFonts w:cs="Arial"/>
          <w:sz w:val="22"/>
          <w:szCs w:val="22"/>
        </w:rPr>
        <w:t xml:space="preserve"> </w:t>
      </w:r>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84" w:name="_Toc51602619"/>
      <w:r>
        <w:rPr>
          <w:rFonts w:cs="Arial"/>
          <w:i/>
          <w:sz w:val="22"/>
          <w:szCs w:val="22"/>
        </w:rPr>
        <w:t>Valor Total da Emissão</w:t>
      </w:r>
      <w:r>
        <w:rPr>
          <w:rFonts w:cs="Arial"/>
          <w:sz w:val="22"/>
          <w:szCs w:val="22"/>
        </w:rPr>
        <w:t>. O valor total da Emissão será de R$1.000.000.000,00 (um bilhão de reais de reais) na Data de Emissão.</w:t>
      </w:r>
      <w:bookmarkEnd w:id="83"/>
      <w:bookmarkEnd w:id="84"/>
      <w:r>
        <w:rPr>
          <w:rFonts w:cs="Arial"/>
          <w:sz w:val="22"/>
          <w:szCs w:val="22"/>
        </w:rPr>
        <w:t xml:space="preserve"> </w:t>
      </w:r>
    </w:p>
    <w:p w:rsidR="006B3686" w:rsidRDefault="00CE2CA2">
      <w:pPr>
        <w:pStyle w:val="Level2"/>
        <w:widowControl w:val="0"/>
        <w:tabs>
          <w:tab w:val="clear" w:pos="680"/>
          <w:tab w:val="num" w:pos="851"/>
        </w:tabs>
        <w:spacing w:after="120" w:line="276" w:lineRule="auto"/>
        <w:ind w:left="0" w:firstLine="0"/>
      </w:pPr>
      <w:bookmarkStart w:id="85" w:name="_Ref130282609"/>
      <w:bookmarkStart w:id="86" w:name="_Ref191891558"/>
      <w:bookmarkStart w:id="87" w:name="_Ref310951543"/>
      <w:bookmarkStart w:id="88" w:name="_Toc51602620"/>
      <w:r>
        <w:rPr>
          <w:rFonts w:cs="Arial"/>
          <w:i/>
          <w:sz w:val="22"/>
          <w:szCs w:val="22"/>
        </w:rPr>
        <w:t>Quantidade</w:t>
      </w:r>
      <w:r>
        <w:rPr>
          <w:rFonts w:cs="Arial"/>
          <w:sz w:val="22"/>
          <w:szCs w:val="22"/>
        </w:rPr>
        <w:t>. Serão emitidas 1.000.000 (um milhão) de Debêntures</w:t>
      </w:r>
      <w:bookmarkEnd w:id="85"/>
      <w:bookmarkEnd w:id="86"/>
      <w:r>
        <w:rPr>
          <w:rFonts w:cs="Arial"/>
          <w:sz w:val="22"/>
          <w:szCs w:val="22"/>
        </w:rPr>
        <w:t xml:space="preserve">, sendo que serão emitidas </w:t>
      </w:r>
      <w:bookmarkStart w:id="89" w:name="_Hlk40695079"/>
      <w:r>
        <w:rPr>
          <w:rFonts w:cs="Arial"/>
          <w:sz w:val="22"/>
          <w:szCs w:val="22"/>
        </w:rPr>
        <w:t>(a) 770.000 (setecentos e setenta mil) debêntures na primeira série (“</w:t>
      </w:r>
      <w:r>
        <w:rPr>
          <w:rFonts w:cs="Arial"/>
          <w:b/>
          <w:sz w:val="22"/>
          <w:szCs w:val="22"/>
        </w:rPr>
        <w:t>Debêntures da Primeira Série</w:t>
      </w:r>
      <w:r>
        <w:rPr>
          <w:rFonts w:cs="Arial"/>
          <w:sz w:val="22"/>
          <w:szCs w:val="22"/>
        </w:rPr>
        <w:t>”); (b) 110.000 (cento e dez mil) debêntures na segunda série (“</w:t>
      </w:r>
      <w:r>
        <w:rPr>
          <w:rFonts w:cs="Arial"/>
          <w:b/>
          <w:sz w:val="22"/>
          <w:szCs w:val="22"/>
        </w:rPr>
        <w:t>Debêntures da Segunda Série</w:t>
      </w:r>
      <w:r>
        <w:rPr>
          <w:rFonts w:cs="Arial"/>
          <w:sz w:val="22"/>
          <w:szCs w:val="22"/>
        </w:rPr>
        <w:t>”); e (c) 120.000 (cento e vinte mil) debêntures na terceira série (“</w:t>
      </w:r>
      <w:r>
        <w:rPr>
          <w:rFonts w:cs="Arial"/>
          <w:b/>
          <w:sz w:val="22"/>
          <w:szCs w:val="22"/>
        </w:rPr>
        <w:t>Debêntures da Terceira Série</w:t>
      </w:r>
      <w:r>
        <w:rPr>
          <w:rFonts w:cs="Arial"/>
          <w:sz w:val="22"/>
          <w:szCs w:val="22"/>
        </w:rPr>
        <w:t>”).</w:t>
      </w:r>
      <w:bookmarkEnd w:id="87"/>
      <w:bookmarkEnd w:id="88"/>
      <w:bookmarkEnd w:id="89"/>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90" w:name="_Ref264653613"/>
      <w:bookmarkStart w:id="91" w:name="_Toc51602621"/>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90"/>
      <w:r>
        <w:rPr>
          <w:rFonts w:cs="Arial"/>
          <w:sz w:val="22"/>
          <w:szCs w:val="22"/>
        </w:rPr>
        <w:t>”).</w:t>
      </w:r>
      <w:bookmarkEnd w:id="91"/>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92" w:name="_Ref137548372"/>
      <w:bookmarkStart w:id="93" w:name="_Ref168458019"/>
      <w:bookmarkStart w:id="94" w:name="_Ref191891571"/>
      <w:bookmarkStart w:id="95" w:name="_Toc51602622"/>
      <w:bookmarkStart w:id="96" w:name="_Ref130363099"/>
      <w:r>
        <w:rPr>
          <w:rFonts w:cs="Arial"/>
          <w:i/>
          <w:sz w:val="22"/>
          <w:szCs w:val="22"/>
        </w:rPr>
        <w:t>Séries</w:t>
      </w:r>
      <w:r>
        <w:rPr>
          <w:rFonts w:cs="Arial"/>
          <w:sz w:val="22"/>
          <w:szCs w:val="22"/>
        </w:rPr>
        <w:t xml:space="preserve">. </w:t>
      </w:r>
      <w:bookmarkEnd w:id="92"/>
      <w:r>
        <w:rPr>
          <w:rFonts w:cs="Arial"/>
          <w:sz w:val="22"/>
          <w:szCs w:val="22"/>
        </w:rPr>
        <w:t>A Emissão será realizada em 3 (três) séries (cada qual, uma “</w:t>
      </w:r>
      <w:r>
        <w:rPr>
          <w:rFonts w:cs="Arial"/>
          <w:b/>
          <w:sz w:val="22"/>
          <w:szCs w:val="22"/>
        </w:rPr>
        <w:t>Série</w:t>
      </w:r>
      <w:r>
        <w:rPr>
          <w:rFonts w:cs="Arial"/>
          <w:sz w:val="22"/>
          <w:szCs w:val="22"/>
        </w:rPr>
        <w:t>”).</w:t>
      </w:r>
      <w:bookmarkEnd w:id="93"/>
      <w:bookmarkEnd w:id="94"/>
      <w:bookmarkEnd w:id="95"/>
      <w:r>
        <w:rPr>
          <w:rFonts w:cs="Arial"/>
          <w:sz w:val="22"/>
          <w:szCs w:val="22"/>
        </w:rPr>
        <w:t xml:space="preserve"> </w:t>
      </w:r>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97" w:name="_Toc51602623"/>
      <w:bookmarkEnd w:id="96"/>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bookmarkEnd w:id="97"/>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98" w:name="_Toc51602624"/>
      <w:r>
        <w:rPr>
          <w:rFonts w:cs="Arial"/>
          <w:i/>
          <w:sz w:val="22"/>
          <w:szCs w:val="22"/>
        </w:rPr>
        <w:t>Conversibilidade</w:t>
      </w:r>
      <w:r>
        <w:rPr>
          <w:rFonts w:cs="Arial"/>
          <w:sz w:val="22"/>
          <w:szCs w:val="22"/>
        </w:rPr>
        <w:t>. As Debêntures não serão conversíveis em ações de emissão da Companhia.</w:t>
      </w:r>
      <w:bookmarkEnd w:id="98"/>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99" w:name="_Toc51602625"/>
      <w:r>
        <w:rPr>
          <w:rFonts w:cs="Arial"/>
          <w:i/>
          <w:sz w:val="22"/>
          <w:szCs w:val="22"/>
        </w:rPr>
        <w:t>Espécie</w:t>
      </w:r>
      <w:r>
        <w:rPr>
          <w:rFonts w:cs="Arial"/>
          <w:sz w:val="22"/>
          <w:szCs w:val="22"/>
        </w:rPr>
        <w:t xml:space="preserve">. As Debêntures serão da </w:t>
      </w:r>
      <w:r>
        <w:rPr>
          <w:rFonts w:cs="Arial"/>
          <w:sz w:val="22"/>
          <w:szCs w:val="22"/>
        </w:rPr>
        <w:t xml:space="preserve">espécie </w:t>
      </w:r>
      <w:r>
        <w:rPr>
          <w:rFonts w:cs="Arial"/>
          <w:sz w:val="22"/>
          <w:szCs w:val="22"/>
        </w:rPr>
        <w:t>com garantia real</w:t>
      </w:r>
      <w:r>
        <w:rPr>
          <w:rFonts w:cs="Arial"/>
          <w:sz w:val="22"/>
          <w:szCs w:val="22"/>
        </w:rPr>
        <w:t xml:space="preserve"> e com garantia fidejussória adicional</w:t>
      </w:r>
      <w:r>
        <w:rPr>
          <w:rFonts w:cs="Arial"/>
          <w:sz w:val="22"/>
          <w:szCs w:val="22"/>
        </w:rPr>
        <w:t>, nos termos do artigo 58 da Lei das Sociedades por Ações.</w:t>
      </w:r>
      <w:bookmarkEnd w:id="99"/>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100" w:name="_Ref264653840"/>
      <w:bookmarkStart w:id="101" w:name="_Ref278297550"/>
      <w:bookmarkStart w:id="102" w:name="_Ref279826913"/>
      <w:bookmarkStart w:id="103" w:name="_Toc51602627"/>
      <w:r>
        <w:rPr>
          <w:rFonts w:cs="Arial"/>
          <w:i/>
          <w:sz w:val="22"/>
          <w:szCs w:val="22"/>
        </w:rPr>
        <w:t>Data de Emissão</w:t>
      </w:r>
      <w:r>
        <w:rPr>
          <w:rFonts w:cs="Arial"/>
          <w:sz w:val="22"/>
          <w:szCs w:val="22"/>
        </w:rPr>
        <w:t>. Para todos os efeitos legais, a data de emissão das Debêntures será 2 de outubro 2020 (“</w:t>
      </w:r>
      <w:r>
        <w:rPr>
          <w:rFonts w:cs="Arial"/>
          <w:b/>
          <w:sz w:val="22"/>
          <w:szCs w:val="22"/>
        </w:rPr>
        <w:t>Data de Emissão</w:t>
      </w:r>
      <w:bookmarkStart w:id="104" w:name="_Ref535067474"/>
      <w:bookmarkEnd w:id="100"/>
      <w:bookmarkEnd w:id="101"/>
      <w:bookmarkEnd w:id="102"/>
      <w:r>
        <w:rPr>
          <w:rFonts w:cs="Arial"/>
          <w:sz w:val="22"/>
          <w:szCs w:val="22"/>
        </w:rPr>
        <w:t>”).</w:t>
      </w:r>
      <w:bookmarkEnd w:id="103"/>
      <w:r>
        <w:rPr>
          <w:rFonts w:cs="Arial"/>
          <w:sz w:val="22"/>
          <w:szCs w:val="22"/>
        </w:rPr>
        <w:t xml:space="preserve"> </w:t>
      </w:r>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105" w:name="_Ref272250319"/>
      <w:bookmarkStart w:id="106" w:name="_Toc51602628"/>
      <w:r>
        <w:rPr>
          <w:rFonts w:cs="Arial"/>
          <w:i/>
          <w:sz w:val="22"/>
          <w:szCs w:val="22"/>
        </w:rPr>
        <w:t>Prazo e Data de Vencimento</w:t>
      </w:r>
      <w:r>
        <w:rPr>
          <w:rFonts w:cs="Arial"/>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2 de outubro de 2021 (“</w:t>
      </w:r>
      <w:r>
        <w:rPr>
          <w:rFonts w:cs="Arial"/>
          <w:b/>
          <w:sz w:val="22"/>
          <w:szCs w:val="22"/>
        </w:rPr>
        <w:t>Data de Vencimento</w:t>
      </w:r>
      <w:bookmarkEnd w:id="105"/>
      <w:r>
        <w:rPr>
          <w:rFonts w:cs="Arial"/>
          <w:sz w:val="22"/>
          <w:szCs w:val="22"/>
        </w:rPr>
        <w:t>”).</w:t>
      </w:r>
      <w:bookmarkEnd w:id="106"/>
      <w:r>
        <w:rPr>
          <w:rFonts w:cs="Arial"/>
          <w:sz w:val="22"/>
          <w:szCs w:val="22"/>
        </w:rPr>
        <w:t xml:space="preserve"> </w:t>
      </w:r>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107" w:name="_Ref499717905"/>
      <w:bookmarkStart w:id="108" w:name="_Toc51602629"/>
      <w:bookmarkStart w:id="109" w:name="_Ref528595098"/>
      <w:bookmarkStart w:id="110" w:name="_Ref264560361"/>
      <w:r>
        <w:rPr>
          <w:rFonts w:cs="Arial"/>
          <w:i/>
          <w:sz w:val="22"/>
          <w:szCs w:val="22"/>
        </w:rPr>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07"/>
      <w:r>
        <w:rPr>
          <w:rFonts w:cs="Arial"/>
          <w:sz w:val="22"/>
          <w:szCs w:val="22"/>
        </w:rPr>
        <w:t>uma única parcela, na Data de Vencimento.</w:t>
      </w:r>
      <w:bookmarkEnd w:id="108"/>
      <w:r>
        <w:rPr>
          <w:rFonts w:cs="Arial"/>
          <w:sz w:val="22"/>
          <w:szCs w:val="22"/>
        </w:rPr>
        <w:t xml:space="preserve"> </w:t>
      </w:r>
      <w:bookmarkEnd w:id="109"/>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111" w:name="_Ref137107211"/>
      <w:bookmarkStart w:id="112" w:name="_Ref264551489"/>
      <w:bookmarkStart w:id="113" w:name="_Ref279826774"/>
      <w:bookmarkStart w:id="114" w:name="_Toc51602630"/>
      <w:bookmarkEnd w:id="110"/>
      <w:r>
        <w:rPr>
          <w:rFonts w:cs="Arial"/>
          <w:i/>
          <w:sz w:val="22"/>
          <w:szCs w:val="22"/>
        </w:rPr>
        <w:t>Remuneração</w:t>
      </w:r>
      <w:r>
        <w:rPr>
          <w:rFonts w:cs="Arial"/>
          <w:sz w:val="22"/>
          <w:szCs w:val="22"/>
        </w:rPr>
        <w:t>.</w:t>
      </w:r>
      <w:bookmarkEnd w:id="111"/>
      <w:r>
        <w:rPr>
          <w:rFonts w:cs="Arial"/>
          <w:sz w:val="22"/>
          <w:szCs w:val="22"/>
        </w:rPr>
        <w:t xml:space="preserve"> </w:t>
      </w:r>
      <w:bookmarkStart w:id="115" w:name="_Ref260242522"/>
      <w:bookmarkStart w:id="116" w:name="_Ref130286776"/>
      <w:bookmarkStart w:id="117" w:name="_Ref130611431"/>
      <w:bookmarkStart w:id="118" w:name="_Ref168843122"/>
      <w:bookmarkStart w:id="119" w:name="_Ref130282854"/>
      <w:bookmarkEnd w:id="112"/>
      <w:r>
        <w:rPr>
          <w:rFonts w:cs="Arial"/>
          <w:sz w:val="22"/>
          <w:szCs w:val="22"/>
        </w:rPr>
        <w:t>A remuneração das Debêntures será a seguinte:</w:t>
      </w:r>
      <w:bookmarkEnd w:id="113"/>
      <w:bookmarkEnd w:id="114"/>
      <w:bookmarkEnd w:id="115"/>
      <w:r>
        <w:rPr>
          <w:rFonts w:cs="Arial"/>
          <w:sz w:val="22"/>
          <w:szCs w:val="22"/>
        </w:rPr>
        <w:t xml:space="preserve"> </w:t>
      </w:r>
    </w:p>
    <w:p w:rsidR="006B3686" w:rsidRDefault="00CE2CA2">
      <w:pPr>
        <w:pStyle w:val="Level3"/>
        <w:widowControl w:val="0"/>
        <w:tabs>
          <w:tab w:val="clear" w:pos="1361"/>
          <w:tab w:val="left" w:pos="0"/>
          <w:tab w:val="num" w:pos="851"/>
        </w:tabs>
        <w:spacing w:after="120" w:line="276" w:lineRule="auto"/>
        <w:ind w:left="0" w:firstLine="0"/>
        <w:rPr>
          <w:sz w:val="22"/>
          <w:szCs w:val="22"/>
        </w:rPr>
      </w:pPr>
      <w:bookmarkStart w:id="120" w:name="_Toc51602631"/>
      <w:r>
        <w:rPr>
          <w:i/>
          <w:sz w:val="22"/>
          <w:szCs w:val="22"/>
        </w:rPr>
        <w:t>Atualização Monetária</w:t>
      </w:r>
      <w:r>
        <w:rPr>
          <w:sz w:val="22"/>
          <w:szCs w:val="22"/>
        </w:rPr>
        <w:t xml:space="preserve">: </w:t>
      </w:r>
      <w:bookmarkStart w:id="121" w:name="_Ref164156803"/>
      <w:r>
        <w:rPr>
          <w:sz w:val="22"/>
          <w:szCs w:val="22"/>
        </w:rPr>
        <w:t>o Valor Nominal Unitário das Debêntures não será atualizado monetariamente; e</w:t>
      </w:r>
      <w:bookmarkEnd w:id="120"/>
    </w:p>
    <w:p w:rsidR="006B3686" w:rsidRDefault="00CE2CA2">
      <w:pPr>
        <w:pStyle w:val="Level3"/>
        <w:widowControl w:val="0"/>
        <w:tabs>
          <w:tab w:val="clear" w:pos="1361"/>
          <w:tab w:val="left" w:pos="0"/>
          <w:tab w:val="num" w:pos="851"/>
        </w:tabs>
        <w:spacing w:after="120" w:line="276" w:lineRule="auto"/>
        <w:ind w:left="0" w:firstLine="0"/>
        <w:rPr>
          <w:sz w:val="22"/>
          <w:szCs w:val="22"/>
        </w:rPr>
      </w:pPr>
      <w:bookmarkStart w:id="122" w:name="_Toc51602632"/>
      <w:bookmarkStart w:id="123" w:name="_Ref328665579"/>
      <w:bookmarkStart w:id="124" w:name="_Ref488948415"/>
      <w:bookmarkStart w:id="125" w:name="_Ref279828381"/>
      <w:bookmarkStart w:id="126" w:name="_Ref289698191"/>
      <w:r>
        <w:rPr>
          <w:i/>
          <w:sz w:val="22"/>
          <w:szCs w:val="22"/>
        </w:rPr>
        <w:t>Juros Remuneratórios</w:t>
      </w:r>
      <w:r>
        <w:rPr>
          <w:sz w:val="22"/>
          <w:szCs w:val="22"/>
        </w:rPr>
        <w:t>: sobre o Valor Nominal Unitário ou saldo do Valor Nominal Unitário de cada Série das Debêntures</w:t>
      </w:r>
      <w:bookmarkStart w:id="127" w:name="_Ref137107209"/>
      <w:r>
        <w:rPr>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Pr>
          <w:b/>
          <w:sz w:val="22"/>
          <w:szCs w:val="22"/>
        </w:rPr>
        <w:t>Remuneração</w:t>
      </w:r>
      <w:r>
        <w:rPr>
          <w:sz w:val="22"/>
          <w:szCs w:val="22"/>
        </w:rPr>
        <w:t xml:space="preserve">”), calculados de forma exponencial e cumulativa </w:t>
      </w:r>
      <w:r>
        <w:rPr>
          <w:i/>
          <w:sz w:val="22"/>
          <w:szCs w:val="22"/>
        </w:rPr>
        <w:t>pro rata temporis</w:t>
      </w:r>
      <w:r>
        <w:rPr>
          <w:sz w:val="22"/>
          <w:szCs w:val="22"/>
        </w:rPr>
        <w:t>, por dias úteis decorridos, desde a respectiva Data de Subscrição e Integralização ou a data de pagamento da Remuneração imediatamente anterior, conforme o caso, até a data do efetivo pagamento</w:t>
      </w:r>
      <w:bookmarkEnd w:id="127"/>
      <w:r>
        <w:rPr>
          <w:sz w:val="22"/>
          <w:szCs w:val="22"/>
        </w:rPr>
        <w:t>. Sem prejuízo dos pagamentos em decorrência de resgate antecipado das Debêntures ou de vencimento antecipado das obrigações decorrentes das Debêntures, nos termos previstos nesta Escritura de Emissão, a Remuneração de cada Série será paga semestralmente, sempre no dia 2 dos meses de abril e outubro de cada ano, com o primeiro pagamento em 2 de abril de 2021 e o segundo e último na Data de Vencimento.</w:t>
      </w:r>
      <w:bookmarkEnd w:id="122"/>
      <w:r>
        <w:rPr>
          <w:sz w:val="22"/>
          <w:szCs w:val="22"/>
        </w:rPr>
        <w:t xml:space="preserve"> </w:t>
      </w:r>
    </w:p>
    <w:p w:rsidR="006B3686" w:rsidRDefault="00CE2CA2">
      <w:pPr>
        <w:pStyle w:val="Level3"/>
        <w:widowControl w:val="0"/>
        <w:tabs>
          <w:tab w:val="clear" w:pos="1361"/>
          <w:tab w:val="left" w:pos="0"/>
          <w:tab w:val="num" w:pos="851"/>
        </w:tabs>
        <w:spacing w:after="120" w:line="276" w:lineRule="auto"/>
        <w:ind w:left="0" w:firstLine="0"/>
        <w:rPr>
          <w:sz w:val="22"/>
          <w:szCs w:val="22"/>
        </w:rPr>
      </w:pPr>
      <w:bookmarkStart w:id="128" w:name="_Toc51602633"/>
      <w:r>
        <w:rPr>
          <w:sz w:val="22"/>
          <w:szCs w:val="22"/>
        </w:rPr>
        <w:t>As Debêntures farão jus a seguinte taxa de remuneração, cada uma, uma “</w:t>
      </w:r>
      <w:r>
        <w:rPr>
          <w:b/>
          <w:sz w:val="22"/>
          <w:szCs w:val="22"/>
        </w:rPr>
        <w:t>Taxa de Remuneração do Período</w:t>
      </w:r>
      <w:r>
        <w:rPr>
          <w:sz w:val="22"/>
          <w:szCs w:val="22"/>
        </w:rPr>
        <w:t>”:</w:t>
      </w:r>
      <w:bookmarkEnd w:id="128"/>
      <w:r>
        <w:rPr>
          <w:sz w:val="22"/>
          <w:szCs w:val="22"/>
        </w:rPr>
        <w:t xml:space="preserve"> </w:t>
      </w:r>
    </w:p>
    <w:tbl>
      <w:tblPr>
        <w:tblStyle w:val="Tabelacomgrade"/>
        <w:tblW w:w="0" w:type="auto"/>
        <w:tblLook w:val="04A0" w:firstRow="1" w:lastRow="0" w:firstColumn="1" w:lastColumn="0" w:noHBand="0" w:noVBand="1"/>
      </w:tblPr>
      <w:tblGrid>
        <w:gridCol w:w="4253"/>
        <w:gridCol w:w="4254"/>
      </w:tblGrid>
      <w:tr w:rsidR="006B3686">
        <w:tc>
          <w:tcPr>
            <w:tcW w:w="4253" w:type="dxa"/>
            <w:shd w:val="clear" w:color="auto" w:fill="BFBFBF" w:themeFill="background1" w:themeFillShade="BF"/>
          </w:tcPr>
          <w:p w:rsidR="006B3686" w:rsidRDefault="00CE2CA2">
            <w:pPr>
              <w:pStyle w:val="Level3"/>
              <w:widowControl w:val="0"/>
              <w:numPr>
                <w:ilvl w:val="0"/>
                <w:numId w:val="0"/>
              </w:numPr>
              <w:tabs>
                <w:tab w:val="left" w:pos="0"/>
              </w:tabs>
              <w:spacing w:after="120" w:line="276" w:lineRule="auto"/>
              <w:jc w:val="center"/>
              <w:rPr>
                <w:b/>
                <w:sz w:val="22"/>
                <w:szCs w:val="22"/>
              </w:rPr>
            </w:pPr>
            <w:bookmarkStart w:id="129" w:name="_Toc51602634"/>
            <w:r>
              <w:rPr>
                <w:b/>
                <w:sz w:val="22"/>
                <w:szCs w:val="22"/>
              </w:rPr>
              <w:t>Período</w:t>
            </w:r>
            <w:bookmarkEnd w:id="129"/>
          </w:p>
        </w:tc>
        <w:tc>
          <w:tcPr>
            <w:tcW w:w="4254" w:type="dxa"/>
            <w:shd w:val="clear" w:color="auto" w:fill="BFBFBF" w:themeFill="background1" w:themeFillShade="BF"/>
          </w:tcPr>
          <w:p w:rsidR="006B3686" w:rsidRDefault="00CE2CA2">
            <w:pPr>
              <w:pStyle w:val="Level3"/>
              <w:widowControl w:val="0"/>
              <w:numPr>
                <w:ilvl w:val="0"/>
                <w:numId w:val="0"/>
              </w:numPr>
              <w:tabs>
                <w:tab w:val="left" w:pos="0"/>
              </w:tabs>
              <w:spacing w:after="120" w:line="276" w:lineRule="auto"/>
              <w:jc w:val="center"/>
              <w:rPr>
                <w:b/>
                <w:sz w:val="22"/>
                <w:szCs w:val="22"/>
              </w:rPr>
            </w:pPr>
            <w:bookmarkStart w:id="130" w:name="_Toc51602635"/>
            <w:r>
              <w:rPr>
                <w:b/>
                <w:sz w:val="22"/>
                <w:szCs w:val="22"/>
              </w:rPr>
              <w:t>Taxa de Remuneração do Período</w:t>
            </w:r>
            <w:bookmarkEnd w:id="130"/>
          </w:p>
        </w:tc>
      </w:tr>
      <w:tr w:rsidR="006B3686">
        <w:tc>
          <w:tcPr>
            <w:tcW w:w="4253" w:type="dxa"/>
          </w:tcPr>
          <w:p w:rsidR="006B3686" w:rsidRDefault="00CE2CA2">
            <w:pPr>
              <w:pStyle w:val="Level3"/>
              <w:widowControl w:val="0"/>
              <w:numPr>
                <w:ilvl w:val="0"/>
                <w:numId w:val="0"/>
              </w:numPr>
              <w:tabs>
                <w:tab w:val="left" w:pos="0"/>
              </w:tabs>
              <w:spacing w:after="120" w:line="276" w:lineRule="auto"/>
              <w:rPr>
                <w:sz w:val="22"/>
                <w:szCs w:val="22"/>
              </w:rPr>
            </w:pPr>
            <w:bookmarkStart w:id="131" w:name="_Toc51602636"/>
            <w:r>
              <w:rPr>
                <w:sz w:val="22"/>
                <w:szCs w:val="22"/>
              </w:rPr>
              <w:t>Da Data de Emissão (inclusive) até 2 de abril de 2021 (exclusive)</w:t>
            </w:r>
            <w:bookmarkEnd w:id="131"/>
          </w:p>
        </w:tc>
        <w:tc>
          <w:tcPr>
            <w:tcW w:w="4254" w:type="dxa"/>
          </w:tcPr>
          <w:p w:rsidR="006B3686" w:rsidRDefault="00CE2CA2">
            <w:pPr>
              <w:pStyle w:val="Level3"/>
              <w:widowControl w:val="0"/>
              <w:numPr>
                <w:ilvl w:val="0"/>
                <w:numId w:val="0"/>
              </w:numPr>
              <w:tabs>
                <w:tab w:val="left" w:pos="0"/>
              </w:tabs>
              <w:spacing w:after="120" w:line="276" w:lineRule="auto"/>
              <w:rPr>
                <w:sz w:val="22"/>
                <w:szCs w:val="22"/>
              </w:rPr>
            </w:pPr>
            <w:bookmarkStart w:id="132" w:name="_Toc51602637"/>
            <w:r>
              <w:rPr>
                <w:sz w:val="22"/>
                <w:szCs w:val="22"/>
              </w:rPr>
              <w:t>1,35% (um inteiro e trinta e cinco centésimos por cento)</w:t>
            </w:r>
            <w:bookmarkEnd w:id="132"/>
          </w:p>
        </w:tc>
      </w:tr>
      <w:tr w:rsidR="006B3686">
        <w:tc>
          <w:tcPr>
            <w:tcW w:w="4253" w:type="dxa"/>
          </w:tcPr>
          <w:p w:rsidR="006B3686" w:rsidRDefault="00CE2CA2">
            <w:pPr>
              <w:pStyle w:val="Level3"/>
              <w:widowControl w:val="0"/>
              <w:numPr>
                <w:ilvl w:val="0"/>
                <w:numId w:val="0"/>
              </w:numPr>
              <w:tabs>
                <w:tab w:val="left" w:pos="0"/>
              </w:tabs>
              <w:spacing w:after="120" w:line="276" w:lineRule="auto"/>
              <w:rPr>
                <w:sz w:val="22"/>
                <w:szCs w:val="22"/>
              </w:rPr>
            </w:pPr>
            <w:bookmarkStart w:id="133" w:name="_Toc51602638"/>
            <w:r>
              <w:rPr>
                <w:sz w:val="22"/>
                <w:szCs w:val="22"/>
              </w:rPr>
              <w:t>De 2 de abril de 2021 (inclusive) até 2 de julho de 2021 (exclusive)</w:t>
            </w:r>
            <w:bookmarkEnd w:id="133"/>
          </w:p>
        </w:tc>
        <w:tc>
          <w:tcPr>
            <w:tcW w:w="4254" w:type="dxa"/>
          </w:tcPr>
          <w:p w:rsidR="006B3686" w:rsidRDefault="00CE2CA2">
            <w:pPr>
              <w:pStyle w:val="Level3"/>
              <w:widowControl w:val="0"/>
              <w:numPr>
                <w:ilvl w:val="0"/>
                <w:numId w:val="0"/>
              </w:numPr>
              <w:tabs>
                <w:tab w:val="left" w:pos="0"/>
              </w:tabs>
              <w:spacing w:after="120" w:line="276" w:lineRule="auto"/>
              <w:rPr>
                <w:sz w:val="22"/>
                <w:szCs w:val="22"/>
              </w:rPr>
            </w:pPr>
            <w:bookmarkStart w:id="134" w:name="_Toc51602639"/>
            <w:r>
              <w:rPr>
                <w:sz w:val="22"/>
                <w:szCs w:val="22"/>
              </w:rPr>
              <w:t>1,50% (um inteiro e cinquenta centésimos por cento)</w:t>
            </w:r>
            <w:bookmarkEnd w:id="134"/>
          </w:p>
        </w:tc>
      </w:tr>
      <w:tr w:rsidR="006B3686">
        <w:tc>
          <w:tcPr>
            <w:tcW w:w="4253" w:type="dxa"/>
          </w:tcPr>
          <w:p w:rsidR="006B3686" w:rsidRDefault="00CE2CA2">
            <w:pPr>
              <w:pStyle w:val="Level3"/>
              <w:widowControl w:val="0"/>
              <w:numPr>
                <w:ilvl w:val="0"/>
                <w:numId w:val="0"/>
              </w:numPr>
              <w:tabs>
                <w:tab w:val="left" w:pos="0"/>
              </w:tabs>
              <w:spacing w:after="120" w:line="276" w:lineRule="auto"/>
              <w:rPr>
                <w:sz w:val="22"/>
                <w:szCs w:val="22"/>
              </w:rPr>
            </w:pPr>
            <w:bookmarkStart w:id="135" w:name="_Toc51602640"/>
            <w:r>
              <w:rPr>
                <w:sz w:val="22"/>
                <w:szCs w:val="22"/>
              </w:rPr>
              <w:t>De 2 de julho de 2021 (inclusive) até a Data de Vencimento (exclusive)</w:t>
            </w:r>
            <w:bookmarkEnd w:id="135"/>
          </w:p>
        </w:tc>
        <w:tc>
          <w:tcPr>
            <w:tcW w:w="4254" w:type="dxa"/>
          </w:tcPr>
          <w:p w:rsidR="006B3686" w:rsidRDefault="00CE2CA2">
            <w:pPr>
              <w:pStyle w:val="Level3"/>
              <w:widowControl w:val="0"/>
              <w:numPr>
                <w:ilvl w:val="0"/>
                <w:numId w:val="0"/>
              </w:numPr>
              <w:tabs>
                <w:tab w:val="left" w:pos="0"/>
              </w:tabs>
              <w:spacing w:after="120" w:line="276" w:lineRule="auto"/>
              <w:rPr>
                <w:sz w:val="22"/>
                <w:szCs w:val="22"/>
              </w:rPr>
            </w:pPr>
            <w:bookmarkStart w:id="136" w:name="_Toc51602641"/>
            <w:r>
              <w:rPr>
                <w:sz w:val="22"/>
                <w:szCs w:val="22"/>
              </w:rPr>
              <w:t>1,60% (um inteiro e sessenta centésimos por cento)</w:t>
            </w:r>
            <w:bookmarkEnd w:id="136"/>
          </w:p>
        </w:tc>
      </w:tr>
    </w:tbl>
    <w:p w:rsidR="006B3686" w:rsidRDefault="006B3686">
      <w:pPr>
        <w:pStyle w:val="Level3"/>
        <w:widowControl w:val="0"/>
        <w:numPr>
          <w:ilvl w:val="0"/>
          <w:numId w:val="0"/>
        </w:numPr>
        <w:tabs>
          <w:tab w:val="left" w:pos="0"/>
        </w:tabs>
        <w:spacing w:after="120" w:line="276" w:lineRule="auto"/>
        <w:rPr>
          <w:sz w:val="22"/>
          <w:szCs w:val="22"/>
        </w:rPr>
      </w:pPr>
    </w:p>
    <w:p w:rsidR="002F24C4" w:rsidRDefault="002F24C4" w:rsidP="002F24C4">
      <w:pPr>
        <w:pStyle w:val="Level3"/>
        <w:widowControl w:val="0"/>
        <w:numPr>
          <w:ilvl w:val="0"/>
          <w:numId w:val="0"/>
        </w:numPr>
        <w:tabs>
          <w:tab w:val="left" w:pos="0"/>
        </w:tabs>
        <w:spacing w:after="120" w:line="276" w:lineRule="auto"/>
        <w:rPr>
          <w:sz w:val="22"/>
          <w:szCs w:val="22"/>
        </w:rPr>
      </w:pPr>
      <w:r>
        <w:rPr>
          <w:b/>
          <w:i/>
          <w:sz w:val="22"/>
          <w:szCs w:val="22"/>
        </w:rPr>
        <w:t>7.12.3.1.</w:t>
      </w:r>
      <w:r>
        <w:rPr>
          <w:b/>
          <w:i/>
          <w:sz w:val="22"/>
          <w:szCs w:val="22"/>
        </w:rPr>
        <w:tab/>
      </w:r>
      <w:r w:rsidRPr="002F24C4">
        <w:rPr>
          <w:sz w:val="22"/>
          <w:szCs w:val="22"/>
        </w:rPr>
        <w:t>Em 2 de julho de 2021, os Juros Remuneratórios referentes ao período de 2 de abril de 2021 (inclusive) até 2 de julho de 2021 (exclusive), serão incorporados ao Valor Nominal Unitário</w:t>
      </w:r>
      <w:r>
        <w:rPr>
          <w:sz w:val="22"/>
          <w:szCs w:val="22"/>
        </w:rPr>
        <w:t xml:space="preserve">. </w:t>
      </w:r>
    </w:p>
    <w:p w:rsidR="002F24C4" w:rsidRDefault="002F24C4">
      <w:pPr>
        <w:pStyle w:val="Level3"/>
        <w:widowControl w:val="0"/>
        <w:numPr>
          <w:ilvl w:val="0"/>
          <w:numId w:val="0"/>
        </w:numPr>
        <w:tabs>
          <w:tab w:val="left" w:pos="0"/>
        </w:tabs>
        <w:spacing w:after="120" w:line="276" w:lineRule="auto"/>
        <w:rPr>
          <w:sz w:val="22"/>
          <w:szCs w:val="22"/>
        </w:rPr>
      </w:pPr>
    </w:p>
    <w:p w:rsidR="006B3686" w:rsidRDefault="00CE2CA2">
      <w:pPr>
        <w:pStyle w:val="Level3"/>
        <w:widowControl w:val="0"/>
        <w:tabs>
          <w:tab w:val="clear" w:pos="1361"/>
          <w:tab w:val="left" w:pos="0"/>
          <w:tab w:val="num" w:pos="851"/>
        </w:tabs>
        <w:spacing w:after="120" w:line="276" w:lineRule="auto"/>
        <w:ind w:left="0" w:firstLine="0"/>
        <w:rPr>
          <w:sz w:val="22"/>
          <w:szCs w:val="22"/>
        </w:rPr>
      </w:pPr>
      <w:bookmarkStart w:id="137" w:name="_Toc51602642"/>
      <w:r>
        <w:rPr>
          <w:sz w:val="22"/>
          <w:szCs w:val="22"/>
        </w:rPr>
        <w:t>A Remuneração será calculada de acordo com a seguinte fórmula:</w:t>
      </w:r>
      <w:bookmarkEnd w:id="123"/>
      <w:bookmarkEnd w:id="124"/>
      <w:bookmarkEnd w:id="137"/>
      <w:r>
        <w:rPr>
          <w:sz w:val="22"/>
          <w:szCs w:val="22"/>
        </w:rPr>
        <w:t xml:space="preserve"> </w:t>
      </w:r>
    </w:p>
    <w:p w:rsidR="006B3686" w:rsidRDefault="00CE2CA2">
      <w:pPr>
        <w:pStyle w:val="Level3"/>
        <w:widowControl w:val="0"/>
        <w:numPr>
          <w:ilvl w:val="0"/>
          <w:numId w:val="0"/>
        </w:numPr>
        <w:tabs>
          <w:tab w:val="left" w:pos="851"/>
        </w:tabs>
        <w:spacing w:after="120" w:line="276" w:lineRule="auto"/>
        <w:jc w:val="center"/>
        <w:rPr>
          <w:sz w:val="22"/>
          <w:szCs w:val="22"/>
        </w:rPr>
      </w:pPr>
      <w:bookmarkStart w:id="138" w:name="_Toc51602643"/>
      <w:r>
        <w:rPr>
          <w:b/>
          <w:sz w:val="22"/>
          <w:szCs w:val="22"/>
        </w:rPr>
        <w:t>J=</w:t>
      </w:r>
      <w:proofErr w:type="spellStart"/>
      <w:r>
        <w:rPr>
          <w:b/>
          <w:sz w:val="22"/>
          <w:szCs w:val="22"/>
        </w:rPr>
        <w:t>VNe</w:t>
      </w:r>
      <w:proofErr w:type="spellEnd"/>
      <w:r>
        <w:rPr>
          <w:b/>
          <w:sz w:val="22"/>
          <w:szCs w:val="22"/>
        </w:rPr>
        <w:t xml:space="preserve"> x (Fator Juros – 1)</w:t>
      </w:r>
      <w:bookmarkEnd w:id="138"/>
    </w:p>
    <w:p w:rsidR="006B3686" w:rsidRDefault="006B3686">
      <w:pPr>
        <w:widowControl w:val="0"/>
        <w:spacing w:line="276" w:lineRule="auto"/>
        <w:rPr>
          <w:rFonts w:ascii="Arial" w:hAnsi="Arial" w:cs="Arial"/>
          <w:szCs w:val="22"/>
        </w:rPr>
      </w:pPr>
    </w:p>
    <w:p w:rsidR="006B3686" w:rsidRDefault="00CE2CA2">
      <w:pPr>
        <w:keepNext/>
        <w:widowControl w:val="0"/>
        <w:spacing w:line="276" w:lineRule="auto"/>
        <w:rPr>
          <w:rFonts w:ascii="Arial" w:hAnsi="Arial" w:cs="Arial"/>
          <w:szCs w:val="22"/>
        </w:rPr>
      </w:pPr>
      <w:r>
        <w:rPr>
          <w:rFonts w:ascii="Arial" w:hAnsi="Arial" w:cs="Arial"/>
          <w:szCs w:val="22"/>
        </w:rPr>
        <w:t>onde:</w:t>
      </w:r>
    </w:p>
    <w:p w:rsidR="006B3686" w:rsidRDefault="00CE2CA2">
      <w:pPr>
        <w:widowControl w:val="0"/>
        <w:spacing w:line="276" w:lineRule="auto"/>
        <w:rPr>
          <w:rFonts w:ascii="Arial" w:hAnsi="Arial" w:cs="Arial"/>
          <w:szCs w:val="22"/>
        </w:rPr>
      </w:pPr>
      <w:r>
        <w:rPr>
          <w:rFonts w:ascii="Arial" w:hAnsi="Arial" w:cs="Arial"/>
          <w:szCs w:val="22"/>
        </w:rPr>
        <w:t>J = valor unitário da Remuneração, calculado com 8 (oito) casas decimais, sem arredondamento;</w:t>
      </w:r>
    </w:p>
    <w:p w:rsidR="006B3686" w:rsidRDefault="00CE2CA2">
      <w:pPr>
        <w:widowControl w:val="0"/>
        <w:spacing w:line="276" w:lineRule="auto"/>
        <w:rPr>
          <w:rFonts w:ascii="Arial" w:hAnsi="Arial" w:cs="Arial"/>
          <w:szCs w:val="22"/>
        </w:rPr>
      </w:pPr>
      <w:proofErr w:type="spellStart"/>
      <w:r>
        <w:rPr>
          <w:rFonts w:ascii="Arial" w:hAnsi="Arial" w:cs="Arial"/>
          <w:szCs w:val="22"/>
        </w:rPr>
        <w:t>VNe</w:t>
      </w:r>
      <w:proofErr w:type="spellEnd"/>
      <w:r>
        <w:rPr>
          <w:rFonts w:ascii="Arial" w:hAnsi="Arial" w:cs="Arial"/>
          <w:szCs w:val="22"/>
        </w:rPr>
        <w:t xml:space="preserve"> = Valor Nominal Unitário ou saldo do Valor Nominal Unitário das Debêntures, conforme o caso, informado/calculado com 8 (oito) casas decimais, sem arredondamento;</w:t>
      </w:r>
    </w:p>
    <w:p w:rsidR="006B3686" w:rsidRDefault="00CE2CA2">
      <w:pPr>
        <w:widowControl w:val="0"/>
        <w:spacing w:line="276" w:lineRule="auto"/>
        <w:rPr>
          <w:rFonts w:ascii="Arial" w:hAnsi="Arial" w:cs="Arial"/>
          <w:szCs w:val="22"/>
        </w:rPr>
      </w:pPr>
      <w:r>
        <w:rPr>
          <w:rFonts w:ascii="Arial" w:hAnsi="Arial" w:cs="Arial"/>
          <w:szCs w:val="22"/>
        </w:rPr>
        <w:t>Fator Juros = Fator de juros, calculado com 9 (nove) casas decimais, com arredondamento, apurado de acordo com a seguinte fórmula:</w:t>
      </w:r>
    </w:p>
    <w:p w:rsidR="006B3686" w:rsidRDefault="00CE2CA2">
      <w:pPr>
        <w:widowControl w:val="0"/>
        <w:spacing w:line="276" w:lineRule="auto"/>
        <w:jc w:val="center"/>
        <w:rPr>
          <w:rFonts w:ascii="Arial" w:hAnsi="Arial" w:cs="Arial"/>
          <w:b/>
          <w:szCs w:val="22"/>
        </w:rPr>
      </w:pPr>
      <w:r>
        <w:rPr>
          <w:rFonts w:ascii="Arial" w:hAnsi="Arial" w:cs="Arial"/>
          <w:b/>
          <w:szCs w:val="22"/>
        </w:rPr>
        <w:t xml:space="preserve">Fator Juros = </w:t>
      </w:r>
      <w:proofErr w:type="spellStart"/>
      <w:r>
        <w:rPr>
          <w:rFonts w:ascii="Arial" w:hAnsi="Arial" w:cs="Arial"/>
          <w:b/>
          <w:szCs w:val="22"/>
        </w:rPr>
        <w:t>FatorDI</w:t>
      </w:r>
      <w:proofErr w:type="spellEnd"/>
      <w:r>
        <w:rPr>
          <w:rFonts w:ascii="Arial" w:hAnsi="Arial" w:cs="Arial"/>
          <w:b/>
          <w:szCs w:val="22"/>
        </w:rPr>
        <w:t xml:space="preserve"> x </w:t>
      </w:r>
      <w:proofErr w:type="spellStart"/>
      <w:r>
        <w:rPr>
          <w:rFonts w:ascii="Arial" w:hAnsi="Arial" w:cs="Arial"/>
          <w:b/>
          <w:szCs w:val="22"/>
        </w:rPr>
        <w:t>FatorSpread</w:t>
      </w:r>
      <w:proofErr w:type="spellEnd"/>
    </w:p>
    <w:p w:rsidR="006B3686" w:rsidRDefault="00CE2CA2">
      <w:pPr>
        <w:widowControl w:val="0"/>
        <w:spacing w:line="276" w:lineRule="auto"/>
        <w:rPr>
          <w:rFonts w:ascii="Arial" w:hAnsi="Arial" w:cs="Arial"/>
          <w:szCs w:val="22"/>
        </w:rPr>
      </w:pPr>
      <w:r>
        <w:rPr>
          <w:rFonts w:ascii="Arial" w:hAnsi="Arial" w:cs="Arial"/>
          <w:szCs w:val="22"/>
        </w:rPr>
        <w:t>onde:</w:t>
      </w:r>
    </w:p>
    <w:p w:rsidR="006B3686" w:rsidRDefault="00CE2CA2">
      <w:pPr>
        <w:widowControl w:val="0"/>
        <w:spacing w:line="276" w:lineRule="auto"/>
        <w:rPr>
          <w:rFonts w:ascii="Arial" w:hAnsi="Arial" w:cs="Arial"/>
          <w:szCs w:val="22"/>
        </w:rPr>
      </w:pPr>
      <w:r>
        <w:rPr>
          <w:rFonts w:ascii="Arial" w:hAnsi="Arial" w:cs="Arial"/>
          <w:szCs w:val="22"/>
        </w:rPr>
        <w:t xml:space="preserve">Fator DI = </w:t>
      </w:r>
      <w:proofErr w:type="spellStart"/>
      <w:r>
        <w:rPr>
          <w:rFonts w:ascii="Arial" w:hAnsi="Arial" w:cs="Arial"/>
          <w:szCs w:val="22"/>
        </w:rPr>
        <w:t>produtório</w:t>
      </w:r>
      <w:proofErr w:type="spellEnd"/>
      <w:r>
        <w:rPr>
          <w:rFonts w:ascii="Arial" w:hAnsi="Arial" w:cs="Arial"/>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6B3686" w:rsidRDefault="00CE2CA2">
      <w:pPr>
        <w:widowControl w:val="0"/>
        <w:spacing w:line="276" w:lineRule="auto"/>
        <w:jc w:val="center"/>
        <w:rPr>
          <w:rFonts w:ascii="Arial" w:hAnsi="Arial" w:cs="Arial"/>
          <w:szCs w:val="22"/>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rsidR="006B3686" w:rsidRDefault="00CE2CA2">
      <w:pPr>
        <w:widowControl w:val="0"/>
        <w:spacing w:line="276" w:lineRule="auto"/>
        <w:rPr>
          <w:rFonts w:ascii="Arial" w:hAnsi="Arial" w:cs="Arial"/>
          <w:szCs w:val="22"/>
        </w:rPr>
      </w:pPr>
      <w:r>
        <w:rPr>
          <w:rFonts w:ascii="Arial" w:hAnsi="Arial" w:cs="Arial"/>
          <w:szCs w:val="22"/>
        </w:rPr>
        <w:t>onde:</w:t>
      </w:r>
    </w:p>
    <w:p w:rsidR="006B3686" w:rsidRDefault="00CE2CA2">
      <w:pPr>
        <w:widowControl w:val="0"/>
        <w:spacing w:line="276" w:lineRule="auto"/>
        <w:rPr>
          <w:rFonts w:ascii="Arial" w:hAnsi="Arial" w:cs="Arial"/>
          <w:szCs w:val="22"/>
        </w:rPr>
      </w:pPr>
      <w:r>
        <w:rPr>
          <w:rFonts w:ascii="Arial" w:hAnsi="Arial" w:cs="Arial"/>
          <w:szCs w:val="22"/>
        </w:rPr>
        <w:t>n = número total de Taxas DI, consideradas na atualização do ativo.</w:t>
      </w:r>
    </w:p>
    <w:p w:rsidR="006B3686" w:rsidRDefault="00CE2CA2">
      <w:pPr>
        <w:widowControl w:val="0"/>
        <w:spacing w:line="276" w:lineRule="auto"/>
        <w:rPr>
          <w:rFonts w:ascii="Arial" w:hAnsi="Arial" w:cs="Arial"/>
          <w:szCs w:val="22"/>
        </w:rPr>
      </w:pPr>
      <w:proofErr w:type="spellStart"/>
      <w:r>
        <w:rPr>
          <w:rFonts w:ascii="Arial" w:hAnsi="Arial" w:cs="Arial"/>
          <w:szCs w:val="22"/>
        </w:rPr>
        <w:t>TDI</w:t>
      </w:r>
      <w:r>
        <w:rPr>
          <w:rFonts w:ascii="Arial" w:hAnsi="Arial" w:cs="Arial"/>
          <w:szCs w:val="22"/>
          <w:vertAlign w:val="subscript"/>
        </w:rPr>
        <w:t>k</w:t>
      </w:r>
      <w:proofErr w:type="spellEnd"/>
      <w:r>
        <w:rPr>
          <w:rFonts w:ascii="Arial" w:hAnsi="Arial" w:cs="Arial"/>
          <w:szCs w:val="22"/>
          <w:vertAlign w:val="subscript"/>
        </w:rPr>
        <w:t xml:space="preserve"> </w:t>
      </w:r>
      <w:r>
        <w:rPr>
          <w:rFonts w:ascii="Arial" w:hAnsi="Arial" w:cs="Arial"/>
          <w:szCs w:val="22"/>
        </w:rPr>
        <w:t>= Taxa DI, de ordem “k”, expressa ao dia, calculada com 8 (oito) casas decimais com arredondamento, apurada da seguinte forma:</w:t>
      </w:r>
    </w:p>
    <w:p w:rsidR="006B3686" w:rsidRDefault="008A6F9E">
      <w:pPr>
        <w:widowControl w:val="0"/>
        <w:spacing w:line="276" w:lineRule="auto"/>
        <w:rPr>
          <w:rFonts w:ascii="Arial" w:hAnsi="Arial" w:cs="Arial"/>
          <w:szCs w:val="22"/>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rsidR="006B3686" w:rsidRDefault="00CE2CA2">
      <w:pPr>
        <w:widowControl w:val="0"/>
        <w:spacing w:line="276" w:lineRule="auto"/>
        <w:rPr>
          <w:rFonts w:ascii="Arial" w:hAnsi="Arial" w:cs="Arial"/>
          <w:szCs w:val="22"/>
        </w:rPr>
      </w:pPr>
      <w:r>
        <w:rPr>
          <w:rFonts w:ascii="Arial" w:hAnsi="Arial" w:cs="Arial"/>
          <w:szCs w:val="22"/>
        </w:rPr>
        <w:t>onde:</w:t>
      </w:r>
    </w:p>
    <w:p w:rsidR="006B3686" w:rsidRDefault="00CE2CA2">
      <w:pPr>
        <w:widowControl w:val="0"/>
        <w:spacing w:line="276" w:lineRule="auto"/>
        <w:rPr>
          <w:rFonts w:ascii="Arial" w:hAnsi="Arial" w:cs="Arial"/>
          <w:szCs w:val="22"/>
        </w:rPr>
      </w:pPr>
      <w:proofErr w:type="spellStart"/>
      <w:r>
        <w:rPr>
          <w:rFonts w:ascii="Arial" w:hAnsi="Arial" w:cs="Arial"/>
          <w:szCs w:val="22"/>
        </w:rPr>
        <w:t>DI</w:t>
      </w:r>
      <w:r>
        <w:rPr>
          <w:rFonts w:ascii="Arial" w:hAnsi="Arial" w:cs="Arial"/>
          <w:szCs w:val="22"/>
          <w:vertAlign w:val="subscript"/>
        </w:rPr>
        <w:t>k</w:t>
      </w:r>
      <w:proofErr w:type="spellEnd"/>
      <w:r>
        <w:rPr>
          <w:rFonts w:ascii="Arial" w:hAnsi="Arial" w:cs="Arial"/>
          <w:szCs w:val="22"/>
        </w:rPr>
        <w:t xml:space="preserve"> = Taxa DI, de ordem k, divulgada pela B3, utilizada com 2 (duas) casas decimais; e</w:t>
      </w:r>
    </w:p>
    <w:p w:rsidR="006B3686" w:rsidRDefault="00CE2CA2">
      <w:pPr>
        <w:widowControl w:val="0"/>
        <w:spacing w:line="276" w:lineRule="auto"/>
        <w:rPr>
          <w:rFonts w:ascii="Arial" w:hAnsi="Arial" w:cs="Arial"/>
          <w:szCs w:val="22"/>
        </w:rPr>
      </w:pPr>
      <w:proofErr w:type="spellStart"/>
      <w:r>
        <w:rPr>
          <w:rFonts w:ascii="Arial" w:hAnsi="Arial" w:cs="Arial"/>
          <w:szCs w:val="22"/>
        </w:rPr>
        <w:t>FatorSpread</w:t>
      </w:r>
      <w:proofErr w:type="spellEnd"/>
      <w:r>
        <w:rPr>
          <w:rFonts w:ascii="Arial" w:hAnsi="Arial" w:cs="Arial"/>
          <w:szCs w:val="22"/>
        </w:rPr>
        <w:t xml:space="preserve"> = Sobretaxa, calculada com 9 (nove) casas decimais, com arredondamento, apurada conforme fórmula abaixo:</w:t>
      </w:r>
    </w:p>
    <w:p w:rsidR="006B3686" w:rsidRDefault="008A6F9E">
      <w:pPr>
        <w:widowControl w:val="0"/>
        <w:spacing w:line="276" w:lineRule="auto"/>
        <w:rPr>
          <w:rFonts w:ascii="Arial" w:hAnsi="Arial" w:cs="Arial"/>
          <w:szCs w:val="22"/>
        </w:rPr>
      </w:pPr>
      <w:r>
        <w:rPr>
          <w:rFonts w:ascii="Arial" w:hAnsi="Arial" w:cs="Arial"/>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68264770" r:id="rId29"/>
        </w:object>
      </w:r>
    </w:p>
    <w:p w:rsidR="006B3686" w:rsidRDefault="006B3686">
      <w:pPr>
        <w:widowControl w:val="0"/>
        <w:spacing w:line="276" w:lineRule="auto"/>
        <w:rPr>
          <w:rFonts w:ascii="Arial" w:hAnsi="Arial" w:cs="Arial"/>
          <w:szCs w:val="22"/>
        </w:rPr>
      </w:pPr>
    </w:p>
    <w:p w:rsidR="006B3686" w:rsidRDefault="00CE2CA2">
      <w:pPr>
        <w:widowControl w:val="0"/>
        <w:spacing w:line="276" w:lineRule="auto"/>
        <w:rPr>
          <w:rFonts w:ascii="Arial" w:hAnsi="Arial" w:cs="Arial"/>
          <w:szCs w:val="22"/>
        </w:rPr>
      </w:pPr>
      <w:r>
        <w:rPr>
          <w:rFonts w:ascii="Arial" w:hAnsi="Arial" w:cs="Arial"/>
          <w:szCs w:val="22"/>
        </w:rPr>
        <w:t>onde:</w:t>
      </w:r>
    </w:p>
    <w:p w:rsidR="006B3686" w:rsidRDefault="00CE2CA2">
      <w:pPr>
        <w:widowControl w:val="0"/>
        <w:spacing w:line="276" w:lineRule="auto"/>
        <w:rPr>
          <w:rFonts w:ascii="Arial" w:hAnsi="Arial" w:cs="Arial"/>
          <w:szCs w:val="22"/>
        </w:rPr>
      </w:pPr>
      <w:r>
        <w:rPr>
          <w:rFonts w:ascii="Arial" w:hAnsi="Arial" w:cs="Arial"/>
          <w:szCs w:val="22"/>
        </w:rPr>
        <w:t>spread</w:t>
      </w:r>
      <w:r>
        <w:rPr>
          <w:rFonts w:ascii="Arial" w:hAnsi="Arial" w:cs="Arial"/>
          <w:szCs w:val="22"/>
        </w:rPr>
        <w:tab/>
        <w:t>= Taxa de Remuneração do Período informado com 4 (quatro) casas decimais;</w:t>
      </w:r>
    </w:p>
    <w:p w:rsidR="006B3686" w:rsidRDefault="00CE2CA2">
      <w:pPr>
        <w:widowControl w:val="0"/>
        <w:spacing w:line="276" w:lineRule="auto"/>
        <w:rPr>
          <w:rFonts w:ascii="Arial" w:hAnsi="Arial" w:cs="Arial"/>
          <w:i/>
          <w:szCs w:val="22"/>
        </w:rPr>
      </w:pPr>
      <w:r>
        <w:rPr>
          <w:rFonts w:ascii="Arial" w:hAnsi="Arial" w:cs="Arial"/>
          <w:szCs w:val="22"/>
        </w:rPr>
        <w:t>n</w:t>
      </w:r>
      <w:r>
        <w:rPr>
          <w:rFonts w:ascii="Arial" w:hAnsi="Arial" w:cs="Arial"/>
          <w:szCs w:val="22"/>
        </w:rPr>
        <w:tab/>
        <w:t>= número de Dias Úteis entre a respectiva Data de Subscrição e Integralização ou data de pagamento de Remuneração imediatamente anterior, conforme o caso, e a data do cálculo, sendo “n” um número inteiro.</w:t>
      </w:r>
    </w:p>
    <w:p w:rsidR="006B3686" w:rsidRDefault="00CE2CA2">
      <w:pPr>
        <w:widowControl w:val="0"/>
        <w:spacing w:line="276" w:lineRule="auto"/>
        <w:rPr>
          <w:rFonts w:ascii="Arial" w:hAnsi="Arial" w:cs="Arial"/>
          <w:szCs w:val="22"/>
        </w:rPr>
      </w:pPr>
      <w:r>
        <w:rPr>
          <w:rFonts w:ascii="Arial" w:hAnsi="Arial" w:cs="Arial"/>
          <w:szCs w:val="22"/>
        </w:rPr>
        <w:t>Observações:</w:t>
      </w:r>
    </w:p>
    <w:p w:rsidR="006B3686" w:rsidRDefault="00CE2CA2">
      <w:pPr>
        <w:widowControl w:val="0"/>
        <w:tabs>
          <w:tab w:val="left" w:pos="600"/>
        </w:tabs>
        <w:spacing w:line="276" w:lineRule="auto"/>
        <w:rPr>
          <w:rFonts w:ascii="Arial" w:hAnsi="Arial" w:cs="Arial"/>
          <w:szCs w:val="22"/>
        </w:rPr>
      </w:pPr>
      <w:r>
        <w:rPr>
          <w:rFonts w:ascii="Arial" w:hAnsi="Arial" w:cs="Arial"/>
          <w:szCs w:val="22"/>
        </w:rPr>
        <w:t xml:space="preserve">O fator resultante da expressão [1+ </w:t>
      </w:r>
      <w:proofErr w:type="spellStart"/>
      <w:r>
        <w:rPr>
          <w:rFonts w:ascii="Arial" w:hAnsi="Arial" w:cs="Arial"/>
          <w:szCs w:val="22"/>
        </w:rPr>
        <w:t>TDI</w:t>
      </w:r>
      <w:r>
        <w:rPr>
          <w:rFonts w:ascii="Arial" w:hAnsi="Arial" w:cs="Arial"/>
          <w:szCs w:val="22"/>
          <w:vertAlign w:val="subscript"/>
        </w:rPr>
        <w:t>k</w:t>
      </w:r>
      <w:proofErr w:type="spellEnd"/>
      <w:r>
        <w:rPr>
          <w:rFonts w:ascii="Arial" w:hAnsi="Arial" w:cs="Arial"/>
          <w:szCs w:val="22"/>
        </w:rPr>
        <w:t>] é considerado com 16 (dezesseis) casas decimais sem arredondamento.</w:t>
      </w:r>
    </w:p>
    <w:p w:rsidR="006B3686" w:rsidRDefault="00CE2CA2">
      <w:pPr>
        <w:widowControl w:val="0"/>
        <w:tabs>
          <w:tab w:val="left" w:pos="600"/>
        </w:tabs>
        <w:spacing w:line="276" w:lineRule="auto"/>
        <w:rPr>
          <w:rFonts w:ascii="Arial" w:hAnsi="Arial" w:cs="Arial"/>
          <w:szCs w:val="22"/>
        </w:rPr>
      </w:pPr>
      <w:r>
        <w:rPr>
          <w:rFonts w:ascii="Arial" w:hAnsi="Arial" w:cs="Arial"/>
          <w:szCs w:val="22"/>
        </w:rPr>
        <w:t xml:space="preserve">Efetua-se o </w:t>
      </w:r>
      <w:proofErr w:type="spellStart"/>
      <w:r>
        <w:rPr>
          <w:rFonts w:ascii="Arial" w:hAnsi="Arial" w:cs="Arial"/>
          <w:szCs w:val="22"/>
        </w:rPr>
        <w:t>produtório</w:t>
      </w:r>
      <w:proofErr w:type="spellEnd"/>
      <w:r>
        <w:rPr>
          <w:rFonts w:ascii="Arial" w:hAnsi="Arial" w:cs="Arial"/>
          <w:szCs w:val="22"/>
        </w:rPr>
        <w:t xml:space="preserve"> dos fatores diários [1+ </w:t>
      </w:r>
      <w:proofErr w:type="spellStart"/>
      <w:r>
        <w:rPr>
          <w:rFonts w:ascii="Arial" w:hAnsi="Arial" w:cs="Arial"/>
          <w:szCs w:val="22"/>
        </w:rPr>
        <w:t>TDI</w:t>
      </w:r>
      <w:r>
        <w:rPr>
          <w:rFonts w:ascii="Arial" w:hAnsi="Arial" w:cs="Arial"/>
          <w:szCs w:val="22"/>
          <w:vertAlign w:val="subscript"/>
        </w:rPr>
        <w:t>k</w:t>
      </w:r>
      <w:proofErr w:type="spellEnd"/>
      <w:r>
        <w:rPr>
          <w:rFonts w:ascii="Arial" w:hAnsi="Arial" w:cs="Arial"/>
          <w:szCs w:val="22"/>
        </w:rPr>
        <w:t>] sendo que, a cada fator diário acumulado, trunca-se o resultado com 16 (dezesseis) casas decimais, aplicando-se o próximo fator diário, e assim por diante até o último considerado.</w:t>
      </w:r>
    </w:p>
    <w:p w:rsidR="006B3686" w:rsidRDefault="00CE2CA2">
      <w:pPr>
        <w:widowControl w:val="0"/>
        <w:tabs>
          <w:tab w:val="left" w:pos="600"/>
        </w:tabs>
        <w:spacing w:line="276" w:lineRule="auto"/>
        <w:rPr>
          <w:rFonts w:ascii="Arial" w:hAnsi="Arial" w:cs="Arial"/>
          <w:szCs w:val="22"/>
        </w:rPr>
      </w:pPr>
      <w:r>
        <w:rPr>
          <w:rFonts w:ascii="Arial" w:hAnsi="Arial" w:cs="Arial"/>
          <w:szCs w:val="22"/>
        </w:rPr>
        <w:t>Uma vez os fatores estando acumulados, considera-se o fator resultante “Fator DI” com 8 (oito) casas decimais, com arredondamento.</w:t>
      </w:r>
    </w:p>
    <w:p w:rsidR="006B3686" w:rsidRDefault="00CE2CA2">
      <w:pPr>
        <w:widowControl w:val="0"/>
        <w:tabs>
          <w:tab w:val="left" w:pos="600"/>
        </w:tabs>
        <w:spacing w:line="276" w:lineRule="auto"/>
        <w:rPr>
          <w:rFonts w:ascii="Arial" w:hAnsi="Arial" w:cs="Arial"/>
          <w:szCs w:val="22"/>
        </w:rPr>
      </w:pPr>
      <w:r>
        <w:rPr>
          <w:rFonts w:ascii="Arial" w:hAnsi="Arial" w:cs="Arial"/>
          <w:szCs w:val="22"/>
        </w:rPr>
        <w:t>O fator resultante da expressão (</w:t>
      </w:r>
      <w:proofErr w:type="spellStart"/>
      <w:r>
        <w:rPr>
          <w:rFonts w:ascii="Arial" w:hAnsi="Arial" w:cs="Arial"/>
          <w:szCs w:val="22"/>
        </w:rPr>
        <w:t>FatorDIxFatorSpread</w:t>
      </w:r>
      <w:proofErr w:type="spellEnd"/>
      <w:r>
        <w:rPr>
          <w:rFonts w:ascii="Arial" w:hAnsi="Arial" w:cs="Arial"/>
          <w:szCs w:val="22"/>
        </w:rPr>
        <w:t xml:space="preserve">) é considerado com 9 (nove) casas decimais, com arredondamento. </w:t>
      </w:r>
    </w:p>
    <w:p w:rsidR="006B3686" w:rsidRDefault="00CE2CA2">
      <w:pPr>
        <w:pStyle w:val="Level3"/>
        <w:widowControl w:val="0"/>
        <w:tabs>
          <w:tab w:val="clear" w:pos="1361"/>
          <w:tab w:val="num" w:pos="851"/>
        </w:tabs>
        <w:spacing w:after="120" w:line="276" w:lineRule="auto"/>
        <w:ind w:left="0" w:firstLine="0"/>
        <w:rPr>
          <w:sz w:val="22"/>
          <w:szCs w:val="22"/>
        </w:rPr>
      </w:pPr>
      <w:bookmarkStart w:id="139" w:name="_Ref495492067"/>
      <w:bookmarkStart w:id="140" w:name="_Toc51602644"/>
      <w:bookmarkStart w:id="141" w:name="_Ref286154048"/>
      <w:bookmarkEnd w:id="116"/>
      <w:bookmarkEnd w:id="117"/>
      <w:bookmarkEnd w:id="118"/>
      <w:bookmarkEnd w:id="121"/>
      <w:bookmarkEnd w:id="125"/>
      <w:bookmarkEnd w:id="126"/>
      <w:r>
        <w:rPr>
          <w:i/>
          <w:sz w:val="22"/>
          <w:szCs w:val="22"/>
        </w:rPr>
        <w:t>Indisponibilidade Temporária, Extinção, Limitação e/ou Não Divulgação da Taxa DI</w:t>
      </w:r>
      <w:r>
        <w:rPr>
          <w:sz w:val="22"/>
          <w:szCs w:val="22"/>
        </w:rPr>
        <w:t>. Serão aplicáveis as disposições abaixo em caso de indisponibilidade temporária, extinção, limitação e/ou não divulgação da Taxa DI.</w:t>
      </w:r>
      <w:bookmarkEnd w:id="139"/>
      <w:bookmarkEnd w:id="140"/>
    </w:p>
    <w:p w:rsidR="006B3686" w:rsidRDefault="00CE2CA2">
      <w:pPr>
        <w:pStyle w:val="Level3"/>
        <w:widowControl w:val="0"/>
        <w:numPr>
          <w:ilvl w:val="0"/>
          <w:numId w:val="0"/>
        </w:numPr>
        <w:spacing w:after="120" w:line="276" w:lineRule="auto"/>
        <w:ind w:left="851"/>
        <w:rPr>
          <w:sz w:val="22"/>
          <w:szCs w:val="22"/>
        </w:rPr>
      </w:pPr>
      <w:bookmarkStart w:id="142" w:name="_Toc51602645"/>
      <w:r>
        <w:rPr>
          <w:b/>
          <w:sz w:val="22"/>
          <w:szCs w:val="22"/>
        </w:rPr>
        <w:t>7.12.5.1</w:t>
      </w:r>
      <w:r>
        <w:rPr>
          <w:b/>
          <w:sz w:val="22"/>
          <w:szCs w:val="22"/>
        </w:rPr>
        <w:tab/>
      </w:r>
      <w:bookmarkStart w:id="143" w:name="_Ref314589042"/>
      <w:r>
        <w:rPr>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42"/>
      <w:bookmarkEnd w:id="143"/>
    </w:p>
    <w:p w:rsidR="006B3686" w:rsidRDefault="00CE2CA2">
      <w:pPr>
        <w:pStyle w:val="Level3"/>
        <w:widowControl w:val="0"/>
        <w:numPr>
          <w:ilvl w:val="0"/>
          <w:numId w:val="0"/>
        </w:numPr>
        <w:spacing w:after="120" w:line="276" w:lineRule="auto"/>
        <w:ind w:left="851"/>
        <w:rPr>
          <w:sz w:val="22"/>
          <w:szCs w:val="22"/>
        </w:rPr>
      </w:pPr>
      <w:bookmarkStart w:id="144" w:name="_Toc51602646"/>
      <w:bookmarkStart w:id="145" w:name="_Ref306030694"/>
      <w:r>
        <w:rPr>
          <w:b/>
          <w:sz w:val="22"/>
          <w:szCs w:val="22"/>
        </w:rPr>
        <w:t>7.12.5.2</w:t>
      </w:r>
      <w:r>
        <w:rPr>
          <w:b/>
          <w:sz w:val="22"/>
          <w:szCs w:val="22"/>
        </w:rPr>
        <w:tab/>
      </w:r>
      <w:r>
        <w:rPr>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44"/>
      <w:r>
        <w:rPr>
          <w:sz w:val="22"/>
          <w:szCs w:val="22"/>
        </w:rPr>
        <w:t xml:space="preserve"> </w:t>
      </w:r>
    </w:p>
    <w:p w:rsidR="006B3686" w:rsidRDefault="00CE2CA2">
      <w:pPr>
        <w:pStyle w:val="Level3"/>
        <w:widowControl w:val="0"/>
        <w:numPr>
          <w:ilvl w:val="0"/>
          <w:numId w:val="0"/>
        </w:numPr>
        <w:spacing w:after="120" w:line="276" w:lineRule="auto"/>
        <w:ind w:left="851"/>
        <w:rPr>
          <w:sz w:val="22"/>
          <w:szCs w:val="22"/>
        </w:rPr>
      </w:pPr>
      <w:bookmarkStart w:id="146" w:name="_Toc51602647"/>
      <w:r>
        <w:rPr>
          <w:b/>
          <w:sz w:val="22"/>
          <w:szCs w:val="22"/>
        </w:rPr>
        <w:t>7.12.5.3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45"/>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46"/>
      <w:r>
        <w:rPr>
          <w:sz w:val="22"/>
          <w:szCs w:val="22"/>
        </w:rPr>
        <w:t xml:space="preserve"> </w:t>
      </w:r>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147" w:name="_Toc51602648"/>
      <w:bookmarkEnd w:id="141"/>
      <w:r>
        <w:rPr>
          <w:rFonts w:cs="Arial"/>
          <w:i/>
          <w:sz w:val="22"/>
          <w:szCs w:val="22"/>
        </w:rPr>
        <w:t>Repactuação Programada</w:t>
      </w:r>
      <w:r>
        <w:rPr>
          <w:rFonts w:cs="Arial"/>
          <w:sz w:val="22"/>
          <w:szCs w:val="22"/>
        </w:rPr>
        <w:t>. Não haverá repactuação programada.</w:t>
      </w:r>
      <w:bookmarkEnd w:id="147"/>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148" w:name="_Ref37080392"/>
      <w:bookmarkStart w:id="149" w:name="_Toc51602649"/>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saldo ao Valor Nominal Unitário ou saldo do Valor Nominal Unitário, conforme o caso, acrescido da (i) Remuneração, calculada </w:t>
      </w:r>
      <w:r>
        <w:rPr>
          <w:rFonts w:cs="Arial"/>
          <w:i/>
          <w:sz w:val="22"/>
          <w:szCs w:val="22"/>
        </w:rPr>
        <w:t>pro rata temporis</w:t>
      </w:r>
      <w:r>
        <w:rPr>
          <w:rFonts w:cs="Arial"/>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a Comunicação de Resgate Antecipado Obrigatório (conforme definido abaixo), de forma a efetivar o resgate antecipado da totalidade das Debêntures, com o consequente cancelamento de tais Debêntures (“</w:t>
      </w:r>
      <w:r>
        <w:rPr>
          <w:rFonts w:cs="Arial"/>
          <w:b/>
          <w:sz w:val="22"/>
          <w:szCs w:val="22"/>
        </w:rPr>
        <w:t>Resgate Antecipado Obrigatório</w:t>
      </w:r>
      <w:r>
        <w:rPr>
          <w:rFonts w:cs="Arial"/>
          <w:sz w:val="22"/>
          <w:szCs w:val="22"/>
        </w:rPr>
        <w:t>”).</w:t>
      </w:r>
      <w:bookmarkEnd w:id="148"/>
      <w:bookmarkEnd w:id="149"/>
      <w:r>
        <w:rPr>
          <w:rFonts w:cs="Arial"/>
          <w:sz w:val="22"/>
          <w:szCs w:val="22"/>
        </w:rPr>
        <w:t xml:space="preserve"> </w:t>
      </w:r>
    </w:p>
    <w:p w:rsidR="006B3686" w:rsidRDefault="00CE2CA2">
      <w:pPr>
        <w:pStyle w:val="Level3"/>
        <w:tabs>
          <w:tab w:val="clear" w:pos="1361"/>
          <w:tab w:val="left" w:pos="851"/>
        </w:tabs>
        <w:spacing w:after="120" w:line="276" w:lineRule="auto"/>
        <w:ind w:left="0" w:firstLine="0"/>
        <w:rPr>
          <w:sz w:val="22"/>
          <w:szCs w:val="22"/>
        </w:rPr>
      </w:pPr>
      <w:bookmarkStart w:id="150" w:name="_Toc51602650"/>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Pr>
          <w:b/>
          <w:sz w:val="22"/>
          <w:szCs w:val="22"/>
        </w:rPr>
        <w:t>Comunicação de Resgate Antecipado Obrigatório</w:t>
      </w:r>
      <w:r>
        <w:rPr>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50"/>
      <w:r>
        <w:rPr>
          <w:sz w:val="22"/>
          <w:szCs w:val="22"/>
        </w:rPr>
        <w:t xml:space="preserve"> </w:t>
      </w:r>
    </w:p>
    <w:p w:rsidR="006B3686" w:rsidRDefault="00CE2CA2">
      <w:pPr>
        <w:pStyle w:val="Level3"/>
        <w:tabs>
          <w:tab w:val="clear" w:pos="1361"/>
          <w:tab w:val="left" w:pos="851"/>
        </w:tabs>
        <w:spacing w:after="120" w:line="276" w:lineRule="auto"/>
        <w:ind w:left="0" w:firstLine="0"/>
        <w:rPr>
          <w:sz w:val="22"/>
          <w:szCs w:val="22"/>
        </w:rPr>
      </w:pPr>
      <w:bookmarkStart w:id="151" w:name="_Ref37080739"/>
      <w:bookmarkStart w:id="152" w:name="_Toc51602651"/>
      <w:r>
        <w:rPr>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Pr>
          <w:i/>
          <w:sz w:val="22"/>
          <w:szCs w:val="22"/>
        </w:rPr>
        <w:t>pro rata temporis</w:t>
      </w:r>
      <w:r>
        <w:rPr>
          <w:sz w:val="22"/>
          <w:szCs w:val="22"/>
        </w:rPr>
        <w:t>, desde a Data de Subscrição e Integralização da Serie em questão  até a data do efetivo Resgate Antecipado Obrigatório e; (ii)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151"/>
      <w:bookmarkEnd w:id="152"/>
    </w:p>
    <w:p w:rsidR="006B3686" w:rsidRDefault="00CE2CA2">
      <w:pPr>
        <w:pStyle w:val="Level3"/>
        <w:tabs>
          <w:tab w:val="clear" w:pos="1361"/>
          <w:tab w:val="left" w:pos="851"/>
        </w:tabs>
        <w:spacing w:after="120" w:line="276" w:lineRule="auto"/>
        <w:ind w:left="0" w:firstLine="0"/>
        <w:rPr>
          <w:sz w:val="22"/>
          <w:szCs w:val="22"/>
        </w:rPr>
      </w:pPr>
      <w:bookmarkStart w:id="153" w:name="_Toc51602652"/>
      <w:r>
        <w:rPr>
          <w:sz w:val="22"/>
          <w:szCs w:val="22"/>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53"/>
      <w:r>
        <w:rPr>
          <w:sz w:val="22"/>
          <w:szCs w:val="22"/>
        </w:rPr>
        <w:t xml:space="preserve"> </w:t>
      </w:r>
    </w:p>
    <w:p w:rsidR="006B3686" w:rsidRDefault="00CE2CA2">
      <w:pPr>
        <w:pStyle w:val="Level3"/>
        <w:tabs>
          <w:tab w:val="clear" w:pos="1361"/>
          <w:tab w:val="left" w:pos="851"/>
        </w:tabs>
        <w:spacing w:after="120" w:line="276" w:lineRule="auto"/>
        <w:ind w:left="0" w:firstLine="0"/>
        <w:rPr>
          <w:sz w:val="22"/>
          <w:szCs w:val="22"/>
        </w:rPr>
      </w:pPr>
      <w:bookmarkStart w:id="154" w:name="_Toc51602653"/>
      <w:r>
        <w:rPr>
          <w:sz w:val="22"/>
          <w:szCs w:val="22"/>
        </w:rPr>
        <w:t>As Debêntures não estarão sujeitas a resgate antecipado facultativo.</w:t>
      </w:r>
      <w:bookmarkEnd w:id="154"/>
      <w:r>
        <w:rPr>
          <w:sz w:val="22"/>
          <w:szCs w:val="22"/>
        </w:rPr>
        <w:t xml:space="preserve"> </w:t>
      </w:r>
    </w:p>
    <w:p w:rsidR="006B3686" w:rsidRDefault="00CE2CA2">
      <w:pPr>
        <w:pStyle w:val="Level2"/>
        <w:tabs>
          <w:tab w:val="clear" w:pos="680"/>
          <w:tab w:val="num" w:pos="0"/>
        </w:tabs>
        <w:spacing w:after="120" w:line="276" w:lineRule="auto"/>
        <w:ind w:left="0" w:firstLine="0"/>
        <w:rPr>
          <w:rFonts w:cs="Arial"/>
          <w:sz w:val="22"/>
          <w:szCs w:val="22"/>
        </w:rPr>
      </w:pPr>
      <w:bookmarkStart w:id="155" w:name="_Ref37877429"/>
      <w:bookmarkStart w:id="156" w:name="_Toc51602654"/>
      <w:bookmarkStart w:id="157" w:name="_Ref534176584"/>
      <w:bookmarkEnd w:id="104"/>
      <w:bookmarkEnd w:id="119"/>
      <w:r>
        <w:rPr>
          <w:rFonts w:cs="Arial"/>
          <w:i/>
          <w:sz w:val="22"/>
          <w:szCs w:val="22"/>
        </w:rPr>
        <w:t>Amortização Obrigatória Parcial</w:t>
      </w:r>
      <w:r>
        <w:rPr>
          <w:rFonts w:cs="Arial"/>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Pr>
          <w:rFonts w:cs="Arial"/>
          <w:i/>
          <w:sz w:val="22"/>
          <w:szCs w:val="22"/>
        </w:rPr>
        <w:t>pro rata temporis</w:t>
      </w:r>
      <w:r>
        <w:rPr>
          <w:rFonts w:cs="Arial"/>
          <w:sz w:val="22"/>
          <w:szCs w:val="22"/>
        </w:rPr>
        <w:t>, desde a respectiva Data de Subscrição e Integralização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Pr>
          <w:rFonts w:cs="Arial"/>
          <w:b/>
          <w:sz w:val="22"/>
          <w:szCs w:val="22"/>
        </w:rPr>
        <w:t>Amortização Obrigatória Parcial</w:t>
      </w:r>
      <w:r>
        <w:rPr>
          <w:rFonts w:cs="Arial"/>
          <w:sz w:val="22"/>
          <w:szCs w:val="22"/>
        </w:rPr>
        <w:t>”).</w:t>
      </w:r>
      <w:bookmarkEnd w:id="155"/>
      <w:r>
        <w:rPr>
          <w:rFonts w:cs="Arial"/>
          <w:sz w:val="22"/>
          <w:szCs w:val="22"/>
        </w:rPr>
        <w:t xml:space="preserve"> O percentual da Amortização Obrigatória Parcial é limitado à 98% (noventa e oito por cento) do Valor Nominal Unitário ou saldo do Valor Nominal Unitário.</w:t>
      </w:r>
      <w:bookmarkEnd w:id="156"/>
    </w:p>
    <w:p w:rsidR="006B3686" w:rsidRDefault="00CE2CA2">
      <w:pPr>
        <w:pStyle w:val="Level3"/>
        <w:tabs>
          <w:tab w:val="clear" w:pos="1361"/>
          <w:tab w:val="left" w:pos="851"/>
        </w:tabs>
        <w:spacing w:after="120" w:line="276" w:lineRule="auto"/>
        <w:ind w:left="0" w:firstLine="0"/>
        <w:rPr>
          <w:sz w:val="22"/>
          <w:szCs w:val="22"/>
        </w:rPr>
      </w:pPr>
      <w:bookmarkStart w:id="158" w:name="_Toc51602655"/>
      <w:bookmarkStart w:id="159" w:name="_Ref40355376"/>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Pr>
          <w:b/>
          <w:sz w:val="22"/>
          <w:szCs w:val="22"/>
        </w:rPr>
        <w:t>Comunicação de Amortização Obrigatória Parcial</w:t>
      </w:r>
      <w:r>
        <w:rPr>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58"/>
      <w:r>
        <w:rPr>
          <w:sz w:val="22"/>
          <w:szCs w:val="22"/>
        </w:rPr>
        <w:t xml:space="preserve"> </w:t>
      </w:r>
      <w:bookmarkEnd w:id="159"/>
    </w:p>
    <w:p w:rsidR="006B3686" w:rsidRDefault="00CE2CA2">
      <w:pPr>
        <w:pStyle w:val="Level3"/>
        <w:tabs>
          <w:tab w:val="clear" w:pos="1361"/>
          <w:tab w:val="left" w:pos="851"/>
        </w:tabs>
        <w:spacing w:after="120" w:line="276" w:lineRule="auto"/>
        <w:ind w:left="0" w:firstLine="0"/>
        <w:rPr>
          <w:sz w:val="22"/>
          <w:szCs w:val="22"/>
        </w:rPr>
      </w:pPr>
      <w:bookmarkStart w:id="160" w:name="_Ref37876729"/>
      <w:bookmarkStart w:id="161" w:name="_Toc51602656"/>
      <w:bookmarkStart w:id="162" w:name="_Ref40355465"/>
      <w:r>
        <w:rPr>
          <w:sz w:val="22"/>
          <w:szCs w:val="22"/>
        </w:rPr>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Pr>
          <w:i/>
          <w:sz w:val="22"/>
          <w:szCs w:val="22"/>
        </w:rPr>
        <w:t>pro rata temporis</w:t>
      </w:r>
      <w:r>
        <w:rPr>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Pr>
          <w:b/>
          <w:sz w:val="22"/>
          <w:szCs w:val="22"/>
        </w:rPr>
        <w:t>Valor da Amortização Parcial</w:t>
      </w:r>
      <w:r>
        <w:rPr>
          <w:sz w:val="22"/>
          <w:szCs w:val="22"/>
        </w:rPr>
        <w:t>”).</w:t>
      </w:r>
      <w:bookmarkEnd w:id="160"/>
      <w:bookmarkEnd w:id="161"/>
      <w:r>
        <w:rPr>
          <w:sz w:val="22"/>
          <w:szCs w:val="22"/>
        </w:rPr>
        <w:t xml:space="preserve"> </w:t>
      </w:r>
      <w:bookmarkEnd w:id="162"/>
    </w:p>
    <w:p w:rsidR="006B3686" w:rsidRDefault="00CE2CA2">
      <w:pPr>
        <w:pStyle w:val="Level3"/>
        <w:tabs>
          <w:tab w:val="clear" w:pos="1361"/>
          <w:tab w:val="left" w:pos="851"/>
        </w:tabs>
        <w:spacing w:after="120" w:line="276" w:lineRule="auto"/>
        <w:ind w:left="0" w:firstLine="0"/>
        <w:rPr>
          <w:sz w:val="22"/>
          <w:szCs w:val="22"/>
        </w:rPr>
      </w:pPr>
      <w:bookmarkStart w:id="163" w:name="_Toc51602657"/>
      <w:r>
        <w:rPr>
          <w:sz w:val="22"/>
          <w:szCs w:val="22"/>
        </w:rPr>
        <w:t>As Debêntures não estarão sujeitas a amortização antecipada facultativa.</w:t>
      </w:r>
      <w:bookmarkEnd w:id="163"/>
      <w:r>
        <w:rPr>
          <w:sz w:val="22"/>
          <w:szCs w:val="22"/>
        </w:rPr>
        <w:t xml:space="preserve"> </w:t>
      </w:r>
    </w:p>
    <w:p w:rsidR="006B3686" w:rsidRDefault="00CE2CA2">
      <w:pPr>
        <w:pStyle w:val="Level3"/>
        <w:tabs>
          <w:tab w:val="clear" w:pos="1361"/>
          <w:tab w:val="left" w:pos="851"/>
        </w:tabs>
        <w:spacing w:after="120" w:line="276" w:lineRule="auto"/>
        <w:ind w:left="0" w:firstLine="0"/>
        <w:rPr>
          <w:sz w:val="22"/>
          <w:szCs w:val="22"/>
        </w:rPr>
      </w:pPr>
      <w:bookmarkStart w:id="164" w:name="_Toc51602658"/>
      <w:bookmarkStart w:id="165" w:name="_Ref279314174"/>
      <w:r>
        <w:rPr>
          <w:sz w:val="22"/>
          <w:szCs w:val="22"/>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164"/>
      <w:r>
        <w:rPr>
          <w:sz w:val="22"/>
          <w:szCs w:val="22"/>
        </w:rPr>
        <w:t xml:space="preserve"> </w:t>
      </w:r>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166" w:name="_Toc51602659"/>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65"/>
      <w:bookmarkEnd w:id="166"/>
      <w:r>
        <w:rPr>
          <w:rFonts w:cs="Arial"/>
          <w:sz w:val="22"/>
          <w:szCs w:val="22"/>
        </w:rPr>
        <w:t xml:space="preserve"> </w:t>
      </w:r>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167" w:name="_Toc51602660"/>
      <w:r>
        <w:rPr>
          <w:rFonts w:cs="Arial"/>
          <w:i/>
          <w:sz w:val="22"/>
          <w:szCs w:val="22"/>
        </w:rPr>
        <w:t>Direito ao Recebimento dos Pagamentos</w:t>
      </w:r>
      <w:r>
        <w:rPr>
          <w:rFonts w:cs="Arial"/>
          <w:sz w:val="22"/>
          <w:szCs w:val="22"/>
        </w:rPr>
        <w:t>. Farão jus ao recebimento de qualquer valor devido aos Debenturistas nos termos desta Escritura de Emissão aqueles que forem Debenturistas no encerramento do Dia Útil imediatamente anterior à respectiva data de pagamento.</w:t>
      </w:r>
      <w:bookmarkEnd w:id="167"/>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168" w:name="_Ref324932809"/>
      <w:bookmarkStart w:id="169" w:name="_Toc51602661"/>
      <w:r>
        <w:rPr>
          <w:rFonts w:cs="Arial"/>
          <w:i/>
          <w:sz w:val="22"/>
          <w:szCs w:val="22"/>
        </w:rPr>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Pr>
          <w:rFonts w:cs="Arial"/>
          <w:b/>
          <w:sz w:val="22"/>
          <w:szCs w:val="22"/>
        </w:rPr>
        <w:t>(ii)</w:t>
      </w:r>
      <w:r>
        <w:rPr>
          <w:rFonts w:cs="Arial"/>
          <w:sz w:val="22"/>
          <w:szCs w:val="22"/>
        </w:rPr>
        <w:t> pela Companhia, nos casos em que as Debêntures não estejam custodiadas eletronicamente na B3, por meio do Escriturador ou na sede da Companhia, conforme o caso.</w:t>
      </w:r>
      <w:bookmarkEnd w:id="168"/>
      <w:bookmarkEnd w:id="169"/>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170" w:name="_Ref278399164"/>
      <w:bookmarkStart w:id="171" w:name="_Toc51602662"/>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70"/>
      <w:bookmarkEnd w:id="171"/>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172" w:name="_Ref279851957"/>
      <w:bookmarkStart w:id="173" w:name="_Toc51602663"/>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pro rata temporis</w:t>
      </w:r>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pro rata temporis</w:t>
      </w:r>
      <w:r>
        <w:rPr>
          <w:rFonts w:cs="Arial"/>
          <w:sz w:val="22"/>
          <w:szCs w:val="22"/>
        </w:rPr>
        <w:t>, desde a data de inadimplemento até a data do efetivo pagamento; e (ii) multa moratória de 2% (dois por cento) (“</w:t>
      </w:r>
      <w:r>
        <w:rPr>
          <w:rFonts w:cs="Arial"/>
          <w:b/>
          <w:sz w:val="22"/>
          <w:szCs w:val="22"/>
        </w:rPr>
        <w:t>Encargos Moratórios</w:t>
      </w:r>
      <w:bookmarkEnd w:id="172"/>
      <w:r>
        <w:rPr>
          <w:rFonts w:cs="Arial"/>
          <w:sz w:val="22"/>
          <w:szCs w:val="22"/>
        </w:rPr>
        <w:t>”).</w:t>
      </w:r>
      <w:bookmarkEnd w:id="173"/>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174" w:name="_Toc51602664"/>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ou pagamento, no caso de impontualidade no pagamento</w:t>
      </w:r>
      <w:r>
        <w:rPr>
          <w:rFonts w:cs="Arial"/>
          <w:sz w:val="22"/>
          <w:szCs w:val="22"/>
        </w:rPr>
        <w:t>.</w:t>
      </w:r>
      <w:bookmarkEnd w:id="174"/>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175" w:name="_Toc51602665"/>
      <w:bookmarkEnd w:id="157"/>
      <w:r>
        <w:rPr>
          <w:rFonts w:cs="Arial"/>
          <w:i/>
          <w:iCs/>
          <w:sz w:val="22"/>
          <w:szCs w:val="22"/>
        </w:rPr>
        <w:t>Imunidade Tributária</w:t>
      </w:r>
      <w:r>
        <w:rPr>
          <w:rFonts w:cs="Arial"/>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175"/>
    </w:p>
    <w:p w:rsidR="006B3686" w:rsidRDefault="00CE2CA2">
      <w:pPr>
        <w:pStyle w:val="Level2"/>
        <w:widowControl w:val="0"/>
        <w:tabs>
          <w:tab w:val="num" w:pos="851"/>
        </w:tabs>
        <w:spacing w:after="120" w:line="276" w:lineRule="auto"/>
        <w:ind w:left="0" w:firstLine="0"/>
        <w:rPr>
          <w:rFonts w:cs="Arial"/>
          <w:sz w:val="22"/>
          <w:szCs w:val="22"/>
        </w:rPr>
      </w:pPr>
      <w:bookmarkStart w:id="176" w:name="_Ref534176672"/>
      <w:bookmarkStart w:id="177" w:name="_Ref359943667"/>
      <w:bookmarkStart w:id="178" w:name="_Ref37878946"/>
      <w:bookmarkStart w:id="179" w:name="_Toc51602666"/>
      <w:r>
        <w:rPr>
          <w:rFonts w:cs="Arial"/>
          <w:i/>
          <w:sz w:val="22"/>
          <w:szCs w:val="22"/>
        </w:rPr>
        <w:t>Vencimento Antecipado</w:t>
      </w:r>
      <w:r>
        <w:rPr>
          <w:rFonts w:cs="Arial"/>
          <w:sz w:val="22"/>
          <w:szCs w:val="22"/>
        </w:rPr>
        <w:t>. Sujeito ao disposto nas Cláusulas </w:t>
      </w:r>
      <w:r>
        <w:rPr>
          <w:rFonts w:cs="Arial"/>
          <w:sz w:val="22"/>
          <w:szCs w:val="22"/>
        </w:rPr>
        <w:fldChar w:fldCharType="begin"/>
      </w:r>
      <w:r>
        <w:rPr>
          <w:rFonts w:cs="Arial"/>
          <w:sz w:val="22"/>
          <w:szCs w:val="22"/>
        </w:rPr>
        <w:instrText xml:space="preserve"> REF _Ref356481657 \n \h  \* MERGEFORMAT </w:instrText>
      </w:r>
      <w:r>
        <w:rPr>
          <w:rFonts w:cs="Arial"/>
          <w:sz w:val="22"/>
          <w:szCs w:val="22"/>
        </w:rPr>
      </w:r>
      <w:r>
        <w:rPr>
          <w:rFonts w:cs="Arial"/>
          <w:sz w:val="22"/>
          <w:szCs w:val="22"/>
        </w:rPr>
        <w:fldChar w:fldCharType="separate"/>
      </w:r>
      <w:r>
        <w:rPr>
          <w:rFonts w:cs="Arial"/>
          <w:sz w:val="22"/>
          <w:szCs w:val="22"/>
        </w:rPr>
        <w:t>7.23.1</w:t>
      </w:r>
      <w:r>
        <w:rPr>
          <w:rFonts w:cs="Arial"/>
          <w:sz w:val="22"/>
          <w:szCs w:val="22"/>
        </w:rPr>
        <w:fldChar w:fldCharType="end"/>
      </w:r>
      <w:r>
        <w:rPr>
          <w:rFonts w:cs="Arial"/>
          <w:sz w:val="22"/>
          <w:szCs w:val="22"/>
        </w:rPr>
        <w:t xml:space="preserve"> a </w:t>
      </w:r>
      <w:r>
        <w:rPr>
          <w:rFonts w:cs="Arial"/>
          <w:sz w:val="22"/>
          <w:szCs w:val="22"/>
        </w:rPr>
        <w:fldChar w:fldCharType="begin"/>
      </w:r>
      <w:r>
        <w:rPr>
          <w:rFonts w:cs="Arial"/>
          <w:sz w:val="22"/>
          <w:szCs w:val="22"/>
        </w:rPr>
        <w:instrText xml:space="preserve"> REF _Ref359943492 \n \p \h  \* MERGEFORMAT </w:instrText>
      </w:r>
      <w:r>
        <w:rPr>
          <w:rFonts w:cs="Arial"/>
          <w:sz w:val="22"/>
          <w:szCs w:val="22"/>
        </w:rPr>
      </w:r>
      <w:r>
        <w:rPr>
          <w:rFonts w:cs="Arial"/>
          <w:sz w:val="22"/>
          <w:szCs w:val="22"/>
        </w:rPr>
        <w:fldChar w:fldCharType="separate"/>
      </w:r>
      <w:r>
        <w:rPr>
          <w:rFonts w:cs="Arial"/>
          <w:sz w:val="22"/>
          <w:szCs w:val="22"/>
        </w:rPr>
        <w:t>7.23.9 abaixo</w:t>
      </w:r>
      <w:r>
        <w:rPr>
          <w:rFonts w:cs="Arial"/>
          <w:sz w:val="22"/>
          <w:szCs w:val="22"/>
        </w:rPr>
        <w:fldChar w:fldCharType="end"/>
      </w:r>
      <w:r>
        <w:rPr>
          <w:rFonts w:cs="Arial"/>
          <w:sz w:val="22"/>
          <w:szCs w:val="22"/>
        </w:rPr>
        <w:t>, o Agente Fiduciário deverá declarar antecipadamente vencidas as obrigações decorrentes das Debêntures, e exigir o imediato pagamento, pela Companhia, dos valores devidos nos termos da Cláusula </w:t>
      </w:r>
      <w:r>
        <w:rPr>
          <w:rFonts w:cs="Arial"/>
          <w:sz w:val="22"/>
          <w:szCs w:val="22"/>
        </w:rPr>
        <w:fldChar w:fldCharType="begin"/>
      </w:r>
      <w:r>
        <w:rPr>
          <w:rFonts w:cs="Arial"/>
          <w:sz w:val="22"/>
          <w:szCs w:val="22"/>
        </w:rPr>
        <w:instrText xml:space="preserve"> REF _Ref495496127 \n \p \h  \* MERGEFORMAT </w:instrText>
      </w:r>
      <w:r>
        <w:rPr>
          <w:rFonts w:cs="Arial"/>
          <w:sz w:val="22"/>
          <w:szCs w:val="22"/>
        </w:rPr>
      </w:r>
      <w:r>
        <w:rPr>
          <w:rFonts w:cs="Arial"/>
          <w:sz w:val="22"/>
          <w:szCs w:val="22"/>
        </w:rPr>
        <w:fldChar w:fldCharType="separate"/>
      </w:r>
      <w:r>
        <w:rPr>
          <w:rFonts w:cs="Arial"/>
          <w:sz w:val="22"/>
          <w:szCs w:val="22"/>
        </w:rPr>
        <w:t>7.23.8 abaixo</w:t>
      </w:r>
      <w:r>
        <w:rPr>
          <w:rFonts w:cs="Arial"/>
          <w:sz w:val="22"/>
          <w:szCs w:val="22"/>
        </w:rPr>
        <w:fldChar w:fldCharType="end"/>
      </w:r>
      <w:r>
        <w:rPr>
          <w:rFonts w:cs="Arial"/>
          <w:sz w:val="22"/>
          <w:szCs w:val="22"/>
        </w:rPr>
        <w:t>, na ocorrência de qualquer dos eventos previstos nas Cláusulas </w:t>
      </w:r>
      <w:r>
        <w:rPr>
          <w:rFonts w:cs="Arial"/>
          <w:sz w:val="22"/>
          <w:szCs w:val="22"/>
        </w:rPr>
        <w:fldChar w:fldCharType="begin"/>
      </w:r>
      <w:r>
        <w:rPr>
          <w:rFonts w:cs="Arial"/>
          <w:sz w:val="22"/>
          <w:szCs w:val="22"/>
        </w:rPr>
        <w:instrText xml:space="preserve"> REF _Ref356481657 \n \p \h  \* MERGEFORMAT </w:instrText>
      </w:r>
      <w:r>
        <w:rPr>
          <w:rFonts w:cs="Arial"/>
          <w:sz w:val="22"/>
          <w:szCs w:val="22"/>
        </w:rPr>
      </w:r>
      <w:r>
        <w:rPr>
          <w:rFonts w:cs="Arial"/>
          <w:sz w:val="22"/>
          <w:szCs w:val="22"/>
        </w:rPr>
        <w:fldChar w:fldCharType="separate"/>
      </w:r>
      <w:r>
        <w:rPr>
          <w:rFonts w:cs="Arial"/>
          <w:sz w:val="22"/>
          <w:szCs w:val="22"/>
        </w:rPr>
        <w:t>7.23.1 abaixo</w:t>
      </w:r>
      <w:r>
        <w:rPr>
          <w:rFonts w:cs="Arial"/>
          <w:sz w:val="22"/>
          <w:szCs w:val="22"/>
        </w:rPr>
        <w:fldChar w:fldCharType="end"/>
      </w:r>
      <w:r>
        <w:rPr>
          <w:rFonts w:cs="Arial"/>
          <w:sz w:val="22"/>
          <w:szCs w:val="22"/>
        </w:rPr>
        <w:t xml:space="preserve"> e </w:t>
      </w:r>
      <w:r>
        <w:rPr>
          <w:rFonts w:cs="Arial"/>
          <w:sz w:val="22"/>
          <w:szCs w:val="22"/>
        </w:rPr>
        <w:fldChar w:fldCharType="begin"/>
      </w:r>
      <w:r>
        <w:rPr>
          <w:rFonts w:cs="Arial"/>
          <w:sz w:val="22"/>
          <w:szCs w:val="22"/>
        </w:rPr>
        <w:instrText xml:space="preserve"> REF _Ref528593648 \r \h  \* MERGEFORMAT </w:instrText>
      </w:r>
      <w:r>
        <w:rPr>
          <w:rFonts w:cs="Arial"/>
          <w:sz w:val="22"/>
          <w:szCs w:val="22"/>
        </w:rPr>
      </w:r>
      <w:r>
        <w:rPr>
          <w:rFonts w:cs="Arial"/>
          <w:sz w:val="22"/>
          <w:szCs w:val="22"/>
        </w:rPr>
        <w:fldChar w:fldCharType="separate"/>
      </w:r>
      <w:r>
        <w:rPr>
          <w:rFonts w:cs="Arial"/>
          <w:sz w:val="22"/>
          <w:szCs w:val="22"/>
        </w:rPr>
        <w:t>7.23.2</w:t>
      </w:r>
      <w:r>
        <w:rPr>
          <w:rFonts w:cs="Arial"/>
          <w:sz w:val="22"/>
          <w:szCs w:val="22"/>
        </w:rPr>
        <w:fldChar w:fldCharType="end"/>
      </w:r>
      <w:r>
        <w:rPr>
          <w:rFonts w:cs="Arial"/>
          <w:sz w:val="22"/>
          <w:szCs w:val="22"/>
        </w:rPr>
        <w:t xml:space="preserve"> abaixo (cada evento, um “</w:t>
      </w:r>
      <w:r>
        <w:rPr>
          <w:rFonts w:cs="Arial"/>
          <w:b/>
          <w:sz w:val="22"/>
          <w:szCs w:val="22"/>
        </w:rPr>
        <w:t xml:space="preserve">Evento de </w:t>
      </w:r>
      <w:bookmarkEnd w:id="176"/>
      <w:bookmarkEnd w:id="177"/>
      <w:r>
        <w:rPr>
          <w:rFonts w:cs="Arial"/>
          <w:b/>
          <w:sz w:val="22"/>
          <w:szCs w:val="22"/>
        </w:rPr>
        <w:t>Vencimento Antecipado</w:t>
      </w:r>
      <w:r>
        <w:rPr>
          <w:rFonts w:cs="Arial"/>
          <w:sz w:val="22"/>
          <w:szCs w:val="22"/>
        </w:rPr>
        <w:t>”):</w:t>
      </w:r>
      <w:bookmarkEnd w:id="178"/>
      <w:bookmarkEnd w:id="179"/>
      <w:r>
        <w:rPr>
          <w:rFonts w:cs="Arial"/>
          <w:sz w:val="22"/>
          <w:szCs w:val="22"/>
        </w:rPr>
        <w:t xml:space="preserve"> </w:t>
      </w:r>
    </w:p>
    <w:p w:rsidR="006B3686" w:rsidRDefault="00CE2CA2">
      <w:pPr>
        <w:pStyle w:val="Level3"/>
        <w:widowControl w:val="0"/>
        <w:tabs>
          <w:tab w:val="clear" w:pos="1361"/>
          <w:tab w:val="num" w:pos="709"/>
          <w:tab w:val="num" w:pos="851"/>
        </w:tabs>
        <w:spacing w:after="120" w:line="276" w:lineRule="auto"/>
        <w:ind w:left="0" w:firstLine="0"/>
        <w:rPr>
          <w:sz w:val="22"/>
          <w:szCs w:val="22"/>
        </w:rPr>
      </w:pPr>
      <w:bookmarkStart w:id="180" w:name="_Ref356481657"/>
      <w:bookmarkStart w:id="181" w:name="_Toc5160266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180"/>
      <w:bookmarkEnd w:id="181"/>
    </w:p>
    <w:p w:rsidR="006B3686" w:rsidRDefault="00CE2CA2">
      <w:pPr>
        <w:pStyle w:val="Level4"/>
        <w:widowControl w:val="0"/>
        <w:tabs>
          <w:tab w:val="num" w:pos="851"/>
        </w:tabs>
        <w:spacing w:after="120" w:line="276" w:lineRule="auto"/>
        <w:ind w:left="0" w:firstLine="0"/>
        <w:rPr>
          <w:sz w:val="22"/>
          <w:szCs w:val="22"/>
        </w:rPr>
      </w:pPr>
      <w:bookmarkStart w:id="182" w:name="_Ref352202606"/>
      <w:bookmarkStart w:id="183" w:name="_Ref137104988"/>
      <w:bookmarkStart w:id="184" w:name="_Ref149034057"/>
      <w:bookmarkStart w:id="185" w:name="_Ref164238959"/>
      <w:bookmarkStart w:id="186" w:name="_Ref264563274"/>
      <w:bookmarkStart w:id="187" w:name="_Ref149034055"/>
      <w:bookmarkStart w:id="188" w:name="_Ref164238994"/>
      <w:bookmarkStart w:id="189" w:name="_Ref152389657"/>
      <w:bookmarkStart w:id="190" w:name="_Ref164238965"/>
      <w:bookmarkStart w:id="191" w:name="_Ref137105000"/>
      <w:bookmarkStart w:id="192" w:name="_Ref130283570"/>
      <w:bookmarkStart w:id="193" w:name="_Ref130301134"/>
      <w:bookmarkStart w:id="194" w:name="_Ref137104995"/>
      <w:bookmarkStart w:id="195" w:name="_Ref137475230"/>
      <w:bookmarkStart w:id="196" w:name="_Ref264657534"/>
      <w:r>
        <w:rPr>
          <w:sz w:val="22"/>
          <w:szCs w:val="22"/>
        </w:rPr>
        <w:t>liquidação, dissolução ou extinção da Companhia, exceto se em decorrência de uma Reorganização Societária Permitida;</w:t>
      </w:r>
      <w:bookmarkEnd w:id="182"/>
    </w:p>
    <w:p w:rsidR="006B3686" w:rsidRDefault="00CE2CA2">
      <w:pPr>
        <w:pStyle w:val="Level4"/>
        <w:widowControl w:val="0"/>
        <w:tabs>
          <w:tab w:val="num" w:pos="851"/>
        </w:tabs>
        <w:spacing w:after="120" w:line="276" w:lineRule="auto"/>
        <w:ind w:left="0" w:firstLine="0"/>
        <w:rPr>
          <w:sz w:val="22"/>
          <w:szCs w:val="22"/>
        </w:rPr>
      </w:pPr>
      <w:bookmarkStart w:id="197" w:name="_Ref352202607"/>
      <w:r>
        <w:rPr>
          <w:sz w:val="22"/>
          <w:szCs w:val="22"/>
        </w:rPr>
        <w:t xml:space="preserve">(a)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w:t>
      </w:r>
      <w:proofErr w:type="spellStart"/>
      <w:r>
        <w:rPr>
          <w:sz w:val="22"/>
          <w:szCs w:val="22"/>
        </w:rPr>
        <w:t>elisivo</w:t>
      </w:r>
      <w:proofErr w:type="spellEnd"/>
      <w:r>
        <w:rPr>
          <w:sz w:val="22"/>
          <w:szCs w:val="22"/>
        </w:rPr>
        <w:t>;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97"/>
    </w:p>
    <w:p w:rsidR="006B3686" w:rsidRDefault="00CE2CA2">
      <w:pPr>
        <w:pStyle w:val="Level4"/>
        <w:widowControl w:val="0"/>
        <w:tabs>
          <w:tab w:val="num" w:pos="851"/>
        </w:tabs>
        <w:spacing w:after="120" w:line="276" w:lineRule="auto"/>
        <w:ind w:left="0" w:firstLine="0"/>
        <w:rPr>
          <w:sz w:val="22"/>
          <w:szCs w:val="22"/>
        </w:rPr>
      </w:pPr>
      <w:bookmarkStart w:id="198" w:name="_Ref137475231"/>
      <w:bookmarkStart w:id="199" w:name="_Ref149033996"/>
      <w:bookmarkStart w:id="200" w:name="_Ref164238998"/>
      <w:r>
        <w:rPr>
          <w:sz w:val="22"/>
          <w:szCs w:val="22"/>
        </w:rPr>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198"/>
      <w:bookmarkEnd w:id="199"/>
      <w:bookmarkEnd w:id="200"/>
    </w:p>
    <w:p w:rsidR="006B3686" w:rsidRDefault="00CE2CA2">
      <w:pPr>
        <w:pStyle w:val="Level4"/>
        <w:widowControl w:val="0"/>
        <w:tabs>
          <w:tab w:val="num" w:pos="851"/>
        </w:tabs>
        <w:spacing w:after="120" w:line="276" w:lineRule="auto"/>
        <w:ind w:left="0" w:firstLine="0"/>
        <w:rPr>
          <w:sz w:val="22"/>
          <w:szCs w:val="22"/>
        </w:rPr>
      </w:pPr>
      <w:bookmarkStart w:id="201" w:name="_Ref328666840"/>
      <w:bookmarkEnd w:id="183"/>
      <w:r>
        <w:rPr>
          <w:sz w:val="22"/>
          <w:szCs w:val="22"/>
        </w:rPr>
        <w:t>transformação da forma societária da Companhia de sociedade por ações para qualquer outro tipo societário, nos termos dos artigos 220 a 222 da Lei das Sociedades por Ações</w:t>
      </w:r>
      <w:bookmarkEnd w:id="184"/>
      <w:r>
        <w:rPr>
          <w:sz w:val="22"/>
          <w:szCs w:val="22"/>
        </w:rPr>
        <w:t>;</w:t>
      </w:r>
      <w:bookmarkEnd w:id="185"/>
      <w:bookmarkEnd w:id="186"/>
      <w:bookmarkEnd w:id="201"/>
    </w:p>
    <w:p w:rsidR="006B3686" w:rsidRDefault="00CE2CA2">
      <w:pPr>
        <w:pStyle w:val="Level4"/>
        <w:widowControl w:val="0"/>
        <w:tabs>
          <w:tab w:val="num" w:pos="851"/>
        </w:tabs>
        <w:spacing w:after="120" w:line="276" w:lineRule="auto"/>
        <w:ind w:left="0" w:firstLine="0"/>
        <w:rPr>
          <w:sz w:val="22"/>
          <w:szCs w:val="22"/>
        </w:rPr>
      </w:pPr>
      <w:bookmarkStart w:id="202" w:name="_Ref322627685"/>
      <w:bookmarkStart w:id="203" w:name="_Ref272841215"/>
      <w:bookmarkEnd w:id="187"/>
      <w:bookmarkEnd w:id="188"/>
      <w:bookmarkEnd w:id="189"/>
      <w:bookmarkEnd w:id="190"/>
      <w:bookmarkEnd w:id="191"/>
      <w:r>
        <w:rPr>
          <w:sz w:val="22"/>
          <w:szCs w:val="22"/>
        </w:rPr>
        <w:t>não destinação, pela Companhia, dos recursos líquidos obtidos com a Emissão nos termos da Cláusula </w:t>
      </w:r>
      <w:r>
        <w:rPr>
          <w:sz w:val="22"/>
          <w:szCs w:val="22"/>
        </w:rPr>
        <w:fldChar w:fldCharType="begin"/>
      </w:r>
      <w:r>
        <w:rPr>
          <w:sz w:val="22"/>
          <w:szCs w:val="22"/>
        </w:rPr>
        <w:instrText xml:space="preserve"> REF _Ref368578037 \n \p \h  \* MERGEFORMAT </w:instrText>
      </w:r>
      <w:r>
        <w:rPr>
          <w:sz w:val="22"/>
          <w:szCs w:val="22"/>
        </w:rPr>
      </w:r>
      <w:r>
        <w:rPr>
          <w:sz w:val="22"/>
          <w:szCs w:val="22"/>
        </w:rPr>
        <w:fldChar w:fldCharType="separate"/>
      </w:r>
      <w:r>
        <w:rPr>
          <w:sz w:val="22"/>
          <w:szCs w:val="22"/>
        </w:rPr>
        <w:t>5 acima</w:t>
      </w:r>
      <w:r>
        <w:rPr>
          <w:sz w:val="22"/>
          <w:szCs w:val="22"/>
        </w:rPr>
        <w:fldChar w:fldCharType="end"/>
      </w:r>
      <w:r>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rsidR="006B3686" w:rsidRDefault="00CE2CA2">
      <w:pPr>
        <w:pStyle w:val="Level4"/>
        <w:widowControl w:val="0"/>
        <w:tabs>
          <w:tab w:val="num" w:pos="851"/>
        </w:tabs>
        <w:spacing w:after="120" w:line="276" w:lineRule="auto"/>
        <w:ind w:left="0" w:firstLine="0"/>
        <w:rPr>
          <w:b/>
          <w:sz w:val="22"/>
          <w:szCs w:val="22"/>
        </w:rPr>
      </w:pPr>
      <w:r>
        <w:rPr>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rsidR="006B3686" w:rsidRDefault="00CE2CA2">
      <w:pPr>
        <w:pStyle w:val="Level4"/>
        <w:widowControl w:val="0"/>
        <w:tabs>
          <w:tab w:val="num" w:pos="851"/>
        </w:tabs>
        <w:spacing w:after="120" w:line="276" w:lineRule="auto"/>
        <w:ind w:left="0" w:firstLine="0"/>
        <w:rPr>
          <w:b/>
          <w:i/>
          <w:sz w:val="22"/>
          <w:szCs w:val="22"/>
        </w:rPr>
      </w:pPr>
      <w:bookmarkStart w:id="204" w:name="_Ref273672022"/>
      <w:bookmarkEnd w:id="202"/>
      <w:r>
        <w:rPr>
          <w:sz w:val="22"/>
          <w:szCs w:val="22"/>
        </w:rPr>
        <w:t>alteração ou transferência do Controle direto ou indireto da Companhia, exceto se em razão de Reorganizações Societárias Permitidas;</w:t>
      </w:r>
    </w:p>
    <w:p w:rsidR="006B3686" w:rsidRDefault="00CE2CA2">
      <w:pPr>
        <w:pStyle w:val="Level4"/>
        <w:widowControl w:val="0"/>
        <w:spacing w:after="120" w:line="276" w:lineRule="auto"/>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rsidR="006B3686" w:rsidRDefault="00CE2CA2">
      <w:pPr>
        <w:pStyle w:val="Level4"/>
        <w:widowControl w:val="0"/>
        <w:tabs>
          <w:tab w:val="num" w:pos="851"/>
        </w:tabs>
        <w:spacing w:after="120" w:line="276" w:lineRule="auto"/>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rsidR="006B3686" w:rsidRDefault="00CE2CA2">
      <w:pPr>
        <w:pStyle w:val="Level4"/>
        <w:widowControl w:val="0"/>
        <w:tabs>
          <w:tab w:val="num" w:pos="851"/>
        </w:tabs>
        <w:spacing w:after="120" w:line="276" w:lineRule="auto"/>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rsidR="006B3686" w:rsidRDefault="00CE2CA2">
      <w:pPr>
        <w:pStyle w:val="Level4"/>
        <w:widowControl w:val="0"/>
        <w:tabs>
          <w:tab w:val="num" w:pos="851"/>
        </w:tabs>
        <w:spacing w:after="120" w:line="276" w:lineRule="auto"/>
        <w:ind w:left="0" w:firstLine="0"/>
        <w:rPr>
          <w:sz w:val="22"/>
          <w:szCs w:val="22"/>
        </w:rPr>
      </w:pPr>
      <w:r>
        <w:rPr>
          <w:sz w:val="22"/>
          <w:szCs w:val="22"/>
        </w:rPr>
        <w:t>cessão ou qualquer forma de transferência a terceiros, no todo ou em parte, pela Companhia e/ou pela Garantidora, de qualquer de suas obrigações nos termos desta Escritura de Emissão e/ou nos Contratos de Garantia e/ou de qualquer dos demais documentos da operação, exceto se em razão de uma Reorganização Societária Permitida;</w:t>
      </w:r>
    </w:p>
    <w:p w:rsidR="006B3686" w:rsidRDefault="00CE2CA2">
      <w:pPr>
        <w:pStyle w:val="Level4"/>
        <w:widowControl w:val="0"/>
        <w:tabs>
          <w:tab w:val="num" w:pos="851"/>
        </w:tabs>
        <w:spacing w:after="120" w:line="276" w:lineRule="auto"/>
        <w:ind w:left="0" w:firstLine="0"/>
        <w:rPr>
          <w:sz w:val="22"/>
          <w:szCs w:val="22"/>
        </w:rPr>
      </w:pPr>
      <w:r>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rsidR="006B3686" w:rsidRDefault="00CE2CA2">
      <w:pPr>
        <w:pStyle w:val="Level4"/>
        <w:widowControl w:val="0"/>
        <w:tabs>
          <w:tab w:val="num" w:pos="851"/>
        </w:tabs>
        <w:spacing w:after="120" w:line="276" w:lineRule="auto"/>
        <w:ind w:left="0" w:firstLine="0"/>
        <w:rPr>
          <w:sz w:val="22"/>
          <w:szCs w:val="22"/>
        </w:rPr>
      </w:pPr>
      <w:r>
        <w:rPr>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rsidR="006B3686" w:rsidRDefault="00CE2CA2">
      <w:pPr>
        <w:pStyle w:val="Level4"/>
        <w:widowControl w:val="0"/>
        <w:tabs>
          <w:tab w:val="num" w:pos="851"/>
        </w:tabs>
        <w:spacing w:after="120" w:line="276" w:lineRule="auto"/>
        <w:ind w:left="0" w:firstLine="0"/>
        <w:rPr>
          <w:sz w:val="22"/>
          <w:szCs w:val="22"/>
        </w:rPr>
      </w:pPr>
      <w:r>
        <w:rPr>
          <w:sz w:val="22"/>
          <w:szCs w:val="22"/>
        </w:rPr>
        <w:t xml:space="preserve">decretação de vencimento antecipado dos Instrumentos de Dívida Credores Existentes; </w:t>
      </w:r>
    </w:p>
    <w:p w:rsidR="006B3686" w:rsidRDefault="00CE2CA2">
      <w:pPr>
        <w:pStyle w:val="Level4"/>
        <w:widowControl w:val="0"/>
        <w:tabs>
          <w:tab w:val="clear" w:pos="822"/>
          <w:tab w:val="num" w:pos="851"/>
        </w:tabs>
        <w:spacing w:after="120" w:line="276" w:lineRule="auto"/>
        <w:ind w:left="0" w:firstLine="0"/>
        <w:rPr>
          <w:sz w:val="22"/>
          <w:szCs w:val="22"/>
        </w:rPr>
      </w:pPr>
      <w:r>
        <w:rPr>
          <w:sz w:val="22"/>
          <w:szCs w:val="22"/>
        </w:rPr>
        <w:t>pagamento de qualquer valor referente à Dívida com Partes Relacionadas da Move, incluindo, mas não se limitando a principal ou juros, antes da liquidação integral das obrigações desta Escritura de Emissão; ou</w:t>
      </w:r>
    </w:p>
    <w:p w:rsidR="006B3686" w:rsidRDefault="00CE2CA2">
      <w:pPr>
        <w:pStyle w:val="Level4"/>
        <w:widowControl w:val="0"/>
        <w:tabs>
          <w:tab w:val="clear" w:pos="822"/>
          <w:tab w:val="num" w:pos="851"/>
        </w:tabs>
        <w:spacing w:after="120" w:line="276" w:lineRule="auto"/>
        <w:ind w:left="0" w:firstLine="0"/>
        <w:rPr>
          <w:sz w:val="22"/>
          <w:szCs w:val="22"/>
        </w:rPr>
      </w:pPr>
      <w:r>
        <w:rPr>
          <w:sz w:val="22"/>
          <w:szCs w:val="22"/>
        </w:rPr>
        <w:t>alteração de qualquer condição da Dívida com Partes Relacionadas da Move de forma que estas deixem de ser subordinadas à presente Emissão.</w:t>
      </w:r>
    </w:p>
    <w:p w:rsidR="006B3686" w:rsidRDefault="00CE2CA2">
      <w:pPr>
        <w:pStyle w:val="Level3"/>
        <w:widowControl w:val="0"/>
        <w:tabs>
          <w:tab w:val="clear" w:pos="1361"/>
          <w:tab w:val="left" w:pos="851"/>
        </w:tabs>
        <w:spacing w:after="120" w:line="276" w:lineRule="auto"/>
        <w:ind w:left="0" w:firstLine="0"/>
        <w:rPr>
          <w:sz w:val="22"/>
          <w:szCs w:val="22"/>
        </w:rPr>
      </w:pPr>
      <w:bookmarkStart w:id="205" w:name="_DV_M45"/>
      <w:bookmarkStart w:id="206" w:name="_Ref356481704"/>
      <w:bookmarkStart w:id="207" w:name="_Ref359943338"/>
      <w:bookmarkStart w:id="208" w:name="_Ref528593648"/>
      <w:bookmarkStart w:id="209" w:name="_Toc51602668"/>
      <w:bookmarkStart w:id="210" w:name="_Ref130283254"/>
      <w:bookmarkEnd w:id="192"/>
      <w:bookmarkEnd w:id="193"/>
      <w:bookmarkEnd w:id="194"/>
      <w:bookmarkEnd w:id="195"/>
      <w:bookmarkEnd w:id="196"/>
      <w:bookmarkEnd w:id="203"/>
      <w:bookmarkEnd w:id="204"/>
      <w:bookmarkEnd w:id="205"/>
      <w:r>
        <w:rPr>
          <w:sz w:val="22"/>
          <w:szCs w:val="22"/>
        </w:rPr>
        <w:t>Constituem Eventos de Vencimento Antecipado que podem acarretar o vencimento não automático das obrigações decorrentes das Debêntures, aplicando-se o disposto na Cláusula </w:t>
      </w:r>
      <w:r>
        <w:rPr>
          <w:sz w:val="22"/>
          <w:szCs w:val="22"/>
        </w:rPr>
        <w:fldChar w:fldCharType="begin"/>
      </w:r>
      <w:r>
        <w:rPr>
          <w:sz w:val="22"/>
          <w:szCs w:val="22"/>
        </w:rPr>
        <w:instrText xml:space="preserve"> REF _Ref130283218 \n \p \h  \* MERGEFORMAT </w:instrText>
      </w:r>
      <w:r>
        <w:rPr>
          <w:sz w:val="22"/>
          <w:szCs w:val="22"/>
        </w:rPr>
      </w:r>
      <w:r>
        <w:rPr>
          <w:sz w:val="22"/>
          <w:szCs w:val="22"/>
        </w:rPr>
        <w:fldChar w:fldCharType="separate"/>
      </w:r>
      <w:r>
        <w:rPr>
          <w:sz w:val="22"/>
          <w:szCs w:val="22"/>
        </w:rPr>
        <w:t>7.23.3 abaixo</w:t>
      </w:r>
      <w:r>
        <w:rPr>
          <w:sz w:val="22"/>
          <w:szCs w:val="22"/>
        </w:rPr>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206"/>
      <w:bookmarkEnd w:id="207"/>
      <w:bookmarkEnd w:id="208"/>
      <w:bookmarkEnd w:id="209"/>
    </w:p>
    <w:p w:rsidR="006B3686" w:rsidRDefault="00CE2CA2">
      <w:pPr>
        <w:pStyle w:val="Level4"/>
        <w:widowControl w:val="0"/>
        <w:tabs>
          <w:tab w:val="left" w:pos="851"/>
          <w:tab w:val="left" w:pos="3969"/>
        </w:tabs>
        <w:spacing w:after="120" w:line="276" w:lineRule="auto"/>
        <w:ind w:left="0" w:firstLine="0"/>
        <w:rPr>
          <w:sz w:val="22"/>
          <w:szCs w:val="22"/>
        </w:rPr>
      </w:pPr>
      <w:bookmarkStart w:id="211" w:name="_Ref40353727"/>
      <w:r>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Pr>
          <w:i/>
          <w:sz w:val="22"/>
          <w:szCs w:val="22"/>
        </w:rPr>
        <w:t>pro rata temporis</w:t>
      </w:r>
      <w:r>
        <w:rPr>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empresas do mesmo grupo econômico; e/ou (d) para o ingresso no quadro societário da Emissora das sociedades STOA S.A. e do Société </w:t>
      </w:r>
      <w:proofErr w:type="spellStart"/>
      <w:r>
        <w:rPr>
          <w:sz w:val="22"/>
          <w:szCs w:val="22"/>
        </w:rPr>
        <w:t>Générale</w:t>
      </w:r>
      <w:proofErr w:type="spellEnd"/>
      <w:r>
        <w:rPr>
          <w:sz w:val="22"/>
          <w:szCs w:val="22"/>
        </w:rPr>
        <w:t xml:space="preserve"> S.A. e/ou empresas dos seus respectivos grupos econômicos (“</w:t>
      </w:r>
      <w:r>
        <w:rPr>
          <w:b/>
          <w:sz w:val="22"/>
          <w:szCs w:val="22"/>
        </w:rPr>
        <w:t>Reorganizações Societárias Permitidas</w:t>
      </w:r>
      <w:r>
        <w:rPr>
          <w:sz w:val="22"/>
          <w:szCs w:val="22"/>
        </w:rPr>
        <w:t xml:space="preserve">”); </w:t>
      </w:r>
      <w:bookmarkEnd w:id="211"/>
    </w:p>
    <w:p w:rsidR="006B3686" w:rsidRDefault="00CE2CA2">
      <w:pPr>
        <w:pStyle w:val="Level4"/>
        <w:widowControl w:val="0"/>
        <w:tabs>
          <w:tab w:val="left" w:pos="851"/>
        </w:tabs>
        <w:spacing w:after="120" w:line="276" w:lineRule="auto"/>
        <w:ind w:left="0" w:firstLine="0"/>
        <w:rPr>
          <w:sz w:val="22"/>
          <w:szCs w:val="22"/>
        </w:rPr>
      </w:pPr>
      <w:bookmarkStart w:id="212" w:name="_Ref40355570"/>
      <w:r>
        <w:rPr>
          <w:sz w:val="22"/>
          <w:szCs w:val="22"/>
        </w:rPr>
        <w:t>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Pr>
          <w:b/>
          <w:sz w:val="22"/>
          <w:szCs w:val="22"/>
        </w:rPr>
        <w:t>Medidas COVID-19</w:t>
      </w:r>
      <w:r>
        <w:rPr>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12"/>
    </w:p>
    <w:p w:rsidR="006B3686" w:rsidRDefault="00CE2CA2">
      <w:pPr>
        <w:pStyle w:val="Level4"/>
        <w:widowControl w:val="0"/>
        <w:tabs>
          <w:tab w:val="left" w:pos="851"/>
        </w:tabs>
        <w:spacing w:after="120" w:line="276" w:lineRule="auto"/>
        <w:ind w:left="0" w:firstLine="0"/>
        <w:rPr>
          <w:sz w:val="22"/>
          <w:szCs w:val="22"/>
        </w:rPr>
      </w:pPr>
      <w:r>
        <w:rPr>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Pr>
          <w:b/>
          <w:i/>
          <w:sz w:val="22"/>
          <w:szCs w:val="22"/>
        </w:rPr>
        <w:t xml:space="preserve"> </w:t>
      </w:r>
    </w:p>
    <w:p w:rsidR="006B3686" w:rsidRDefault="00CE2CA2">
      <w:pPr>
        <w:pStyle w:val="Level4"/>
        <w:widowControl w:val="0"/>
        <w:tabs>
          <w:tab w:val="left" w:pos="851"/>
        </w:tabs>
        <w:spacing w:after="120" w:line="276" w:lineRule="auto"/>
        <w:ind w:left="0" w:firstLine="0"/>
        <w:rPr>
          <w:sz w:val="22"/>
          <w:szCs w:val="22"/>
        </w:rPr>
      </w:pPr>
      <w:r>
        <w:rPr>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rsidR="006B3686" w:rsidRDefault="00CE2CA2">
      <w:pPr>
        <w:pStyle w:val="Level4"/>
        <w:widowControl w:val="0"/>
        <w:tabs>
          <w:tab w:val="left" w:pos="851"/>
        </w:tabs>
        <w:spacing w:after="120" w:line="276" w:lineRule="auto"/>
        <w:ind w:left="0" w:firstLine="0"/>
        <w:rPr>
          <w:sz w:val="22"/>
          <w:szCs w:val="22"/>
        </w:rPr>
      </w:pPr>
      <w:r>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rsidR="006B3686" w:rsidRDefault="00CE2CA2">
      <w:pPr>
        <w:pStyle w:val="Level4"/>
        <w:widowControl w:val="0"/>
        <w:tabs>
          <w:tab w:val="left" w:pos="851"/>
        </w:tabs>
        <w:spacing w:after="120" w:line="276" w:lineRule="auto"/>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rsidR="006B3686" w:rsidRDefault="00CE2CA2">
      <w:pPr>
        <w:pStyle w:val="Level4"/>
        <w:widowControl w:val="0"/>
        <w:tabs>
          <w:tab w:val="num" w:pos="851"/>
        </w:tabs>
        <w:spacing w:after="120" w:line="276" w:lineRule="auto"/>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rsidR="006B3686" w:rsidRDefault="00CE2CA2">
      <w:pPr>
        <w:pStyle w:val="Level4"/>
        <w:widowControl w:val="0"/>
        <w:tabs>
          <w:tab w:val="num" w:pos="851"/>
        </w:tabs>
        <w:spacing w:after="120" w:line="276" w:lineRule="auto"/>
        <w:ind w:left="0" w:firstLine="0"/>
        <w:rPr>
          <w:sz w:val="22"/>
          <w:szCs w:val="22"/>
        </w:rPr>
      </w:pPr>
      <w:r>
        <w:rPr>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rsidR="006B3686" w:rsidRDefault="00CE2CA2">
      <w:pPr>
        <w:pStyle w:val="Level4"/>
        <w:widowControl w:val="0"/>
        <w:tabs>
          <w:tab w:val="num" w:pos="851"/>
        </w:tabs>
        <w:spacing w:after="120" w:line="276" w:lineRule="auto"/>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w:t>
      </w:r>
      <w:proofErr w:type="gramStart"/>
      <w:r>
        <w:rPr>
          <w:sz w:val="22"/>
          <w:szCs w:val="22"/>
        </w:rPr>
        <w:t>no momento em que</w:t>
      </w:r>
      <w:proofErr w:type="gramEnd"/>
      <w:r>
        <w:rPr>
          <w:sz w:val="22"/>
          <w:szCs w:val="22"/>
        </w:rPr>
        <w:t xml:space="preserve"> foram prestadas; </w:t>
      </w:r>
    </w:p>
    <w:p w:rsidR="006B3686" w:rsidRDefault="00CE2CA2">
      <w:pPr>
        <w:pStyle w:val="Level4"/>
        <w:widowControl w:val="0"/>
        <w:tabs>
          <w:tab w:val="num" w:pos="851"/>
        </w:tabs>
        <w:spacing w:after="120" w:line="276" w:lineRule="auto"/>
        <w:ind w:left="0" w:firstLine="0"/>
        <w:rPr>
          <w:sz w:val="22"/>
          <w:szCs w:val="22"/>
        </w:rPr>
      </w:pPr>
      <w:r>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rsidR="006B3686" w:rsidRDefault="00CE2CA2">
      <w:pPr>
        <w:pStyle w:val="Level4"/>
        <w:widowControl w:val="0"/>
        <w:tabs>
          <w:tab w:val="num" w:pos="851"/>
        </w:tabs>
        <w:spacing w:after="120" w:line="276" w:lineRule="auto"/>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213" w:name="_Ref529293960"/>
      <w:r>
        <w:rPr>
          <w:sz w:val="22"/>
          <w:szCs w:val="22"/>
        </w:rPr>
        <w:t xml:space="preserve"> </w:t>
      </w:r>
    </w:p>
    <w:p w:rsidR="006B3686" w:rsidRDefault="00CE2CA2">
      <w:pPr>
        <w:pStyle w:val="Level4"/>
        <w:widowControl w:val="0"/>
        <w:tabs>
          <w:tab w:val="num" w:pos="851"/>
        </w:tabs>
        <w:spacing w:after="120" w:line="276" w:lineRule="auto"/>
        <w:ind w:left="0" w:firstLine="0"/>
        <w:rPr>
          <w:sz w:val="22"/>
          <w:szCs w:val="22"/>
        </w:rPr>
      </w:pPr>
      <w:r>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rsidR="006B3686" w:rsidRDefault="00CE2CA2">
      <w:pPr>
        <w:pStyle w:val="Level4"/>
        <w:widowControl w:val="0"/>
        <w:tabs>
          <w:tab w:val="num" w:pos="851"/>
        </w:tabs>
        <w:spacing w:after="120" w:line="276" w:lineRule="auto"/>
        <w:ind w:left="0" w:firstLine="0"/>
        <w:rPr>
          <w:sz w:val="22"/>
          <w:szCs w:val="22"/>
        </w:rPr>
      </w:pPr>
      <w:r>
        <w:rPr>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13"/>
    <w:p w:rsidR="006B3686" w:rsidRDefault="00CE2CA2">
      <w:pPr>
        <w:pStyle w:val="Level4"/>
        <w:tabs>
          <w:tab w:val="num" w:pos="851"/>
        </w:tabs>
        <w:spacing w:after="120" w:line="276" w:lineRule="auto"/>
        <w:ind w:left="0" w:firstLine="0"/>
        <w:rPr>
          <w:sz w:val="22"/>
          <w:szCs w:val="22"/>
        </w:rPr>
      </w:pPr>
      <w:r>
        <w:rPr>
          <w:sz w:val="22"/>
          <w:szCs w:val="22"/>
        </w:rPr>
        <w:t>abandono parcial ou total na execução do Projeto</w:t>
      </w:r>
      <w:bookmarkStart w:id="214" w:name="_DV_C54"/>
      <w:r>
        <w:rPr>
          <w:sz w:val="22"/>
          <w:szCs w:val="22"/>
        </w:rPr>
        <w:t xml:space="preserve">, não sanado no prazo de até 60 (sessenta) dias (consecutivos), </w:t>
      </w:r>
      <w:bookmarkEnd w:id="214"/>
      <w:r>
        <w:rPr>
          <w:sz w:val="22"/>
          <w:szCs w:val="22"/>
        </w:rPr>
        <w:t>que possa causar um Efeito Adverso Relevante, ou abandono de qualquer ativo que seja essencial à</w:t>
      </w:r>
      <w:bookmarkStart w:id="215" w:name="_DV_M345"/>
      <w:bookmarkEnd w:id="215"/>
      <w:r>
        <w:rPr>
          <w:sz w:val="22"/>
          <w:szCs w:val="22"/>
        </w:rPr>
        <w:t xml:space="preserve"> implementação ou à operação do Projeto previsto no Contrato de Concessão;</w:t>
      </w:r>
      <w:bookmarkStart w:id="216" w:name="_DV_M346"/>
      <w:bookmarkEnd w:id="216"/>
      <w:r>
        <w:rPr>
          <w:sz w:val="22"/>
          <w:szCs w:val="22"/>
        </w:rPr>
        <w:t xml:space="preserve"> </w:t>
      </w:r>
    </w:p>
    <w:p w:rsidR="006B3686" w:rsidRDefault="00CE2CA2">
      <w:pPr>
        <w:pStyle w:val="Level4"/>
        <w:widowControl w:val="0"/>
        <w:tabs>
          <w:tab w:val="num" w:pos="851"/>
        </w:tabs>
        <w:spacing w:after="120" w:line="276" w:lineRule="auto"/>
        <w:ind w:left="0" w:firstLine="0"/>
        <w:rPr>
          <w:sz w:val="22"/>
          <w:szCs w:val="22"/>
        </w:rPr>
      </w:pPr>
      <w:r>
        <w:rPr>
          <w:sz w:val="22"/>
          <w:szCs w:val="22"/>
        </w:rPr>
        <w:t xml:space="preserve">obtenção de quaisquer tipos de financiamento, crédito ou assunção de novas dívidas, pela Companhia, exceto pelos Endividamentos Permitidos; </w:t>
      </w:r>
    </w:p>
    <w:p w:rsidR="006B3686" w:rsidRDefault="00CE2CA2">
      <w:pPr>
        <w:pStyle w:val="Level4"/>
        <w:widowControl w:val="0"/>
        <w:tabs>
          <w:tab w:val="num" w:pos="851"/>
        </w:tabs>
        <w:spacing w:after="120" w:line="276" w:lineRule="auto"/>
        <w:ind w:left="0" w:firstLine="0"/>
        <w:rPr>
          <w:sz w:val="22"/>
          <w:szCs w:val="22"/>
        </w:rPr>
      </w:pPr>
      <w:r>
        <w:rPr>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17" w:name="_Ref130283217"/>
      <w:bookmarkStart w:id="218" w:name="_Ref169028300"/>
      <w:bookmarkStart w:id="219" w:name="_Ref278369126"/>
      <w:bookmarkStart w:id="220" w:name="_Ref534176562"/>
      <w:bookmarkEnd w:id="210"/>
    </w:p>
    <w:p w:rsidR="006B3686" w:rsidRDefault="00CE2CA2">
      <w:pPr>
        <w:pStyle w:val="Level4"/>
        <w:widowControl w:val="0"/>
        <w:tabs>
          <w:tab w:val="num" w:pos="851"/>
        </w:tabs>
        <w:spacing w:after="120" w:line="276" w:lineRule="auto"/>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szCs w:val="22"/>
        </w:rPr>
        <w:t xml:space="preserve"> </w:t>
      </w:r>
    </w:p>
    <w:p w:rsidR="006B3686" w:rsidRDefault="00CE2CA2">
      <w:pPr>
        <w:pStyle w:val="Level4"/>
        <w:widowControl w:val="0"/>
        <w:tabs>
          <w:tab w:val="num" w:pos="851"/>
        </w:tabs>
        <w:spacing w:after="120" w:line="276" w:lineRule="auto"/>
        <w:ind w:left="0" w:firstLine="0"/>
        <w:rPr>
          <w:sz w:val="22"/>
          <w:szCs w:val="22"/>
        </w:rPr>
      </w:pPr>
      <w:r>
        <w:rPr>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rsidR="006B3686" w:rsidRDefault="00CE2CA2">
      <w:pPr>
        <w:pStyle w:val="Level4"/>
        <w:widowControl w:val="0"/>
        <w:tabs>
          <w:tab w:val="num" w:pos="851"/>
        </w:tabs>
        <w:spacing w:after="120" w:line="276" w:lineRule="auto"/>
        <w:ind w:left="0" w:firstLine="0"/>
        <w:rPr>
          <w:sz w:val="22"/>
          <w:szCs w:val="22"/>
        </w:rPr>
      </w:pPr>
      <w:r>
        <w:rPr>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rsidR="006B3686" w:rsidRDefault="00CE2CA2">
      <w:pPr>
        <w:pStyle w:val="Level3"/>
        <w:widowControl w:val="0"/>
        <w:tabs>
          <w:tab w:val="clear" w:pos="1361"/>
          <w:tab w:val="num" w:pos="851"/>
        </w:tabs>
        <w:spacing w:after="120" w:line="276" w:lineRule="auto"/>
        <w:ind w:left="0" w:firstLine="0"/>
        <w:rPr>
          <w:sz w:val="22"/>
          <w:szCs w:val="22"/>
        </w:rPr>
      </w:pPr>
      <w:bookmarkStart w:id="221" w:name="_Toc51602669"/>
      <w:bookmarkStart w:id="222" w:name="_Ref130283218"/>
      <w:bookmarkEnd w:id="217"/>
      <w:bookmarkEnd w:id="218"/>
      <w:bookmarkEnd w:id="219"/>
      <w:r>
        <w:rPr>
          <w:sz w:val="22"/>
          <w:szCs w:val="22"/>
        </w:rPr>
        <w:t xml:space="preserve">Os valores previstos nas Cláusulas </w:t>
      </w:r>
      <w:r>
        <w:rPr>
          <w:sz w:val="22"/>
          <w:szCs w:val="22"/>
        </w:rPr>
        <w:fldChar w:fldCharType="begin"/>
      </w:r>
      <w:r>
        <w:rPr>
          <w:sz w:val="22"/>
          <w:szCs w:val="22"/>
        </w:rPr>
        <w:instrText xml:space="preserve"> REF _Ref356481657 \r \h  \* MERGEFORMAT </w:instrText>
      </w:r>
      <w:r>
        <w:rPr>
          <w:sz w:val="22"/>
          <w:szCs w:val="22"/>
        </w:rPr>
      </w:r>
      <w:r>
        <w:rPr>
          <w:sz w:val="22"/>
          <w:szCs w:val="22"/>
        </w:rPr>
        <w:fldChar w:fldCharType="separate"/>
      </w:r>
      <w:r>
        <w:rPr>
          <w:sz w:val="22"/>
          <w:szCs w:val="22"/>
        </w:rPr>
        <w:t>7.23.1</w:t>
      </w:r>
      <w:r>
        <w:rPr>
          <w:sz w:val="22"/>
          <w:szCs w:val="22"/>
        </w:rPr>
        <w:fldChar w:fldCharType="end"/>
      </w:r>
      <w:r>
        <w:rPr>
          <w:sz w:val="22"/>
          <w:szCs w:val="22"/>
        </w:rPr>
        <w:t xml:space="preserve"> e </w:t>
      </w:r>
      <w:r>
        <w:rPr>
          <w:sz w:val="22"/>
          <w:szCs w:val="22"/>
        </w:rPr>
        <w:fldChar w:fldCharType="begin"/>
      </w:r>
      <w:r>
        <w:rPr>
          <w:sz w:val="22"/>
          <w:szCs w:val="22"/>
        </w:rPr>
        <w:instrText xml:space="preserve"> REF _Ref528593648 \r \h  \* MERGEFORMAT </w:instrText>
      </w:r>
      <w:r>
        <w:rPr>
          <w:sz w:val="22"/>
          <w:szCs w:val="22"/>
        </w:rPr>
      </w:r>
      <w:r>
        <w:rPr>
          <w:sz w:val="22"/>
          <w:szCs w:val="22"/>
        </w:rPr>
        <w:fldChar w:fldCharType="separate"/>
      </w:r>
      <w:r>
        <w:rPr>
          <w:sz w:val="22"/>
          <w:szCs w:val="22"/>
        </w:rPr>
        <w:t>7.23.2</w:t>
      </w:r>
      <w:r>
        <w:rPr>
          <w:sz w:val="22"/>
          <w:szCs w:val="22"/>
        </w:rPr>
        <w:fldChar w:fldCharType="end"/>
      </w:r>
      <w:r>
        <w:rPr>
          <w:sz w:val="22"/>
          <w:szCs w:val="22"/>
        </w:rPr>
        <w:t xml:space="preserve"> acima serão atualizados mensalmente, a partir da Data de Emissão, pela variação acumulada positiva do IPCA, ou seu equivalente em outras moedas.</w:t>
      </w:r>
      <w:bookmarkEnd w:id="221"/>
    </w:p>
    <w:p w:rsidR="006B3686" w:rsidRDefault="00CE2CA2">
      <w:pPr>
        <w:pStyle w:val="Level3"/>
        <w:widowControl w:val="0"/>
        <w:tabs>
          <w:tab w:val="clear" w:pos="1361"/>
          <w:tab w:val="num" w:pos="851"/>
        </w:tabs>
        <w:spacing w:after="120" w:line="276" w:lineRule="auto"/>
        <w:ind w:left="0" w:firstLine="0"/>
        <w:rPr>
          <w:sz w:val="22"/>
          <w:szCs w:val="22"/>
        </w:rPr>
      </w:pPr>
      <w:bookmarkStart w:id="223" w:name="_Toc51602670"/>
      <w:bookmarkStart w:id="224" w:name="_Ref36898034"/>
      <w:r>
        <w:rPr>
          <w:sz w:val="22"/>
          <w:szCs w:val="22"/>
        </w:rPr>
        <w:t>Ocorrendo quaisquer dos Eventos de Vencimento Antecipado Não Automáticos, o Agente Fiduciário deverá, inclusive para fins do disposto na Cláusula </w:t>
      </w:r>
      <w:r>
        <w:rPr>
          <w:sz w:val="22"/>
          <w:szCs w:val="22"/>
        </w:rPr>
        <w:fldChar w:fldCharType="begin"/>
      </w:r>
      <w:r>
        <w:rPr>
          <w:sz w:val="22"/>
          <w:szCs w:val="22"/>
        </w:rPr>
        <w:instrText xml:space="preserve"> REF _Ref494783220 \n \p \h  \* MERGEFORMAT </w:instrText>
      </w:r>
      <w:r>
        <w:rPr>
          <w:sz w:val="22"/>
          <w:szCs w:val="22"/>
        </w:rPr>
      </w:r>
      <w:r>
        <w:rPr>
          <w:sz w:val="22"/>
          <w:szCs w:val="22"/>
        </w:rPr>
        <w:fldChar w:fldCharType="separate"/>
      </w:r>
      <w:r>
        <w:rPr>
          <w:sz w:val="22"/>
          <w:szCs w:val="22"/>
        </w:rPr>
        <w:t>10.6 abaixo</w:t>
      </w:r>
      <w:r>
        <w:rPr>
          <w:sz w:val="22"/>
          <w:szCs w:val="22"/>
        </w:rPr>
        <w:fldChar w:fldCharType="end"/>
      </w:r>
      <w:r>
        <w:rPr>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23"/>
      <w:r>
        <w:rPr>
          <w:sz w:val="22"/>
          <w:szCs w:val="22"/>
        </w:rPr>
        <w:t xml:space="preserve"> </w:t>
      </w:r>
      <w:bookmarkEnd w:id="224"/>
    </w:p>
    <w:p w:rsidR="006B3686" w:rsidRDefault="00CE2CA2">
      <w:pPr>
        <w:pStyle w:val="Level3"/>
        <w:widowControl w:val="0"/>
        <w:tabs>
          <w:tab w:val="clear" w:pos="1361"/>
          <w:tab w:val="num" w:pos="851"/>
        </w:tabs>
        <w:spacing w:after="120" w:line="276" w:lineRule="auto"/>
        <w:ind w:left="0" w:firstLine="0"/>
        <w:rPr>
          <w:sz w:val="22"/>
          <w:szCs w:val="22"/>
        </w:rPr>
      </w:pPr>
      <w:bookmarkStart w:id="225" w:name="_Ref495338909"/>
      <w:bookmarkStart w:id="226" w:name="_Ref36898161"/>
      <w:bookmarkStart w:id="227" w:name="_Toc51602671"/>
      <w:r>
        <w:rPr>
          <w:sz w:val="22"/>
          <w:szCs w:val="22"/>
        </w:rPr>
        <w:t xml:space="preserve">Na assembleia geral de que trata 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xml:space="preserve"> e desde que observado o disposto na Cláusula </w:t>
      </w:r>
      <w:r>
        <w:rPr>
          <w:sz w:val="22"/>
          <w:szCs w:val="22"/>
        </w:rPr>
        <w:fldChar w:fldCharType="begin"/>
      </w:r>
      <w:r>
        <w:rPr>
          <w:sz w:val="22"/>
          <w:szCs w:val="22"/>
        </w:rPr>
        <w:instrText xml:space="preserve"> REF _Ref37878572 \r \h  \* MERGEFORMAT </w:instrText>
      </w:r>
      <w:r>
        <w:rPr>
          <w:sz w:val="22"/>
          <w:szCs w:val="22"/>
        </w:rPr>
      </w:r>
      <w:r>
        <w:rPr>
          <w:sz w:val="22"/>
          <w:szCs w:val="22"/>
        </w:rPr>
        <w:fldChar w:fldCharType="separate"/>
      </w:r>
      <w:r>
        <w:rPr>
          <w:sz w:val="22"/>
          <w:szCs w:val="22"/>
        </w:rPr>
        <w:t>7.23.6</w:t>
      </w:r>
      <w:r>
        <w:rPr>
          <w:sz w:val="22"/>
          <w:szCs w:val="22"/>
        </w:rPr>
        <w:fldChar w:fldCharType="end"/>
      </w:r>
      <w:r>
        <w:rPr>
          <w:sz w:val="22"/>
          <w:szCs w:val="22"/>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25"/>
      <w:r>
        <w:rPr>
          <w:sz w:val="22"/>
          <w:szCs w:val="22"/>
        </w:rPr>
        <w:t>.</w:t>
      </w:r>
      <w:bookmarkEnd w:id="226"/>
      <w:bookmarkEnd w:id="227"/>
      <w:r>
        <w:rPr>
          <w:sz w:val="22"/>
          <w:szCs w:val="22"/>
        </w:rPr>
        <w:t xml:space="preserve"> </w:t>
      </w:r>
    </w:p>
    <w:p w:rsidR="006B3686" w:rsidRDefault="00CE2CA2">
      <w:pPr>
        <w:pStyle w:val="Level3"/>
        <w:widowControl w:val="0"/>
        <w:tabs>
          <w:tab w:val="clear" w:pos="1361"/>
          <w:tab w:val="left" w:pos="851"/>
        </w:tabs>
        <w:spacing w:after="120" w:line="276" w:lineRule="auto"/>
        <w:ind w:left="0" w:firstLine="0"/>
        <w:rPr>
          <w:sz w:val="22"/>
          <w:szCs w:val="22"/>
        </w:rPr>
      </w:pPr>
      <w:bookmarkStart w:id="228" w:name="_Ref36898125"/>
      <w:bookmarkStart w:id="229" w:name="_Toc51602672"/>
      <w:r>
        <w:rPr>
          <w:sz w:val="22"/>
          <w:szCs w:val="22"/>
        </w:rPr>
        <w:t xml:space="preserve">Para os fins das Cláusulas </w:t>
      </w:r>
      <w:r>
        <w:rPr>
          <w:sz w:val="22"/>
          <w:szCs w:val="22"/>
        </w:rPr>
        <w:fldChar w:fldCharType="begin"/>
      </w:r>
      <w:r>
        <w:rPr>
          <w:sz w:val="22"/>
          <w:szCs w:val="22"/>
        </w:rPr>
        <w:instrText xml:space="preserve"> REF _Ref495338909 \n \pRef36898034 \r \h  \* MERGEFORMAT </w:instrText>
      </w:r>
      <w:r>
        <w:rPr>
          <w:sz w:val="22"/>
          <w:szCs w:val="22"/>
        </w:rPr>
      </w:r>
      <w:r>
        <w:rPr>
          <w:sz w:val="22"/>
          <w:szCs w:val="22"/>
        </w:rPr>
        <w:fldChar w:fldCharType="separate"/>
      </w:r>
      <w:r>
        <w:rPr>
          <w:sz w:val="22"/>
          <w:szCs w:val="22"/>
        </w:rPr>
        <w:t>7.23.5 acima</w:t>
      </w:r>
      <w:r>
        <w:rPr>
          <w:sz w:val="22"/>
          <w:szCs w:val="22"/>
        </w:rPr>
        <w:fldChar w:fldCharType="end"/>
      </w:r>
      <w:r>
        <w:rPr>
          <w:sz w:val="22"/>
          <w:szCs w:val="22"/>
        </w:rPr>
        <w:t xml:space="preserve"> </w:t>
      </w:r>
      <w:bookmarkStart w:id="230" w:name="_Ref37878572"/>
      <w:r>
        <w:rPr>
          <w:sz w:val="22"/>
          <w:szCs w:val="22"/>
        </w:rPr>
        <w:t xml:space="preserve">e </w:t>
      </w:r>
      <w:r>
        <w:rPr>
          <w:sz w:val="22"/>
          <w:szCs w:val="22"/>
        </w:rPr>
        <w:fldChar w:fldCharType="begin"/>
      </w:r>
      <w:r>
        <w:rPr>
          <w:sz w:val="22"/>
          <w:szCs w:val="22"/>
        </w:rPr>
        <w:instrText xml:space="preserve"> REF _Ref36898161 \r \h  \* MERGEFORMAT </w:instrText>
      </w:r>
      <w:r>
        <w:rPr>
          <w:sz w:val="22"/>
          <w:szCs w:val="22"/>
        </w:rPr>
      </w:r>
      <w:r>
        <w:rPr>
          <w:sz w:val="22"/>
          <w:szCs w:val="22"/>
        </w:rPr>
        <w:fldChar w:fldCharType="separate"/>
      </w:r>
      <w:r>
        <w:rPr>
          <w:sz w:val="22"/>
          <w:szCs w:val="22"/>
        </w:rPr>
        <w:t>7.23.5</w:t>
      </w:r>
      <w:r>
        <w:rPr>
          <w:sz w:val="22"/>
          <w:szCs w:val="22"/>
        </w:rPr>
        <w:fldChar w:fldCharType="end"/>
      </w:r>
      <w:r>
        <w:rPr>
          <w:sz w:val="22"/>
          <w:szCs w:val="22"/>
        </w:rPr>
        <w:t xml:space="preserve"> acima, a Assembleia Geral será instalada somente (i) em primeira convocação, com a presença de titulares das Debêntures que representem, no mínimo, 2/3 (dois terços) das Debêntures em Circulação; e (ii) em segunda convocação, com a presença de Titulares que representem, no mínimo, 50% (cinquenta por cento) mais uma das Debêntures em Circulação.</w:t>
      </w:r>
      <w:bookmarkEnd w:id="228"/>
      <w:bookmarkEnd w:id="229"/>
      <w:bookmarkEnd w:id="230"/>
    </w:p>
    <w:p w:rsidR="006B3686" w:rsidRDefault="00CE2CA2">
      <w:pPr>
        <w:pStyle w:val="Level3"/>
        <w:widowControl w:val="0"/>
        <w:tabs>
          <w:tab w:val="clear" w:pos="1361"/>
          <w:tab w:val="left" w:pos="851"/>
        </w:tabs>
        <w:spacing w:after="120" w:line="276" w:lineRule="auto"/>
        <w:ind w:left="0" w:firstLine="0"/>
        <w:rPr>
          <w:sz w:val="22"/>
          <w:szCs w:val="22"/>
        </w:rPr>
      </w:pPr>
      <w:bookmarkStart w:id="231" w:name="_Toc51602673"/>
      <w:r>
        <w:rPr>
          <w:sz w:val="22"/>
          <w:szCs w:val="22"/>
        </w:rPr>
        <w:t xml:space="preserve">Na hipótese de: (i) não instalação, em segunda convocação, da Assembleia Geral mencionada na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xml:space="preserve"> por falta de quórum; ou (ii) não ser aprovado o exercício da faculdade prevista na Cláusula </w:t>
      </w:r>
      <w:r>
        <w:rPr>
          <w:sz w:val="22"/>
          <w:szCs w:val="22"/>
        </w:rPr>
        <w:fldChar w:fldCharType="begin"/>
      </w:r>
      <w:r>
        <w:rPr>
          <w:sz w:val="22"/>
          <w:szCs w:val="22"/>
        </w:rPr>
        <w:instrText xml:space="preserve"> REF _Ref36898034 \r \p \h  \* MERGEFORMAT </w:instrText>
      </w:r>
      <w:r>
        <w:rPr>
          <w:sz w:val="22"/>
          <w:szCs w:val="22"/>
        </w:rPr>
      </w:r>
      <w:r>
        <w:rPr>
          <w:sz w:val="22"/>
          <w:szCs w:val="22"/>
        </w:rPr>
        <w:fldChar w:fldCharType="separate"/>
      </w:r>
      <w:r>
        <w:rPr>
          <w:sz w:val="22"/>
          <w:szCs w:val="22"/>
        </w:rPr>
        <w:t>7.23.4 acima</w:t>
      </w:r>
      <w:r>
        <w:rPr>
          <w:sz w:val="22"/>
          <w:szCs w:val="22"/>
        </w:rPr>
        <w:fldChar w:fldCharType="end"/>
      </w:r>
      <w:r>
        <w:rPr>
          <w:sz w:val="22"/>
          <w:szCs w:val="22"/>
        </w:rPr>
        <w:t>, ou, ainda, (iii) em caso de suspensão dos trabalhos na Assembleia Geral em questão para deliberação em data posterior, o Agente Fiduciário deverá, imediatamente, declarar o vencimento antecipado das obrigações decorrentes desta Escritura de Emissão.</w:t>
      </w:r>
      <w:bookmarkEnd w:id="231"/>
      <w:r>
        <w:rPr>
          <w:sz w:val="22"/>
          <w:szCs w:val="22"/>
        </w:rPr>
        <w:t xml:space="preserve"> </w:t>
      </w:r>
    </w:p>
    <w:p w:rsidR="006B3686" w:rsidRDefault="00CE2CA2">
      <w:pPr>
        <w:pStyle w:val="Level3"/>
        <w:widowControl w:val="0"/>
        <w:tabs>
          <w:tab w:val="clear" w:pos="1361"/>
          <w:tab w:val="left" w:pos="851"/>
        </w:tabs>
        <w:spacing w:after="120" w:line="276" w:lineRule="auto"/>
        <w:ind w:left="0" w:firstLine="0"/>
        <w:rPr>
          <w:sz w:val="22"/>
          <w:szCs w:val="22"/>
        </w:rPr>
      </w:pPr>
      <w:bookmarkStart w:id="232" w:name="_Ref130283221"/>
      <w:bookmarkStart w:id="233" w:name="_Ref534176563"/>
      <w:bookmarkStart w:id="234" w:name="_Ref495496127"/>
      <w:bookmarkStart w:id="235" w:name="_Toc51602674"/>
      <w:bookmarkEnd w:id="220"/>
      <w:bookmarkEnd w:id="222"/>
      <w:r>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32"/>
      <w:bookmarkEnd w:id="233"/>
      <w:r>
        <w:rPr>
          <w:sz w:val="22"/>
          <w:szCs w:val="22"/>
        </w:rPr>
        <w:t>.</w:t>
      </w:r>
      <w:bookmarkEnd w:id="234"/>
      <w:bookmarkEnd w:id="235"/>
      <w:r>
        <w:rPr>
          <w:sz w:val="22"/>
          <w:szCs w:val="22"/>
        </w:rPr>
        <w:t xml:space="preserve"> </w:t>
      </w:r>
    </w:p>
    <w:p w:rsidR="006B3686" w:rsidRDefault="00CE2CA2">
      <w:pPr>
        <w:pStyle w:val="Level3"/>
        <w:widowControl w:val="0"/>
        <w:tabs>
          <w:tab w:val="clear" w:pos="1361"/>
          <w:tab w:val="num" w:pos="851"/>
        </w:tabs>
        <w:spacing w:after="120" w:line="276" w:lineRule="auto"/>
        <w:ind w:left="0" w:firstLine="0"/>
        <w:rPr>
          <w:sz w:val="22"/>
          <w:szCs w:val="22"/>
        </w:rPr>
      </w:pPr>
      <w:bookmarkStart w:id="236" w:name="_Ref359943492"/>
      <w:bookmarkStart w:id="237" w:name="_Toc51602675"/>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xml:space="preserve">, que não sejam os valores a que se referem os itens (ii) e (iii) abaixo; (ii) Remuneração, Encargos Moratórios e demais encargos devidos sob as </w:t>
      </w:r>
      <w:r>
        <w:rPr>
          <w:sz w:val="22"/>
          <w:szCs w:val="22"/>
        </w:rPr>
        <w:t>obrigações decorrentes das Debêntures</w:t>
      </w:r>
      <w:r>
        <w:rPr>
          <w:bCs/>
          <w:sz w:val="22"/>
          <w:szCs w:val="22"/>
        </w:rPr>
        <w:t>; e (iii) </w:t>
      </w:r>
      <w:r>
        <w:rPr>
          <w:sz w:val="22"/>
          <w:szCs w:val="22"/>
        </w:rPr>
        <w:t>o Valor Nominal Unitário ou saldo do Valor Nominal 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extrajudicial ou por meio de processo de execução judicial</w:t>
      </w:r>
      <w:r>
        <w:rPr>
          <w:sz w:val="22"/>
          <w:szCs w:val="22"/>
        </w:rPr>
        <w:t>.</w:t>
      </w:r>
      <w:bookmarkEnd w:id="236"/>
      <w:bookmarkEnd w:id="237"/>
    </w:p>
    <w:p w:rsidR="006B3686" w:rsidRDefault="00CE2CA2">
      <w:pPr>
        <w:pStyle w:val="Level3"/>
        <w:widowControl w:val="0"/>
        <w:tabs>
          <w:tab w:val="clear" w:pos="1361"/>
          <w:tab w:val="num" w:pos="851"/>
        </w:tabs>
        <w:spacing w:after="120" w:line="276" w:lineRule="auto"/>
        <w:ind w:left="0" w:firstLine="0"/>
        <w:rPr>
          <w:sz w:val="22"/>
          <w:szCs w:val="22"/>
        </w:rPr>
      </w:pPr>
      <w:r>
        <w:rPr>
          <w:sz w:val="22"/>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w:t>
      </w:r>
      <w:proofErr w:type="spellStart"/>
      <w:r>
        <w:rPr>
          <w:sz w:val="22"/>
          <w:szCs w:val="22"/>
        </w:rPr>
        <w:t>Générale</w:t>
      </w:r>
      <w:proofErr w:type="spellEnd"/>
      <w:r>
        <w:rPr>
          <w:sz w:val="22"/>
          <w:szCs w:val="22"/>
        </w:rPr>
        <w:t xml:space="preserve"> S.A. e/ou empresas de seus respectivos grupos econômicos..</w:t>
      </w:r>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238" w:name="_Ref130286395"/>
      <w:bookmarkStart w:id="239" w:name="_Ref284530595"/>
      <w:bookmarkStart w:id="240" w:name="_Toc51602676"/>
      <w:r>
        <w:rPr>
          <w:rFonts w:cs="Arial"/>
          <w:i/>
          <w:sz w:val="22"/>
          <w:szCs w:val="22"/>
        </w:rPr>
        <w:t>Publicidade</w:t>
      </w:r>
      <w:r>
        <w:rPr>
          <w:rFonts w:cs="Arial"/>
          <w:sz w:val="22"/>
          <w:szCs w:val="22"/>
        </w:rPr>
        <w:t xml:space="preserve">. </w:t>
      </w:r>
      <w:bookmarkEnd w:id="238"/>
      <w:r>
        <w:rPr>
          <w:rFonts w:cs="Arial"/>
          <w:sz w:val="22"/>
          <w:szCs w:val="22"/>
        </w:rPr>
        <w:t>Todos os atos e decisões relativos às Debêntures deverão ser comunicados, na forma de aviso, na página da Companhia na rede mundial de computadores (</w:t>
      </w:r>
      <w:hyperlink r:id="rId30" w:tgtFrame="_blank" w:history="1">
        <w:r>
          <w:rPr>
            <w:rStyle w:val="Hyperlink"/>
            <w:rFonts w:cs="Arial"/>
            <w:sz w:val="22"/>
            <w:szCs w:val="22"/>
          </w:rPr>
          <w:t>https://www.acciona.com.br/</w:t>
        </w:r>
      </w:hyperlink>
      <w:r>
        <w:rPr>
          <w:rFonts w:cs="Arial"/>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39"/>
      <w:bookmarkEnd w:id="240"/>
    </w:p>
    <w:p w:rsidR="006B3686" w:rsidRDefault="00CE2CA2">
      <w:pPr>
        <w:pStyle w:val="Level1"/>
        <w:keepNext w:val="0"/>
        <w:keepLines w:val="0"/>
        <w:widowControl w:val="0"/>
        <w:spacing w:before="0" w:after="120" w:line="276" w:lineRule="auto"/>
        <w:ind w:left="0" w:firstLine="0"/>
        <w:rPr>
          <w:smallCaps/>
          <w:color w:val="auto"/>
        </w:rPr>
      </w:pPr>
      <w:bookmarkStart w:id="241" w:name="_Toc51602677"/>
      <w:r>
        <w:rPr>
          <w:smallCaps/>
          <w:color w:val="auto"/>
        </w:rPr>
        <w:t>GARANTIAS</w:t>
      </w:r>
      <w:bookmarkEnd w:id="241"/>
    </w:p>
    <w:p w:rsidR="006B3686" w:rsidRDefault="00CE2CA2">
      <w:pPr>
        <w:pStyle w:val="Level2"/>
        <w:tabs>
          <w:tab w:val="clear" w:pos="680"/>
        </w:tabs>
        <w:spacing w:after="120" w:line="276" w:lineRule="auto"/>
        <w:ind w:left="0" w:firstLine="0"/>
        <w:rPr>
          <w:rFonts w:cs="Arial"/>
          <w:sz w:val="22"/>
          <w:szCs w:val="22"/>
        </w:rPr>
      </w:pPr>
      <w:bookmarkStart w:id="242" w:name="_Ref37879943"/>
      <w:bookmarkStart w:id="243" w:name="_Toc51602678"/>
      <w:bookmarkStart w:id="244" w:name="_Ref37080663"/>
      <w:r>
        <w:rPr>
          <w:rFonts w:cs="Arial"/>
          <w:i/>
          <w:sz w:val="22"/>
          <w:szCs w:val="22"/>
        </w:rPr>
        <w:t>Garantia Fidejussória</w:t>
      </w:r>
      <w:r>
        <w:rPr>
          <w:rFonts w:cs="Arial"/>
          <w:sz w:val="22"/>
          <w:szCs w:val="22"/>
        </w:rPr>
        <w:t>. As Debêntures contarão com garantia fidejussória regida pelas leis da Espanha, prestada pela Garantidora (“</w:t>
      </w:r>
      <w:r>
        <w:rPr>
          <w:rFonts w:cs="Arial"/>
          <w:b/>
          <w:sz w:val="22"/>
          <w:szCs w:val="22"/>
        </w:rPr>
        <w:t>Garantia Fidejussória</w:t>
      </w:r>
      <w:r>
        <w:rPr>
          <w:rFonts w:cs="Arial"/>
          <w:sz w:val="22"/>
          <w:szCs w:val="22"/>
        </w:rPr>
        <w:t>”),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b/>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o qual será celebrado simultaneamente à celebração desta Escritura de Emissão, sendo a Garantia Fidejussória, desde já, aceita pelo Agente Fiduciário.</w:t>
      </w:r>
      <w:bookmarkEnd w:id="242"/>
      <w:bookmarkEnd w:id="243"/>
    </w:p>
    <w:p w:rsidR="006B3686" w:rsidRDefault="00CE2CA2">
      <w:pPr>
        <w:pStyle w:val="Level3"/>
        <w:tabs>
          <w:tab w:val="clear" w:pos="1361"/>
          <w:tab w:val="num" w:pos="426"/>
        </w:tabs>
        <w:spacing w:after="120" w:line="276" w:lineRule="auto"/>
        <w:ind w:left="0" w:firstLine="0"/>
        <w:rPr>
          <w:sz w:val="22"/>
          <w:szCs w:val="22"/>
        </w:rPr>
      </w:pPr>
      <w:bookmarkStart w:id="245" w:name="_Toc51602679"/>
      <w:r>
        <w:rPr>
          <w:sz w:val="22"/>
          <w:szCs w:val="22"/>
        </w:rPr>
        <w:t>Tendo em vista que o Contrato de Garantia Fidejussória é um instrumento autônomo, regido por lei espanhola, esta Escritura de Emissão não será registrada em Cartórios de Registro de Títulos e Documentos.</w:t>
      </w:r>
      <w:bookmarkEnd w:id="245"/>
      <w:r>
        <w:rPr>
          <w:sz w:val="22"/>
          <w:szCs w:val="22"/>
        </w:rPr>
        <w:t xml:space="preserve"> </w:t>
      </w:r>
    </w:p>
    <w:p w:rsidR="006B3686" w:rsidRDefault="00CE2CA2">
      <w:pPr>
        <w:pStyle w:val="Level2"/>
        <w:tabs>
          <w:tab w:val="clear" w:pos="680"/>
        </w:tabs>
        <w:spacing w:after="120" w:line="276" w:lineRule="auto"/>
        <w:ind w:left="0" w:firstLine="0"/>
        <w:rPr>
          <w:rFonts w:cs="Arial"/>
          <w:b/>
          <w:i/>
          <w:sz w:val="22"/>
          <w:szCs w:val="22"/>
        </w:rPr>
      </w:pPr>
      <w:bookmarkStart w:id="246" w:name="_Toc51602680"/>
      <w:r>
        <w:rPr>
          <w:rFonts w:cs="Arial"/>
          <w:i/>
          <w:sz w:val="22"/>
          <w:szCs w:val="22"/>
        </w:rPr>
        <w:t>Garantias Reais</w:t>
      </w:r>
      <w:r>
        <w:rPr>
          <w:rFonts w:cs="Arial"/>
          <w:sz w:val="22"/>
          <w:szCs w:val="22"/>
        </w:rPr>
        <w:t>. Serão constituídas e formalizadas as seguintes garantias reais:</w:t>
      </w:r>
      <w:bookmarkEnd w:id="246"/>
      <w:r>
        <w:rPr>
          <w:rFonts w:cs="Arial"/>
          <w:sz w:val="22"/>
          <w:szCs w:val="22"/>
        </w:rPr>
        <w:t xml:space="preserve"> </w:t>
      </w:r>
      <w:bookmarkStart w:id="247" w:name="_Ref37080690"/>
      <w:bookmarkEnd w:id="244"/>
    </w:p>
    <w:p w:rsidR="006B3686" w:rsidRDefault="00CE2CA2">
      <w:pPr>
        <w:pStyle w:val="Level3"/>
        <w:tabs>
          <w:tab w:val="clear" w:pos="1361"/>
          <w:tab w:val="num" w:pos="0"/>
        </w:tabs>
        <w:spacing w:after="120" w:line="276" w:lineRule="auto"/>
        <w:ind w:left="0" w:firstLine="57"/>
        <w:rPr>
          <w:b/>
          <w:i/>
          <w:sz w:val="22"/>
          <w:szCs w:val="22"/>
        </w:rPr>
      </w:pPr>
      <w:bookmarkStart w:id="248" w:name="_Hlk40696652"/>
      <w:bookmarkStart w:id="249" w:name="_Ref40350664"/>
      <w:bookmarkStart w:id="250" w:name="_Toc51602681"/>
      <w:r>
        <w:rPr>
          <w:i/>
          <w:sz w:val="22"/>
          <w:szCs w:val="22"/>
        </w:rPr>
        <w:t>Cessão Fiduciária de Direitos Creditórios</w:t>
      </w:r>
      <w:r>
        <w:rPr>
          <w:sz w:val="22"/>
          <w:szCs w:val="22"/>
        </w:rPr>
        <w:t xml:space="preserve">: </w:t>
      </w:r>
      <w:bookmarkStart w:id="251" w:name="_Hlk52233474"/>
      <w:r>
        <w:rPr>
          <w:sz w:val="22"/>
          <w:szCs w:val="22"/>
        </w:rPr>
        <w:t xml:space="preserve">serão cedidos fiduciariamente, sob condição suspensiva, em favor dos Debenturistas, representados pelo Agente Fiduciário, e dos Credores Existentes </w:t>
      </w:r>
      <w:r>
        <w:rPr>
          <w:bCs/>
          <w:sz w:val="22"/>
          <w:szCs w:val="22"/>
        </w:rPr>
        <w:t xml:space="preserve">(i) </w:t>
      </w:r>
      <w:r>
        <w:rPr>
          <w:sz w:val="22"/>
          <w:szCs w:val="22"/>
        </w:rPr>
        <w:t>todos os direitos (inclusive direitos emergentes, quando aplicável) e créditos de titularidade da Companhia, diretos ou indiretos, atuais ou futuros, oriundos do Contrato de Concessão, com a interveniência da Companhia Paulista de Parcerias – CPP, incluindo a implantação do Projeto, compreendendo, mas não se limitando ao direito de receber todos e quaisquer valores que sejam ou venham a se tornar exigíveis e pendentes de pagamento pelo Poder Concedente e/ou pela CPP à Companhia, incluindo (a) as receitas decorrentes da tarifa de remuneração devida por passageiro transportado, cujo valor base e respectivos mecanismos de reajuste são fixados no Contrato de Concessão (“</w:t>
      </w:r>
      <w:r>
        <w:rPr>
          <w:b/>
          <w:sz w:val="22"/>
          <w:szCs w:val="22"/>
        </w:rPr>
        <w:t>Receitas Tarifárias</w:t>
      </w:r>
      <w:r>
        <w:rPr>
          <w:sz w:val="22"/>
          <w:szCs w:val="22"/>
        </w:rPr>
        <w:t>”), observadas as regras de distribuição e operacionalização previstas no Convênio de Integração Operacional e Tarifária nº 2005/023 SPTRANS, nº 0180589101 METRÔ e nº 842754209100 CPTM, celebrado em 06 de outubro de 2005 entre a São Paulo Transportes S.A. – SPTrans, a Companhia do Metropolitano de São Paulo, a Companhia Paulista de Trens Metropolitanos e a Concessionária da Linha 4 do Metrô de São Paulo S.A., do qual a Companhia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(b) as contraprestações do Poder Concedente no âmbito do Contrato de Concessão (“</w:t>
      </w:r>
      <w:r>
        <w:rPr>
          <w:b/>
          <w:sz w:val="22"/>
          <w:szCs w:val="22"/>
        </w:rPr>
        <w:t>Contraprestações</w:t>
      </w:r>
      <w:r>
        <w:rPr>
          <w:sz w:val="22"/>
          <w:szCs w:val="22"/>
        </w:rPr>
        <w:t>”), (c) as remunerações contingentes, nos termos da Cláusula 52.7. do Contrato de Concessão, (d) as receitas alternativas, complementares, acessórias ou de projetos associados, nos termos da Cláusula 17 do Contrato de Concessão, bem como todas as indenizações cabíveis que lhe forem devidas, nos casos previstos em lei e/ou no Contrato de Concessão (“</w:t>
      </w:r>
      <w:r>
        <w:rPr>
          <w:b/>
          <w:sz w:val="22"/>
          <w:szCs w:val="22"/>
        </w:rPr>
        <w:t>Indenizações</w:t>
      </w:r>
      <w:r>
        <w:rPr>
          <w:sz w:val="22"/>
          <w:szCs w:val="22"/>
        </w:rPr>
        <w:t>” e “</w:t>
      </w:r>
      <w:r>
        <w:rPr>
          <w:b/>
          <w:sz w:val="22"/>
          <w:szCs w:val="22"/>
        </w:rPr>
        <w:t>Direitos Creditórios da Concessão</w:t>
      </w:r>
      <w:r>
        <w:rPr>
          <w:sz w:val="22"/>
          <w:szCs w:val="22"/>
        </w:rPr>
        <w:t>”, respectivamente), sendo certo que (1) os aportes de recursos pelo Poder Concedente, nos termos da Cláusula 27 do Contrato de Concessão (“</w:t>
      </w:r>
      <w:r>
        <w:rPr>
          <w:b/>
          <w:sz w:val="22"/>
          <w:szCs w:val="22"/>
        </w:rPr>
        <w:t>Aporte de Recursos</w:t>
      </w:r>
      <w:r>
        <w:rPr>
          <w:sz w:val="22"/>
          <w:szCs w:val="22"/>
        </w:rPr>
        <w:t>”) não serão cedidos fiduciariamente, e (2) o Agente Fiduciário e os Credores Existentes deverão observar a destinação d</w:t>
      </w:r>
      <w:bookmarkStart w:id="252" w:name="_DV_C172"/>
      <w:r>
        <w:rPr>
          <w:sz w:val="22"/>
          <w:szCs w:val="22"/>
        </w:rPr>
        <w:t>os valores designados ao</w:t>
      </w:r>
      <w:bookmarkStart w:id="253" w:name="_DV_C173"/>
      <w:bookmarkStart w:id="254" w:name="_DV_X167"/>
      <w:bookmarkEnd w:id="252"/>
      <w:r>
        <w:rPr>
          <w:sz w:val="22"/>
          <w:szCs w:val="22"/>
        </w:rPr>
        <w:t xml:space="preserve"> pagamento das </w:t>
      </w:r>
      <w:bookmarkEnd w:id="253"/>
      <w:bookmarkEnd w:id="254"/>
      <w:r>
        <w:rPr>
          <w:sz w:val="22"/>
          <w:szCs w:val="22"/>
        </w:rPr>
        <w:t>despesas essenciais à continuidade da prestação do serviço objeto do Contrato de Concessão, nos termos da Cláusula 16 do Contrato de Concessão, e na forma definida no Contrato de Cessão Fiduciária (“</w:t>
      </w:r>
      <w:r>
        <w:rPr>
          <w:b/>
          <w:sz w:val="22"/>
          <w:szCs w:val="22"/>
        </w:rPr>
        <w:t>Despesas Essenciais</w:t>
      </w:r>
      <w:r>
        <w:rPr>
          <w:sz w:val="22"/>
          <w:szCs w:val="22"/>
        </w:rPr>
        <w:t xml:space="preserve">”); (ii) todos os direitos (inclusive direitos emergentes, quando aplicável) e créditos de titularidade da Companhia, diretos ou indiretos, atuais e futuros, oriundos (1) de cada um dos contratos do Projeto indicados no </w:t>
      </w:r>
      <w:r>
        <w:rPr>
          <w:b/>
          <w:sz w:val="22"/>
          <w:szCs w:val="22"/>
          <w:u w:val="single"/>
        </w:rPr>
        <w:t>Anexo 2.1</w:t>
      </w:r>
      <w:r>
        <w:rPr>
          <w:sz w:val="22"/>
          <w:szCs w:val="22"/>
        </w:rPr>
        <w:t xml:space="preserve"> do Contrato de Cessão Fiduciária, incluindo os direitos de quaisquer eventuais indenizações ou pagamentos no âmbito de tais contratos (em conjunto, “</w:t>
      </w:r>
      <w:r>
        <w:rPr>
          <w:b/>
          <w:sz w:val="22"/>
          <w:szCs w:val="22"/>
        </w:rPr>
        <w:t>Contratos Cedidos Fiduciariamente</w:t>
      </w:r>
      <w:r>
        <w:rPr>
          <w:sz w:val="22"/>
          <w:szCs w:val="22"/>
        </w:rPr>
        <w:t xml:space="preserve">”); e (2) dos seguros contratados no âmbito dos Contratos Cedidos Fiduciariamente e do Projeto, assim como suas respectivas renovações, endossos ou aditamentos, conforme listados no </w:t>
      </w:r>
      <w:r>
        <w:rPr>
          <w:b/>
          <w:sz w:val="22"/>
          <w:szCs w:val="22"/>
          <w:u w:val="single"/>
        </w:rPr>
        <w:t>Anexo 2.2</w:t>
      </w:r>
      <w:r>
        <w:rPr>
          <w:sz w:val="22"/>
          <w:szCs w:val="22"/>
        </w:rPr>
        <w:t xml:space="preserve"> do Contrato de Cessão Fiduciária (“</w:t>
      </w:r>
      <w:r>
        <w:rPr>
          <w:b/>
          <w:sz w:val="22"/>
          <w:szCs w:val="22"/>
        </w:rPr>
        <w:t>Apólices de Seguro</w:t>
      </w:r>
      <w:r>
        <w:rPr>
          <w:sz w:val="22"/>
          <w:szCs w:val="22"/>
        </w:rPr>
        <w:t>” e, em conjunto com o Contrato de Concessão e os Contratos Cedidos Fiduciariamente, os “</w:t>
      </w:r>
      <w:r>
        <w:rPr>
          <w:b/>
          <w:sz w:val="22"/>
          <w:szCs w:val="22"/>
        </w:rPr>
        <w:t>Contratos do Projeto Cedidos Fiduciariamente</w:t>
      </w:r>
      <w:r>
        <w:rPr>
          <w:sz w:val="22"/>
          <w:szCs w:val="22"/>
        </w:rPr>
        <w:t>” e “</w:t>
      </w:r>
      <w:r>
        <w:rPr>
          <w:b/>
          <w:sz w:val="22"/>
          <w:szCs w:val="22"/>
        </w:rPr>
        <w:t>Direitos Creditórios da Cedente</w:t>
      </w:r>
      <w:r>
        <w:rPr>
          <w:sz w:val="22"/>
          <w:szCs w:val="22"/>
        </w:rPr>
        <w:t>”, respectivamente); e (iii) todos os direitos e créditos, atuais e futuros, da Companhia em decorrência das Contas Vinculadas; inclusive, mas sem limitação, todos os valores e direitos de crédito, presentes e futuros, detidos pela Companhia em relação às Contas Vinculadas e a quaisquer recursos depositados – ou que venham a ser depositados – nas Contas Vinculadas, bem como quaisquer recursos eventualmente em trânsito entre tais contas e outras contas, ou em compensação bancária; e (ii) quaisquer juros, remunerações ou outros valores creditados em razão dos valores depositados nas Contas Vinculadas (“</w:t>
      </w:r>
      <w:r>
        <w:rPr>
          <w:b/>
          <w:sz w:val="22"/>
          <w:szCs w:val="22"/>
        </w:rPr>
        <w:t>Direitos Creditórios Cedidos</w:t>
      </w:r>
      <w:r>
        <w:rPr>
          <w:sz w:val="22"/>
          <w:szCs w:val="22"/>
        </w:rPr>
        <w:t>” e, em conjunto com os Direitos Creditórios Concessão e os Direitos Creditórios da Cedente, os “</w:t>
      </w:r>
      <w:r>
        <w:rPr>
          <w:b/>
          <w:sz w:val="22"/>
          <w:szCs w:val="22"/>
        </w:rPr>
        <w:t>Direitos Cedidos</w:t>
      </w:r>
      <w:r>
        <w:rPr>
          <w:sz w:val="22"/>
          <w:szCs w:val="22"/>
        </w:rPr>
        <w:t>”), nos termos do respectivo “Instrumento Particular de Contrato de Cessão Fiduciária em Garantia de Direitos Creditórios e Outras Avenças Sob Condição Suspensiva” a ser celebrado entre a Companhia, os Credores Existentes e o Agente Fiduciário (“</w:t>
      </w:r>
      <w:r>
        <w:rPr>
          <w:b/>
          <w:sz w:val="22"/>
          <w:szCs w:val="22"/>
        </w:rPr>
        <w:t>Contrato de Cessão Fiduciária</w:t>
      </w:r>
      <w:r>
        <w:rPr>
          <w:sz w:val="22"/>
          <w:szCs w:val="22"/>
        </w:rPr>
        <w:t>”);</w:t>
      </w:r>
      <w:bookmarkEnd w:id="248"/>
      <w:r>
        <w:rPr>
          <w:sz w:val="22"/>
          <w:szCs w:val="22"/>
        </w:rPr>
        <w:t xml:space="preserve"> e</w:t>
      </w:r>
      <w:bookmarkStart w:id="255" w:name="_Ref37879035"/>
      <w:bookmarkEnd w:id="247"/>
      <w:bookmarkEnd w:id="249"/>
      <w:bookmarkEnd w:id="250"/>
      <w:r>
        <w:rPr>
          <w:sz w:val="22"/>
          <w:szCs w:val="22"/>
        </w:rPr>
        <w:t xml:space="preserve"> </w:t>
      </w:r>
    </w:p>
    <w:p w:rsidR="006B3686" w:rsidRDefault="00CE2CA2">
      <w:pPr>
        <w:pStyle w:val="Level3"/>
        <w:tabs>
          <w:tab w:val="clear" w:pos="1361"/>
          <w:tab w:val="num" w:pos="0"/>
        </w:tabs>
        <w:spacing w:after="120" w:line="276" w:lineRule="auto"/>
        <w:ind w:left="0" w:firstLine="57"/>
        <w:rPr>
          <w:b/>
          <w:i/>
          <w:sz w:val="22"/>
          <w:szCs w:val="22"/>
        </w:rPr>
      </w:pPr>
      <w:bookmarkStart w:id="256" w:name="_Toc51602682"/>
      <w:bookmarkStart w:id="257" w:name="_Ref40350135"/>
      <w:bookmarkEnd w:id="251"/>
      <w:r>
        <w:rPr>
          <w:i/>
          <w:sz w:val="22"/>
          <w:szCs w:val="22"/>
        </w:rPr>
        <w:t>Alienação Fiduciária das Ações da Companhia:</w:t>
      </w:r>
      <w:r>
        <w:rPr>
          <w:sz w:val="22"/>
          <w:szCs w:val="22"/>
        </w:rPr>
        <w:t xml:space="preserve"> as Acionistas alienarão fiduciariamente, sob condição suspensiva, em favor dos Debenturistas, representados pelo Agente Fiduciário, e dos Credores Existentes (i) todas as ações ordinárias, presentes e futuras, de sua titularidade, de emissão da Companhia, todas livres e desembaraçadas de quaisquer ônus e gravames, representativas de 100% (cem por cento) do capital social total da Companhia (“</w:t>
      </w:r>
      <w:r>
        <w:rPr>
          <w:b/>
          <w:sz w:val="22"/>
          <w:szCs w:val="22"/>
        </w:rPr>
        <w:t>Ações</w:t>
      </w:r>
      <w:r>
        <w:rPr>
          <w:sz w:val="22"/>
          <w:szCs w:val="22"/>
        </w:rPr>
        <w:t>”); (ii) todos os direitos econômicos inerentes e oriundos das Ações, presentes e futuros, incluindo, todos os frutos, rendimentos, vantagens e/ou outras distribuições que forem a elas atribuídos, a qualquer título, inclusive lucros, dividendos, juros sobre o capital próprio e todos os demais valores ou direitos creditórios de qualquer outra forma vierem a ser distribuídos pela Companhia relacionados às Ações, bem como quaisquer bens em que as Ações oneradas sejam convertidas (inclusive quaisquer certificados de depósitos ou valores mobiliários) (“</w:t>
      </w:r>
      <w:r>
        <w:rPr>
          <w:b/>
          <w:sz w:val="22"/>
          <w:szCs w:val="22"/>
        </w:rPr>
        <w:t>Direitos Econômicos Relacionados às Ações</w:t>
      </w:r>
      <w:r>
        <w:rPr>
          <w:sz w:val="22"/>
          <w:szCs w:val="22"/>
        </w:rPr>
        <w:t>”); e (iii) todas as novas ações que porventura, a partir desta data, sejam atribuídas às Acionistas,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Companhia ("</w:t>
      </w:r>
      <w:r>
        <w:rPr>
          <w:b/>
          <w:sz w:val="22"/>
          <w:szCs w:val="22"/>
        </w:rPr>
        <w:t>Demais Direitos Relacionados às Ações</w:t>
      </w:r>
      <w:r>
        <w:rPr>
          <w:sz w:val="22"/>
          <w:szCs w:val="22"/>
        </w:rPr>
        <w:t>”, e em conjunto com os Direitos Econômicos Relacionados às Ações, e as Ações, os “</w:t>
      </w:r>
      <w:r>
        <w:rPr>
          <w:b/>
          <w:sz w:val="22"/>
          <w:szCs w:val="22"/>
        </w:rPr>
        <w:t>Ativos e Direitos Alienados Fiduciariamente</w:t>
      </w:r>
      <w:r>
        <w:rPr>
          <w:sz w:val="22"/>
          <w:szCs w:val="22"/>
        </w:rPr>
        <w:t>” e, em conjunto com a Cessão Fiduciária de Direitos Creditórios, as “</w:t>
      </w:r>
      <w:r>
        <w:rPr>
          <w:b/>
          <w:sz w:val="22"/>
          <w:szCs w:val="22"/>
        </w:rPr>
        <w:t>Garantias Reais</w:t>
      </w:r>
      <w:r>
        <w:rPr>
          <w:sz w:val="22"/>
          <w:szCs w:val="22"/>
        </w:rPr>
        <w:t>”), nos termos do “Instrumento Particular de Contrato de Alienação Fiduciária em Garantia de Ações e Outras Avenças Sob Condição Suspensiva” a ser celebrado entre as Acionistas, os Credores Existentes, o Agente Fiduciário e a Companhia, na qualidade 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255"/>
      <w:bookmarkEnd w:id="256"/>
      <w:r>
        <w:rPr>
          <w:sz w:val="22"/>
          <w:szCs w:val="22"/>
        </w:rPr>
        <w:t xml:space="preserve"> </w:t>
      </w:r>
      <w:bookmarkEnd w:id="257"/>
    </w:p>
    <w:p w:rsidR="006B3686" w:rsidRDefault="00CE2CA2">
      <w:pPr>
        <w:pStyle w:val="Level2"/>
        <w:tabs>
          <w:tab w:val="clear" w:pos="680"/>
        </w:tabs>
        <w:spacing w:after="120" w:line="276" w:lineRule="auto"/>
        <w:ind w:left="0" w:firstLine="0"/>
        <w:rPr>
          <w:rFonts w:cs="Arial"/>
          <w:sz w:val="22"/>
          <w:szCs w:val="22"/>
        </w:rPr>
      </w:pPr>
      <w:bookmarkStart w:id="258" w:name="_Ref40350569"/>
      <w:bookmarkStart w:id="259" w:name="_Toc51602683"/>
      <w:r>
        <w:rPr>
          <w:rFonts w:cs="Arial"/>
          <w:i/>
          <w:sz w:val="22"/>
          <w:szCs w:val="22"/>
        </w:rPr>
        <w:t>Compartilhamento das Garantias Reais</w:t>
      </w:r>
      <w:r>
        <w:rPr>
          <w:rFonts w:cs="Arial"/>
          <w:sz w:val="22"/>
          <w:szCs w:val="22"/>
        </w:rPr>
        <w:t xml:space="preserve">: As Garantias Reais são outorgadas em benefício conjunto dos Credores Existentes, dos Debenturistas,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entre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 xml:space="preserve">”), </w:t>
      </w:r>
      <w:bookmarkStart w:id="260" w:name="_Hlk40695679"/>
      <w:r>
        <w:rPr>
          <w:rFonts w:cs="Arial"/>
          <w:sz w:val="22"/>
          <w:szCs w:val="22"/>
        </w:rPr>
        <w:t>podendo, ainda, ser compartilhada com os financiadores do Financiamento de Longo Prazo, conforme venha a ser solicitado pela Companhia.</w:t>
      </w:r>
      <w:bookmarkEnd w:id="258"/>
      <w:bookmarkEnd w:id="259"/>
      <w:bookmarkEnd w:id="260"/>
    </w:p>
    <w:p w:rsidR="006B3686" w:rsidRDefault="00CE2CA2">
      <w:pPr>
        <w:pStyle w:val="Level1"/>
        <w:keepNext w:val="0"/>
        <w:keepLines w:val="0"/>
        <w:widowControl w:val="0"/>
        <w:tabs>
          <w:tab w:val="clear" w:pos="680"/>
          <w:tab w:val="num" w:pos="851"/>
        </w:tabs>
        <w:spacing w:before="0" w:after="120" w:line="276" w:lineRule="auto"/>
        <w:ind w:left="0" w:firstLine="0"/>
        <w:rPr>
          <w:smallCaps/>
          <w:color w:val="auto"/>
        </w:rPr>
      </w:pPr>
      <w:bookmarkStart w:id="261" w:name="_Toc51602684"/>
      <w:r>
        <w:rPr>
          <w:smallCaps/>
          <w:color w:val="auto"/>
        </w:rPr>
        <w:t>OBRIGAÇÕES ADICIONAIS DA COMPANHIA</w:t>
      </w:r>
      <w:bookmarkStart w:id="262" w:name="_Ref130390982"/>
      <w:bookmarkEnd w:id="261"/>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263" w:name="_Ref279333767"/>
      <w:bookmarkStart w:id="264" w:name="_Toc51602685"/>
      <w:r>
        <w:rPr>
          <w:rFonts w:cs="Arial"/>
          <w:sz w:val="22"/>
          <w:szCs w:val="22"/>
        </w:rPr>
        <w:t>A Companhia está adicionalmente obrigada a:</w:t>
      </w:r>
      <w:bookmarkEnd w:id="262"/>
      <w:bookmarkEnd w:id="263"/>
      <w:bookmarkEnd w:id="264"/>
    </w:p>
    <w:p w:rsidR="006B3686" w:rsidRDefault="00CE2CA2">
      <w:pPr>
        <w:pStyle w:val="Level4"/>
        <w:widowControl w:val="0"/>
        <w:tabs>
          <w:tab w:val="num" w:pos="851"/>
        </w:tabs>
        <w:spacing w:after="120" w:line="276" w:lineRule="auto"/>
        <w:ind w:left="851" w:firstLine="0"/>
        <w:rPr>
          <w:sz w:val="22"/>
          <w:szCs w:val="22"/>
        </w:rPr>
      </w:pPr>
      <w:bookmarkStart w:id="265" w:name="_Ref262552287"/>
      <w:bookmarkStart w:id="266" w:name="_Ref168844178"/>
      <w:r>
        <w:rPr>
          <w:sz w:val="22"/>
          <w:szCs w:val="22"/>
        </w:rPr>
        <w:t>disponibilizar em sua página na Internet e fornecer ao Agente Fiduciário</w:t>
      </w:r>
      <w:bookmarkStart w:id="267" w:name="_Ref289720326"/>
      <w:r>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Pr>
          <w:b/>
          <w:sz w:val="22"/>
          <w:szCs w:val="22"/>
        </w:rPr>
        <w:t>Demonstrações Financeiras da Companhia</w:t>
      </w:r>
      <w:bookmarkEnd w:id="265"/>
      <w:bookmarkEnd w:id="267"/>
      <w:r>
        <w:rPr>
          <w:sz w:val="22"/>
          <w:szCs w:val="22"/>
        </w:rPr>
        <w:t xml:space="preserve">”); </w:t>
      </w:r>
    </w:p>
    <w:p w:rsidR="006B3686" w:rsidRDefault="00CE2CA2">
      <w:pPr>
        <w:pStyle w:val="Level4"/>
        <w:widowControl w:val="0"/>
        <w:tabs>
          <w:tab w:val="num" w:pos="1361"/>
        </w:tabs>
        <w:spacing w:after="120" w:line="276" w:lineRule="auto"/>
        <w:ind w:left="851" w:firstLine="0"/>
        <w:rPr>
          <w:sz w:val="22"/>
          <w:szCs w:val="22"/>
        </w:rPr>
      </w:pPr>
      <w:bookmarkStart w:id="268" w:name="_Ref225332080"/>
      <w:bookmarkEnd w:id="266"/>
      <w:r>
        <w:rPr>
          <w:sz w:val="22"/>
          <w:szCs w:val="22"/>
        </w:rPr>
        <w:t>fornecer ao Agente Fiduciário:</w:t>
      </w:r>
      <w:bookmarkEnd w:id="268"/>
    </w:p>
    <w:p w:rsidR="006B3686" w:rsidRDefault="00CE2CA2">
      <w:pPr>
        <w:pStyle w:val="Level5"/>
        <w:widowControl w:val="0"/>
        <w:tabs>
          <w:tab w:val="clear" w:pos="2721"/>
          <w:tab w:val="num" w:pos="2041"/>
        </w:tabs>
        <w:spacing w:after="120" w:line="276" w:lineRule="auto"/>
        <w:ind w:left="1418" w:firstLine="0"/>
        <w:rPr>
          <w:sz w:val="22"/>
          <w:szCs w:val="22"/>
        </w:rPr>
      </w:pPr>
      <w:bookmarkStart w:id="269" w:name="_Ref285571943"/>
      <w:r>
        <w:rPr>
          <w:sz w:val="22"/>
          <w:szCs w:val="22"/>
        </w:rPr>
        <w:t>no prazo de até 5 (cinco) Dias Úteis contados da data a que se refere o inciso </w:t>
      </w:r>
      <w:r>
        <w:rPr>
          <w:sz w:val="22"/>
          <w:szCs w:val="22"/>
        </w:rPr>
        <w:fldChar w:fldCharType="begin"/>
      </w:r>
      <w:r>
        <w:rPr>
          <w:sz w:val="22"/>
          <w:szCs w:val="22"/>
        </w:rPr>
        <w:instrText xml:space="preserve"> REF _Ref262552287 \n \p \h  \* MERGEFORMAT </w:instrText>
      </w:r>
      <w:r>
        <w:rPr>
          <w:sz w:val="22"/>
          <w:szCs w:val="22"/>
        </w:rPr>
      </w:r>
      <w:r>
        <w:rPr>
          <w:sz w:val="22"/>
          <w:szCs w:val="22"/>
        </w:rPr>
        <w:fldChar w:fldCharType="separate"/>
      </w:r>
      <w:r>
        <w:rPr>
          <w:sz w:val="22"/>
          <w:szCs w:val="22"/>
        </w:rPr>
        <w:t>(i) acima</w:t>
      </w:r>
      <w:r>
        <w:rPr>
          <w:sz w:val="22"/>
          <w:szCs w:val="22"/>
        </w:rPr>
        <w:fldChar w:fldCharType="end"/>
      </w:r>
      <w:r>
        <w:rPr>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269"/>
    </w:p>
    <w:p w:rsidR="006B3686" w:rsidRDefault="00CE2CA2">
      <w:pPr>
        <w:pStyle w:val="Level5"/>
        <w:widowControl w:val="0"/>
        <w:tabs>
          <w:tab w:val="clear" w:pos="2721"/>
          <w:tab w:val="num" w:pos="2041"/>
        </w:tabs>
        <w:spacing w:after="120" w:line="276" w:lineRule="auto"/>
        <w:ind w:left="1418" w:firstLine="0"/>
        <w:rPr>
          <w:sz w:val="22"/>
          <w:szCs w:val="22"/>
        </w:rPr>
      </w:pPr>
      <w:r>
        <w:rPr>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6B3686" w:rsidRDefault="00CE2CA2">
      <w:pPr>
        <w:pStyle w:val="Level5"/>
        <w:widowControl w:val="0"/>
        <w:tabs>
          <w:tab w:val="clear" w:pos="2721"/>
          <w:tab w:val="left" w:pos="1418"/>
          <w:tab w:val="num" w:pos="2041"/>
        </w:tabs>
        <w:spacing w:after="120" w:line="276" w:lineRule="auto"/>
        <w:ind w:left="1418" w:firstLine="0"/>
        <w:rPr>
          <w:sz w:val="22"/>
          <w:szCs w:val="22"/>
        </w:rPr>
      </w:pPr>
      <w:bookmarkStart w:id="270" w:name="_Ref168844063"/>
      <w:bookmarkStart w:id="271" w:name="_Ref278277903"/>
      <w:bookmarkStart w:id="272" w:name="_Ref168844180"/>
      <w:r>
        <w:rPr>
          <w:sz w:val="22"/>
          <w:szCs w:val="22"/>
        </w:rPr>
        <w:t>no prazo de até 2 (dois) Dias Úteis contados da data em que forem realizados, avisos aos Debenturistas;</w:t>
      </w:r>
      <w:bookmarkEnd w:id="270"/>
      <w:bookmarkEnd w:id="271"/>
    </w:p>
    <w:p w:rsidR="006B3686" w:rsidRDefault="00CE2CA2">
      <w:pPr>
        <w:pStyle w:val="Level5"/>
        <w:widowControl w:val="0"/>
        <w:tabs>
          <w:tab w:val="clear" w:pos="2721"/>
          <w:tab w:val="left" w:pos="1418"/>
          <w:tab w:val="num" w:pos="2041"/>
        </w:tabs>
        <w:spacing w:after="120" w:line="276" w:lineRule="auto"/>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rsidR="006B3686" w:rsidRDefault="00CE2CA2">
      <w:pPr>
        <w:pStyle w:val="Level5"/>
        <w:widowControl w:val="0"/>
        <w:tabs>
          <w:tab w:val="clear" w:pos="2721"/>
          <w:tab w:val="left" w:pos="1418"/>
          <w:tab w:val="num" w:pos="2041"/>
        </w:tabs>
        <w:spacing w:after="120" w:line="276" w:lineRule="auto"/>
        <w:ind w:left="1418" w:firstLine="0"/>
        <w:rPr>
          <w:sz w:val="22"/>
          <w:szCs w:val="22"/>
        </w:rPr>
      </w:pPr>
      <w:bookmarkStart w:id="273" w:name="_Ref286939940"/>
      <w:r>
        <w:rPr>
          <w:sz w:val="22"/>
          <w:szCs w:val="22"/>
        </w:rPr>
        <w:t>no prazo de até 2 (dois) Dias Úteis contados da data de ciência, pela Companhia, informações a respeito da ocorrência de qualquer evento ou situação que possa causar um Efeito Adverso Relevante;</w:t>
      </w:r>
      <w:bookmarkEnd w:id="273"/>
    </w:p>
    <w:p w:rsidR="006B3686" w:rsidRDefault="00CE2CA2">
      <w:pPr>
        <w:pStyle w:val="Level5"/>
        <w:widowControl w:val="0"/>
        <w:tabs>
          <w:tab w:val="clear" w:pos="2721"/>
          <w:tab w:val="left" w:pos="1418"/>
          <w:tab w:val="num" w:pos="2041"/>
        </w:tabs>
        <w:spacing w:after="120" w:line="276" w:lineRule="auto"/>
        <w:ind w:left="1418" w:firstLine="0"/>
        <w:rPr>
          <w:sz w:val="22"/>
          <w:szCs w:val="22"/>
        </w:rPr>
      </w:pPr>
      <w:bookmarkStart w:id="274" w:name="_Ref168844067"/>
      <w:r>
        <w:rPr>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rsidR="006B3686" w:rsidRDefault="00CE2CA2">
      <w:pPr>
        <w:pStyle w:val="Level5"/>
        <w:widowControl w:val="0"/>
        <w:tabs>
          <w:tab w:val="clear" w:pos="2721"/>
          <w:tab w:val="left" w:pos="1418"/>
          <w:tab w:val="num" w:pos="2041"/>
        </w:tabs>
        <w:spacing w:after="120" w:line="276" w:lineRule="auto"/>
        <w:ind w:left="1418" w:firstLine="0"/>
        <w:rPr>
          <w:sz w:val="22"/>
          <w:szCs w:val="22"/>
        </w:rPr>
      </w:pPr>
      <w:r>
        <w:rPr>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274"/>
    </w:p>
    <w:p w:rsidR="006B3686" w:rsidRDefault="00CE2CA2">
      <w:pPr>
        <w:pStyle w:val="Level5"/>
        <w:widowControl w:val="0"/>
        <w:tabs>
          <w:tab w:val="clear" w:pos="2721"/>
          <w:tab w:val="num" w:pos="2041"/>
        </w:tabs>
        <w:spacing w:after="120" w:line="276" w:lineRule="auto"/>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cópia eletrônica (PDF) do protocolo para arquivamento desta Escritura de Emissão ou do respectivo aditamento a esta Escritura de Emissão perante a JUCESP;</w:t>
      </w:r>
    </w:p>
    <w:p w:rsidR="006B3686" w:rsidRDefault="00CE2CA2">
      <w:pPr>
        <w:pStyle w:val="Level5"/>
        <w:widowControl w:val="0"/>
        <w:tabs>
          <w:tab w:val="clear" w:pos="2721"/>
          <w:tab w:val="num" w:pos="2041"/>
        </w:tabs>
        <w:spacing w:after="120" w:line="276" w:lineRule="auto"/>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6B3686" w:rsidRDefault="00CE2CA2">
      <w:pPr>
        <w:pStyle w:val="Level5"/>
        <w:widowControl w:val="0"/>
        <w:tabs>
          <w:tab w:val="clear" w:pos="2721"/>
          <w:tab w:val="num" w:pos="2041"/>
        </w:tabs>
        <w:spacing w:after="120" w:line="276" w:lineRule="auto"/>
        <w:ind w:left="1418" w:firstLine="0"/>
        <w:rPr>
          <w:sz w:val="22"/>
          <w:szCs w:val="22"/>
        </w:rPr>
      </w:pPr>
      <w:r>
        <w:rPr>
          <w:sz w:val="22"/>
          <w:szCs w:val="22"/>
        </w:rPr>
        <w:t xml:space="preserve">observados os termos previstos na </w:t>
      </w:r>
      <w:r>
        <w:rPr>
          <w:color w:val="000000"/>
          <w:sz w:val="22"/>
          <w:szCs w:val="22"/>
        </w:rPr>
        <w:t>Lei nº 14.030/2020</w:t>
      </w:r>
      <w:r>
        <w:rPr>
          <w:sz w:val="22"/>
          <w:szCs w:val="22"/>
        </w:rPr>
        <w:t>, (i) uma via original da respectiva ata de assembleia geral de Debenturistas arquivada na JUCESP; ou (ii) caso aplicável, cópia eletrônica (formato PDF) da respectiva ata de assembleia geral de Debenturistas contendo a chancela digital de arquivamento na JUCESP; e</w:t>
      </w:r>
    </w:p>
    <w:p w:rsidR="006B3686" w:rsidRDefault="00CE2CA2">
      <w:pPr>
        <w:pStyle w:val="Level5"/>
        <w:widowControl w:val="0"/>
        <w:tabs>
          <w:tab w:val="clear" w:pos="2721"/>
          <w:tab w:val="num" w:pos="2041"/>
        </w:tabs>
        <w:spacing w:after="120" w:line="276" w:lineRule="auto"/>
        <w:ind w:left="1418" w:firstLine="0"/>
        <w:rPr>
          <w:sz w:val="22"/>
          <w:szCs w:val="22"/>
        </w:rPr>
      </w:pPr>
      <w:r>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Pr>
          <w:sz w:val="22"/>
          <w:szCs w:val="22"/>
        </w:rPr>
        <w:fldChar w:fldCharType="begin"/>
      </w:r>
      <w:r>
        <w:rPr>
          <w:sz w:val="22"/>
          <w:szCs w:val="22"/>
        </w:rPr>
        <w:instrText xml:space="preserve"> REF _Ref368578037 \n \p \h  \* MERGEFORMAT </w:instrText>
      </w:r>
      <w:r>
        <w:rPr>
          <w:sz w:val="22"/>
          <w:szCs w:val="22"/>
        </w:rPr>
      </w:r>
      <w:r>
        <w:rPr>
          <w:sz w:val="22"/>
          <w:szCs w:val="22"/>
        </w:rPr>
        <w:fldChar w:fldCharType="separate"/>
      </w:r>
      <w:r>
        <w:rPr>
          <w:sz w:val="22"/>
          <w:szCs w:val="22"/>
        </w:rPr>
        <w:t>5 acima</w:t>
      </w:r>
      <w:r>
        <w:rPr>
          <w:sz w:val="22"/>
          <w:szCs w:val="22"/>
        </w:rPr>
        <w:fldChar w:fldCharType="end"/>
      </w:r>
      <w:r>
        <w:rPr>
          <w:sz w:val="22"/>
          <w:szCs w:val="22"/>
        </w:rPr>
        <w:t>;</w:t>
      </w:r>
    </w:p>
    <w:p w:rsidR="006B3686" w:rsidRDefault="00CE2CA2">
      <w:pPr>
        <w:pStyle w:val="Level4"/>
        <w:widowControl w:val="0"/>
        <w:tabs>
          <w:tab w:val="num" w:pos="1701"/>
        </w:tabs>
        <w:spacing w:after="120" w:line="276" w:lineRule="auto"/>
        <w:ind w:left="851" w:firstLine="0"/>
        <w:rPr>
          <w:sz w:val="22"/>
          <w:szCs w:val="22"/>
        </w:rPr>
      </w:pPr>
      <w:r>
        <w:rPr>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6B3686" w:rsidRDefault="00CE2CA2">
      <w:pPr>
        <w:pStyle w:val="Level4"/>
        <w:widowControl w:val="0"/>
        <w:tabs>
          <w:tab w:val="num" w:pos="1701"/>
        </w:tabs>
        <w:spacing w:after="120" w:line="276" w:lineRule="auto"/>
        <w:ind w:left="851" w:firstLine="0"/>
        <w:rPr>
          <w:sz w:val="22"/>
          <w:szCs w:val="22"/>
        </w:rPr>
      </w:pPr>
      <w:r>
        <w:rPr>
          <w:sz w:val="22"/>
          <w:szCs w:val="22"/>
        </w:rPr>
        <w:t>manter a sua contabilidade atualizada e efetuar os respectivos registros de acordo com as práticas contábeis adotadas na República Federativa do Brasil;</w:t>
      </w:r>
    </w:p>
    <w:p w:rsidR="006B3686" w:rsidRDefault="00CE2CA2">
      <w:pPr>
        <w:pStyle w:val="Level4"/>
        <w:widowControl w:val="0"/>
        <w:tabs>
          <w:tab w:val="num" w:pos="1701"/>
        </w:tabs>
        <w:spacing w:after="120" w:line="276" w:lineRule="auto"/>
        <w:ind w:left="851" w:firstLine="0"/>
        <w:rPr>
          <w:sz w:val="22"/>
          <w:szCs w:val="22"/>
        </w:rPr>
      </w:pPr>
      <w:bookmarkStart w:id="275" w:name="_Ref168844102"/>
      <w:bookmarkEnd w:id="272"/>
      <w:r>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75"/>
      <w:r>
        <w:rPr>
          <w:sz w:val="22"/>
          <w:szCs w:val="22"/>
        </w:rPr>
        <w:t>;</w:t>
      </w:r>
    </w:p>
    <w:p w:rsidR="006B3686" w:rsidRDefault="00CE2CA2">
      <w:pPr>
        <w:pStyle w:val="Level4"/>
        <w:widowControl w:val="0"/>
        <w:tabs>
          <w:tab w:val="num" w:pos="1701"/>
        </w:tabs>
        <w:spacing w:after="120" w:line="276" w:lineRule="auto"/>
        <w:ind w:left="851" w:firstLine="0"/>
        <w:rPr>
          <w:sz w:val="22"/>
          <w:szCs w:val="22"/>
        </w:rPr>
      </w:pPr>
      <w:r>
        <w:rPr>
          <w:sz w:val="22"/>
          <w:szCs w:val="22"/>
        </w:rPr>
        <w:t>notificar, na mesma data, o Agente Fiduciário sobre a convocação, pela Companhia, de qualquer Assembleia Geral de Debenturistas;</w:t>
      </w:r>
    </w:p>
    <w:p w:rsidR="006B3686" w:rsidRDefault="00CE2CA2">
      <w:pPr>
        <w:pStyle w:val="Level4"/>
        <w:widowControl w:val="0"/>
        <w:tabs>
          <w:tab w:val="num" w:pos="1701"/>
        </w:tabs>
        <w:spacing w:after="120" w:line="276" w:lineRule="auto"/>
        <w:ind w:left="851" w:firstLine="0"/>
        <w:rPr>
          <w:sz w:val="22"/>
          <w:szCs w:val="22"/>
        </w:rPr>
      </w:pPr>
      <w:r>
        <w:rPr>
          <w:sz w:val="22"/>
          <w:szCs w:val="22"/>
        </w:rPr>
        <w:t>comparecer, por meio de seus representantes, às assembleias gerais de Debenturistas, sempre que solicitada;</w:t>
      </w:r>
    </w:p>
    <w:p w:rsidR="006B3686" w:rsidRDefault="00CE2CA2">
      <w:pPr>
        <w:pStyle w:val="Level4"/>
        <w:widowControl w:val="0"/>
        <w:tabs>
          <w:tab w:val="num" w:pos="1701"/>
        </w:tabs>
        <w:spacing w:after="120" w:line="276" w:lineRule="auto"/>
        <w:ind w:left="851" w:firstLine="0"/>
        <w:rPr>
          <w:sz w:val="22"/>
          <w:szCs w:val="22"/>
        </w:rPr>
      </w:pPr>
      <w:r>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rsidR="006B3686" w:rsidRDefault="00CE2CA2">
      <w:pPr>
        <w:pStyle w:val="Level4"/>
        <w:widowControl w:val="0"/>
        <w:tabs>
          <w:tab w:val="num" w:pos="1701"/>
        </w:tabs>
        <w:spacing w:after="120" w:line="276" w:lineRule="auto"/>
        <w:ind w:left="851" w:firstLine="0"/>
        <w:rPr>
          <w:sz w:val="22"/>
          <w:szCs w:val="22"/>
        </w:rPr>
      </w:pPr>
      <w:r>
        <w:rPr>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rsidR="006B3686" w:rsidRDefault="00CE2CA2">
      <w:pPr>
        <w:pStyle w:val="Level4"/>
        <w:widowControl w:val="0"/>
        <w:tabs>
          <w:tab w:val="num" w:pos="1701"/>
        </w:tabs>
        <w:spacing w:after="120" w:line="276" w:lineRule="auto"/>
        <w:ind w:left="851" w:firstLine="0"/>
        <w:rPr>
          <w:b/>
          <w:i/>
          <w:sz w:val="22"/>
          <w:szCs w:val="22"/>
        </w:rPr>
      </w:pPr>
      <w:r>
        <w:rPr>
          <w:sz w:val="22"/>
          <w:szCs w:val="22"/>
        </w:rPr>
        <w:t xml:space="preserve">cumprir com todas as obrigações estabelecidas no Contrato de Concessão cujo descumprimento possa dar ensejo a caducidade do Contrato de Concessão, observados prazos de cura em tal contrato estabelecidos; </w:t>
      </w:r>
    </w:p>
    <w:p w:rsidR="006B3686" w:rsidRDefault="00CE2CA2">
      <w:pPr>
        <w:pStyle w:val="Level4"/>
        <w:widowControl w:val="0"/>
        <w:tabs>
          <w:tab w:val="num" w:pos="1701"/>
        </w:tabs>
        <w:spacing w:after="120" w:line="276" w:lineRule="auto"/>
        <w:ind w:left="851" w:firstLine="0"/>
        <w:rPr>
          <w:b/>
          <w:i/>
          <w:sz w:val="22"/>
          <w:szCs w:val="22"/>
        </w:rPr>
      </w:pPr>
      <w:r>
        <w:rPr>
          <w:sz w:val="22"/>
          <w:szCs w:val="22"/>
        </w:rPr>
        <w:t xml:space="preserve">não rescindir o Contrato de Concessão; </w:t>
      </w:r>
    </w:p>
    <w:p w:rsidR="006B3686" w:rsidRDefault="00CE2CA2">
      <w:pPr>
        <w:pStyle w:val="Level4"/>
        <w:widowControl w:val="0"/>
        <w:tabs>
          <w:tab w:val="num" w:pos="1701"/>
        </w:tabs>
        <w:spacing w:after="120" w:line="276" w:lineRule="auto"/>
        <w:ind w:left="851" w:firstLine="0"/>
        <w:rPr>
          <w:sz w:val="22"/>
          <w:szCs w:val="22"/>
        </w:rPr>
      </w:pPr>
      <w:r>
        <w:rPr>
          <w:sz w:val="22"/>
          <w:szCs w:val="22"/>
        </w:rPr>
        <w:t>manter seguro adequado para seus bens e ativos relevantes, conforme práticas correntes de mercado nos termos do Contrato de Concessão;</w:t>
      </w:r>
    </w:p>
    <w:p w:rsidR="006B3686" w:rsidRDefault="00CE2CA2">
      <w:pPr>
        <w:pStyle w:val="Level4"/>
        <w:widowControl w:val="0"/>
        <w:tabs>
          <w:tab w:val="num" w:pos="1701"/>
        </w:tabs>
        <w:spacing w:after="120" w:line="276" w:lineRule="auto"/>
        <w:ind w:left="851" w:firstLine="0"/>
        <w:rPr>
          <w:sz w:val="22"/>
          <w:szCs w:val="22"/>
        </w:rPr>
      </w:pPr>
      <w:r>
        <w:rPr>
          <w:sz w:val="22"/>
          <w:szCs w:val="22"/>
        </w:rPr>
        <w:t>cumprir com todas as determinações emanadas da B3 e/ou da CVM, com o envio de documentos, prestando, ainda, as informações que lhes forem solicitadas pela CVM e/ou pela B3;</w:t>
      </w:r>
    </w:p>
    <w:p w:rsidR="006B3686" w:rsidRDefault="00CE2CA2">
      <w:pPr>
        <w:pStyle w:val="Level4"/>
        <w:widowControl w:val="0"/>
        <w:tabs>
          <w:tab w:val="num" w:pos="1701"/>
        </w:tabs>
        <w:spacing w:after="120" w:line="276" w:lineRule="auto"/>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rsidR="006B3686" w:rsidRDefault="00CE2CA2">
      <w:pPr>
        <w:pStyle w:val="Level4"/>
        <w:widowControl w:val="0"/>
        <w:tabs>
          <w:tab w:val="num" w:pos="1701"/>
        </w:tabs>
        <w:spacing w:after="120" w:line="276" w:lineRule="auto"/>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rsidR="006B3686" w:rsidRDefault="00CE2CA2">
      <w:pPr>
        <w:pStyle w:val="Level4"/>
        <w:widowControl w:val="0"/>
        <w:tabs>
          <w:tab w:val="num" w:pos="1701"/>
        </w:tabs>
        <w:spacing w:after="120" w:line="276" w:lineRule="auto"/>
        <w:ind w:left="851" w:firstLine="0"/>
        <w:rPr>
          <w:sz w:val="22"/>
          <w:szCs w:val="22"/>
        </w:rPr>
      </w:pPr>
      <w:r>
        <w:rPr>
          <w:sz w:val="22"/>
          <w:szCs w:val="22"/>
        </w:rPr>
        <w:t>recolher, tempestivamente, quaisquer tributos ou contribuições que incidam ou venham a incidir sobre as Debêntures e que sejam atribuídos à Companhia;</w:t>
      </w:r>
    </w:p>
    <w:p w:rsidR="006B3686" w:rsidRDefault="00CE2CA2">
      <w:pPr>
        <w:pStyle w:val="Level4"/>
        <w:widowControl w:val="0"/>
        <w:tabs>
          <w:tab w:val="num" w:pos="1701"/>
        </w:tabs>
        <w:spacing w:after="120" w:line="276" w:lineRule="auto"/>
        <w:ind w:left="851" w:firstLine="0"/>
        <w:rPr>
          <w:sz w:val="22"/>
          <w:szCs w:val="22"/>
        </w:rPr>
      </w:pPr>
      <w:r>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rsidR="006B3686" w:rsidRDefault="00CE2CA2">
      <w:pPr>
        <w:pStyle w:val="Level4"/>
        <w:widowControl w:val="0"/>
        <w:tabs>
          <w:tab w:val="num" w:pos="1701"/>
        </w:tabs>
        <w:spacing w:after="120" w:line="276" w:lineRule="auto"/>
        <w:ind w:left="851" w:firstLine="0"/>
        <w:rPr>
          <w:sz w:val="22"/>
          <w:szCs w:val="22"/>
        </w:rPr>
      </w:pPr>
      <w:r>
        <w:rPr>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6B3686" w:rsidRDefault="00CE2CA2">
      <w:pPr>
        <w:pStyle w:val="Level4"/>
        <w:widowControl w:val="0"/>
        <w:tabs>
          <w:tab w:val="num" w:pos="1701"/>
        </w:tabs>
        <w:spacing w:after="120" w:line="276" w:lineRule="auto"/>
        <w:ind w:left="851" w:firstLine="0"/>
        <w:rPr>
          <w:sz w:val="22"/>
          <w:szCs w:val="22"/>
        </w:rPr>
      </w:pPr>
      <w:r>
        <w:rPr>
          <w:sz w:val="22"/>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rsidR="006B3686" w:rsidRDefault="00CE2CA2">
      <w:pPr>
        <w:pStyle w:val="Level4"/>
        <w:widowControl w:val="0"/>
        <w:tabs>
          <w:tab w:val="num" w:pos="1701"/>
        </w:tabs>
        <w:spacing w:after="120" w:line="276" w:lineRule="auto"/>
        <w:ind w:left="851" w:firstLine="0"/>
        <w:rPr>
          <w:sz w:val="22"/>
          <w:szCs w:val="22"/>
        </w:rPr>
      </w:pPr>
      <w:r>
        <w:rPr>
          <w:sz w:val="22"/>
          <w:szCs w:val="22"/>
        </w:rPr>
        <w:t xml:space="preserve">guardar, pelo prazo de 5 (cinco) anos contados da presente data, toda a documentação relativa à Emissão; </w:t>
      </w:r>
    </w:p>
    <w:p w:rsidR="006B3686" w:rsidRDefault="00CE2CA2">
      <w:pPr>
        <w:pStyle w:val="Level4"/>
        <w:widowControl w:val="0"/>
        <w:tabs>
          <w:tab w:val="num" w:pos="1701"/>
        </w:tabs>
        <w:spacing w:after="120" w:line="276" w:lineRule="auto"/>
        <w:ind w:left="851" w:firstLine="0"/>
        <w:rPr>
          <w:sz w:val="22"/>
          <w:szCs w:val="22"/>
        </w:rPr>
      </w:pPr>
      <w:r>
        <w:rPr>
          <w:sz w:val="22"/>
          <w:szCs w:val="22"/>
        </w:rPr>
        <w:t>manter as Debêntures depositadas para negociação por meio do CETIP21 durante todo o prazo de vigência das Debêntures e efetuar pontualmente o pagamento dos serviços relacionados ao depósito das Debêntures na B3;</w:t>
      </w:r>
    </w:p>
    <w:p w:rsidR="006B3686" w:rsidRDefault="00CE2CA2">
      <w:pPr>
        <w:pStyle w:val="Level4"/>
        <w:widowControl w:val="0"/>
        <w:tabs>
          <w:tab w:val="num" w:pos="1701"/>
        </w:tabs>
        <w:spacing w:after="120" w:line="276" w:lineRule="auto"/>
        <w:ind w:left="851" w:firstLine="0"/>
        <w:rPr>
          <w:sz w:val="22"/>
          <w:szCs w:val="22"/>
        </w:rPr>
      </w:pPr>
      <w:bookmarkStart w:id="276" w:name="_Ref168844096"/>
      <w:r>
        <w:rPr>
          <w:sz w:val="22"/>
          <w:szCs w:val="22"/>
        </w:rPr>
        <w:t>realizar (a) o pagamento da remuneração do Agente Fiduciário, nos termos da Cláusula </w:t>
      </w:r>
      <w:r>
        <w:rPr>
          <w:sz w:val="22"/>
          <w:szCs w:val="22"/>
        </w:rPr>
        <w:fldChar w:fldCharType="begin"/>
      </w:r>
      <w:r>
        <w:rPr>
          <w:sz w:val="22"/>
          <w:szCs w:val="22"/>
        </w:rPr>
        <w:instrText xml:space="preserve"> REF _Ref130284025 \n \p \h  \* MERGEFORMAT </w:instrText>
      </w:r>
      <w:r>
        <w:rPr>
          <w:sz w:val="22"/>
          <w:szCs w:val="22"/>
        </w:rPr>
      </w:r>
      <w:r>
        <w:rPr>
          <w:sz w:val="22"/>
          <w:szCs w:val="22"/>
        </w:rPr>
        <w:fldChar w:fldCharType="separate"/>
      </w:r>
      <w:r>
        <w:rPr>
          <w:sz w:val="22"/>
          <w:szCs w:val="22"/>
        </w:rPr>
        <w:t>10.4 abaixo</w:t>
      </w:r>
      <w:r>
        <w:rPr>
          <w:sz w:val="22"/>
          <w:szCs w:val="22"/>
        </w:rPr>
        <w:fldChar w:fldCharType="end"/>
      </w:r>
      <w:r>
        <w:rPr>
          <w:sz w:val="22"/>
          <w:szCs w:val="22"/>
        </w:rPr>
        <w:t>, inciso </w:t>
      </w:r>
      <w:r>
        <w:rPr>
          <w:sz w:val="22"/>
          <w:szCs w:val="22"/>
        </w:rPr>
        <w:fldChar w:fldCharType="begin"/>
      </w:r>
      <w:r>
        <w:rPr>
          <w:sz w:val="22"/>
          <w:szCs w:val="22"/>
        </w:rPr>
        <w:instrText xml:space="preserve"> REF _Ref264564354 \n \h  \* MERGEFORMAT </w:instrText>
      </w:r>
      <w:r>
        <w:rPr>
          <w:sz w:val="22"/>
          <w:szCs w:val="22"/>
        </w:rPr>
      </w:r>
      <w:r>
        <w:rPr>
          <w:sz w:val="22"/>
          <w:szCs w:val="22"/>
        </w:rPr>
        <w:fldChar w:fldCharType="separate"/>
      </w:r>
      <w:r>
        <w:rPr>
          <w:sz w:val="22"/>
          <w:szCs w:val="22"/>
        </w:rPr>
        <w:t>(i)</w:t>
      </w:r>
      <w:r>
        <w:rPr>
          <w:sz w:val="22"/>
          <w:szCs w:val="22"/>
        </w:rPr>
        <w:fldChar w:fldCharType="end"/>
      </w:r>
      <w:r>
        <w:rPr>
          <w:sz w:val="22"/>
          <w:szCs w:val="22"/>
        </w:rPr>
        <w:t>; e (b) desde que assim solicitado pelo Agente Fiduciário, o pagamento das despesas devidamente comprovadas incorridas pelo Agente Fiduciário, nos termos da Cláusula </w:t>
      </w:r>
      <w:r>
        <w:rPr>
          <w:sz w:val="22"/>
          <w:szCs w:val="22"/>
        </w:rPr>
        <w:fldChar w:fldCharType="begin"/>
      </w:r>
      <w:r>
        <w:rPr>
          <w:sz w:val="22"/>
          <w:szCs w:val="22"/>
        </w:rPr>
        <w:instrText xml:space="preserve"> REF _Ref130284025 \n \p \h  \* MERGEFORMAT </w:instrText>
      </w:r>
      <w:r>
        <w:rPr>
          <w:sz w:val="22"/>
          <w:szCs w:val="22"/>
        </w:rPr>
      </w:r>
      <w:r>
        <w:rPr>
          <w:sz w:val="22"/>
          <w:szCs w:val="22"/>
        </w:rPr>
        <w:fldChar w:fldCharType="separate"/>
      </w:r>
      <w:r>
        <w:rPr>
          <w:sz w:val="22"/>
          <w:szCs w:val="22"/>
        </w:rPr>
        <w:t>10.4 abaixo</w:t>
      </w:r>
      <w:r>
        <w:rPr>
          <w:sz w:val="22"/>
          <w:szCs w:val="22"/>
        </w:rPr>
        <w:fldChar w:fldCharType="end"/>
      </w:r>
      <w:r>
        <w:rPr>
          <w:sz w:val="22"/>
          <w:szCs w:val="22"/>
        </w:rPr>
        <w:t>, incisos (ii) e (iii);</w:t>
      </w:r>
      <w:bookmarkEnd w:id="276"/>
    </w:p>
    <w:p w:rsidR="006B3686" w:rsidRDefault="00CE2CA2">
      <w:pPr>
        <w:pStyle w:val="Level4"/>
        <w:widowControl w:val="0"/>
        <w:tabs>
          <w:tab w:val="num" w:pos="1701"/>
        </w:tabs>
        <w:spacing w:after="120" w:line="276" w:lineRule="auto"/>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rsidR="006B3686" w:rsidRDefault="00CE2CA2">
      <w:pPr>
        <w:pStyle w:val="Level4"/>
        <w:widowControl w:val="0"/>
        <w:tabs>
          <w:tab w:val="num" w:pos="1701"/>
        </w:tabs>
        <w:spacing w:after="120" w:line="276" w:lineRule="auto"/>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rsidR="006B3686" w:rsidRDefault="00CE2CA2">
      <w:pPr>
        <w:pStyle w:val="Level4"/>
        <w:widowControl w:val="0"/>
        <w:tabs>
          <w:tab w:val="num" w:pos="1701"/>
        </w:tabs>
        <w:spacing w:after="120" w:line="276" w:lineRule="auto"/>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6B3686" w:rsidRDefault="00CE2CA2">
      <w:pPr>
        <w:pStyle w:val="Level4"/>
        <w:widowControl w:val="0"/>
        <w:tabs>
          <w:tab w:val="num" w:pos="1701"/>
        </w:tabs>
        <w:spacing w:after="120" w:line="276" w:lineRule="auto"/>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rsidR="006B3686" w:rsidRDefault="00CE2CA2">
      <w:pPr>
        <w:pStyle w:val="Level4"/>
        <w:widowControl w:val="0"/>
        <w:tabs>
          <w:tab w:val="num" w:pos="1361"/>
        </w:tabs>
        <w:spacing w:after="120" w:line="276" w:lineRule="auto"/>
        <w:ind w:left="851" w:firstLine="0"/>
        <w:rPr>
          <w:sz w:val="22"/>
          <w:szCs w:val="22"/>
        </w:rPr>
      </w:pPr>
      <w:r>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rsidR="006B3686" w:rsidRDefault="00CE2CA2">
      <w:pPr>
        <w:pStyle w:val="Level4"/>
        <w:widowControl w:val="0"/>
        <w:tabs>
          <w:tab w:val="num" w:pos="1361"/>
        </w:tabs>
        <w:spacing w:after="120" w:line="276" w:lineRule="auto"/>
        <w:ind w:left="851" w:firstLine="0"/>
        <w:rPr>
          <w:sz w:val="22"/>
          <w:szCs w:val="22"/>
        </w:rPr>
      </w:pPr>
      <w:r>
        <w:rPr>
          <w:sz w:val="22"/>
          <w:szCs w:val="22"/>
        </w:rPr>
        <w:t>Abster-se de negociar valores mobiliários de sua emissão, até o envio da comunicação de encerramento da Oferta, salvo nas hipóteses previstas no inciso II do artigo 48 da Instrução CVM 400;</w:t>
      </w:r>
    </w:p>
    <w:p w:rsidR="006B3686" w:rsidRDefault="00CE2CA2">
      <w:pPr>
        <w:pStyle w:val="Level4"/>
        <w:widowControl w:val="0"/>
        <w:tabs>
          <w:tab w:val="num" w:pos="1361"/>
        </w:tabs>
        <w:spacing w:after="120" w:line="276" w:lineRule="auto"/>
        <w:ind w:left="851" w:firstLine="0"/>
        <w:rPr>
          <w:sz w:val="22"/>
          <w:szCs w:val="22"/>
        </w:rPr>
      </w:pPr>
      <w:r>
        <w:rPr>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rsidR="006B3686" w:rsidRDefault="00CE2CA2">
      <w:pPr>
        <w:pStyle w:val="Level4"/>
        <w:widowControl w:val="0"/>
        <w:tabs>
          <w:tab w:val="num" w:pos="1361"/>
        </w:tabs>
        <w:spacing w:after="120" w:line="276" w:lineRule="auto"/>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w:t>
      </w:r>
    </w:p>
    <w:p w:rsidR="006B3686" w:rsidRDefault="00CE2CA2">
      <w:pPr>
        <w:pStyle w:val="Level5"/>
        <w:widowControl w:val="0"/>
        <w:tabs>
          <w:tab w:val="clear" w:pos="2721"/>
          <w:tab w:val="num" w:pos="2041"/>
        </w:tabs>
        <w:spacing w:after="120" w:line="276" w:lineRule="auto"/>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rsidR="006B3686" w:rsidRDefault="00CE2CA2">
      <w:pPr>
        <w:pStyle w:val="Level5"/>
        <w:widowControl w:val="0"/>
        <w:tabs>
          <w:tab w:val="clear" w:pos="2721"/>
          <w:tab w:val="num" w:pos="2041"/>
        </w:tabs>
        <w:spacing w:after="120" w:line="276" w:lineRule="auto"/>
        <w:ind w:left="1985" w:firstLine="0"/>
        <w:rPr>
          <w:sz w:val="22"/>
          <w:szCs w:val="22"/>
        </w:rPr>
      </w:pPr>
      <w:r>
        <w:rPr>
          <w:sz w:val="22"/>
          <w:szCs w:val="22"/>
        </w:rPr>
        <w:t>submeter as Demonstrações Financeiras da Companhia relativas a cada exercício social a auditoria por auditor independente registrado na CVM;</w:t>
      </w:r>
    </w:p>
    <w:p w:rsidR="006B3686" w:rsidRDefault="00CE2CA2">
      <w:pPr>
        <w:pStyle w:val="Level5"/>
        <w:widowControl w:val="0"/>
        <w:tabs>
          <w:tab w:val="clear" w:pos="2721"/>
          <w:tab w:val="num" w:pos="2041"/>
        </w:tabs>
        <w:spacing w:after="120" w:line="276" w:lineRule="auto"/>
        <w:ind w:left="1985" w:firstLine="0"/>
        <w:rPr>
          <w:sz w:val="22"/>
          <w:szCs w:val="22"/>
        </w:rPr>
      </w:pPr>
      <w:bookmarkStart w:id="277" w:name="_Ref265248531"/>
      <w:r>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77"/>
    </w:p>
    <w:p w:rsidR="006B3686" w:rsidRDefault="00CE2CA2">
      <w:pPr>
        <w:pStyle w:val="Level5"/>
        <w:widowControl w:val="0"/>
        <w:tabs>
          <w:tab w:val="clear" w:pos="2721"/>
          <w:tab w:val="num" w:pos="2041"/>
        </w:tabs>
        <w:spacing w:after="120" w:line="276" w:lineRule="auto"/>
        <w:ind w:left="1985" w:firstLine="0"/>
        <w:rPr>
          <w:sz w:val="22"/>
          <w:szCs w:val="22"/>
        </w:rPr>
      </w:pPr>
      <w:bookmarkStart w:id="278" w:name="_Ref480232634"/>
      <w:r>
        <w:rPr>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278"/>
    </w:p>
    <w:p w:rsidR="006B3686" w:rsidRDefault="00CE2CA2">
      <w:pPr>
        <w:pStyle w:val="Level5"/>
        <w:widowControl w:val="0"/>
        <w:tabs>
          <w:tab w:val="clear" w:pos="2721"/>
          <w:tab w:val="num" w:pos="2041"/>
        </w:tabs>
        <w:spacing w:after="120" w:line="276" w:lineRule="auto"/>
        <w:ind w:left="1985" w:firstLine="0"/>
        <w:rPr>
          <w:sz w:val="22"/>
          <w:szCs w:val="22"/>
        </w:rPr>
      </w:pPr>
      <w:r>
        <w:rPr>
          <w:sz w:val="22"/>
          <w:szCs w:val="22"/>
        </w:rPr>
        <w:t>observar as disposições da Instrução CVM 358, no que se refere ao dever de sigilo e às vedações à negociação;</w:t>
      </w:r>
    </w:p>
    <w:p w:rsidR="006B3686" w:rsidRDefault="00CE2CA2">
      <w:pPr>
        <w:pStyle w:val="Level5"/>
        <w:widowControl w:val="0"/>
        <w:tabs>
          <w:tab w:val="clear" w:pos="2721"/>
          <w:tab w:val="num" w:pos="2041"/>
        </w:tabs>
        <w:spacing w:after="120" w:line="276" w:lineRule="auto"/>
        <w:ind w:left="1985" w:firstLine="0"/>
        <w:rPr>
          <w:sz w:val="22"/>
          <w:szCs w:val="22"/>
        </w:rPr>
      </w:pPr>
      <w:r>
        <w:rPr>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6B3686" w:rsidRDefault="00CE2CA2">
      <w:pPr>
        <w:pStyle w:val="Level5"/>
        <w:widowControl w:val="0"/>
        <w:tabs>
          <w:tab w:val="clear" w:pos="2721"/>
          <w:tab w:val="num" w:pos="2041"/>
        </w:tabs>
        <w:spacing w:after="120" w:line="276" w:lineRule="auto"/>
        <w:ind w:left="1985" w:firstLine="0"/>
        <w:rPr>
          <w:sz w:val="22"/>
          <w:szCs w:val="22"/>
        </w:rPr>
      </w:pPr>
      <w:r>
        <w:rPr>
          <w:sz w:val="22"/>
          <w:szCs w:val="22"/>
        </w:rPr>
        <w:t>fornecer todas as informações solicitadas pela CVM e pela B3; e</w:t>
      </w:r>
    </w:p>
    <w:p w:rsidR="006B3686" w:rsidRDefault="00CE2CA2">
      <w:pPr>
        <w:pStyle w:val="Level5"/>
        <w:widowControl w:val="0"/>
        <w:tabs>
          <w:tab w:val="clear" w:pos="2721"/>
          <w:tab w:val="num" w:pos="2041"/>
        </w:tabs>
        <w:spacing w:after="120" w:line="276" w:lineRule="auto"/>
        <w:ind w:left="1985" w:firstLine="0"/>
        <w:rPr>
          <w:sz w:val="22"/>
          <w:szCs w:val="22"/>
        </w:rPr>
      </w:pPr>
      <w:r>
        <w:rPr>
          <w:sz w:val="22"/>
          <w:szCs w:val="22"/>
        </w:rPr>
        <w:t>divulgar, em sua página na Internet, o relatório anual do Agente Fiduciário e demais comunicações enviadas pelo Agente Fiduciário na mesma data do seu recebimento, observado, ainda, o disposto na alínea </w:t>
      </w:r>
      <w:r>
        <w:rPr>
          <w:sz w:val="22"/>
          <w:szCs w:val="22"/>
        </w:rPr>
        <w:fldChar w:fldCharType="begin"/>
      </w:r>
      <w:r>
        <w:rPr>
          <w:sz w:val="22"/>
          <w:szCs w:val="22"/>
        </w:rPr>
        <w:instrText xml:space="preserve"> REF _Ref480232634 \n \p \h  \* MERGEFORMAT </w:instrText>
      </w:r>
      <w:r>
        <w:rPr>
          <w:sz w:val="22"/>
          <w:szCs w:val="22"/>
        </w:rPr>
      </w:r>
      <w:r>
        <w:rPr>
          <w:sz w:val="22"/>
          <w:szCs w:val="22"/>
        </w:rPr>
        <w:fldChar w:fldCharType="separate"/>
      </w:r>
      <w:r>
        <w:rPr>
          <w:sz w:val="22"/>
          <w:szCs w:val="22"/>
        </w:rPr>
        <w:t>(d) acima</w:t>
      </w:r>
      <w:r>
        <w:rPr>
          <w:sz w:val="22"/>
          <w:szCs w:val="22"/>
        </w:rPr>
        <w:fldChar w:fldCharType="end"/>
      </w:r>
      <w:r>
        <w:rPr>
          <w:sz w:val="22"/>
          <w:szCs w:val="22"/>
        </w:rPr>
        <w:t>.</w:t>
      </w:r>
    </w:p>
    <w:p w:rsidR="006B3686" w:rsidRDefault="00CE2CA2">
      <w:pPr>
        <w:pStyle w:val="Level1"/>
        <w:keepNext w:val="0"/>
        <w:keepLines w:val="0"/>
        <w:widowControl w:val="0"/>
        <w:spacing w:before="0" w:after="120" w:line="276" w:lineRule="auto"/>
        <w:ind w:left="0" w:firstLine="0"/>
        <w:rPr>
          <w:smallCaps/>
          <w:color w:val="auto"/>
        </w:rPr>
      </w:pPr>
      <w:bookmarkStart w:id="279" w:name="_Toc51602686"/>
      <w:r>
        <w:rPr>
          <w:smallCaps/>
          <w:color w:val="auto"/>
        </w:rPr>
        <w:t>AGENTE FIDUCIÁRIO</w:t>
      </w:r>
      <w:bookmarkEnd w:id="279"/>
    </w:p>
    <w:p w:rsidR="006B3686" w:rsidRDefault="00CE2CA2">
      <w:pPr>
        <w:pStyle w:val="Level2"/>
        <w:widowControl w:val="0"/>
        <w:spacing w:after="120" w:line="276" w:lineRule="auto"/>
        <w:ind w:left="0" w:firstLine="0"/>
        <w:rPr>
          <w:rFonts w:cs="Arial"/>
          <w:sz w:val="22"/>
          <w:szCs w:val="22"/>
        </w:rPr>
      </w:pPr>
      <w:bookmarkStart w:id="280" w:name="_Toc51602687"/>
      <w:r>
        <w:rPr>
          <w:rFonts w:cs="Arial"/>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280"/>
    </w:p>
    <w:p w:rsidR="006B3686" w:rsidRDefault="00CE2CA2">
      <w:pPr>
        <w:pStyle w:val="Level4"/>
        <w:widowControl w:val="0"/>
        <w:tabs>
          <w:tab w:val="num" w:pos="1361"/>
        </w:tabs>
        <w:spacing w:after="120" w:line="276" w:lineRule="auto"/>
        <w:ind w:left="0" w:firstLine="0"/>
        <w:rPr>
          <w:sz w:val="22"/>
          <w:szCs w:val="22"/>
        </w:rPr>
      </w:pPr>
      <w:proofErr w:type="spellStart"/>
      <w:r>
        <w:rPr>
          <w:sz w:val="22"/>
          <w:szCs w:val="22"/>
        </w:rPr>
        <w:t>é</w:t>
      </w:r>
      <w:proofErr w:type="spellEnd"/>
      <w:r>
        <w:rPr>
          <w:sz w:val="22"/>
          <w:szCs w:val="22"/>
        </w:rPr>
        <w:t xml:space="preserve"> instituição financeira devidamente organizada, constituída e existente sob a forma de sociedade por ações, de acordo com as leis brasileiras;</w:t>
      </w:r>
    </w:p>
    <w:p w:rsidR="006B3686" w:rsidRDefault="00CE2CA2">
      <w:pPr>
        <w:pStyle w:val="Level4"/>
        <w:widowControl w:val="0"/>
        <w:tabs>
          <w:tab w:val="num" w:pos="1361"/>
        </w:tabs>
        <w:spacing w:after="120" w:line="276" w:lineRule="auto"/>
        <w:ind w:left="0" w:firstLine="0"/>
        <w:rPr>
          <w:sz w:val="22"/>
          <w:szCs w:val="22"/>
        </w:rPr>
      </w:pPr>
      <w:r>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6B3686" w:rsidRDefault="00CE2CA2">
      <w:pPr>
        <w:pStyle w:val="Level4"/>
        <w:widowControl w:val="0"/>
        <w:tabs>
          <w:tab w:val="num" w:pos="1361"/>
        </w:tabs>
        <w:spacing w:after="120" w:line="276" w:lineRule="auto"/>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6B3686" w:rsidRDefault="00CE2CA2">
      <w:pPr>
        <w:pStyle w:val="Level4"/>
        <w:widowControl w:val="0"/>
        <w:tabs>
          <w:tab w:val="num" w:pos="1361"/>
        </w:tabs>
        <w:spacing w:after="120" w:line="276" w:lineRule="auto"/>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rsidR="006B3686" w:rsidRDefault="00CE2CA2">
      <w:pPr>
        <w:pStyle w:val="Level4"/>
        <w:widowControl w:val="0"/>
        <w:tabs>
          <w:tab w:val="num" w:pos="1361"/>
        </w:tabs>
        <w:spacing w:after="120" w:line="276" w:lineRule="auto"/>
        <w:ind w:left="0" w:firstLine="0"/>
        <w:rPr>
          <w:sz w:val="22"/>
          <w:szCs w:val="22"/>
        </w:rPr>
      </w:pPr>
      <w:r>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6B3686" w:rsidRDefault="00CE2CA2">
      <w:pPr>
        <w:pStyle w:val="Level4"/>
        <w:widowControl w:val="0"/>
        <w:tabs>
          <w:tab w:val="num" w:pos="1361"/>
        </w:tabs>
        <w:spacing w:after="120" w:line="276" w:lineRule="auto"/>
        <w:ind w:left="0" w:firstLine="0"/>
        <w:rPr>
          <w:sz w:val="22"/>
          <w:szCs w:val="22"/>
        </w:rPr>
      </w:pPr>
      <w:r>
        <w:rPr>
          <w:sz w:val="22"/>
          <w:szCs w:val="22"/>
        </w:rPr>
        <w:t>aceita a função para a qual foi nomeado, assumindo integralmente os deveres e atribuições previstos na legislação específica e nesta Escritura de Emissão;</w:t>
      </w:r>
    </w:p>
    <w:p w:rsidR="006B3686" w:rsidRDefault="00CE2CA2">
      <w:pPr>
        <w:pStyle w:val="Level4"/>
        <w:widowControl w:val="0"/>
        <w:tabs>
          <w:tab w:val="num" w:pos="1361"/>
        </w:tabs>
        <w:spacing w:after="120" w:line="276" w:lineRule="auto"/>
        <w:ind w:left="0" w:firstLine="0"/>
        <w:rPr>
          <w:sz w:val="22"/>
          <w:szCs w:val="22"/>
        </w:rPr>
      </w:pPr>
      <w:r>
        <w:rPr>
          <w:sz w:val="22"/>
          <w:szCs w:val="22"/>
        </w:rPr>
        <w:t>conhece e aceita integralmente esta Escritura de Emissão e todos os seus termos e condições;</w:t>
      </w:r>
    </w:p>
    <w:p w:rsidR="006B3686" w:rsidRDefault="00CE2CA2">
      <w:pPr>
        <w:pStyle w:val="Level4"/>
        <w:widowControl w:val="0"/>
        <w:tabs>
          <w:tab w:val="num" w:pos="1361"/>
        </w:tabs>
        <w:spacing w:after="120" w:line="276" w:lineRule="auto"/>
        <w:ind w:left="0" w:firstLine="0"/>
        <w:rPr>
          <w:sz w:val="22"/>
          <w:szCs w:val="22"/>
        </w:rPr>
      </w:pPr>
      <w:r>
        <w:rPr>
          <w:sz w:val="22"/>
          <w:szCs w:val="22"/>
        </w:rPr>
        <w:t xml:space="preserve">verificou a consistência das informações contidas </w:t>
      </w:r>
      <w:proofErr w:type="spellStart"/>
      <w:r>
        <w:rPr>
          <w:sz w:val="22"/>
          <w:szCs w:val="22"/>
        </w:rPr>
        <w:t>nesta</w:t>
      </w:r>
      <w:proofErr w:type="spellEnd"/>
      <w:r>
        <w:rPr>
          <w:sz w:val="22"/>
          <w:szCs w:val="22"/>
        </w:rPr>
        <w:t xml:space="preserve"> Escritura de Emissão, diligenciando no sentido de que sejam sanadas as omissões, falhas ou defeitos de que tenha conhecimento;</w:t>
      </w:r>
    </w:p>
    <w:p w:rsidR="006B3686" w:rsidRDefault="00CE2CA2">
      <w:pPr>
        <w:pStyle w:val="Level4"/>
        <w:widowControl w:val="0"/>
        <w:tabs>
          <w:tab w:val="num" w:pos="1361"/>
        </w:tabs>
        <w:spacing w:after="120" w:line="276" w:lineRule="auto"/>
        <w:ind w:left="0" w:firstLine="0"/>
        <w:rPr>
          <w:sz w:val="22"/>
          <w:szCs w:val="22"/>
        </w:rPr>
      </w:pPr>
      <w:r>
        <w:rPr>
          <w:sz w:val="22"/>
          <w:szCs w:val="22"/>
        </w:rPr>
        <w:t>está ciente da regulamentação aplicável emanada do Banco Central do Brasil e da CVM;</w:t>
      </w:r>
    </w:p>
    <w:p w:rsidR="006B3686" w:rsidRDefault="00CE2CA2">
      <w:pPr>
        <w:pStyle w:val="Level4"/>
        <w:widowControl w:val="0"/>
        <w:tabs>
          <w:tab w:val="num" w:pos="1361"/>
        </w:tabs>
        <w:spacing w:after="120" w:line="276" w:lineRule="auto"/>
        <w:ind w:left="0" w:firstLine="0"/>
        <w:rPr>
          <w:sz w:val="22"/>
          <w:szCs w:val="22"/>
        </w:rPr>
      </w:pPr>
      <w:r>
        <w:rPr>
          <w:sz w:val="22"/>
          <w:szCs w:val="22"/>
        </w:rPr>
        <w:t>não tem, sob as penas de lei, qualquer impedimento legal, conforme o artigo 66, parágrafo 3º, da Lei das Sociedades por Ações, a Instrução CVM 583 e demais normas aplicáveis, para exercer a função que lhe é conferida;</w:t>
      </w:r>
    </w:p>
    <w:p w:rsidR="006B3686" w:rsidRDefault="00CE2CA2">
      <w:pPr>
        <w:pStyle w:val="Level4"/>
        <w:widowControl w:val="0"/>
        <w:tabs>
          <w:tab w:val="num" w:pos="1361"/>
        </w:tabs>
        <w:spacing w:after="120" w:line="276" w:lineRule="auto"/>
        <w:ind w:left="0" w:firstLine="0"/>
        <w:rPr>
          <w:sz w:val="22"/>
          <w:szCs w:val="22"/>
        </w:rPr>
      </w:pPr>
      <w:r>
        <w:rPr>
          <w:sz w:val="22"/>
          <w:szCs w:val="22"/>
        </w:rPr>
        <w:t>não se encontra em nenhuma das situações de conflito de interesse previstas no artigo 6º da Instrução CVM 583;</w:t>
      </w:r>
    </w:p>
    <w:p w:rsidR="006B3686" w:rsidRDefault="00CE2CA2">
      <w:pPr>
        <w:pStyle w:val="Level4"/>
        <w:widowControl w:val="0"/>
        <w:tabs>
          <w:tab w:val="num" w:pos="1361"/>
        </w:tabs>
        <w:spacing w:after="120" w:line="276" w:lineRule="auto"/>
        <w:ind w:left="0" w:firstLine="0"/>
        <w:rPr>
          <w:sz w:val="22"/>
          <w:szCs w:val="22"/>
        </w:rPr>
      </w:pPr>
      <w:r>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6B3686" w:rsidRDefault="00CE2CA2">
      <w:pPr>
        <w:pStyle w:val="Level4"/>
        <w:widowControl w:val="0"/>
        <w:tabs>
          <w:tab w:val="num" w:pos="1361"/>
        </w:tabs>
        <w:spacing w:after="120" w:line="276" w:lineRule="auto"/>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do artigo 6º da Instrução CVM 583, </w:t>
      </w:r>
      <w:r>
        <w:rPr>
          <w:sz w:val="22"/>
          <w:szCs w:val="22"/>
        </w:rPr>
        <w:t>que não presta serviços de agente fiduciário e/ou de agente de notas em emissões de valores mobiliários da Companhia, de sociedade coligada, controlada, controladora ou integrante do mesmo grupo econômico da Companhia.</w:t>
      </w:r>
    </w:p>
    <w:p w:rsidR="006B3686" w:rsidRDefault="00CE2CA2">
      <w:pPr>
        <w:pStyle w:val="Level2"/>
        <w:keepNext/>
        <w:keepLines/>
        <w:widowControl w:val="0"/>
        <w:spacing w:after="120" w:line="276" w:lineRule="auto"/>
        <w:ind w:left="0" w:firstLine="0"/>
        <w:rPr>
          <w:rFonts w:cs="Arial"/>
          <w:sz w:val="22"/>
          <w:szCs w:val="22"/>
        </w:rPr>
      </w:pPr>
      <w:bookmarkStart w:id="281" w:name="_Toc51602688"/>
      <w:r>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81"/>
    </w:p>
    <w:p w:rsidR="006B3686" w:rsidRDefault="00CE2CA2">
      <w:pPr>
        <w:pStyle w:val="Level2"/>
        <w:widowControl w:val="0"/>
        <w:spacing w:after="120" w:line="276" w:lineRule="auto"/>
        <w:ind w:left="0" w:firstLine="0"/>
        <w:rPr>
          <w:rFonts w:cs="Arial"/>
          <w:sz w:val="22"/>
          <w:szCs w:val="22"/>
        </w:rPr>
      </w:pPr>
      <w:bookmarkStart w:id="282" w:name="_Ref528593743"/>
      <w:bookmarkStart w:id="283" w:name="_Toc51602689"/>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82"/>
      <w:bookmarkEnd w:id="283"/>
    </w:p>
    <w:p w:rsidR="006B3686" w:rsidRDefault="00CE2CA2">
      <w:pPr>
        <w:pStyle w:val="Level4"/>
        <w:widowControl w:val="0"/>
        <w:tabs>
          <w:tab w:val="num" w:pos="1361"/>
        </w:tabs>
        <w:spacing w:after="120" w:line="276" w:lineRule="auto"/>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especialmente convocada para esse fim;</w:t>
      </w:r>
    </w:p>
    <w:p w:rsidR="006B3686" w:rsidRDefault="00CE2CA2">
      <w:pPr>
        <w:pStyle w:val="Level4"/>
        <w:widowControl w:val="0"/>
        <w:tabs>
          <w:tab w:val="num" w:pos="1361"/>
        </w:tabs>
        <w:spacing w:after="120" w:line="276" w:lineRule="auto"/>
        <w:ind w:left="0" w:firstLine="0"/>
        <w:rPr>
          <w:sz w:val="22"/>
          <w:szCs w:val="22"/>
        </w:rPr>
      </w:pPr>
      <w:r>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6B3686" w:rsidRDefault="00CE2CA2">
      <w:pPr>
        <w:pStyle w:val="Level4"/>
        <w:widowControl w:val="0"/>
        <w:tabs>
          <w:tab w:val="num" w:pos="1361"/>
        </w:tabs>
        <w:spacing w:after="120" w:line="276" w:lineRule="auto"/>
        <w:ind w:left="0" w:firstLine="0"/>
        <w:rPr>
          <w:sz w:val="22"/>
          <w:szCs w:val="22"/>
        </w:rPr>
      </w:pPr>
      <w:r>
        <w:rPr>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Pr>
          <w:sz w:val="22"/>
          <w:szCs w:val="22"/>
        </w:rPr>
        <w:t>assuma</w:t>
      </w:r>
      <w:proofErr w:type="spellEnd"/>
      <w:r>
        <w:rPr>
          <w:sz w:val="22"/>
          <w:szCs w:val="22"/>
        </w:rPr>
        <w:t xml:space="preserve"> efetivamente as suas funções;</w:t>
      </w:r>
    </w:p>
    <w:p w:rsidR="006B3686" w:rsidRDefault="00CE2CA2">
      <w:pPr>
        <w:pStyle w:val="Level4"/>
        <w:widowControl w:val="0"/>
        <w:tabs>
          <w:tab w:val="num" w:pos="1361"/>
        </w:tabs>
        <w:spacing w:after="120" w:line="276" w:lineRule="auto"/>
        <w:ind w:left="0" w:firstLine="0"/>
        <w:rPr>
          <w:sz w:val="22"/>
          <w:szCs w:val="22"/>
        </w:rPr>
      </w:pPr>
      <w:bookmarkStart w:id="284" w:name="_Ref130285900"/>
      <w:r>
        <w:rPr>
          <w:sz w:val="22"/>
          <w:szCs w:val="22"/>
        </w:rPr>
        <w:t xml:space="preserve">será realizada, no prazo máximo de 30 (trinta) dias contados da data do evento que a determinar conforme a Clausula </w:t>
      </w:r>
      <w:r>
        <w:rPr>
          <w:sz w:val="22"/>
          <w:szCs w:val="22"/>
        </w:rPr>
        <w:fldChar w:fldCharType="begin"/>
      </w:r>
      <w:r>
        <w:rPr>
          <w:sz w:val="22"/>
          <w:szCs w:val="22"/>
        </w:rPr>
        <w:instrText xml:space="preserve"> REF _Ref528593743 \r \h  \* MERGEFORMAT </w:instrText>
      </w:r>
      <w:r>
        <w:rPr>
          <w:sz w:val="22"/>
          <w:szCs w:val="22"/>
        </w:rPr>
      </w:r>
      <w:r>
        <w:rPr>
          <w:sz w:val="22"/>
          <w:szCs w:val="22"/>
        </w:rPr>
        <w:fldChar w:fldCharType="separate"/>
      </w:r>
      <w:r>
        <w:rPr>
          <w:sz w:val="22"/>
          <w:szCs w:val="22"/>
        </w:rPr>
        <w:t>10.3</w:t>
      </w:r>
      <w:r>
        <w:rPr>
          <w:sz w:val="22"/>
          <w:szCs w:val="22"/>
        </w:rPr>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84"/>
    </w:p>
    <w:p w:rsidR="006B3686" w:rsidRDefault="00CE2CA2">
      <w:pPr>
        <w:pStyle w:val="Level4"/>
        <w:widowControl w:val="0"/>
        <w:tabs>
          <w:tab w:val="num" w:pos="1361"/>
        </w:tabs>
        <w:spacing w:after="120" w:line="276" w:lineRule="auto"/>
        <w:ind w:left="0" w:firstLine="0"/>
        <w:rPr>
          <w:sz w:val="22"/>
          <w:szCs w:val="22"/>
        </w:rPr>
      </w:pPr>
      <w:r>
        <w:rPr>
          <w:sz w:val="22"/>
          <w:szCs w:val="22"/>
        </w:rPr>
        <w:t>a substituição do Agente Fiduciário deverá ser comunicada à CVM no prazo de até 7 (sete) Dias Úteis contados da data de inscrição do aditamento a esta Escritura de Emissão nos termos da Cláusula </w:t>
      </w:r>
      <w:r>
        <w:rPr>
          <w:sz w:val="22"/>
          <w:szCs w:val="22"/>
        </w:rPr>
        <w:fldChar w:fldCharType="begin"/>
      </w:r>
      <w:r>
        <w:rPr>
          <w:sz w:val="22"/>
          <w:szCs w:val="22"/>
        </w:rPr>
        <w:instrText xml:space="preserve"> REF _Ref528689374 \r \h  \* MERGEFORMAT </w:instrText>
      </w:r>
      <w:r>
        <w:rPr>
          <w:sz w:val="22"/>
          <w:szCs w:val="22"/>
        </w:rPr>
      </w:r>
      <w:r>
        <w:rPr>
          <w:sz w:val="22"/>
          <w:szCs w:val="22"/>
        </w:rPr>
        <w:fldChar w:fldCharType="separate"/>
      </w:r>
      <w:r>
        <w:rPr>
          <w:sz w:val="22"/>
          <w:szCs w:val="22"/>
        </w:rPr>
        <w:t>3.2</w:t>
      </w:r>
      <w:r>
        <w:rPr>
          <w:sz w:val="22"/>
          <w:szCs w:val="22"/>
        </w:rPr>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rsidR="006B3686" w:rsidRDefault="00CE2CA2">
      <w:pPr>
        <w:pStyle w:val="Level4"/>
        <w:widowControl w:val="0"/>
        <w:tabs>
          <w:tab w:val="num" w:pos="1361"/>
        </w:tabs>
        <w:spacing w:after="120" w:line="276" w:lineRule="auto"/>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10.</w:t>
      </w:r>
      <w:proofErr w:type="gramStart"/>
      <w:r>
        <w:rPr>
          <w:sz w:val="22"/>
          <w:szCs w:val="22"/>
        </w:rPr>
        <w:t>4.(</w:t>
      </w:r>
      <w:proofErr w:type="gramEnd"/>
      <w:r>
        <w:rPr>
          <w:sz w:val="22"/>
          <w:szCs w:val="22"/>
        </w:rPr>
        <w:t>i).(g) abaixo;</w:t>
      </w:r>
    </w:p>
    <w:p w:rsidR="006B3686" w:rsidRDefault="00CE2CA2">
      <w:pPr>
        <w:pStyle w:val="Level4"/>
        <w:widowControl w:val="0"/>
        <w:tabs>
          <w:tab w:val="num" w:pos="1361"/>
        </w:tabs>
        <w:spacing w:after="120" w:line="276" w:lineRule="auto"/>
        <w:ind w:left="0" w:firstLine="0"/>
        <w:rPr>
          <w:sz w:val="22"/>
          <w:szCs w:val="22"/>
        </w:rPr>
      </w:pPr>
      <w:r>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rPr>
          <w:sz w:val="22"/>
          <w:szCs w:val="22"/>
        </w:rPr>
        <w:fldChar w:fldCharType="begin"/>
      </w:r>
      <w:r>
        <w:rPr>
          <w:sz w:val="22"/>
          <w:szCs w:val="22"/>
        </w:rPr>
        <w:instrText xml:space="preserve"> REF _Ref130285900 \r \p \h  \* MERGEFORMAT </w:instrText>
      </w:r>
      <w:r>
        <w:rPr>
          <w:sz w:val="22"/>
          <w:szCs w:val="22"/>
        </w:rPr>
      </w:r>
      <w:r>
        <w:rPr>
          <w:sz w:val="22"/>
          <w:szCs w:val="22"/>
        </w:rPr>
        <w:fldChar w:fldCharType="separate"/>
      </w:r>
      <w:r>
        <w:rPr>
          <w:sz w:val="22"/>
          <w:szCs w:val="22"/>
        </w:rPr>
        <w:t>(iv) acima</w:t>
      </w:r>
      <w:r>
        <w:rPr>
          <w:sz w:val="22"/>
          <w:szCs w:val="22"/>
        </w:rPr>
        <w:fldChar w:fldCharType="end"/>
      </w:r>
      <w:r>
        <w:rPr>
          <w:sz w:val="22"/>
          <w:szCs w:val="22"/>
        </w:rPr>
        <w:t>; ou (b) a assembleia geral de Debenturistas a que se refere o inciso </w:t>
      </w:r>
      <w:r>
        <w:rPr>
          <w:sz w:val="22"/>
          <w:szCs w:val="22"/>
        </w:rPr>
        <w:fldChar w:fldCharType="begin"/>
      </w:r>
      <w:r>
        <w:rPr>
          <w:sz w:val="22"/>
          <w:szCs w:val="22"/>
        </w:rPr>
        <w:instrText xml:space="preserve"> REF _Ref130285900 \r \p \h  \* MERGEFORMAT </w:instrText>
      </w:r>
      <w:r>
        <w:rPr>
          <w:sz w:val="22"/>
          <w:szCs w:val="22"/>
        </w:rPr>
      </w:r>
      <w:r>
        <w:rPr>
          <w:sz w:val="22"/>
          <w:szCs w:val="22"/>
        </w:rPr>
        <w:fldChar w:fldCharType="separate"/>
      </w:r>
      <w:r>
        <w:rPr>
          <w:sz w:val="22"/>
          <w:szCs w:val="22"/>
        </w:rPr>
        <w:t>(iv) acima</w:t>
      </w:r>
      <w:r>
        <w:rPr>
          <w:sz w:val="22"/>
          <w:szCs w:val="22"/>
        </w:rPr>
        <w:fldChar w:fldCharType="end"/>
      </w:r>
      <w:r>
        <w:rPr>
          <w:sz w:val="22"/>
          <w:szCs w:val="22"/>
        </w:rPr>
        <w:t xml:space="preserve"> não delibere sobre a matéria;</w:t>
      </w:r>
    </w:p>
    <w:p w:rsidR="006B3686" w:rsidRDefault="00CE2CA2">
      <w:pPr>
        <w:pStyle w:val="Level4"/>
        <w:widowControl w:val="0"/>
        <w:tabs>
          <w:tab w:val="num" w:pos="1361"/>
        </w:tabs>
        <w:spacing w:after="120" w:line="276" w:lineRule="auto"/>
        <w:ind w:left="0" w:firstLine="0"/>
        <w:rPr>
          <w:sz w:val="22"/>
          <w:szCs w:val="22"/>
        </w:rPr>
      </w:pPr>
      <w:r>
        <w:rPr>
          <w:sz w:val="22"/>
          <w:szCs w:val="22"/>
        </w:rPr>
        <w:t>caso a CVM nomeie substituto provisório, o agente fiduciário substituto deverá, imediatamente após sua nomeação, comunicá-la à Companhia e aos Debenturistas nos termos das Cláusulas </w:t>
      </w:r>
      <w:r>
        <w:rPr>
          <w:sz w:val="22"/>
          <w:szCs w:val="22"/>
        </w:rPr>
        <w:fldChar w:fldCharType="begin"/>
      </w:r>
      <w:r>
        <w:rPr>
          <w:sz w:val="22"/>
          <w:szCs w:val="22"/>
        </w:rPr>
        <w:instrText xml:space="preserve"> REF _Ref130286395 \r \h  \* MERGEFORMAT </w:instrText>
      </w:r>
      <w:r>
        <w:rPr>
          <w:sz w:val="22"/>
          <w:szCs w:val="22"/>
        </w:rPr>
      </w:r>
      <w:r>
        <w:rPr>
          <w:sz w:val="22"/>
          <w:szCs w:val="22"/>
        </w:rPr>
        <w:fldChar w:fldCharType="separate"/>
      </w:r>
      <w:r>
        <w:rPr>
          <w:sz w:val="22"/>
          <w:szCs w:val="22"/>
        </w:rPr>
        <w:t>7.24</w:t>
      </w:r>
      <w:r>
        <w:rPr>
          <w:sz w:val="22"/>
          <w:szCs w:val="22"/>
        </w:rPr>
        <w:fldChar w:fldCharType="end"/>
      </w:r>
      <w:r>
        <w:rPr>
          <w:sz w:val="22"/>
          <w:szCs w:val="22"/>
        </w:rPr>
        <w:t xml:space="preserve"> e </w:t>
      </w:r>
      <w:r>
        <w:rPr>
          <w:sz w:val="22"/>
          <w:szCs w:val="22"/>
        </w:rPr>
        <w:fldChar w:fldCharType="begin"/>
      </w:r>
      <w:r>
        <w:rPr>
          <w:sz w:val="22"/>
          <w:szCs w:val="22"/>
        </w:rPr>
        <w:instrText xml:space="preserve"> REF _Ref384312323 \n \p \h  \* MERGEFORMAT </w:instrText>
      </w:r>
      <w:r>
        <w:rPr>
          <w:sz w:val="22"/>
          <w:szCs w:val="22"/>
        </w:rPr>
      </w:r>
      <w:r>
        <w:rPr>
          <w:sz w:val="22"/>
          <w:szCs w:val="22"/>
        </w:rPr>
        <w:fldChar w:fldCharType="separate"/>
      </w:r>
      <w:r>
        <w:rPr>
          <w:sz w:val="22"/>
          <w:szCs w:val="22"/>
        </w:rPr>
        <w:t>14 abaixo</w:t>
      </w:r>
      <w:r>
        <w:rPr>
          <w:sz w:val="22"/>
          <w:szCs w:val="22"/>
        </w:rPr>
        <w:fldChar w:fldCharType="end"/>
      </w:r>
      <w:r>
        <w:rPr>
          <w:sz w:val="22"/>
          <w:szCs w:val="22"/>
        </w:rPr>
        <w:t>; e</w:t>
      </w:r>
    </w:p>
    <w:p w:rsidR="006B3686" w:rsidRDefault="00CE2CA2">
      <w:pPr>
        <w:pStyle w:val="Level4"/>
        <w:widowControl w:val="0"/>
        <w:tabs>
          <w:tab w:val="num" w:pos="1361"/>
        </w:tabs>
        <w:spacing w:after="120" w:line="276" w:lineRule="auto"/>
        <w:ind w:left="0" w:firstLine="0"/>
        <w:rPr>
          <w:sz w:val="22"/>
          <w:szCs w:val="22"/>
        </w:rPr>
      </w:pPr>
      <w:r>
        <w:rPr>
          <w:sz w:val="22"/>
          <w:szCs w:val="22"/>
        </w:rPr>
        <w:t>aplicam-se às hipóteses de substituição do Agente Fiduciário as normas e preceitos emanados da CVM.</w:t>
      </w:r>
    </w:p>
    <w:p w:rsidR="006B3686" w:rsidRDefault="00CE2CA2">
      <w:pPr>
        <w:pStyle w:val="Level2"/>
        <w:widowControl w:val="0"/>
        <w:spacing w:after="120" w:line="276" w:lineRule="auto"/>
        <w:ind w:left="0" w:firstLine="0"/>
        <w:rPr>
          <w:rFonts w:cs="Arial"/>
          <w:sz w:val="22"/>
          <w:szCs w:val="22"/>
        </w:rPr>
      </w:pPr>
      <w:bookmarkStart w:id="285" w:name="_Ref130284025"/>
      <w:bookmarkStart w:id="286" w:name="_Toc51602690"/>
      <w:r>
        <w:rPr>
          <w:rFonts w:cs="Arial"/>
          <w:sz w:val="22"/>
          <w:szCs w:val="22"/>
        </w:rPr>
        <w:t>Pelo desempenho dos deveres e atribuições que lhe competem, nos termos da lei e desta Escritura de Emissão, o Agente Fiduciário, ou a instituição que vier a substituí-lo nessa qualidade:</w:t>
      </w:r>
      <w:bookmarkEnd w:id="285"/>
      <w:bookmarkEnd w:id="286"/>
    </w:p>
    <w:p w:rsidR="006B3686" w:rsidRDefault="00CE2CA2">
      <w:pPr>
        <w:pStyle w:val="Level4"/>
        <w:widowControl w:val="0"/>
        <w:tabs>
          <w:tab w:val="left" w:pos="567"/>
          <w:tab w:val="num" w:pos="1361"/>
        </w:tabs>
        <w:spacing w:after="120" w:line="276" w:lineRule="auto"/>
        <w:ind w:left="0" w:firstLine="0"/>
        <w:rPr>
          <w:sz w:val="22"/>
          <w:szCs w:val="22"/>
        </w:rPr>
      </w:pPr>
      <w:bookmarkStart w:id="287" w:name="_Ref264564354"/>
      <w:bookmarkStart w:id="288" w:name="_Ref130286973"/>
      <w:r>
        <w:rPr>
          <w:sz w:val="22"/>
          <w:szCs w:val="22"/>
        </w:rPr>
        <w:t xml:space="preserve">receberá uma remuneração: </w:t>
      </w:r>
    </w:p>
    <w:p w:rsidR="006B3686" w:rsidRDefault="00CE2CA2">
      <w:pPr>
        <w:pStyle w:val="Level5"/>
        <w:widowControl w:val="0"/>
        <w:tabs>
          <w:tab w:val="clear" w:pos="2721"/>
          <w:tab w:val="left" w:pos="851"/>
          <w:tab w:val="num" w:pos="2041"/>
        </w:tabs>
        <w:spacing w:after="120" w:line="276" w:lineRule="auto"/>
        <w:ind w:left="284" w:firstLine="0"/>
        <w:rPr>
          <w:sz w:val="22"/>
          <w:szCs w:val="22"/>
        </w:rPr>
      </w:pPr>
      <w:bookmarkStart w:id="289" w:name="_Ref528596378"/>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89"/>
    </w:p>
    <w:p w:rsidR="006B3686" w:rsidRDefault="00CE2CA2">
      <w:pPr>
        <w:pStyle w:val="Level5"/>
        <w:widowControl w:val="0"/>
        <w:tabs>
          <w:tab w:val="clear" w:pos="2721"/>
          <w:tab w:val="left" w:pos="851"/>
          <w:tab w:val="num" w:pos="2041"/>
        </w:tabs>
        <w:spacing w:after="120" w:line="276" w:lineRule="auto"/>
        <w:ind w:left="284" w:firstLine="0"/>
        <w:rPr>
          <w:sz w:val="22"/>
          <w:szCs w:val="22"/>
        </w:rPr>
      </w:pPr>
      <w:r>
        <w:rPr>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w:t>
      </w:r>
      <w:proofErr w:type="spellStart"/>
      <w:r>
        <w:rPr>
          <w:sz w:val="22"/>
          <w:szCs w:val="22"/>
        </w:rPr>
        <w:t>vii</w:t>
      </w:r>
      <w:proofErr w:type="spellEnd"/>
      <w:r>
        <w:rPr>
          <w:sz w:val="22"/>
          <w:szCs w:val="22"/>
        </w:rPr>
        <w:t>” acima; (b.9) Celebração de novos instrumentos no âmbito da Emissão, após a integralização da mesma; (b.10) Horas externas ao escritório da Companhia; (b.11) Reestruturação das condições estabelecidas na Emissão após a integralização da Emissão.</w:t>
      </w:r>
    </w:p>
    <w:p w:rsidR="006B3686" w:rsidRDefault="00CE2CA2">
      <w:pPr>
        <w:pStyle w:val="Level5"/>
        <w:widowControl w:val="0"/>
        <w:tabs>
          <w:tab w:val="clear" w:pos="2721"/>
          <w:tab w:val="left" w:pos="851"/>
          <w:tab w:val="num" w:pos="2041"/>
        </w:tabs>
        <w:spacing w:after="120" w:line="276" w:lineRule="auto"/>
        <w:ind w:left="284" w:firstLine="0"/>
        <w:rPr>
          <w:sz w:val="22"/>
          <w:szCs w:val="22"/>
        </w:rPr>
      </w:pPr>
      <w:bookmarkStart w:id="290" w:name="_Ref264707931"/>
      <w:bookmarkStart w:id="291" w:name="_Ref274576365"/>
      <w:bookmarkEnd w:id="287"/>
      <w:r>
        <w:rPr>
          <w:sz w:val="22"/>
          <w:szCs w:val="22"/>
        </w:rPr>
        <w:t xml:space="preserve">a remuneração prevista no item </w:t>
      </w:r>
      <w:r>
        <w:rPr>
          <w:sz w:val="22"/>
          <w:szCs w:val="22"/>
        </w:rPr>
        <w:fldChar w:fldCharType="begin"/>
      </w:r>
      <w:r>
        <w:rPr>
          <w:sz w:val="22"/>
          <w:szCs w:val="22"/>
        </w:rPr>
        <w:instrText xml:space="preserve"> REF _Ref528596378 \r \h  \* MERGEFORMAT </w:instrText>
      </w:r>
      <w:r>
        <w:rPr>
          <w:sz w:val="22"/>
          <w:szCs w:val="22"/>
        </w:rPr>
      </w:r>
      <w:r>
        <w:rPr>
          <w:sz w:val="22"/>
          <w:szCs w:val="22"/>
        </w:rPr>
        <w:fldChar w:fldCharType="separate"/>
      </w:r>
      <w:r>
        <w:rPr>
          <w:sz w:val="22"/>
          <w:szCs w:val="22"/>
        </w:rPr>
        <w:t>(a)</w:t>
      </w:r>
      <w:r>
        <w:rPr>
          <w:sz w:val="22"/>
          <w:szCs w:val="22"/>
        </w:rPr>
        <w:fldChar w:fldCharType="end"/>
      </w:r>
      <w:r>
        <w:rPr>
          <w:sz w:val="22"/>
          <w:szCs w:val="22"/>
        </w:rPr>
        <w:t xml:space="preserve"> acima será reajustada anualmente, desde a data de pagamento da primeira parcela, pela variação positiva acumulada do IPCA ou do índice que eventualmente o substitua, calculada </w:t>
      </w:r>
      <w:r>
        <w:rPr>
          <w:i/>
          <w:sz w:val="22"/>
          <w:szCs w:val="22"/>
        </w:rPr>
        <w:t>pro rata temporis</w:t>
      </w:r>
      <w:r>
        <w:rPr>
          <w:sz w:val="22"/>
          <w:szCs w:val="22"/>
        </w:rPr>
        <w:t>, se necessário;</w:t>
      </w:r>
      <w:bookmarkEnd w:id="290"/>
    </w:p>
    <w:p w:rsidR="006B3686" w:rsidRDefault="00CE2CA2">
      <w:pPr>
        <w:pStyle w:val="Level5"/>
        <w:widowControl w:val="0"/>
        <w:tabs>
          <w:tab w:val="clear" w:pos="2721"/>
          <w:tab w:val="left" w:pos="851"/>
          <w:tab w:val="num" w:pos="2041"/>
        </w:tabs>
        <w:spacing w:after="120" w:line="276" w:lineRule="auto"/>
        <w:ind w:left="284" w:firstLine="0"/>
        <w:rPr>
          <w:sz w:val="22"/>
          <w:szCs w:val="22"/>
        </w:rPr>
      </w:pPr>
      <w:bookmarkStart w:id="292" w:name="_Ref289701353"/>
      <w:bookmarkEnd w:id="291"/>
      <w:r>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292"/>
    </w:p>
    <w:p w:rsidR="006B3686" w:rsidRDefault="00CE2CA2">
      <w:pPr>
        <w:pStyle w:val="Level5"/>
        <w:widowControl w:val="0"/>
        <w:tabs>
          <w:tab w:val="clear" w:pos="2721"/>
          <w:tab w:val="left" w:pos="851"/>
          <w:tab w:val="num" w:pos="2041"/>
        </w:tabs>
        <w:spacing w:after="120" w:line="276" w:lineRule="auto"/>
        <w:ind w:left="284" w:firstLine="0"/>
        <w:rPr>
          <w:sz w:val="22"/>
          <w:szCs w:val="22"/>
        </w:rPr>
      </w:pPr>
      <w:bookmarkStart w:id="293" w:name="_Ref528596388"/>
      <w:r>
        <w:rPr>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Pr>
          <w:sz w:val="22"/>
          <w:szCs w:val="22"/>
        </w:rPr>
        <w:fldChar w:fldCharType="begin"/>
      </w:r>
      <w:r>
        <w:rPr>
          <w:sz w:val="22"/>
          <w:szCs w:val="22"/>
        </w:rPr>
        <w:instrText xml:space="preserve"> REF _Ref274576365 \r \p \h  \* MERGEFORMAT </w:instrText>
      </w:r>
      <w:r>
        <w:rPr>
          <w:sz w:val="22"/>
          <w:szCs w:val="22"/>
        </w:rPr>
      </w:r>
      <w:r>
        <w:rPr>
          <w:sz w:val="22"/>
          <w:szCs w:val="22"/>
        </w:rPr>
        <w:fldChar w:fldCharType="separate"/>
      </w:r>
      <w:r>
        <w:rPr>
          <w:sz w:val="22"/>
          <w:szCs w:val="22"/>
        </w:rPr>
        <w:t>(c) acima</w:t>
      </w:r>
      <w:r>
        <w:rPr>
          <w:sz w:val="22"/>
          <w:szCs w:val="22"/>
        </w:rPr>
        <w:fldChar w:fldCharType="end"/>
      </w:r>
      <w:r>
        <w:rPr>
          <w:sz w:val="22"/>
          <w:szCs w:val="22"/>
        </w:rPr>
        <w:t>, reajustado conforme a alínea </w:t>
      </w:r>
      <w:r>
        <w:rPr>
          <w:sz w:val="22"/>
          <w:szCs w:val="22"/>
        </w:rPr>
        <w:fldChar w:fldCharType="begin"/>
      </w:r>
      <w:r>
        <w:rPr>
          <w:sz w:val="22"/>
          <w:szCs w:val="22"/>
        </w:rPr>
        <w:instrText xml:space="preserve"> REF _Ref264707931 \n \p \h  \* MERGEFORMAT </w:instrText>
      </w:r>
      <w:r>
        <w:rPr>
          <w:sz w:val="22"/>
          <w:szCs w:val="22"/>
        </w:rPr>
      </w:r>
      <w:r>
        <w:rPr>
          <w:sz w:val="22"/>
          <w:szCs w:val="22"/>
        </w:rPr>
        <w:fldChar w:fldCharType="separate"/>
      </w:r>
      <w:r>
        <w:rPr>
          <w:bCs/>
          <w:sz w:val="22"/>
          <w:szCs w:val="22"/>
        </w:rPr>
        <w:t>(c) acima</w:t>
      </w:r>
      <w:r>
        <w:rPr>
          <w:sz w:val="22"/>
          <w:szCs w:val="22"/>
        </w:rPr>
        <w:fldChar w:fldCharType="end"/>
      </w:r>
      <w:r>
        <w:rPr>
          <w:sz w:val="22"/>
          <w:szCs w:val="22"/>
        </w:rPr>
        <w:t>;</w:t>
      </w:r>
      <w:bookmarkEnd w:id="293"/>
    </w:p>
    <w:p w:rsidR="006B3686" w:rsidRDefault="00CE2CA2">
      <w:pPr>
        <w:pStyle w:val="Level5"/>
        <w:widowControl w:val="0"/>
        <w:tabs>
          <w:tab w:val="clear" w:pos="2721"/>
          <w:tab w:val="left" w:pos="851"/>
          <w:tab w:val="num" w:pos="2041"/>
        </w:tabs>
        <w:spacing w:after="120" w:line="276" w:lineRule="auto"/>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pro rata temporis</w:t>
      </w:r>
      <w:r>
        <w:rPr>
          <w:sz w:val="22"/>
          <w:szCs w:val="22"/>
        </w:rPr>
        <w:t xml:space="preserve">, desde a data de inadimplemento até a data do efetivo pagamento; (ii) multa moratória, irredutível e de natureza não compensatória, de 2% (dois por cento); e (iii) atualização monetária pelo IPCA, calculada </w:t>
      </w:r>
      <w:r>
        <w:rPr>
          <w:i/>
          <w:sz w:val="22"/>
          <w:szCs w:val="22"/>
        </w:rPr>
        <w:t>pro rata temporis</w:t>
      </w:r>
      <w:r>
        <w:rPr>
          <w:sz w:val="22"/>
          <w:szCs w:val="22"/>
        </w:rPr>
        <w:t>, desde a data de inadimplemento até a data do efetivo pagamento;</w:t>
      </w:r>
    </w:p>
    <w:p w:rsidR="006B3686" w:rsidRDefault="00CE2CA2">
      <w:pPr>
        <w:pStyle w:val="Level5"/>
        <w:widowControl w:val="0"/>
        <w:tabs>
          <w:tab w:val="clear" w:pos="2721"/>
          <w:tab w:val="left" w:pos="851"/>
          <w:tab w:val="num" w:pos="2041"/>
        </w:tabs>
        <w:spacing w:after="120" w:line="276" w:lineRule="auto"/>
        <w:ind w:left="284" w:firstLine="0"/>
        <w:rPr>
          <w:sz w:val="22"/>
          <w:szCs w:val="22"/>
        </w:rPr>
      </w:pPr>
      <w:r>
        <w:rPr>
          <w:sz w:val="22"/>
          <w:szCs w:val="22"/>
        </w:rPr>
        <w:t xml:space="preserve">realizada mediante depósito na conta corrente a ser indicada por escrito pelo Agente Fiduciário à Companhia; e </w:t>
      </w:r>
    </w:p>
    <w:p w:rsidR="006B3686" w:rsidRDefault="00CE2CA2">
      <w:pPr>
        <w:pStyle w:val="Level5"/>
        <w:widowControl w:val="0"/>
        <w:tabs>
          <w:tab w:val="clear" w:pos="2721"/>
          <w:tab w:val="left" w:pos="851"/>
          <w:tab w:val="num" w:pos="2041"/>
        </w:tabs>
        <w:spacing w:after="120" w:line="276" w:lineRule="auto"/>
        <w:ind w:left="284" w:firstLine="0"/>
        <w:rPr>
          <w:sz w:val="22"/>
          <w:szCs w:val="22"/>
        </w:rPr>
      </w:pPr>
      <w:r>
        <w:rPr>
          <w:sz w:val="22"/>
          <w:szCs w:val="22"/>
        </w:rPr>
        <w:t>a primeira parcela de honorários será devida ainda que a operação não seja integralizada, a título de estruturação e implantação.</w:t>
      </w:r>
    </w:p>
    <w:p w:rsidR="006B3686" w:rsidRDefault="00CE2CA2">
      <w:pPr>
        <w:pStyle w:val="Level4"/>
        <w:widowControl w:val="0"/>
        <w:tabs>
          <w:tab w:val="left" w:pos="567"/>
          <w:tab w:val="num" w:pos="1361"/>
        </w:tabs>
        <w:spacing w:after="120" w:line="276" w:lineRule="auto"/>
        <w:ind w:left="0" w:firstLine="0"/>
        <w:rPr>
          <w:sz w:val="22"/>
          <w:szCs w:val="22"/>
        </w:rPr>
      </w:pPr>
      <w:bookmarkStart w:id="294" w:name="_Ref130284022"/>
      <w:bookmarkEnd w:id="288"/>
      <w:r>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94"/>
    </w:p>
    <w:p w:rsidR="006B3686" w:rsidRDefault="00CE2CA2">
      <w:pPr>
        <w:pStyle w:val="Level5"/>
        <w:widowControl w:val="0"/>
        <w:tabs>
          <w:tab w:val="clear" w:pos="2721"/>
          <w:tab w:val="left" w:pos="709"/>
          <w:tab w:val="num" w:pos="2041"/>
        </w:tabs>
        <w:spacing w:after="120" w:line="276" w:lineRule="auto"/>
        <w:ind w:left="284" w:firstLine="0"/>
        <w:rPr>
          <w:sz w:val="22"/>
          <w:szCs w:val="22"/>
        </w:rPr>
      </w:pPr>
      <w:r>
        <w:rPr>
          <w:sz w:val="22"/>
          <w:szCs w:val="22"/>
        </w:rPr>
        <w:t>publicação de relatórios, editais de convocação, avisos, notificações e outros, conforme previsto nesta Escritura de Emissão, e outras que vierem a ser exigidas por regulamentos aplicáveis;</w:t>
      </w:r>
    </w:p>
    <w:p w:rsidR="006B3686" w:rsidRDefault="00CE2CA2">
      <w:pPr>
        <w:pStyle w:val="Level5"/>
        <w:widowControl w:val="0"/>
        <w:tabs>
          <w:tab w:val="clear" w:pos="2721"/>
          <w:tab w:val="left" w:pos="709"/>
          <w:tab w:val="num" w:pos="2041"/>
        </w:tabs>
        <w:spacing w:after="120" w:line="276" w:lineRule="auto"/>
        <w:ind w:left="284" w:firstLine="0"/>
        <w:rPr>
          <w:sz w:val="22"/>
          <w:szCs w:val="22"/>
        </w:rPr>
      </w:pPr>
      <w:r>
        <w:rPr>
          <w:sz w:val="22"/>
          <w:szCs w:val="22"/>
        </w:rPr>
        <w:t>extração de certidões;</w:t>
      </w:r>
    </w:p>
    <w:p w:rsidR="006B3686" w:rsidRDefault="00CE2CA2">
      <w:pPr>
        <w:pStyle w:val="Level5"/>
        <w:widowControl w:val="0"/>
        <w:tabs>
          <w:tab w:val="clear" w:pos="2721"/>
          <w:tab w:val="left" w:pos="709"/>
          <w:tab w:val="num" w:pos="2041"/>
        </w:tabs>
        <w:spacing w:after="120" w:line="276" w:lineRule="auto"/>
        <w:ind w:left="284" w:firstLine="0"/>
        <w:rPr>
          <w:sz w:val="22"/>
          <w:szCs w:val="22"/>
        </w:rPr>
      </w:pPr>
      <w:r>
        <w:rPr>
          <w:sz w:val="22"/>
          <w:szCs w:val="22"/>
        </w:rPr>
        <w:t>despesas cartorárias;</w:t>
      </w:r>
    </w:p>
    <w:p w:rsidR="006B3686" w:rsidRDefault="00CE2CA2">
      <w:pPr>
        <w:pStyle w:val="Level5"/>
        <w:widowControl w:val="0"/>
        <w:tabs>
          <w:tab w:val="clear" w:pos="2721"/>
          <w:tab w:val="left" w:pos="709"/>
          <w:tab w:val="num" w:pos="2041"/>
        </w:tabs>
        <w:spacing w:after="120" w:line="276" w:lineRule="auto"/>
        <w:ind w:left="284" w:firstLine="0"/>
        <w:rPr>
          <w:sz w:val="22"/>
          <w:szCs w:val="22"/>
        </w:rPr>
      </w:pPr>
      <w:r>
        <w:rPr>
          <w:sz w:val="22"/>
          <w:szCs w:val="22"/>
        </w:rPr>
        <w:t>transporte, viagens, alimentação e estadas, quando necessárias ao desempenho de suas funções nos termos desta Escritura de Emissão;</w:t>
      </w:r>
    </w:p>
    <w:p w:rsidR="006B3686" w:rsidRDefault="00CE2CA2">
      <w:pPr>
        <w:pStyle w:val="Level5"/>
        <w:widowControl w:val="0"/>
        <w:tabs>
          <w:tab w:val="clear" w:pos="2721"/>
          <w:tab w:val="left" w:pos="709"/>
          <w:tab w:val="num" w:pos="2041"/>
        </w:tabs>
        <w:spacing w:after="120" w:line="276" w:lineRule="auto"/>
        <w:ind w:left="284" w:firstLine="0"/>
        <w:rPr>
          <w:sz w:val="22"/>
          <w:szCs w:val="22"/>
        </w:rPr>
      </w:pPr>
      <w:r>
        <w:rPr>
          <w:sz w:val="22"/>
          <w:szCs w:val="22"/>
        </w:rPr>
        <w:t>despesas com fotocópias, digitalizações e envio de documentos;</w:t>
      </w:r>
    </w:p>
    <w:p w:rsidR="006B3686" w:rsidRDefault="00CE2CA2">
      <w:pPr>
        <w:pStyle w:val="Level5"/>
        <w:widowControl w:val="0"/>
        <w:tabs>
          <w:tab w:val="clear" w:pos="2721"/>
          <w:tab w:val="left" w:pos="709"/>
          <w:tab w:val="num" w:pos="2041"/>
        </w:tabs>
        <w:spacing w:after="120" w:line="276" w:lineRule="auto"/>
        <w:ind w:left="284" w:firstLine="0"/>
        <w:rPr>
          <w:sz w:val="22"/>
          <w:szCs w:val="22"/>
        </w:rPr>
      </w:pPr>
      <w:r>
        <w:rPr>
          <w:sz w:val="22"/>
          <w:szCs w:val="22"/>
        </w:rPr>
        <w:t>despesas com contatos telefônicos e conferências telefônicas;</w:t>
      </w:r>
    </w:p>
    <w:p w:rsidR="006B3686" w:rsidRDefault="00CE2CA2">
      <w:pPr>
        <w:pStyle w:val="Level5"/>
        <w:widowControl w:val="0"/>
        <w:tabs>
          <w:tab w:val="clear" w:pos="2721"/>
          <w:tab w:val="left" w:pos="709"/>
          <w:tab w:val="num" w:pos="2041"/>
        </w:tabs>
        <w:spacing w:after="120" w:line="276" w:lineRule="auto"/>
        <w:ind w:left="284" w:firstLine="0"/>
        <w:rPr>
          <w:sz w:val="22"/>
          <w:szCs w:val="22"/>
        </w:rPr>
      </w:pPr>
      <w:bookmarkStart w:id="295" w:name="_Ref130287028"/>
      <w:r>
        <w:rPr>
          <w:sz w:val="22"/>
          <w:szCs w:val="22"/>
        </w:rPr>
        <w:t>despesas com especialistas, tais como auditoria e fiscalização; e</w:t>
      </w:r>
    </w:p>
    <w:p w:rsidR="006B3686" w:rsidRDefault="00CE2CA2">
      <w:pPr>
        <w:pStyle w:val="Level5"/>
        <w:widowControl w:val="0"/>
        <w:tabs>
          <w:tab w:val="clear" w:pos="2721"/>
          <w:tab w:val="left" w:pos="709"/>
          <w:tab w:val="num" w:pos="2041"/>
        </w:tabs>
        <w:spacing w:after="120" w:line="276" w:lineRule="auto"/>
        <w:ind w:left="284" w:firstLine="0"/>
        <w:rPr>
          <w:sz w:val="22"/>
          <w:szCs w:val="22"/>
        </w:rPr>
      </w:pPr>
      <w:r>
        <w:rPr>
          <w:sz w:val="22"/>
          <w:szCs w:val="22"/>
        </w:rPr>
        <w:t>contratação de assessoria jurídica aos Debenturistas;</w:t>
      </w:r>
    </w:p>
    <w:p w:rsidR="006B3686" w:rsidRDefault="00CE2CA2">
      <w:pPr>
        <w:pStyle w:val="Level4"/>
        <w:widowControl w:val="0"/>
        <w:tabs>
          <w:tab w:val="left" w:pos="567"/>
          <w:tab w:val="num" w:pos="1361"/>
        </w:tabs>
        <w:spacing w:after="120" w:line="276" w:lineRule="auto"/>
        <w:ind w:left="0" w:firstLine="0"/>
        <w:rPr>
          <w:sz w:val="22"/>
          <w:szCs w:val="22"/>
        </w:rPr>
      </w:pPr>
      <w:bookmarkStart w:id="296" w:name="_Ref312338168"/>
      <w:r>
        <w:rPr>
          <w:sz w:val="22"/>
          <w:szCs w:val="22"/>
        </w:rPr>
        <w:t>poderá, em caso de inadimplência da Companhia no pagamento das despesas a que se referem os incisos </w:t>
      </w:r>
      <w:r>
        <w:rPr>
          <w:sz w:val="22"/>
          <w:szCs w:val="22"/>
        </w:rPr>
        <w:fldChar w:fldCharType="begin"/>
      </w:r>
      <w:r>
        <w:rPr>
          <w:sz w:val="22"/>
          <w:szCs w:val="22"/>
        </w:rPr>
        <w:instrText xml:space="preserve"> REF _Ref264564354 \n \h  \* MERGEFORMAT </w:instrText>
      </w:r>
      <w:r>
        <w:rPr>
          <w:sz w:val="22"/>
          <w:szCs w:val="22"/>
        </w:rPr>
      </w:r>
      <w:r>
        <w:rPr>
          <w:sz w:val="22"/>
          <w:szCs w:val="22"/>
        </w:rPr>
        <w:fldChar w:fldCharType="separate"/>
      </w:r>
      <w:r>
        <w:rPr>
          <w:sz w:val="22"/>
          <w:szCs w:val="22"/>
        </w:rPr>
        <w:t>(i)</w:t>
      </w:r>
      <w:r>
        <w:rPr>
          <w:sz w:val="22"/>
          <w:szCs w:val="22"/>
        </w:rPr>
        <w:fldChar w:fldCharType="end"/>
      </w:r>
      <w:r>
        <w:rPr>
          <w:sz w:val="22"/>
          <w:szCs w:val="22"/>
        </w:rPr>
        <w:t xml:space="preserve"> e </w:t>
      </w:r>
      <w:r>
        <w:rPr>
          <w:sz w:val="22"/>
          <w:szCs w:val="22"/>
        </w:rPr>
        <w:fldChar w:fldCharType="begin"/>
      </w:r>
      <w:r>
        <w:rPr>
          <w:sz w:val="22"/>
          <w:szCs w:val="22"/>
        </w:rPr>
        <w:instrText xml:space="preserve"> REF _Ref130284022 \r \p \h  \* MERGEFORMAT </w:instrText>
      </w:r>
      <w:r>
        <w:rPr>
          <w:sz w:val="22"/>
          <w:szCs w:val="22"/>
        </w:rPr>
      </w:r>
      <w:r>
        <w:rPr>
          <w:sz w:val="22"/>
          <w:szCs w:val="22"/>
        </w:rPr>
        <w:fldChar w:fldCharType="separate"/>
      </w:r>
      <w:r>
        <w:rPr>
          <w:sz w:val="22"/>
          <w:szCs w:val="22"/>
        </w:rPr>
        <w:t>(ii) acima</w:t>
      </w:r>
      <w:r>
        <w:rPr>
          <w:sz w:val="22"/>
          <w:szCs w:val="22"/>
        </w:rPr>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95"/>
      <w:bookmarkEnd w:id="296"/>
    </w:p>
    <w:p w:rsidR="006B3686" w:rsidRDefault="00CE2CA2">
      <w:pPr>
        <w:pStyle w:val="Level4"/>
        <w:widowControl w:val="0"/>
        <w:tabs>
          <w:tab w:val="left" w:pos="567"/>
          <w:tab w:val="num" w:pos="1361"/>
        </w:tabs>
        <w:spacing w:after="120" w:line="276" w:lineRule="auto"/>
        <w:ind w:left="0" w:firstLine="0"/>
        <w:rPr>
          <w:sz w:val="22"/>
          <w:szCs w:val="22"/>
        </w:rPr>
      </w:pPr>
      <w:r>
        <w:rPr>
          <w:sz w:val="22"/>
          <w:szCs w:val="22"/>
        </w:rPr>
        <w:t>o crédito do Agente Fiduciário por despesas incorridas para proteger direitos e interesses ou realizar créditos dos Debenturistas que não tenha sido saldado na forma prevista no inciso </w:t>
      </w:r>
      <w:r>
        <w:rPr>
          <w:sz w:val="22"/>
          <w:szCs w:val="22"/>
        </w:rPr>
        <w:fldChar w:fldCharType="begin"/>
      </w:r>
      <w:r>
        <w:rPr>
          <w:sz w:val="22"/>
          <w:szCs w:val="22"/>
        </w:rPr>
        <w:instrText xml:space="preserve"> REF _Ref312338168 \n \p \h  \* MERGEFORMAT </w:instrText>
      </w:r>
      <w:r>
        <w:rPr>
          <w:sz w:val="22"/>
          <w:szCs w:val="22"/>
        </w:rPr>
      </w:r>
      <w:r>
        <w:rPr>
          <w:sz w:val="22"/>
          <w:szCs w:val="22"/>
        </w:rPr>
        <w:fldChar w:fldCharType="separate"/>
      </w:r>
      <w:r>
        <w:rPr>
          <w:sz w:val="22"/>
          <w:szCs w:val="22"/>
        </w:rPr>
        <w:t>(iii) acima</w:t>
      </w:r>
      <w:r>
        <w:rPr>
          <w:sz w:val="22"/>
          <w:szCs w:val="22"/>
        </w:rPr>
        <w:fldChar w:fldCharType="end"/>
      </w:r>
      <w:r>
        <w:rPr>
          <w:sz w:val="22"/>
          <w:szCs w:val="22"/>
        </w:rPr>
        <w:t xml:space="preserve"> será acrescido à dívida da Companhia, tendo preferência sobre esta na ordem de pagamento.</w:t>
      </w:r>
    </w:p>
    <w:p w:rsidR="006B3686" w:rsidRDefault="00CE2CA2">
      <w:pPr>
        <w:pStyle w:val="Level2"/>
        <w:widowControl w:val="0"/>
        <w:spacing w:after="120" w:line="276" w:lineRule="auto"/>
        <w:ind w:left="0" w:firstLine="0"/>
        <w:rPr>
          <w:rFonts w:cs="Arial"/>
          <w:sz w:val="22"/>
          <w:szCs w:val="22"/>
        </w:rPr>
      </w:pPr>
      <w:bookmarkStart w:id="297" w:name="_Ref164589409"/>
      <w:bookmarkStart w:id="298" w:name="_Toc51602691"/>
      <w:r>
        <w:rPr>
          <w:rFonts w:cs="Arial"/>
          <w:sz w:val="22"/>
          <w:szCs w:val="22"/>
        </w:rPr>
        <w:t>Além de outros previstos em lei, na regulamentação da CVM e nesta Escritura de Emissão, constituem deveres e atribuições do Agente Fiduciário:</w:t>
      </w:r>
      <w:bookmarkEnd w:id="297"/>
      <w:bookmarkEnd w:id="298"/>
    </w:p>
    <w:p w:rsidR="006B3686" w:rsidRDefault="00CE2CA2">
      <w:pPr>
        <w:pStyle w:val="Level4"/>
        <w:widowControl w:val="0"/>
        <w:tabs>
          <w:tab w:val="num" w:pos="1361"/>
        </w:tabs>
        <w:spacing w:after="120" w:line="276" w:lineRule="auto"/>
        <w:ind w:left="0" w:firstLine="0"/>
        <w:rPr>
          <w:sz w:val="22"/>
          <w:szCs w:val="22"/>
        </w:rPr>
      </w:pPr>
      <w:bookmarkStart w:id="299" w:name="_Ref130283640"/>
      <w:r>
        <w:rPr>
          <w:sz w:val="22"/>
          <w:szCs w:val="22"/>
        </w:rPr>
        <w:t>exercer suas atividades com boa-fé, transparência e lealdade para com os Debenturistas;</w:t>
      </w:r>
    </w:p>
    <w:p w:rsidR="006B3686" w:rsidRDefault="00CE2CA2">
      <w:pPr>
        <w:pStyle w:val="Level4"/>
        <w:widowControl w:val="0"/>
        <w:tabs>
          <w:tab w:val="num" w:pos="1361"/>
        </w:tabs>
        <w:spacing w:after="120" w:line="276" w:lineRule="auto"/>
        <w:ind w:left="0" w:firstLine="0"/>
        <w:rPr>
          <w:sz w:val="22"/>
          <w:szCs w:val="22"/>
        </w:rPr>
      </w:pPr>
      <w:r>
        <w:rPr>
          <w:sz w:val="22"/>
          <w:szCs w:val="22"/>
        </w:rPr>
        <w:t>proteger os direitos e interesses dos Debenturistas, empregando, no exercício da função, o cuidado e a diligência com que todo homem ativo e probo costuma empregar na administração de seus próprios bens;</w:t>
      </w:r>
    </w:p>
    <w:p w:rsidR="006B3686" w:rsidRDefault="00CE2CA2">
      <w:pPr>
        <w:pStyle w:val="Level4"/>
        <w:widowControl w:val="0"/>
        <w:tabs>
          <w:tab w:val="num" w:pos="1361"/>
        </w:tabs>
        <w:spacing w:after="120" w:line="276" w:lineRule="auto"/>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rsidR="006B3686" w:rsidRDefault="00CE2CA2">
      <w:pPr>
        <w:pStyle w:val="Level4"/>
        <w:widowControl w:val="0"/>
        <w:tabs>
          <w:tab w:val="num" w:pos="1361"/>
        </w:tabs>
        <w:spacing w:after="120" w:line="276" w:lineRule="auto"/>
        <w:ind w:left="0" w:firstLine="0"/>
        <w:rPr>
          <w:sz w:val="22"/>
          <w:szCs w:val="22"/>
        </w:rPr>
      </w:pPr>
      <w:r>
        <w:rPr>
          <w:sz w:val="22"/>
          <w:szCs w:val="22"/>
        </w:rPr>
        <w:t>conservar em boa guarda toda a documentação relativa ao exercício de suas funções;</w:t>
      </w:r>
    </w:p>
    <w:p w:rsidR="006B3686" w:rsidRDefault="00CE2CA2">
      <w:pPr>
        <w:pStyle w:val="Level4"/>
        <w:widowControl w:val="0"/>
        <w:tabs>
          <w:tab w:val="num" w:pos="1361"/>
        </w:tabs>
        <w:spacing w:after="120" w:line="276" w:lineRule="auto"/>
        <w:ind w:left="0" w:firstLine="0"/>
        <w:rPr>
          <w:sz w:val="22"/>
          <w:szCs w:val="22"/>
        </w:rPr>
      </w:pPr>
      <w:r>
        <w:rPr>
          <w:sz w:val="22"/>
          <w:szCs w:val="22"/>
        </w:rPr>
        <w:t xml:space="preserve">verificar, no momento de aceitar a função, a consistência das informações contidas </w:t>
      </w:r>
      <w:proofErr w:type="spellStart"/>
      <w:r>
        <w:rPr>
          <w:sz w:val="22"/>
          <w:szCs w:val="22"/>
        </w:rPr>
        <w:t>nesta</w:t>
      </w:r>
      <w:proofErr w:type="spellEnd"/>
      <w:r>
        <w:rPr>
          <w:sz w:val="22"/>
          <w:szCs w:val="22"/>
        </w:rPr>
        <w:t xml:space="preserve"> Escritura de Emissão, diligenciando no sentido de que sejam sanadas as omissões, falhas ou defeitos de que tenha conhecimento;</w:t>
      </w:r>
    </w:p>
    <w:p w:rsidR="006B3686" w:rsidRDefault="00CE2CA2">
      <w:pPr>
        <w:pStyle w:val="Level4"/>
        <w:widowControl w:val="0"/>
        <w:tabs>
          <w:tab w:val="num" w:pos="1361"/>
        </w:tabs>
        <w:spacing w:after="120" w:line="276" w:lineRule="auto"/>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rsidR="006B3686" w:rsidRDefault="00CE2CA2">
      <w:pPr>
        <w:pStyle w:val="Level4"/>
        <w:widowControl w:val="0"/>
        <w:tabs>
          <w:tab w:val="num" w:pos="1361"/>
        </w:tabs>
        <w:spacing w:after="120" w:line="276" w:lineRule="auto"/>
        <w:ind w:left="0" w:firstLine="0"/>
        <w:rPr>
          <w:sz w:val="22"/>
          <w:szCs w:val="22"/>
        </w:rPr>
      </w:pPr>
      <w:r>
        <w:rPr>
          <w:sz w:val="22"/>
          <w:szCs w:val="22"/>
        </w:rPr>
        <w:t>acompanhar a prestação das informações periódicas pela Companhia e alertar os Debenturistas, no relatório anual de que trata o inciso </w:t>
      </w:r>
      <w:r>
        <w:rPr>
          <w:sz w:val="22"/>
          <w:szCs w:val="22"/>
        </w:rPr>
        <w:fldChar w:fldCharType="begin"/>
      </w:r>
      <w:r>
        <w:rPr>
          <w:sz w:val="22"/>
          <w:szCs w:val="22"/>
        </w:rPr>
        <w:instrText xml:space="preserve"> REF _Ref480236077 \n \p \h  \* MERGEFORMAT </w:instrText>
      </w:r>
      <w:r>
        <w:rPr>
          <w:sz w:val="22"/>
          <w:szCs w:val="22"/>
        </w:rPr>
      </w:r>
      <w:r>
        <w:rPr>
          <w:sz w:val="22"/>
          <w:szCs w:val="22"/>
        </w:rPr>
        <w:fldChar w:fldCharType="separate"/>
      </w:r>
      <w:r>
        <w:rPr>
          <w:sz w:val="22"/>
          <w:szCs w:val="22"/>
        </w:rPr>
        <w:t>(</w:t>
      </w:r>
      <w:proofErr w:type="spellStart"/>
      <w:r>
        <w:rPr>
          <w:sz w:val="22"/>
          <w:szCs w:val="22"/>
        </w:rPr>
        <w:t>xvii</w:t>
      </w:r>
      <w:proofErr w:type="spellEnd"/>
      <w:r>
        <w:rPr>
          <w:sz w:val="22"/>
          <w:szCs w:val="22"/>
        </w:rPr>
        <w:t>) abaixo</w:t>
      </w:r>
      <w:r>
        <w:rPr>
          <w:sz w:val="22"/>
          <w:szCs w:val="22"/>
        </w:rPr>
        <w:fldChar w:fldCharType="end"/>
      </w:r>
      <w:r>
        <w:rPr>
          <w:sz w:val="22"/>
          <w:szCs w:val="22"/>
        </w:rPr>
        <w:t>, sobre inconsistências ou omissões de que tenha conhecimento;</w:t>
      </w:r>
    </w:p>
    <w:p w:rsidR="006B3686" w:rsidRDefault="00CE2CA2">
      <w:pPr>
        <w:pStyle w:val="Level4"/>
        <w:widowControl w:val="0"/>
        <w:tabs>
          <w:tab w:val="num" w:pos="1361"/>
        </w:tabs>
        <w:spacing w:after="120" w:line="276" w:lineRule="auto"/>
        <w:ind w:left="0" w:firstLine="0"/>
        <w:rPr>
          <w:sz w:val="22"/>
          <w:szCs w:val="22"/>
        </w:rPr>
      </w:pPr>
      <w:r>
        <w:rPr>
          <w:sz w:val="22"/>
          <w:szCs w:val="22"/>
        </w:rPr>
        <w:t>opinar sobre a suficiência das informações prestadas nas propostas de modificação das condições das Debêntures;</w:t>
      </w:r>
    </w:p>
    <w:p w:rsidR="006B3686" w:rsidRDefault="00CE2CA2">
      <w:pPr>
        <w:pStyle w:val="Level4"/>
        <w:widowControl w:val="0"/>
        <w:tabs>
          <w:tab w:val="num" w:pos="1361"/>
        </w:tabs>
        <w:spacing w:after="120" w:line="276" w:lineRule="auto"/>
        <w:ind w:left="0" w:firstLine="0"/>
        <w:rPr>
          <w:sz w:val="22"/>
          <w:szCs w:val="22"/>
        </w:rPr>
      </w:pPr>
      <w:r>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rsidR="006B3686" w:rsidRDefault="00CE2CA2">
      <w:pPr>
        <w:pStyle w:val="Level4"/>
        <w:widowControl w:val="0"/>
        <w:tabs>
          <w:tab w:val="num" w:pos="1361"/>
        </w:tabs>
        <w:spacing w:after="120" w:line="276" w:lineRule="auto"/>
        <w:ind w:left="0" w:firstLine="0"/>
        <w:rPr>
          <w:sz w:val="22"/>
          <w:szCs w:val="22"/>
        </w:rPr>
      </w:pPr>
      <w:r>
        <w:rPr>
          <w:sz w:val="22"/>
          <w:szCs w:val="22"/>
        </w:rPr>
        <w:t>solicitar, quando considerar necessário, auditoria externa da Companhia;</w:t>
      </w:r>
    </w:p>
    <w:p w:rsidR="006B3686" w:rsidRDefault="00CE2CA2">
      <w:pPr>
        <w:pStyle w:val="Level4"/>
        <w:widowControl w:val="0"/>
        <w:tabs>
          <w:tab w:val="num" w:pos="1361"/>
        </w:tabs>
        <w:spacing w:after="120" w:line="276" w:lineRule="auto"/>
        <w:ind w:left="0" w:firstLine="0"/>
        <w:rPr>
          <w:sz w:val="22"/>
          <w:szCs w:val="22"/>
        </w:rPr>
      </w:pPr>
      <w:r>
        <w:rPr>
          <w:sz w:val="22"/>
          <w:szCs w:val="22"/>
        </w:rPr>
        <w:t>convocar, quando necessário, assembleia geral de Debenturistas nos termos da Lei das Sociedades por Ações e da Cláusula </w:t>
      </w:r>
      <w:r>
        <w:rPr>
          <w:sz w:val="22"/>
          <w:szCs w:val="22"/>
        </w:rPr>
        <w:fldChar w:fldCharType="begin"/>
      </w:r>
      <w:r>
        <w:rPr>
          <w:sz w:val="22"/>
          <w:szCs w:val="22"/>
        </w:rPr>
        <w:instrText xml:space="preserve"> REF _Ref187755774 \r \p \h  \* MERGEFORMAT </w:instrText>
      </w:r>
      <w:r>
        <w:rPr>
          <w:sz w:val="22"/>
          <w:szCs w:val="22"/>
        </w:rPr>
      </w:r>
      <w:r>
        <w:rPr>
          <w:sz w:val="22"/>
          <w:szCs w:val="22"/>
        </w:rPr>
        <w:fldChar w:fldCharType="separate"/>
      </w:r>
      <w:r>
        <w:rPr>
          <w:sz w:val="22"/>
          <w:szCs w:val="22"/>
        </w:rPr>
        <w:t>11.3 abaixo</w:t>
      </w:r>
      <w:r>
        <w:rPr>
          <w:sz w:val="22"/>
          <w:szCs w:val="22"/>
        </w:rPr>
        <w:fldChar w:fldCharType="end"/>
      </w:r>
      <w:r>
        <w:rPr>
          <w:sz w:val="22"/>
          <w:szCs w:val="22"/>
        </w:rPr>
        <w:t>;</w:t>
      </w:r>
    </w:p>
    <w:p w:rsidR="006B3686" w:rsidRDefault="00CE2CA2">
      <w:pPr>
        <w:pStyle w:val="Level4"/>
        <w:widowControl w:val="0"/>
        <w:tabs>
          <w:tab w:val="num" w:pos="1361"/>
        </w:tabs>
        <w:spacing w:after="120" w:line="276" w:lineRule="auto"/>
        <w:ind w:left="0" w:firstLine="0"/>
        <w:rPr>
          <w:sz w:val="22"/>
          <w:szCs w:val="22"/>
        </w:rPr>
      </w:pPr>
      <w:r>
        <w:rPr>
          <w:sz w:val="22"/>
          <w:szCs w:val="22"/>
        </w:rPr>
        <w:t>comparecer às assembleias gerais de Debenturistas a fim de prestar as informações que lhe forem solicitadas;</w:t>
      </w:r>
    </w:p>
    <w:p w:rsidR="006B3686" w:rsidRDefault="00CE2CA2">
      <w:pPr>
        <w:pStyle w:val="Level4"/>
        <w:widowControl w:val="0"/>
        <w:tabs>
          <w:tab w:val="num" w:pos="1361"/>
        </w:tabs>
        <w:spacing w:after="120" w:line="276" w:lineRule="auto"/>
        <w:ind w:left="0" w:firstLine="0"/>
        <w:rPr>
          <w:sz w:val="22"/>
          <w:szCs w:val="22"/>
        </w:rPr>
      </w:pPr>
      <w:r>
        <w:rPr>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6B3686" w:rsidRDefault="00CE2CA2">
      <w:pPr>
        <w:pStyle w:val="Level4"/>
        <w:widowControl w:val="0"/>
        <w:tabs>
          <w:tab w:val="num" w:pos="1361"/>
        </w:tabs>
        <w:spacing w:after="120" w:line="276" w:lineRule="auto"/>
        <w:ind w:left="0" w:firstLine="0"/>
        <w:rPr>
          <w:sz w:val="22"/>
          <w:szCs w:val="22"/>
        </w:rPr>
      </w:pPr>
      <w:r>
        <w:rPr>
          <w:sz w:val="22"/>
          <w:szCs w:val="22"/>
        </w:rPr>
        <w:t>coordenar o sorteio das Debêntures a serem resgatadas nos casos previstos nesta Escritura de Emissão, se aplicável;</w:t>
      </w:r>
    </w:p>
    <w:p w:rsidR="006B3686" w:rsidRDefault="00CE2CA2">
      <w:pPr>
        <w:pStyle w:val="Level4"/>
        <w:widowControl w:val="0"/>
        <w:tabs>
          <w:tab w:val="num" w:pos="1361"/>
        </w:tabs>
        <w:spacing w:after="120" w:line="276" w:lineRule="auto"/>
        <w:ind w:left="0" w:firstLine="0"/>
        <w:rPr>
          <w:sz w:val="22"/>
          <w:szCs w:val="22"/>
        </w:rPr>
      </w:pPr>
      <w:r>
        <w:rPr>
          <w:sz w:val="22"/>
          <w:szCs w:val="22"/>
        </w:rPr>
        <w:t>fiscalizar o cumprimento das cláusulas constantes desta Escritura de Emissão, inclusive daquelas impositivas de obrigações de fazer e de não fazer;</w:t>
      </w:r>
    </w:p>
    <w:p w:rsidR="006B3686" w:rsidRDefault="00CE2CA2">
      <w:pPr>
        <w:pStyle w:val="Level4"/>
        <w:widowControl w:val="0"/>
        <w:tabs>
          <w:tab w:val="num" w:pos="1361"/>
        </w:tabs>
        <w:spacing w:after="120" w:line="276" w:lineRule="auto"/>
        <w:ind w:left="0" w:firstLine="0"/>
        <w:rPr>
          <w:sz w:val="22"/>
          <w:szCs w:val="22"/>
        </w:rPr>
      </w:pPr>
      <w:r>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6B3686" w:rsidRDefault="00CE2CA2">
      <w:pPr>
        <w:pStyle w:val="Level4"/>
        <w:widowControl w:val="0"/>
        <w:tabs>
          <w:tab w:val="num" w:pos="1361"/>
        </w:tabs>
        <w:spacing w:after="120" w:line="276" w:lineRule="auto"/>
        <w:ind w:left="0" w:firstLine="0"/>
        <w:rPr>
          <w:sz w:val="22"/>
          <w:szCs w:val="22"/>
        </w:rPr>
      </w:pPr>
      <w:bookmarkStart w:id="300" w:name="_Ref480236077"/>
      <w:r>
        <w:rPr>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00"/>
    </w:p>
    <w:p w:rsidR="006B3686" w:rsidRDefault="00CE2CA2">
      <w:pPr>
        <w:pStyle w:val="Level4"/>
        <w:widowControl w:val="0"/>
        <w:tabs>
          <w:tab w:val="num" w:pos="1361"/>
        </w:tabs>
        <w:spacing w:after="120" w:line="276" w:lineRule="auto"/>
        <w:ind w:left="0" w:firstLine="0"/>
        <w:rPr>
          <w:sz w:val="22"/>
          <w:szCs w:val="22"/>
        </w:rPr>
      </w:pPr>
      <w:r>
        <w:rPr>
          <w:sz w:val="22"/>
          <w:szCs w:val="22"/>
        </w:rPr>
        <w:t>manter o relatório anual a que se refere o inciso </w:t>
      </w:r>
      <w:r>
        <w:rPr>
          <w:sz w:val="22"/>
          <w:szCs w:val="22"/>
        </w:rPr>
        <w:fldChar w:fldCharType="begin"/>
      </w:r>
      <w:r>
        <w:rPr>
          <w:sz w:val="22"/>
          <w:szCs w:val="22"/>
        </w:rPr>
        <w:instrText xml:space="preserve"> REF _Ref480236077 \n \p \h  \* MERGEFORMAT </w:instrText>
      </w:r>
      <w:r>
        <w:rPr>
          <w:sz w:val="22"/>
          <w:szCs w:val="22"/>
        </w:rPr>
      </w:r>
      <w:r>
        <w:rPr>
          <w:sz w:val="22"/>
          <w:szCs w:val="22"/>
        </w:rPr>
        <w:fldChar w:fldCharType="separate"/>
      </w:r>
      <w:r>
        <w:rPr>
          <w:sz w:val="22"/>
          <w:szCs w:val="22"/>
        </w:rPr>
        <w:t>(</w:t>
      </w:r>
      <w:proofErr w:type="spellStart"/>
      <w:r>
        <w:rPr>
          <w:sz w:val="22"/>
          <w:szCs w:val="22"/>
        </w:rPr>
        <w:t>xvii</w:t>
      </w:r>
      <w:proofErr w:type="spellEnd"/>
      <w:r>
        <w:rPr>
          <w:sz w:val="22"/>
          <w:szCs w:val="22"/>
        </w:rPr>
        <w:t>) acima</w:t>
      </w:r>
      <w:r>
        <w:rPr>
          <w:sz w:val="22"/>
          <w:szCs w:val="22"/>
        </w:rPr>
        <w:fldChar w:fldCharType="end"/>
      </w:r>
      <w:r>
        <w:rPr>
          <w:sz w:val="22"/>
          <w:szCs w:val="22"/>
        </w:rPr>
        <w:t xml:space="preserve"> disponível para consulta pública em sua página na Internet pelo prazo de 3 (três) anos;</w:t>
      </w:r>
    </w:p>
    <w:p w:rsidR="006B3686" w:rsidRDefault="00CE2CA2">
      <w:pPr>
        <w:pStyle w:val="Level4"/>
        <w:widowControl w:val="0"/>
        <w:tabs>
          <w:tab w:val="num" w:pos="1361"/>
        </w:tabs>
        <w:spacing w:after="120" w:line="276" w:lineRule="auto"/>
        <w:ind w:left="0" w:firstLine="0"/>
        <w:rPr>
          <w:sz w:val="22"/>
          <w:szCs w:val="22"/>
        </w:rPr>
      </w:pPr>
      <w:r>
        <w:rPr>
          <w:sz w:val="22"/>
          <w:szCs w:val="22"/>
        </w:rPr>
        <w:t>manter disponível em sua página na Internet lista atualizada das emissões em que exerce a função de agente fiduciário, agente de notas ou agente de garantias;</w:t>
      </w:r>
    </w:p>
    <w:p w:rsidR="006B3686" w:rsidRDefault="00CE2CA2">
      <w:pPr>
        <w:pStyle w:val="Level4"/>
        <w:widowControl w:val="0"/>
        <w:tabs>
          <w:tab w:val="num" w:pos="1361"/>
        </w:tabs>
        <w:spacing w:after="120" w:line="276" w:lineRule="auto"/>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rsidR="006B3686" w:rsidRDefault="00CE2CA2">
      <w:pPr>
        <w:pStyle w:val="Level4"/>
        <w:widowControl w:val="0"/>
        <w:tabs>
          <w:tab w:val="num" w:pos="1361"/>
        </w:tabs>
        <w:spacing w:after="120" w:line="276" w:lineRule="auto"/>
        <w:ind w:left="0" w:firstLine="0"/>
        <w:rPr>
          <w:sz w:val="22"/>
          <w:szCs w:val="22"/>
        </w:rPr>
      </w:pPr>
      <w:r>
        <w:rPr>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rsidR="006B3686" w:rsidRDefault="00CE2CA2">
      <w:pPr>
        <w:pStyle w:val="Level2"/>
        <w:widowControl w:val="0"/>
        <w:spacing w:after="120" w:line="276" w:lineRule="auto"/>
        <w:ind w:left="0" w:firstLine="0"/>
        <w:rPr>
          <w:rFonts w:cs="Arial"/>
          <w:sz w:val="22"/>
          <w:szCs w:val="22"/>
        </w:rPr>
      </w:pPr>
      <w:bookmarkStart w:id="301" w:name="_Ref264564739"/>
      <w:bookmarkStart w:id="302" w:name="_Ref494783220"/>
      <w:bookmarkStart w:id="303" w:name="_Toc51602692"/>
      <w:r>
        <w:rPr>
          <w:rFonts w:cs="Arial"/>
          <w:sz w:val="22"/>
          <w:szCs w:val="22"/>
        </w:rPr>
        <w:t xml:space="preserve">No caso de inadimplemento, pela Companhia, de qualquer de suas obrigações previstas nesta Escritura de Emissão, deverá o Agente Fiduciário </w:t>
      </w:r>
      <w:bookmarkEnd w:id="299"/>
      <w:bookmarkEnd w:id="301"/>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302"/>
      <w:bookmarkEnd w:id="303"/>
    </w:p>
    <w:p w:rsidR="006B3686" w:rsidRDefault="00CE2CA2">
      <w:pPr>
        <w:pStyle w:val="Level4"/>
        <w:widowControl w:val="0"/>
        <w:tabs>
          <w:tab w:val="num" w:pos="1361"/>
        </w:tabs>
        <w:spacing w:after="120" w:line="276" w:lineRule="auto"/>
        <w:ind w:left="0" w:firstLine="0"/>
        <w:rPr>
          <w:sz w:val="22"/>
          <w:szCs w:val="22"/>
        </w:rPr>
      </w:pPr>
      <w:bookmarkStart w:id="304" w:name="_Ref130286637"/>
      <w:r>
        <w:rPr>
          <w:sz w:val="22"/>
          <w:szCs w:val="22"/>
        </w:rPr>
        <w:t>declarar, observadas as condições desta Escritura de Emissão, antecipadamente vencidas as obrigações decorrentes das Debêntures, e cobrar seu principal e acessórios;</w:t>
      </w:r>
      <w:bookmarkEnd w:id="304"/>
    </w:p>
    <w:p w:rsidR="006B3686" w:rsidRDefault="00CE2CA2">
      <w:pPr>
        <w:pStyle w:val="Level4"/>
        <w:widowControl w:val="0"/>
        <w:tabs>
          <w:tab w:val="num" w:pos="1361"/>
        </w:tabs>
        <w:spacing w:after="120" w:line="276" w:lineRule="auto"/>
        <w:ind w:left="0" w:firstLine="0"/>
        <w:rPr>
          <w:sz w:val="22"/>
          <w:szCs w:val="22"/>
        </w:rPr>
      </w:pPr>
      <w:r>
        <w:rPr>
          <w:sz w:val="22"/>
          <w:szCs w:val="22"/>
        </w:rPr>
        <w:t>requerer a falência da Companhia, se não existirem garantias reais;</w:t>
      </w:r>
    </w:p>
    <w:p w:rsidR="006B3686" w:rsidRDefault="00CE2CA2">
      <w:pPr>
        <w:pStyle w:val="Level4"/>
        <w:widowControl w:val="0"/>
        <w:tabs>
          <w:tab w:val="num" w:pos="1361"/>
        </w:tabs>
        <w:spacing w:after="120" w:line="276" w:lineRule="auto"/>
        <w:ind w:left="0" w:firstLine="0"/>
        <w:rPr>
          <w:sz w:val="22"/>
          <w:szCs w:val="22"/>
        </w:rPr>
      </w:pPr>
      <w:bookmarkStart w:id="305" w:name="_Ref130286643"/>
      <w:r>
        <w:rPr>
          <w:sz w:val="22"/>
          <w:szCs w:val="22"/>
        </w:rPr>
        <w:t>tomar quaisquer outras providências necessárias para que os Debenturistas realizem seus créditos; e</w:t>
      </w:r>
      <w:bookmarkEnd w:id="305"/>
    </w:p>
    <w:p w:rsidR="006B3686" w:rsidRDefault="00CE2CA2">
      <w:pPr>
        <w:pStyle w:val="Level4"/>
        <w:widowControl w:val="0"/>
        <w:tabs>
          <w:tab w:val="num" w:pos="1361"/>
        </w:tabs>
        <w:spacing w:after="120" w:line="276" w:lineRule="auto"/>
        <w:ind w:left="0" w:firstLine="0"/>
        <w:rPr>
          <w:sz w:val="22"/>
          <w:szCs w:val="22"/>
        </w:rPr>
      </w:pPr>
      <w:bookmarkStart w:id="306" w:name="_Ref130286653"/>
      <w:r>
        <w:rPr>
          <w:sz w:val="22"/>
          <w:szCs w:val="22"/>
        </w:rPr>
        <w:t>representar os Debenturistas em processo de falência, recuperação judicial, recuperação extrajudicial ou, se aplicável, intervenção ou liquidação extrajudicial da Companhia.</w:t>
      </w:r>
      <w:bookmarkEnd w:id="306"/>
    </w:p>
    <w:p w:rsidR="006B3686" w:rsidRDefault="00CE2CA2">
      <w:pPr>
        <w:pStyle w:val="Level2"/>
        <w:widowControl w:val="0"/>
        <w:spacing w:after="120" w:line="276" w:lineRule="auto"/>
        <w:ind w:left="0" w:firstLine="0"/>
        <w:rPr>
          <w:rFonts w:cs="Arial"/>
          <w:sz w:val="22"/>
          <w:szCs w:val="22"/>
        </w:rPr>
      </w:pPr>
      <w:bookmarkStart w:id="307" w:name="_Toc51602693"/>
      <w:r>
        <w:rPr>
          <w:rFonts w:cs="Arial"/>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307"/>
    </w:p>
    <w:p w:rsidR="006B3686" w:rsidRDefault="00CE2CA2">
      <w:pPr>
        <w:pStyle w:val="Level2"/>
        <w:widowControl w:val="0"/>
        <w:spacing w:after="120" w:line="276" w:lineRule="auto"/>
        <w:ind w:left="0" w:firstLine="0"/>
        <w:rPr>
          <w:rFonts w:cs="Arial"/>
          <w:sz w:val="22"/>
          <w:szCs w:val="22"/>
        </w:rPr>
      </w:pPr>
      <w:bookmarkStart w:id="308" w:name="_Toc51602694"/>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308"/>
    </w:p>
    <w:p w:rsidR="006B3686" w:rsidRDefault="00CE2CA2">
      <w:pPr>
        <w:pStyle w:val="Level2"/>
        <w:widowControl w:val="0"/>
        <w:spacing w:after="120" w:line="276" w:lineRule="auto"/>
        <w:ind w:left="0" w:firstLine="0"/>
        <w:rPr>
          <w:rFonts w:cs="Arial"/>
          <w:sz w:val="22"/>
          <w:szCs w:val="22"/>
        </w:rPr>
      </w:pPr>
      <w:bookmarkStart w:id="309" w:name="_Toc51602695"/>
      <w:r>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09"/>
    </w:p>
    <w:p w:rsidR="006B3686" w:rsidRDefault="00CE2CA2">
      <w:pPr>
        <w:pStyle w:val="Level1"/>
        <w:keepNext w:val="0"/>
        <w:keepLines w:val="0"/>
        <w:widowControl w:val="0"/>
        <w:tabs>
          <w:tab w:val="clear" w:pos="680"/>
          <w:tab w:val="num" w:pos="851"/>
        </w:tabs>
        <w:spacing w:before="0" w:after="120" w:line="276" w:lineRule="auto"/>
        <w:ind w:left="0" w:firstLine="0"/>
        <w:rPr>
          <w:smallCaps/>
          <w:color w:val="auto"/>
        </w:rPr>
      </w:pPr>
      <w:bookmarkStart w:id="310" w:name="_Ref272246430"/>
      <w:bookmarkStart w:id="311" w:name="_Toc51602696"/>
      <w:r>
        <w:rPr>
          <w:smallCaps/>
          <w:color w:val="auto"/>
        </w:rPr>
        <w:t>ASSEMBLEIA GERAL DE DEBENTURISTAS</w:t>
      </w:r>
      <w:bookmarkEnd w:id="310"/>
      <w:bookmarkEnd w:id="311"/>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312" w:name="_Ref379625198"/>
      <w:bookmarkStart w:id="313" w:name="_Toc51602697"/>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312"/>
      <w:bookmarkEnd w:id="313"/>
      <w:r>
        <w:rPr>
          <w:rFonts w:cs="Arial"/>
          <w:sz w:val="22"/>
          <w:szCs w:val="22"/>
        </w:rPr>
        <w:t xml:space="preserve"> </w:t>
      </w:r>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314" w:name="_Toc51602698"/>
      <w:r>
        <w:rPr>
          <w:rFonts w:cs="Arial"/>
          <w:sz w:val="22"/>
          <w:szCs w:val="22"/>
        </w:rPr>
        <w:t>As Assembleias Gerais poderão ser convocadas pelo Agente Fiduciário, pela Companhia, por Debenturistas que representem, no mínimo, 10% (dez por cento) das Debêntures em Circulação, ou pela CVM.</w:t>
      </w:r>
      <w:bookmarkEnd w:id="314"/>
    </w:p>
    <w:p w:rsidR="006B3686" w:rsidRDefault="00CE2CA2">
      <w:pPr>
        <w:pStyle w:val="Level4"/>
        <w:spacing w:line="276" w:lineRule="auto"/>
        <w:ind w:left="0" w:firstLine="0"/>
        <w:rPr>
          <w:sz w:val="22"/>
          <w:szCs w:val="22"/>
        </w:rPr>
      </w:pPr>
      <w:r>
        <w:rPr>
          <w:sz w:val="22"/>
          <w:szCs w:val="22"/>
        </w:rPr>
        <w:t>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rsidR="006B3686" w:rsidRDefault="00CE2CA2">
      <w:pPr>
        <w:pStyle w:val="Level4"/>
        <w:tabs>
          <w:tab w:val="num" w:pos="426"/>
        </w:tabs>
        <w:spacing w:line="276" w:lineRule="auto"/>
        <w:ind w:left="0" w:firstLine="0"/>
        <w:rPr>
          <w:sz w:val="22"/>
          <w:szCs w:val="22"/>
        </w:rPr>
      </w:pPr>
      <w:r>
        <w:rPr>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Pr>
          <w:sz w:val="22"/>
          <w:szCs w:val="22"/>
        </w:rPr>
        <w:t>waiver</w:t>
      </w:r>
      <w:proofErr w:type="spellEnd"/>
      <w:r>
        <w:rPr>
          <w:sz w:val="22"/>
          <w:szCs w:val="22"/>
        </w:rPr>
        <w:t>) para o cumprimento de obrigações da Companhia; será realizada Assembleia Geral de Debenturistas conjunta, computando-se em conjunto os quóruns de convocação, instalação e deliberação.</w:t>
      </w:r>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315" w:name="_Ref187755774"/>
      <w:bookmarkStart w:id="316" w:name="_Toc51602699"/>
      <w:r>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rPr>
          <w:rFonts w:cs="Arial"/>
          <w:sz w:val="22"/>
          <w:szCs w:val="22"/>
        </w:rPr>
        <w:fldChar w:fldCharType="begin"/>
      </w:r>
      <w:r>
        <w:rPr>
          <w:rFonts w:cs="Arial"/>
          <w:sz w:val="22"/>
          <w:szCs w:val="22"/>
        </w:rPr>
        <w:instrText xml:space="preserve"> REF _Ref130286395 \r \p \h  \* MERGEFORMAT </w:instrText>
      </w:r>
      <w:r>
        <w:rPr>
          <w:rFonts w:cs="Arial"/>
          <w:sz w:val="22"/>
          <w:szCs w:val="22"/>
        </w:rPr>
      </w:r>
      <w:r>
        <w:rPr>
          <w:rFonts w:cs="Arial"/>
          <w:sz w:val="22"/>
          <w:szCs w:val="22"/>
        </w:rPr>
        <w:fldChar w:fldCharType="separate"/>
      </w:r>
      <w:r>
        <w:rPr>
          <w:rFonts w:cs="Arial"/>
          <w:sz w:val="22"/>
          <w:szCs w:val="22"/>
        </w:rPr>
        <w:t>7.24 acima</w:t>
      </w:r>
      <w:r>
        <w:rPr>
          <w:rFonts w:cs="Arial"/>
          <w:sz w:val="22"/>
          <w:szCs w:val="22"/>
        </w:rPr>
        <w:fldChar w:fldCharType="end"/>
      </w:r>
      <w:r>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5"/>
      <w:bookmarkEnd w:id="316"/>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317" w:name="_Toc51602700"/>
      <w:r>
        <w:rPr>
          <w:rFonts w:cs="Arial"/>
          <w:sz w:val="22"/>
          <w:szCs w:val="22"/>
        </w:rPr>
        <w:t>As Assembleias Gerais instalar-se-ão, em primeira convocação, com a presença de titulares de, no mínimo, metade das Debêntures em Circulação, e, em segunda convocação, com qualquer quórum.</w:t>
      </w:r>
      <w:bookmarkEnd w:id="317"/>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318" w:name="_Toc51602701"/>
      <w:r>
        <w:rPr>
          <w:rFonts w:cs="Arial"/>
          <w:sz w:val="22"/>
          <w:szCs w:val="22"/>
        </w:rPr>
        <w:t>A presidência das Assembleias Gerais caberá ao Debenturista eleito por estes próprios ou àquele que for designado pela CVM.</w:t>
      </w:r>
      <w:bookmarkEnd w:id="318"/>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319" w:name="_Ref130286717"/>
      <w:bookmarkStart w:id="320" w:name="_Toc51602702"/>
      <w:r>
        <w:rPr>
          <w:rFonts w:cs="Arial"/>
          <w:sz w:val="22"/>
          <w:szCs w:val="22"/>
        </w:rPr>
        <w:t xml:space="preserve">Nas deliberações das Assembleias Gerais, a cada uma das Debêntures em Circulação caberá um voto, admitida a constituição de mandatário, </w:t>
      </w:r>
      <w:proofErr w:type="gramStart"/>
      <w:r>
        <w:rPr>
          <w:rFonts w:cs="Arial"/>
          <w:sz w:val="22"/>
          <w:szCs w:val="22"/>
        </w:rPr>
        <w:t>Debenturista</w:t>
      </w:r>
      <w:proofErr w:type="gramEnd"/>
      <w:r>
        <w:rPr>
          <w:rFonts w:cs="Arial"/>
          <w:sz w:val="22"/>
          <w:szCs w:val="22"/>
        </w:rPr>
        <w:t xml:space="preserve"> ou não. Exceto pelo disposto na Cláusula </w:t>
      </w:r>
      <w:r>
        <w:rPr>
          <w:rFonts w:cs="Arial"/>
          <w:sz w:val="22"/>
          <w:szCs w:val="22"/>
        </w:rPr>
        <w:fldChar w:fldCharType="begin"/>
      </w:r>
      <w:r>
        <w:rPr>
          <w:rFonts w:cs="Arial"/>
          <w:sz w:val="22"/>
          <w:szCs w:val="22"/>
        </w:rPr>
        <w:instrText xml:space="preserve"> REF _Ref130286715 \r \p \h  \* MERGEFORMAT </w:instrText>
      </w:r>
      <w:r>
        <w:rPr>
          <w:rFonts w:cs="Arial"/>
          <w:sz w:val="22"/>
          <w:szCs w:val="22"/>
        </w:rPr>
      </w:r>
      <w:r>
        <w:rPr>
          <w:rFonts w:cs="Arial"/>
          <w:sz w:val="22"/>
          <w:szCs w:val="22"/>
        </w:rPr>
        <w:fldChar w:fldCharType="separate"/>
      </w:r>
      <w:r>
        <w:rPr>
          <w:rFonts w:cs="Arial"/>
          <w:sz w:val="22"/>
          <w:szCs w:val="22"/>
        </w:rPr>
        <w:t>11.7 abaixo</w:t>
      </w:r>
      <w:r>
        <w:rPr>
          <w:rFonts w:cs="Arial"/>
          <w:sz w:val="22"/>
          <w:szCs w:val="22"/>
        </w:rPr>
        <w:fldChar w:fldCharType="end"/>
      </w:r>
      <w:r>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319"/>
      <w:bookmarkEnd w:id="320"/>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321" w:name="_Ref130286715"/>
      <w:bookmarkStart w:id="322" w:name="_Toc51602703"/>
      <w:r>
        <w:rPr>
          <w:rFonts w:cs="Arial"/>
          <w:sz w:val="22"/>
          <w:szCs w:val="22"/>
        </w:rPr>
        <w:t>Não estão incluídos no quórum a que se refere a Cláusula </w:t>
      </w:r>
      <w:r>
        <w:rPr>
          <w:rFonts w:cs="Arial"/>
          <w:sz w:val="22"/>
          <w:szCs w:val="22"/>
        </w:rPr>
        <w:fldChar w:fldCharType="begin"/>
      </w:r>
      <w:r>
        <w:rPr>
          <w:rFonts w:cs="Arial"/>
          <w:sz w:val="22"/>
          <w:szCs w:val="22"/>
        </w:rPr>
        <w:instrText xml:space="preserve"> REF _Ref130286717 \r \p \h  \* MERGEFORMAT </w:instrText>
      </w:r>
      <w:r>
        <w:rPr>
          <w:rFonts w:cs="Arial"/>
          <w:sz w:val="22"/>
          <w:szCs w:val="22"/>
        </w:rPr>
      </w:r>
      <w:r>
        <w:rPr>
          <w:rFonts w:cs="Arial"/>
          <w:sz w:val="22"/>
          <w:szCs w:val="22"/>
        </w:rPr>
        <w:fldChar w:fldCharType="separate"/>
      </w:r>
      <w:r>
        <w:rPr>
          <w:rFonts w:cs="Arial"/>
          <w:sz w:val="22"/>
          <w:szCs w:val="22"/>
        </w:rPr>
        <w:t>11.6 acima</w:t>
      </w:r>
      <w:r>
        <w:rPr>
          <w:rFonts w:cs="Arial"/>
          <w:sz w:val="22"/>
          <w:szCs w:val="22"/>
        </w:rPr>
        <w:fldChar w:fldCharType="end"/>
      </w:r>
      <w:r>
        <w:rPr>
          <w:rFonts w:cs="Arial"/>
          <w:sz w:val="22"/>
          <w:szCs w:val="22"/>
        </w:rPr>
        <w:t>:</w:t>
      </w:r>
      <w:bookmarkEnd w:id="321"/>
      <w:bookmarkEnd w:id="322"/>
    </w:p>
    <w:p w:rsidR="006B3686" w:rsidRDefault="00CE2CA2">
      <w:pPr>
        <w:pStyle w:val="Level4"/>
        <w:widowControl w:val="0"/>
        <w:tabs>
          <w:tab w:val="num" w:pos="1361"/>
        </w:tabs>
        <w:spacing w:after="120" w:line="276" w:lineRule="auto"/>
        <w:ind w:left="851" w:firstLine="0"/>
        <w:rPr>
          <w:sz w:val="22"/>
          <w:szCs w:val="22"/>
        </w:rPr>
      </w:pPr>
      <w:r>
        <w:rPr>
          <w:sz w:val="22"/>
          <w:szCs w:val="22"/>
        </w:rPr>
        <w:t>os quóruns expressamente previstos em outras Cláusulas desta Escritura de Emissão; e</w:t>
      </w:r>
    </w:p>
    <w:p w:rsidR="006B3686" w:rsidRDefault="00CE2CA2">
      <w:pPr>
        <w:pStyle w:val="Level4"/>
        <w:widowControl w:val="0"/>
        <w:tabs>
          <w:tab w:val="num" w:pos="1361"/>
        </w:tabs>
        <w:spacing w:after="120" w:line="276" w:lineRule="auto"/>
        <w:ind w:left="851" w:firstLine="0"/>
        <w:rPr>
          <w:sz w:val="22"/>
          <w:szCs w:val="22"/>
        </w:rPr>
      </w:pPr>
      <w:r>
        <w:rPr>
          <w:sz w:val="22"/>
          <w:szCs w:val="22"/>
        </w:rPr>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Pr>
          <w:sz w:val="22"/>
          <w:szCs w:val="22"/>
        </w:rPr>
        <w:fldChar w:fldCharType="begin"/>
      </w:r>
      <w:r>
        <w:rPr>
          <w:sz w:val="22"/>
          <w:szCs w:val="22"/>
        </w:rPr>
        <w:instrText xml:space="preserve"> REF _Ref495492067 \r \h  \* MERGEFORMAT </w:instrText>
      </w:r>
      <w:r>
        <w:rPr>
          <w:sz w:val="22"/>
          <w:szCs w:val="22"/>
        </w:rPr>
      </w:r>
      <w:r>
        <w:rPr>
          <w:sz w:val="22"/>
          <w:szCs w:val="22"/>
        </w:rPr>
        <w:fldChar w:fldCharType="separate"/>
      </w:r>
      <w:r>
        <w:rPr>
          <w:sz w:val="22"/>
          <w:szCs w:val="22"/>
        </w:rPr>
        <w:t>7.12.5</w:t>
      </w:r>
      <w:r>
        <w:rPr>
          <w:sz w:val="22"/>
          <w:szCs w:val="22"/>
        </w:rPr>
        <w:fldChar w:fldCharType="end"/>
      </w:r>
      <w:r>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rsidR="006B3686" w:rsidRDefault="00CE2CA2">
      <w:pPr>
        <w:pStyle w:val="Level2"/>
        <w:widowControl w:val="0"/>
        <w:spacing w:after="120" w:line="276" w:lineRule="auto"/>
        <w:ind w:left="0" w:firstLine="0"/>
        <w:rPr>
          <w:rFonts w:cs="Arial"/>
          <w:sz w:val="22"/>
          <w:szCs w:val="22"/>
        </w:rPr>
      </w:pPr>
      <w:bookmarkStart w:id="323" w:name="_Toc51602704"/>
      <w:r>
        <w:rPr>
          <w:rFonts w:cs="Arial"/>
          <w:sz w:val="22"/>
          <w:szCs w:val="22"/>
        </w:rPr>
        <w:t>A renúncia ou o perdão temporário a um Evento de Vencimento Antecipado deverá ser aprovado de acordo com o disposto na Cláusula </w:t>
      </w:r>
      <w:r>
        <w:rPr>
          <w:rFonts w:cs="Arial"/>
          <w:sz w:val="22"/>
          <w:szCs w:val="22"/>
        </w:rPr>
        <w:fldChar w:fldCharType="begin"/>
      </w:r>
      <w:r>
        <w:rPr>
          <w:rFonts w:cs="Arial"/>
          <w:sz w:val="22"/>
          <w:szCs w:val="22"/>
        </w:rPr>
        <w:instrText xml:space="preserve"> REF _Ref130286717 \r \p \h  \* MERGEFORMAT </w:instrText>
      </w:r>
      <w:r>
        <w:rPr>
          <w:rFonts w:cs="Arial"/>
          <w:sz w:val="22"/>
          <w:szCs w:val="22"/>
        </w:rPr>
      </w:r>
      <w:r>
        <w:rPr>
          <w:rFonts w:cs="Arial"/>
          <w:sz w:val="22"/>
          <w:szCs w:val="22"/>
        </w:rPr>
        <w:fldChar w:fldCharType="separate"/>
      </w:r>
      <w:r>
        <w:rPr>
          <w:rFonts w:cs="Arial"/>
          <w:sz w:val="22"/>
          <w:szCs w:val="22"/>
        </w:rPr>
        <w:t>11.6 acima</w:t>
      </w:r>
      <w:r>
        <w:rPr>
          <w:rFonts w:cs="Arial"/>
          <w:sz w:val="22"/>
          <w:szCs w:val="22"/>
        </w:rPr>
        <w:fldChar w:fldCharType="end"/>
      </w:r>
      <w:r>
        <w:rPr>
          <w:rFonts w:cs="Arial"/>
          <w:sz w:val="22"/>
          <w:szCs w:val="22"/>
        </w:rPr>
        <w:t>.</w:t>
      </w:r>
      <w:bookmarkEnd w:id="323"/>
      <w:r>
        <w:rPr>
          <w:rFonts w:cs="Arial"/>
          <w:sz w:val="22"/>
          <w:szCs w:val="22"/>
        </w:rPr>
        <w:t xml:space="preserve"> </w:t>
      </w:r>
    </w:p>
    <w:p w:rsidR="006B3686" w:rsidRDefault="00CE2CA2">
      <w:pPr>
        <w:pStyle w:val="Level2"/>
        <w:widowControl w:val="0"/>
        <w:spacing w:after="120" w:line="276" w:lineRule="auto"/>
        <w:ind w:left="0" w:firstLine="0"/>
        <w:rPr>
          <w:rFonts w:cs="Arial"/>
          <w:sz w:val="22"/>
          <w:szCs w:val="22"/>
        </w:rPr>
      </w:pPr>
      <w:bookmarkStart w:id="324" w:name="_Toc51602705"/>
      <w:r>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24"/>
    </w:p>
    <w:p w:rsidR="006B3686" w:rsidRDefault="00CE2CA2">
      <w:pPr>
        <w:pStyle w:val="Level2"/>
        <w:widowControl w:val="0"/>
        <w:spacing w:after="120" w:line="276" w:lineRule="auto"/>
        <w:ind w:left="0" w:firstLine="0"/>
        <w:rPr>
          <w:rFonts w:cs="Arial"/>
          <w:sz w:val="22"/>
          <w:szCs w:val="22"/>
        </w:rPr>
      </w:pPr>
      <w:bookmarkStart w:id="325" w:name="_Toc51602706"/>
      <w:r>
        <w:rPr>
          <w:rFonts w:cs="Arial"/>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bookmarkEnd w:id="325"/>
    </w:p>
    <w:p w:rsidR="006B3686" w:rsidRDefault="00CE2CA2">
      <w:pPr>
        <w:pStyle w:val="Level2"/>
        <w:widowControl w:val="0"/>
        <w:spacing w:after="120" w:line="276" w:lineRule="auto"/>
        <w:ind w:left="0" w:firstLine="0"/>
        <w:rPr>
          <w:rFonts w:cs="Arial"/>
          <w:sz w:val="22"/>
          <w:szCs w:val="22"/>
        </w:rPr>
      </w:pPr>
      <w:bookmarkStart w:id="326" w:name="_Toc51602707"/>
      <w:r>
        <w:rPr>
          <w:rFonts w:cs="Arial"/>
          <w:sz w:val="22"/>
          <w:szCs w:val="22"/>
        </w:rPr>
        <w:t>O Agente Fiduciário deverá comparecer às assembleias gerais de Debenturistas e prestar aos Debenturistas as informações que lhe forem solicitadas.</w:t>
      </w:r>
      <w:bookmarkEnd w:id="326"/>
    </w:p>
    <w:p w:rsidR="006B3686" w:rsidRDefault="00CE2CA2">
      <w:pPr>
        <w:pStyle w:val="Level2"/>
        <w:widowControl w:val="0"/>
        <w:spacing w:after="120" w:line="276" w:lineRule="auto"/>
        <w:ind w:left="0" w:firstLine="0"/>
        <w:rPr>
          <w:rFonts w:cs="Arial"/>
          <w:sz w:val="22"/>
          <w:szCs w:val="22"/>
        </w:rPr>
      </w:pPr>
      <w:bookmarkStart w:id="327" w:name="_Toc51602708"/>
      <w:bookmarkStart w:id="328" w:name="_Ref534176609"/>
      <w:r>
        <w:rPr>
          <w:rFonts w:cs="Arial"/>
          <w:sz w:val="22"/>
          <w:szCs w:val="22"/>
        </w:rPr>
        <w:t>Aplica-se às Assembleias Gerais, no que couber, o disposto na Lei das Sociedades por Ações, sobre a assembleia geral de acionistas.</w:t>
      </w:r>
      <w:bookmarkEnd w:id="327"/>
    </w:p>
    <w:p w:rsidR="006B3686" w:rsidRDefault="00CE2CA2">
      <w:pPr>
        <w:pStyle w:val="Level1"/>
        <w:keepNext w:val="0"/>
        <w:keepLines w:val="0"/>
        <w:widowControl w:val="0"/>
        <w:spacing w:before="0" w:after="120" w:line="276" w:lineRule="auto"/>
        <w:ind w:left="0" w:firstLine="0"/>
        <w:rPr>
          <w:color w:val="auto"/>
        </w:rPr>
      </w:pPr>
      <w:bookmarkStart w:id="329" w:name="_Ref147910921"/>
      <w:bookmarkStart w:id="330" w:name="_Toc51602709"/>
      <w:r>
        <w:rPr>
          <w:color w:val="auto"/>
        </w:rPr>
        <w:t>DECLARAÇÕES DA COMPANHIA</w:t>
      </w:r>
      <w:bookmarkEnd w:id="329"/>
      <w:bookmarkEnd w:id="330"/>
    </w:p>
    <w:p w:rsidR="006B3686" w:rsidRDefault="00CE2CA2">
      <w:pPr>
        <w:pStyle w:val="Level2"/>
        <w:widowControl w:val="0"/>
        <w:tabs>
          <w:tab w:val="clear" w:pos="680"/>
          <w:tab w:val="num" w:pos="851"/>
        </w:tabs>
        <w:spacing w:after="120" w:line="276" w:lineRule="auto"/>
        <w:ind w:left="0" w:firstLine="0"/>
        <w:rPr>
          <w:rFonts w:cs="Arial"/>
          <w:sz w:val="22"/>
          <w:szCs w:val="22"/>
        </w:rPr>
      </w:pPr>
      <w:bookmarkStart w:id="331" w:name="_Ref130286814"/>
      <w:bookmarkStart w:id="332" w:name="_Toc51602710"/>
      <w:r>
        <w:rPr>
          <w:rFonts w:cs="Arial"/>
          <w:sz w:val="22"/>
          <w:szCs w:val="22"/>
        </w:rPr>
        <w:t>A Companhia, nesta data, declara que:</w:t>
      </w:r>
      <w:bookmarkEnd w:id="328"/>
      <w:bookmarkEnd w:id="331"/>
      <w:bookmarkEnd w:id="332"/>
    </w:p>
    <w:p w:rsidR="006B3686" w:rsidRDefault="00CE2CA2">
      <w:pPr>
        <w:pStyle w:val="Level4"/>
        <w:widowControl w:val="0"/>
        <w:tabs>
          <w:tab w:val="left" w:pos="851"/>
          <w:tab w:val="num" w:pos="1361"/>
        </w:tabs>
        <w:spacing w:after="120" w:line="276" w:lineRule="auto"/>
        <w:ind w:left="851" w:firstLine="0"/>
        <w:rPr>
          <w:sz w:val="22"/>
          <w:szCs w:val="22"/>
        </w:rPr>
      </w:pPr>
      <w:proofErr w:type="spellStart"/>
      <w:r>
        <w:rPr>
          <w:sz w:val="22"/>
          <w:szCs w:val="22"/>
        </w:rPr>
        <w:t>é</w:t>
      </w:r>
      <w:proofErr w:type="spellEnd"/>
      <w:r>
        <w:rPr>
          <w:sz w:val="22"/>
          <w:szCs w:val="22"/>
        </w:rPr>
        <w:t xml:space="preserve"> sociedade devidamente organizada, constituída e existente sob a forma de sociedade por ações, de acordo com as leis brasileiras, sem registro de emissor de valores mobiliários perante a CVM;</w:t>
      </w:r>
    </w:p>
    <w:p w:rsidR="006B3686" w:rsidRDefault="00CE2CA2">
      <w:pPr>
        <w:pStyle w:val="Level4"/>
        <w:widowControl w:val="0"/>
        <w:tabs>
          <w:tab w:val="left" w:pos="851"/>
          <w:tab w:val="num" w:pos="1361"/>
        </w:tabs>
        <w:spacing w:after="120" w:line="276" w:lineRule="auto"/>
        <w:ind w:left="851" w:firstLine="0"/>
        <w:rPr>
          <w:sz w:val="22"/>
          <w:szCs w:val="22"/>
        </w:rPr>
      </w:pPr>
      <w:bookmarkStart w:id="333" w:name="_Ref130286824"/>
      <w:r>
        <w:rPr>
          <w:sz w:val="22"/>
          <w:szCs w:val="22"/>
        </w:rPr>
        <w:t>está devidamente autorizada e, exceto pelo depósito para distribuição das Debêntures na B3 a que se refere a Cláusula </w:t>
      </w:r>
      <w:r>
        <w:rPr>
          <w:sz w:val="22"/>
          <w:szCs w:val="22"/>
        </w:rPr>
        <w:fldChar w:fldCharType="begin"/>
      </w:r>
      <w:r>
        <w:rPr>
          <w:sz w:val="22"/>
          <w:szCs w:val="22"/>
        </w:rPr>
        <w:instrText xml:space="preserve"> REF _Ref500505971 \n \h  \* MERGEFORMAT </w:instrText>
      </w:r>
      <w:r>
        <w:rPr>
          <w:sz w:val="22"/>
          <w:szCs w:val="22"/>
        </w:rPr>
      </w:r>
      <w:r>
        <w:rPr>
          <w:sz w:val="22"/>
          <w:szCs w:val="22"/>
        </w:rPr>
        <w:fldChar w:fldCharType="separate"/>
      </w:r>
      <w:r>
        <w:rPr>
          <w:sz w:val="22"/>
          <w:szCs w:val="22"/>
        </w:rPr>
        <w:t>3.3</w:t>
      </w:r>
      <w:r>
        <w:rPr>
          <w:sz w:val="22"/>
          <w:szCs w:val="22"/>
        </w:rPr>
        <w:fldChar w:fldCharType="end"/>
      </w:r>
      <w:r>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exceto pelo disposto na Cláusula </w:t>
      </w:r>
      <w:r>
        <w:rPr>
          <w:sz w:val="22"/>
          <w:szCs w:val="22"/>
        </w:rPr>
        <w:fldChar w:fldCharType="begin"/>
      </w:r>
      <w:r>
        <w:rPr>
          <w:sz w:val="22"/>
          <w:szCs w:val="22"/>
        </w:rPr>
        <w:instrText xml:space="preserve"> REF _Ref330905317 \n \p \h  \* MERGEFORMAT </w:instrText>
      </w:r>
      <w:r>
        <w:rPr>
          <w:sz w:val="22"/>
          <w:szCs w:val="22"/>
        </w:rPr>
      </w:r>
      <w:r>
        <w:rPr>
          <w:sz w:val="22"/>
          <w:szCs w:val="22"/>
        </w:rPr>
        <w:fldChar w:fldCharType="separate"/>
      </w:r>
      <w:r>
        <w:rPr>
          <w:sz w:val="22"/>
          <w:szCs w:val="22"/>
        </w:rPr>
        <w:t>3 acima</w:t>
      </w:r>
      <w:r>
        <w:rPr>
          <w:sz w:val="22"/>
          <w:szCs w:val="22"/>
        </w:rPr>
        <w:fldChar w:fldCharType="end"/>
      </w:r>
      <w:r>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p>
    <w:p w:rsidR="006B3686" w:rsidRDefault="00CE2CA2">
      <w:pPr>
        <w:pStyle w:val="Level4"/>
        <w:widowControl w:val="0"/>
        <w:tabs>
          <w:tab w:val="left" w:pos="851"/>
          <w:tab w:val="num" w:pos="1361"/>
        </w:tabs>
        <w:spacing w:after="120" w:line="276" w:lineRule="auto"/>
        <w:ind w:left="851" w:firstLine="0"/>
        <w:rPr>
          <w:sz w:val="22"/>
          <w:szCs w:val="22"/>
        </w:rPr>
      </w:pPr>
      <w:bookmarkStart w:id="334" w:name="_Ref428862044"/>
      <w:r>
        <w:rPr>
          <w:sz w:val="22"/>
          <w:szCs w:val="22"/>
        </w:rPr>
        <w:t xml:space="preserve">após o envio de carta da STM sobre o cumprimento das condições precedentes previstas nos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34"/>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Pr>
          <w:iCs/>
          <w:sz w:val="22"/>
          <w:szCs w:val="22"/>
        </w:rPr>
        <w:t>seu programa de integridade e de acordo com os dispositivos anticorrupção da Legislação Anticorrupção</w:t>
      </w:r>
      <w:r>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 xml:space="preserve">nesta data, não omitiu qualquer fato, de qualquer natureza, que seja de seu conhecimento e que possa resultar em alteração substancial na situação econômico-financeira, </w:t>
      </w:r>
      <w:proofErr w:type="spellStart"/>
      <w:r>
        <w:rPr>
          <w:sz w:val="22"/>
          <w:szCs w:val="22"/>
        </w:rPr>
        <w:t>reputacional</w:t>
      </w:r>
      <w:proofErr w:type="spellEnd"/>
      <w:r>
        <w:rPr>
          <w:sz w:val="22"/>
          <w:szCs w:val="22"/>
        </w:rPr>
        <w:t xml:space="preserve"> ou jurídica da Companhia em prejuízo dos Debenturistas;</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rsidR="006B3686" w:rsidRDefault="00CE2CA2">
      <w:pPr>
        <w:pStyle w:val="Level4"/>
        <w:widowControl w:val="0"/>
        <w:tabs>
          <w:tab w:val="left" w:pos="851"/>
          <w:tab w:val="num" w:pos="1361"/>
        </w:tabs>
        <w:spacing w:after="120" w:line="276" w:lineRule="auto"/>
        <w:ind w:left="851" w:firstLine="0"/>
        <w:rPr>
          <w:sz w:val="22"/>
          <w:szCs w:val="22"/>
        </w:rPr>
      </w:pPr>
      <w:bookmarkStart w:id="335" w:name="_Ref40355878"/>
      <w:r>
        <w:rPr>
          <w:sz w:val="22"/>
          <w:szCs w:val="22"/>
        </w:rPr>
        <w:t>nem a Companhia, seus respectivos conselheiros e diretores ou qualquer representante ou empregado da Companhia,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w:t>
      </w:r>
      <w:bookmarkEnd w:id="335"/>
      <w:r>
        <w:rPr>
          <w:sz w:val="22"/>
          <w:szCs w:val="22"/>
        </w:rPr>
        <w:t xml:space="preserve"> </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rsidR="006B3686" w:rsidRDefault="00CE2CA2">
      <w:pPr>
        <w:pStyle w:val="Level4"/>
        <w:widowControl w:val="0"/>
        <w:tabs>
          <w:tab w:val="left" w:pos="851"/>
          <w:tab w:val="num" w:pos="1361"/>
        </w:tabs>
        <w:spacing w:after="120" w:line="276" w:lineRule="auto"/>
        <w:ind w:left="851" w:firstLine="0"/>
        <w:rPr>
          <w:sz w:val="22"/>
          <w:szCs w:val="22"/>
        </w:rPr>
      </w:pPr>
      <w:r>
        <w:rPr>
          <w:sz w:val="22"/>
          <w:szCs w:val="22"/>
        </w:rPr>
        <w:t>o Contrato de Concessão está válido e em vigor, não havendo, nesta data, qualquer inadimplemento de seus termos por parte da Companhia.</w:t>
      </w:r>
    </w:p>
    <w:p w:rsidR="006B3686" w:rsidRDefault="00CE2CA2">
      <w:pPr>
        <w:pStyle w:val="Level2"/>
        <w:widowControl w:val="0"/>
        <w:tabs>
          <w:tab w:val="left" w:pos="993"/>
        </w:tabs>
        <w:spacing w:after="120" w:line="276" w:lineRule="auto"/>
        <w:ind w:left="0" w:firstLine="0"/>
        <w:rPr>
          <w:rFonts w:cs="Arial"/>
          <w:sz w:val="22"/>
          <w:szCs w:val="22"/>
        </w:rPr>
      </w:pPr>
      <w:bookmarkStart w:id="336" w:name="_Toc51602711"/>
      <w:bookmarkEnd w:id="333"/>
      <w:r>
        <w:rPr>
          <w:rFonts w:cs="Arial"/>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36"/>
      <w:r>
        <w:rPr>
          <w:rFonts w:cs="Arial"/>
          <w:sz w:val="22"/>
          <w:szCs w:val="22"/>
        </w:rPr>
        <w:t xml:space="preserve"> </w:t>
      </w:r>
    </w:p>
    <w:p w:rsidR="006B3686" w:rsidRDefault="00CE2CA2">
      <w:pPr>
        <w:pStyle w:val="Level2"/>
        <w:widowControl w:val="0"/>
        <w:tabs>
          <w:tab w:val="left" w:pos="993"/>
        </w:tabs>
        <w:spacing w:after="120" w:line="276" w:lineRule="auto"/>
        <w:ind w:left="0" w:firstLine="0"/>
        <w:rPr>
          <w:rFonts w:cs="Arial"/>
          <w:sz w:val="22"/>
          <w:szCs w:val="22"/>
        </w:rPr>
      </w:pPr>
      <w:bookmarkStart w:id="337" w:name="_Toc51602712"/>
      <w:r>
        <w:rPr>
          <w:rFonts w:cs="Arial"/>
          <w:sz w:val="22"/>
          <w:szCs w:val="22"/>
        </w:rPr>
        <w:t>A Companhia obriga-se a notificar, no prazo de até 2 (dois) Dias Úteis contados da data em que tomar conhecimento, o Agente Fiduciário caso qualquer das declarações prestadas nos termos da Cláusula </w:t>
      </w:r>
      <w:r>
        <w:rPr>
          <w:rFonts w:cs="Arial"/>
          <w:sz w:val="22"/>
          <w:szCs w:val="22"/>
        </w:rPr>
        <w:fldChar w:fldCharType="begin"/>
      </w:r>
      <w:r>
        <w:rPr>
          <w:rFonts w:cs="Arial"/>
          <w:sz w:val="22"/>
          <w:szCs w:val="22"/>
        </w:rPr>
        <w:instrText xml:space="preserve"> REF _Ref130286814 \r \p \h  \* MERGEFORMAT </w:instrText>
      </w:r>
      <w:r>
        <w:rPr>
          <w:rFonts w:cs="Arial"/>
          <w:sz w:val="22"/>
          <w:szCs w:val="22"/>
        </w:rPr>
      </w:r>
      <w:r>
        <w:rPr>
          <w:rFonts w:cs="Arial"/>
          <w:sz w:val="22"/>
          <w:szCs w:val="22"/>
        </w:rPr>
        <w:fldChar w:fldCharType="separate"/>
      </w:r>
      <w:r>
        <w:rPr>
          <w:rFonts w:cs="Arial"/>
          <w:sz w:val="22"/>
          <w:szCs w:val="22"/>
        </w:rPr>
        <w:t>12.1 acima</w:t>
      </w:r>
      <w:r>
        <w:rPr>
          <w:rFonts w:cs="Arial"/>
          <w:sz w:val="22"/>
          <w:szCs w:val="22"/>
        </w:rPr>
        <w:fldChar w:fldCharType="end"/>
      </w:r>
      <w:r>
        <w:rPr>
          <w:rFonts w:cs="Arial"/>
          <w:sz w:val="22"/>
          <w:szCs w:val="22"/>
        </w:rPr>
        <w:t xml:space="preserve"> seja ou se torne falsa e/ou incorreta em qualquer das datas em que tenha sido prestada.</w:t>
      </w:r>
      <w:bookmarkEnd w:id="337"/>
    </w:p>
    <w:p w:rsidR="006B3686" w:rsidRDefault="00CE2CA2">
      <w:pPr>
        <w:pStyle w:val="Level1"/>
        <w:keepNext w:val="0"/>
        <w:keepLines w:val="0"/>
        <w:widowControl w:val="0"/>
        <w:spacing w:before="0" w:after="120" w:line="276" w:lineRule="auto"/>
        <w:ind w:left="0" w:firstLine="0"/>
        <w:rPr>
          <w:color w:val="auto"/>
        </w:rPr>
      </w:pPr>
      <w:bookmarkStart w:id="338" w:name="_Toc51602713"/>
      <w:r>
        <w:rPr>
          <w:color w:val="auto"/>
        </w:rPr>
        <w:t>DESPESAS</w:t>
      </w:r>
      <w:bookmarkEnd w:id="338"/>
    </w:p>
    <w:p w:rsidR="006B3686" w:rsidRDefault="00CE2CA2">
      <w:pPr>
        <w:pStyle w:val="Level2"/>
        <w:widowControl w:val="0"/>
        <w:spacing w:after="120" w:line="276" w:lineRule="auto"/>
        <w:ind w:left="0" w:firstLine="0"/>
        <w:rPr>
          <w:rFonts w:cs="Arial"/>
          <w:sz w:val="22"/>
          <w:szCs w:val="22"/>
        </w:rPr>
      </w:pPr>
      <w:bookmarkStart w:id="339" w:name="_Toc51602714"/>
      <w:r>
        <w:rPr>
          <w:rFonts w:cs="Arial"/>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339"/>
    </w:p>
    <w:p w:rsidR="006B3686" w:rsidRDefault="00CE2CA2">
      <w:pPr>
        <w:pStyle w:val="Level1"/>
        <w:keepNext w:val="0"/>
        <w:keepLines w:val="0"/>
        <w:widowControl w:val="0"/>
        <w:spacing w:before="0" w:after="120" w:line="276" w:lineRule="auto"/>
        <w:ind w:left="0" w:firstLine="0"/>
        <w:rPr>
          <w:smallCaps/>
          <w:color w:val="auto"/>
        </w:rPr>
      </w:pPr>
      <w:bookmarkStart w:id="340" w:name="_Ref384312323"/>
      <w:bookmarkStart w:id="341" w:name="_Toc51602715"/>
      <w:r>
        <w:rPr>
          <w:smallCaps/>
          <w:color w:val="auto"/>
        </w:rPr>
        <w:t>COMUNICAÇÕES</w:t>
      </w:r>
      <w:bookmarkEnd w:id="340"/>
      <w:bookmarkEnd w:id="341"/>
    </w:p>
    <w:p w:rsidR="006B3686" w:rsidRDefault="00CE2CA2">
      <w:pPr>
        <w:pStyle w:val="Level2"/>
        <w:widowControl w:val="0"/>
        <w:spacing w:after="120" w:line="276" w:lineRule="auto"/>
        <w:ind w:left="0" w:firstLine="0"/>
        <w:rPr>
          <w:rFonts w:cs="Arial"/>
          <w:sz w:val="22"/>
          <w:szCs w:val="22"/>
        </w:rPr>
      </w:pPr>
      <w:bookmarkStart w:id="342" w:name="_Toc51602716"/>
      <w:r>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42"/>
    </w:p>
    <w:p w:rsidR="006B3686" w:rsidRDefault="00CE2CA2">
      <w:pPr>
        <w:pStyle w:val="Level4"/>
        <w:rPr>
          <w:sz w:val="22"/>
          <w:szCs w:val="22"/>
        </w:rPr>
      </w:pPr>
      <w:bookmarkStart w:id="343" w:name="_Toc51602717"/>
      <w:r>
        <w:rPr>
          <w:sz w:val="22"/>
          <w:szCs w:val="22"/>
        </w:rPr>
        <w:t>para a Companhia:</w:t>
      </w:r>
      <w:bookmarkEnd w:id="343"/>
    </w:p>
    <w:p w:rsidR="006B3686" w:rsidRDefault="00CE2CA2">
      <w:pPr>
        <w:pStyle w:val="Body"/>
        <w:widowControl w:val="0"/>
        <w:spacing w:after="120" w:line="276" w:lineRule="auto"/>
        <w:jc w:val="left"/>
        <w:rPr>
          <w:sz w:val="22"/>
        </w:rPr>
      </w:pPr>
      <w:r>
        <w:rPr>
          <w:b/>
          <w:sz w:val="22"/>
        </w:rPr>
        <w:t>CONCESSIONÁRIA LINHA UNIVERSIDADE S.A.</w:t>
      </w:r>
      <w:r>
        <w:rPr>
          <w:sz w:val="22"/>
        </w:rPr>
        <w:t xml:space="preserve"> </w:t>
      </w:r>
    </w:p>
    <w:p w:rsidR="006B3686" w:rsidRDefault="00CE2CA2">
      <w:pPr>
        <w:pStyle w:val="Body"/>
        <w:widowControl w:val="0"/>
        <w:spacing w:after="120" w:line="276" w:lineRule="auto"/>
        <w:jc w:val="left"/>
        <w:rPr>
          <w:sz w:val="22"/>
        </w:rPr>
      </w:pPr>
      <w:r>
        <w:rPr>
          <w:sz w:val="22"/>
        </w:rPr>
        <w:t>Rua Olimpíadas, nº 134, conjunto 72, sala H, 7º andar, Condomínio Alpha Tower, Vila Olímpia.</w:t>
      </w:r>
    </w:p>
    <w:p w:rsidR="006B3686" w:rsidRDefault="00CE2CA2">
      <w:pPr>
        <w:pStyle w:val="Body"/>
        <w:widowControl w:val="0"/>
        <w:spacing w:after="120" w:line="276" w:lineRule="auto"/>
        <w:jc w:val="left"/>
        <w:rPr>
          <w:sz w:val="22"/>
        </w:rPr>
      </w:pPr>
      <w:r>
        <w:rPr>
          <w:sz w:val="22"/>
        </w:rPr>
        <w:t>CEP 04551-000 - São Paulo – SP</w:t>
      </w:r>
    </w:p>
    <w:p w:rsidR="006B3686" w:rsidRDefault="00CE2CA2">
      <w:pPr>
        <w:pStyle w:val="Body"/>
        <w:widowControl w:val="0"/>
        <w:spacing w:after="120" w:line="276" w:lineRule="auto"/>
        <w:jc w:val="left"/>
        <w:rPr>
          <w:sz w:val="22"/>
        </w:rPr>
      </w:pPr>
      <w:r>
        <w:rPr>
          <w:sz w:val="22"/>
        </w:rPr>
        <w:t>At.: Fábio Luis dos Santos</w:t>
      </w:r>
    </w:p>
    <w:p w:rsidR="006B3686" w:rsidRDefault="00CE2CA2">
      <w:pPr>
        <w:pStyle w:val="Body"/>
        <w:widowControl w:val="0"/>
        <w:spacing w:after="120" w:line="276" w:lineRule="auto"/>
        <w:jc w:val="left"/>
        <w:rPr>
          <w:sz w:val="22"/>
        </w:rPr>
      </w:pPr>
      <w:r>
        <w:rPr>
          <w:sz w:val="22"/>
        </w:rPr>
        <w:t xml:space="preserve">Telefone: + 55 </w:t>
      </w:r>
      <w:bookmarkStart w:id="344" w:name="_Hlk40693022"/>
      <w:r>
        <w:rPr>
          <w:sz w:val="22"/>
        </w:rPr>
        <w:t>(11) 3047-2902</w:t>
      </w:r>
      <w:bookmarkEnd w:id="344"/>
    </w:p>
    <w:p w:rsidR="006B3686" w:rsidRDefault="00CE2CA2">
      <w:pPr>
        <w:pStyle w:val="Body"/>
        <w:widowControl w:val="0"/>
        <w:spacing w:after="120" w:line="276" w:lineRule="auto"/>
        <w:jc w:val="left"/>
        <w:rPr>
          <w:sz w:val="22"/>
        </w:rPr>
      </w:pPr>
      <w:r>
        <w:rPr>
          <w:sz w:val="22"/>
        </w:rPr>
        <w:t xml:space="preserve">Correio Eletrônico: </w:t>
      </w:r>
      <w:bookmarkStart w:id="345" w:name="_Hlk40693037"/>
      <w:r>
        <w:rPr>
          <w:sz w:val="22"/>
        </w:rPr>
        <w:t>fabioluis.santos@acciona.com</w:t>
      </w:r>
      <w:bookmarkEnd w:id="345"/>
    </w:p>
    <w:p w:rsidR="006B3686" w:rsidRDefault="00CE2CA2">
      <w:pPr>
        <w:pStyle w:val="Level4"/>
        <w:rPr>
          <w:sz w:val="22"/>
          <w:szCs w:val="22"/>
        </w:rPr>
      </w:pPr>
      <w:bookmarkStart w:id="346" w:name="_Toc51602718"/>
      <w:r>
        <w:rPr>
          <w:sz w:val="22"/>
          <w:szCs w:val="22"/>
        </w:rPr>
        <w:t>para o Agente Fiduciário:</w:t>
      </w:r>
      <w:bookmarkEnd w:id="346"/>
    </w:p>
    <w:p w:rsidR="006B3686" w:rsidRDefault="00CE2CA2">
      <w:pPr>
        <w:pStyle w:val="Body"/>
        <w:widowControl w:val="0"/>
        <w:spacing w:after="120" w:line="276" w:lineRule="auto"/>
        <w:rPr>
          <w:b/>
          <w:sz w:val="22"/>
        </w:rPr>
      </w:pPr>
      <w:r>
        <w:rPr>
          <w:b/>
          <w:sz w:val="22"/>
        </w:rPr>
        <w:t>SIMPLIFIC PAVARINI DISTRIBUIDORA DE TÍTULOS E VALORES MOBILIÁRIOS LTDA.</w:t>
      </w:r>
    </w:p>
    <w:p w:rsidR="006B3686" w:rsidRDefault="00CE2CA2">
      <w:pPr>
        <w:pStyle w:val="Body"/>
        <w:widowControl w:val="0"/>
        <w:spacing w:after="120" w:line="276" w:lineRule="auto"/>
        <w:jc w:val="left"/>
        <w:rPr>
          <w:sz w:val="22"/>
        </w:rPr>
      </w:pPr>
      <w:r>
        <w:rPr>
          <w:sz w:val="22"/>
        </w:rPr>
        <w:t xml:space="preserve">Rua Joaquim Floriano 466, bloco B, </w:t>
      </w:r>
      <w:proofErr w:type="spellStart"/>
      <w:r>
        <w:rPr>
          <w:sz w:val="22"/>
        </w:rPr>
        <w:t>conj</w:t>
      </w:r>
      <w:proofErr w:type="spellEnd"/>
      <w:r>
        <w:rPr>
          <w:sz w:val="22"/>
        </w:rPr>
        <w:t xml:space="preserve"> 1401, Itaim Bibi.</w:t>
      </w:r>
    </w:p>
    <w:p w:rsidR="006B3686" w:rsidRDefault="00CE2CA2">
      <w:pPr>
        <w:pStyle w:val="Body"/>
        <w:widowControl w:val="0"/>
        <w:spacing w:after="120" w:line="276" w:lineRule="auto"/>
        <w:jc w:val="left"/>
        <w:rPr>
          <w:sz w:val="22"/>
        </w:rPr>
      </w:pPr>
      <w:r>
        <w:rPr>
          <w:sz w:val="22"/>
        </w:rPr>
        <w:t>CEP 04534-002 - São Paulo – SP</w:t>
      </w:r>
    </w:p>
    <w:p w:rsidR="006B3686" w:rsidRDefault="00CE2CA2">
      <w:pPr>
        <w:pStyle w:val="Body"/>
        <w:widowControl w:val="0"/>
        <w:spacing w:after="120" w:line="276" w:lineRule="auto"/>
        <w:jc w:val="left"/>
        <w:rPr>
          <w:sz w:val="22"/>
        </w:rPr>
      </w:pPr>
      <w:r>
        <w:rPr>
          <w:sz w:val="22"/>
        </w:rPr>
        <w:t>At.: Matheus Gomes Faria / Pedro Paulo Oliveira</w:t>
      </w:r>
    </w:p>
    <w:p w:rsidR="006B3686" w:rsidRDefault="00CE2CA2">
      <w:pPr>
        <w:pStyle w:val="Body"/>
        <w:widowControl w:val="0"/>
        <w:spacing w:after="120" w:line="276" w:lineRule="auto"/>
        <w:jc w:val="left"/>
        <w:rPr>
          <w:sz w:val="22"/>
        </w:rPr>
      </w:pPr>
      <w:r>
        <w:rPr>
          <w:sz w:val="22"/>
        </w:rPr>
        <w:t>Telefone: + 55 (11) 3090-0447</w:t>
      </w:r>
    </w:p>
    <w:p w:rsidR="006B3686" w:rsidRDefault="00CE2CA2">
      <w:pPr>
        <w:pStyle w:val="Body"/>
        <w:widowControl w:val="0"/>
        <w:spacing w:after="120" w:line="276" w:lineRule="auto"/>
        <w:rPr>
          <w:sz w:val="22"/>
        </w:rPr>
      </w:pPr>
      <w:r>
        <w:rPr>
          <w:sz w:val="22"/>
        </w:rPr>
        <w:t>Correio Eletrônico: spestruturacao@simplificpavarini.com.br</w:t>
      </w:r>
    </w:p>
    <w:p w:rsidR="006B3686" w:rsidRDefault="00CE2CA2">
      <w:pPr>
        <w:pStyle w:val="Level4"/>
        <w:rPr>
          <w:sz w:val="22"/>
        </w:rPr>
      </w:pPr>
      <w:bookmarkStart w:id="347" w:name="_Toc51602719"/>
      <w:r>
        <w:rPr>
          <w:sz w:val="22"/>
        </w:rPr>
        <w:t>para o Banco Liquidante:</w:t>
      </w:r>
      <w:bookmarkEnd w:id="347"/>
    </w:p>
    <w:p w:rsidR="006B3686" w:rsidRDefault="00CE2CA2">
      <w:pPr>
        <w:pStyle w:val="Body"/>
        <w:widowControl w:val="0"/>
        <w:spacing w:after="120" w:line="276" w:lineRule="auto"/>
        <w:jc w:val="left"/>
        <w:rPr>
          <w:b/>
          <w:sz w:val="22"/>
        </w:rPr>
      </w:pPr>
      <w:r>
        <w:rPr>
          <w:b/>
          <w:sz w:val="22"/>
        </w:rPr>
        <w:t>ITAÚ UNIBANCO S.A.</w:t>
      </w:r>
    </w:p>
    <w:p w:rsidR="006B3686" w:rsidRDefault="00CE2CA2">
      <w:pPr>
        <w:pStyle w:val="Body"/>
        <w:widowControl w:val="0"/>
        <w:spacing w:after="120" w:line="276" w:lineRule="auto"/>
        <w:jc w:val="left"/>
        <w:rPr>
          <w:sz w:val="22"/>
        </w:rPr>
      </w:pPr>
      <w:bookmarkStart w:id="348" w:name="_Hlk43149550"/>
      <w:r>
        <w:rPr>
          <w:sz w:val="22"/>
        </w:rPr>
        <w:t>Praça Alfredo Egydio de Souza Aranha, nº 100.</w:t>
      </w:r>
      <w:bookmarkEnd w:id="348"/>
    </w:p>
    <w:p w:rsidR="006B3686" w:rsidRDefault="00CE2CA2">
      <w:pPr>
        <w:pStyle w:val="Body"/>
        <w:widowControl w:val="0"/>
        <w:spacing w:after="120" w:line="276" w:lineRule="auto"/>
        <w:jc w:val="left"/>
        <w:rPr>
          <w:sz w:val="22"/>
        </w:rPr>
      </w:pPr>
      <w:r>
        <w:rPr>
          <w:sz w:val="22"/>
        </w:rPr>
        <w:t>CEP 04344-902 - São Paulo – SP</w:t>
      </w:r>
    </w:p>
    <w:p w:rsidR="006B3686" w:rsidRDefault="00CE2CA2">
      <w:pPr>
        <w:pStyle w:val="Body"/>
        <w:widowControl w:val="0"/>
        <w:spacing w:after="120" w:line="276" w:lineRule="auto"/>
        <w:jc w:val="left"/>
        <w:rPr>
          <w:sz w:val="22"/>
        </w:rPr>
      </w:pPr>
      <w:r>
        <w:rPr>
          <w:sz w:val="22"/>
        </w:rPr>
        <w:t>At.: Melissa Braga</w:t>
      </w:r>
    </w:p>
    <w:p w:rsidR="006B3686" w:rsidRDefault="00CE2CA2">
      <w:pPr>
        <w:pStyle w:val="Body"/>
        <w:widowControl w:val="0"/>
        <w:spacing w:after="120" w:line="276" w:lineRule="auto"/>
        <w:jc w:val="left"/>
        <w:rPr>
          <w:sz w:val="22"/>
        </w:rPr>
      </w:pPr>
      <w:r>
        <w:rPr>
          <w:sz w:val="22"/>
        </w:rPr>
        <w:t>Telefone: + 55 (11) 2740-2919</w:t>
      </w:r>
    </w:p>
    <w:p w:rsidR="006B3686" w:rsidRDefault="00CE2CA2">
      <w:pPr>
        <w:pStyle w:val="Body"/>
        <w:widowControl w:val="0"/>
        <w:spacing w:after="120" w:line="276" w:lineRule="auto"/>
        <w:jc w:val="left"/>
        <w:rPr>
          <w:sz w:val="22"/>
        </w:rPr>
      </w:pPr>
      <w:r>
        <w:rPr>
          <w:sz w:val="22"/>
        </w:rPr>
        <w:t>Correio Eletrônico: escrituracaorf@itau-unibanco.com.br</w:t>
      </w:r>
    </w:p>
    <w:p w:rsidR="006B3686" w:rsidRDefault="00CE2CA2">
      <w:pPr>
        <w:pStyle w:val="Level4"/>
        <w:rPr>
          <w:sz w:val="22"/>
        </w:rPr>
      </w:pPr>
      <w:bookmarkStart w:id="349" w:name="_Toc51602720"/>
      <w:r>
        <w:rPr>
          <w:sz w:val="22"/>
        </w:rPr>
        <w:t>para o Escriturador:</w:t>
      </w:r>
      <w:bookmarkEnd w:id="349"/>
    </w:p>
    <w:p w:rsidR="006B3686" w:rsidRDefault="00CE2CA2">
      <w:pPr>
        <w:pStyle w:val="Body"/>
        <w:widowControl w:val="0"/>
        <w:spacing w:after="120" w:line="276" w:lineRule="auto"/>
        <w:jc w:val="left"/>
        <w:rPr>
          <w:sz w:val="22"/>
        </w:rPr>
      </w:pPr>
      <w:r>
        <w:rPr>
          <w:b/>
          <w:sz w:val="22"/>
        </w:rPr>
        <w:t>ITAÚ CORRETORA DE VALORES S.A.</w:t>
      </w:r>
      <w:r>
        <w:rPr>
          <w:sz w:val="22"/>
        </w:rPr>
        <w:t xml:space="preserve"> </w:t>
      </w:r>
    </w:p>
    <w:p w:rsidR="006B3686" w:rsidRDefault="00CE2CA2">
      <w:pPr>
        <w:pStyle w:val="Body"/>
        <w:widowControl w:val="0"/>
        <w:spacing w:after="120" w:line="276" w:lineRule="auto"/>
        <w:jc w:val="left"/>
        <w:rPr>
          <w:sz w:val="22"/>
        </w:rPr>
      </w:pPr>
      <w:r>
        <w:rPr>
          <w:sz w:val="22"/>
        </w:rPr>
        <w:t xml:space="preserve">Rua </w:t>
      </w:r>
      <w:proofErr w:type="spellStart"/>
      <w:r>
        <w:rPr>
          <w:sz w:val="22"/>
        </w:rPr>
        <w:t>Ururaí</w:t>
      </w:r>
      <w:proofErr w:type="spellEnd"/>
      <w:r>
        <w:rPr>
          <w:sz w:val="22"/>
        </w:rPr>
        <w:t>, nº. 111, Prédio B, Térreo. Tatuapé – São Paulo/SP.</w:t>
      </w:r>
    </w:p>
    <w:p w:rsidR="006B3686" w:rsidRDefault="00CE2CA2">
      <w:pPr>
        <w:pStyle w:val="Body"/>
        <w:widowControl w:val="0"/>
        <w:spacing w:after="120" w:line="276" w:lineRule="auto"/>
        <w:jc w:val="left"/>
        <w:rPr>
          <w:sz w:val="22"/>
        </w:rPr>
      </w:pPr>
      <w:r>
        <w:rPr>
          <w:sz w:val="22"/>
        </w:rPr>
        <w:t>CEP 03084-010, São Paulo, SP</w:t>
      </w:r>
    </w:p>
    <w:p w:rsidR="006B3686" w:rsidRDefault="00CE2CA2">
      <w:pPr>
        <w:pStyle w:val="Body"/>
        <w:widowControl w:val="0"/>
        <w:spacing w:after="120" w:line="276" w:lineRule="auto"/>
        <w:jc w:val="left"/>
        <w:rPr>
          <w:sz w:val="22"/>
        </w:rPr>
      </w:pPr>
      <w:r>
        <w:rPr>
          <w:sz w:val="22"/>
        </w:rPr>
        <w:t>At.: DISO – SPGE – GOE – Gerência de Operações de Escrituração</w:t>
      </w:r>
    </w:p>
    <w:p w:rsidR="006B3686" w:rsidRDefault="00CE2CA2">
      <w:pPr>
        <w:pStyle w:val="Body"/>
        <w:widowControl w:val="0"/>
        <w:spacing w:after="120" w:line="276" w:lineRule="auto"/>
        <w:jc w:val="left"/>
        <w:rPr>
          <w:sz w:val="22"/>
        </w:rPr>
      </w:pPr>
      <w:r>
        <w:rPr>
          <w:sz w:val="22"/>
        </w:rPr>
        <w:t>Telefone: + 55 (11) 2740-2919</w:t>
      </w:r>
    </w:p>
    <w:p w:rsidR="006B3686" w:rsidRDefault="00CE2CA2">
      <w:pPr>
        <w:pStyle w:val="Body"/>
        <w:widowControl w:val="0"/>
        <w:spacing w:after="120" w:line="276" w:lineRule="auto"/>
        <w:jc w:val="left"/>
        <w:rPr>
          <w:sz w:val="22"/>
        </w:rPr>
      </w:pPr>
      <w:r>
        <w:rPr>
          <w:sz w:val="22"/>
        </w:rPr>
        <w:t>Correio Eletrônico: escrituracaorf@itau-unibanco.com.br</w:t>
      </w:r>
    </w:p>
    <w:p w:rsidR="006B3686" w:rsidRDefault="00CE2CA2">
      <w:pPr>
        <w:pStyle w:val="Level4"/>
        <w:rPr>
          <w:sz w:val="22"/>
        </w:rPr>
      </w:pPr>
      <w:bookmarkStart w:id="350" w:name="_Toc51602721"/>
      <w:r>
        <w:rPr>
          <w:sz w:val="22"/>
        </w:rPr>
        <w:t>para a B3:</w:t>
      </w:r>
      <w:bookmarkEnd w:id="350"/>
    </w:p>
    <w:p w:rsidR="006B3686" w:rsidRDefault="00CE2CA2">
      <w:pPr>
        <w:pStyle w:val="Body"/>
        <w:widowControl w:val="0"/>
        <w:spacing w:after="120" w:line="276" w:lineRule="auto"/>
        <w:jc w:val="left"/>
        <w:rPr>
          <w:b/>
          <w:sz w:val="22"/>
        </w:rPr>
      </w:pPr>
      <w:r>
        <w:rPr>
          <w:b/>
          <w:sz w:val="22"/>
        </w:rPr>
        <w:t>B3 S.A. – BRASIL, BOLSA, BALCÃO – SEGMENTO CETIP UTVM</w:t>
      </w:r>
    </w:p>
    <w:p w:rsidR="006B3686" w:rsidRDefault="00CE2CA2">
      <w:pPr>
        <w:pStyle w:val="Body"/>
        <w:widowControl w:val="0"/>
        <w:spacing w:after="120" w:line="276" w:lineRule="auto"/>
        <w:jc w:val="left"/>
        <w:rPr>
          <w:sz w:val="22"/>
        </w:rPr>
      </w:pPr>
      <w:r>
        <w:rPr>
          <w:sz w:val="22"/>
        </w:rPr>
        <w:t xml:space="preserve">Praça Antônio Prado, 48, 4º andar </w:t>
      </w:r>
    </w:p>
    <w:p w:rsidR="006B3686" w:rsidRDefault="00CE2CA2">
      <w:pPr>
        <w:pStyle w:val="Body"/>
        <w:widowControl w:val="0"/>
        <w:spacing w:after="120" w:line="276" w:lineRule="auto"/>
        <w:jc w:val="left"/>
        <w:rPr>
          <w:sz w:val="22"/>
        </w:rPr>
      </w:pPr>
      <w:r>
        <w:rPr>
          <w:sz w:val="22"/>
        </w:rPr>
        <w:t>CEP: 01010-901, São Paulo, SP</w:t>
      </w:r>
    </w:p>
    <w:p w:rsidR="006B3686" w:rsidRDefault="00CE2CA2">
      <w:pPr>
        <w:pStyle w:val="Body"/>
        <w:widowControl w:val="0"/>
        <w:spacing w:after="120" w:line="276" w:lineRule="auto"/>
        <w:jc w:val="left"/>
        <w:rPr>
          <w:sz w:val="22"/>
        </w:rPr>
      </w:pPr>
      <w:r>
        <w:rPr>
          <w:sz w:val="22"/>
        </w:rPr>
        <w:t>At.: Superintendência de Ofertas de Títulos Corporativos e Fundos - SCF</w:t>
      </w:r>
    </w:p>
    <w:p w:rsidR="006B3686" w:rsidRDefault="00CE2CA2">
      <w:pPr>
        <w:pStyle w:val="Body"/>
        <w:widowControl w:val="0"/>
        <w:spacing w:after="120" w:line="276" w:lineRule="auto"/>
        <w:jc w:val="left"/>
        <w:rPr>
          <w:sz w:val="22"/>
        </w:rPr>
      </w:pPr>
      <w:r>
        <w:rPr>
          <w:sz w:val="22"/>
        </w:rPr>
        <w:t>Telefone: (11) 2565-5061</w:t>
      </w:r>
    </w:p>
    <w:p w:rsidR="006B3686" w:rsidRDefault="00CE2CA2">
      <w:pPr>
        <w:pStyle w:val="Body"/>
        <w:widowControl w:val="0"/>
        <w:spacing w:after="120" w:line="276" w:lineRule="auto"/>
        <w:jc w:val="left"/>
        <w:rPr>
          <w:sz w:val="22"/>
        </w:rPr>
      </w:pPr>
      <w:r>
        <w:rPr>
          <w:sz w:val="22"/>
        </w:rPr>
        <w:t>Correio Eletrônico: valores.mobiliarios@b3.com.br</w:t>
      </w:r>
    </w:p>
    <w:p w:rsidR="006B3686" w:rsidRDefault="00CE2CA2">
      <w:pPr>
        <w:pStyle w:val="Level1"/>
        <w:keepNext w:val="0"/>
        <w:keepLines w:val="0"/>
        <w:widowControl w:val="0"/>
        <w:spacing w:before="0" w:after="120" w:line="276" w:lineRule="auto"/>
        <w:ind w:left="0" w:firstLine="0"/>
        <w:rPr>
          <w:color w:val="auto"/>
        </w:rPr>
      </w:pPr>
      <w:bookmarkStart w:id="351" w:name="_Toc51602722"/>
      <w:r>
        <w:rPr>
          <w:color w:val="auto"/>
        </w:rPr>
        <w:t>DISPOSIÇÕES GERAIS</w:t>
      </w:r>
      <w:bookmarkEnd w:id="351"/>
    </w:p>
    <w:p w:rsidR="006B3686" w:rsidRDefault="00CE2CA2">
      <w:pPr>
        <w:pStyle w:val="Level2"/>
        <w:widowControl w:val="0"/>
        <w:spacing w:after="120" w:line="276" w:lineRule="auto"/>
        <w:ind w:left="0" w:firstLine="0"/>
        <w:rPr>
          <w:rFonts w:cs="Arial"/>
          <w:sz w:val="22"/>
          <w:szCs w:val="22"/>
        </w:rPr>
      </w:pPr>
      <w:bookmarkStart w:id="352" w:name="_Toc51602723"/>
      <w:r>
        <w:rPr>
          <w:rFonts w:cs="Arial"/>
          <w:sz w:val="22"/>
          <w:szCs w:val="22"/>
        </w:rPr>
        <w:t>As obrigações assumidas nesta Escritura de Emissão têm caráter irrevogável e irretratável, obrigando as Partes e seus sucessores, a qualquer título, ao seu integral cumprimento.</w:t>
      </w:r>
      <w:bookmarkEnd w:id="352"/>
    </w:p>
    <w:p w:rsidR="006B3686" w:rsidRDefault="00CE2CA2">
      <w:pPr>
        <w:pStyle w:val="Level2"/>
        <w:widowControl w:val="0"/>
        <w:spacing w:after="120" w:line="276" w:lineRule="auto"/>
        <w:ind w:left="0" w:firstLine="0"/>
        <w:rPr>
          <w:rFonts w:cs="Arial"/>
          <w:sz w:val="22"/>
          <w:szCs w:val="22"/>
        </w:rPr>
      </w:pPr>
      <w:bookmarkStart w:id="353" w:name="_Toc51602724"/>
      <w:r>
        <w:rPr>
          <w:rFonts w:cs="Arial"/>
          <w:sz w:val="22"/>
          <w:szCs w:val="22"/>
        </w:rPr>
        <w:t>Qualquer alteração a esta Escritura de Emissão somente será considerada válida se formalizada por escrito, em instrumento próprio assinado por todas as Partes.</w:t>
      </w:r>
      <w:bookmarkEnd w:id="353"/>
    </w:p>
    <w:p w:rsidR="006B3686" w:rsidRDefault="00CE2CA2">
      <w:pPr>
        <w:pStyle w:val="Level2"/>
        <w:widowControl w:val="0"/>
        <w:spacing w:after="120" w:line="276" w:lineRule="auto"/>
        <w:ind w:left="0" w:firstLine="0"/>
        <w:rPr>
          <w:rFonts w:cs="Arial"/>
          <w:sz w:val="22"/>
          <w:szCs w:val="22"/>
        </w:rPr>
      </w:pPr>
      <w:bookmarkStart w:id="354" w:name="_Toc51602725"/>
      <w:r>
        <w:rPr>
          <w:rFonts w:cs="Arial"/>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54"/>
    </w:p>
    <w:p w:rsidR="006B3686" w:rsidRDefault="00CE2CA2">
      <w:pPr>
        <w:pStyle w:val="Level2"/>
        <w:widowControl w:val="0"/>
        <w:spacing w:after="120" w:line="276" w:lineRule="auto"/>
        <w:ind w:left="0" w:firstLine="0"/>
        <w:rPr>
          <w:rFonts w:cs="Arial"/>
          <w:sz w:val="22"/>
          <w:szCs w:val="22"/>
        </w:rPr>
      </w:pPr>
      <w:bookmarkStart w:id="355" w:name="_Toc51602726"/>
      <w:r>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55"/>
    </w:p>
    <w:p w:rsidR="006B3686" w:rsidRDefault="00CE2CA2">
      <w:pPr>
        <w:pStyle w:val="Level2"/>
        <w:widowControl w:val="0"/>
        <w:spacing w:after="120" w:line="276" w:lineRule="auto"/>
        <w:ind w:left="0" w:firstLine="0"/>
        <w:rPr>
          <w:rFonts w:cs="Arial"/>
          <w:sz w:val="22"/>
          <w:szCs w:val="22"/>
        </w:rPr>
      </w:pPr>
      <w:bookmarkStart w:id="356" w:name="_Toc51602727"/>
      <w:r>
        <w:rPr>
          <w:rFonts w:cs="Arial"/>
          <w:sz w:val="22"/>
          <w:szCs w:val="22"/>
        </w:rPr>
        <w:t>As Partes reconhecem esta Escritura de Emissão e as Debêntures como títulos executivos extrajudiciais nos termos do artigo 784, incisos I e III, do Código de Processo Civil.</w:t>
      </w:r>
      <w:bookmarkEnd w:id="356"/>
    </w:p>
    <w:p w:rsidR="006B3686" w:rsidRDefault="00CE2CA2">
      <w:pPr>
        <w:pStyle w:val="Level2"/>
        <w:widowControl w:val="0"/>
        <w:spacing w:after="120" w:line="276" w:lineRule="auto"/>
        <w:ind w:left="0" w:firstLine="0"/>
        <w:rPr>
          <w:rFonts w:cs="Arial"/>
          <w:sz w:val="22"/>
          <w:szCs w:val="22"/>
        </w:rPr>
      </w:pPr>
      <w:bookmarkStart w:id="357" w:name="_Toc51602728"/>
      <w:r>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57"/>
    </w:p>
    <w:p w:rsidR="006B3686" w:rsidRDefault="00CE2CA2">
      <w:pPr>
        <w:pStyle w:val="Level1"/>
        <w:keepNext w:val="0"/>
        <w:keepLines w:val="0"/>
        <w:widowControl w:val="0"/>
        <w:spacing w:before="0" w:after="120" w:line="276" w:lineRule="auto"/>
        <w:ind w:left="0" w:firstLine="0"/>
        <w:rPr>
          <w:smallCaps/>
          <w:color w:val="auto"/>
        </w:rPr>
      </w:pPr>
      <w:bookmarkStart w:id="358" w:name="_Toc51602729"/>
      <w:r>
        <w:rPr>
          <w:smallCaps/>
          <w:color w:val="auto"/>
        </w:rPr>
        <w:t>LEI DE REGÊNCIA</w:t>
      </w:r>
      <w:bookmarkEnd w:id="358"/>
    </w:p>
    <w:p w:rsidR="006B3686" w:rsidRDefault="00CE2CA2">
      <w:pPr>
        <w:pStyle w:val="Level2"/>
        <w:widowControl w:val="0"/>
        <w:spacing w:after="120" w:line="276" w:lineRule="auto"/>
        <w:ind w:left="0" w:firstLine="0"/>
        <w:rPr>
          <w:rFonts w:cs="Arial"/>
          <w:sz w:val="22"/>
          <w:szCs w:val="22"/>
        </w:rPr>
      </w:pPr>
      <w:bookmarkStart w:id="359" w:name="_Toc51602730"/>
      <w:r>
        <w:rPr>
          <w:rFonts w:cs="Arial"/>
          <w:sz w:val="22"/>
          <w:szCs w:val="22"/>
        </w:rPr>
        <w:t>Esta Escritura de Emissão é regida pelas leis da República Federativa do Brasil.</w:t>
      </w:r>
      <w:bookmarkEnd w:id="359"/>
    </w:p>
    <w:p w:rsidR="006B3686" w:rsidRDefault="00CE2CA2">
      <w:pPr>
        <w:pStyle w:val="Level1"/>
        <w:keepNext w:val="0"/>
        <w:keepLines w:val="0"/>
        <w:widowControl w:val="0"/>
        <w:spacing w:before="0" w:after="120" w:line="276" w:lineRule="auto"/>
        <w:ind w:left="0" w:firstLine="0"/>
        <w:rPr>
          <w:smallCaps/>
          <w:color w:val="auto"/>
        </w:rPr>
      </w:pPr>
      <w:bookmarkStart w:id="360" w:name="_Ref279318438"/>
      <w:bookmarkStart w:id="361" w:name="_Toc51602731"/>
      <w:r>
        <w:rPr>
          <w:smallCaps/>
          <w:color w:val="auto"/>
        </w:rPr>
        <w:t>FORO</w:t>
      </w:r>
      <w:bookmarkEnd w:id="360"/>
      <w:bookmarkEnd w:id="361"/>
    </w:p>
    <w:p w:rsidR="006B3686" w:rsidRDefault="00CE2CA2">
      <w:pPr>
        <w:pStyle w:val="Level2"/>
        <w:widowControl w:val="0"/>
        <w:spacing w:after="120" w:line="276" w:lineRule="auto"/>
        <w:ind w:left="0" w:firstLine="0"/>
        <w:rPr>
          <w:rFonts w:cs="Arial"/>
          <w:sz w:val="22"/>
          <w:szCs w:val="22"/>
        </w:rPr>
      </w:pPr>
      <w:bookmarkStart w:id="362" w:name="_Toc51602732"/>
      <w:r>
        <w:rPr>
          <w:rFonts w:cs="Arial"/>
          <w:sz w:val="22"/>
          <w:szCs w:val="22"/>
        </w:rPr>
        <w:t>Fica eleito o foro da Comarca da Cidade de São Paulo, Estado de São Paulo, com exclusão de qualquer outro, por mais privilegiado que seja, para dirimir as questões porventura oriundas desta Escritura de Emissão.</w:t>
      </w:r>
      <w:bookmarkEnd w:id="362"/>
    </w:p>
    <w:p w:rsidR="006B3686" w:rsidRDefault="006B3686" w:rsidP="00CE2CA2">
      <w:pPr>
        <w:pStyle w:val="Body"/>
        <w:widowControl w:val="0"/>
        <w:spacing w:after="120" w:line="276" w:lineRule="auto"/>
        <w:rPr>
          <w:b/>
          <w:sz w:val="22"/>
        </w:rPr>
      </w:pPr>
      <w:bookmarkStart w:id="363" w:name="_Toc370813549"/>
      <w:bookmarkStart w:id="364" w:name="_Toc370815330"/>
      <w:bookmarkStart w:id="365" w:name="_Toc370815384"/>
      <w:bookmarkStart w:id="366" w:name="_Toc370815467"/>
      <w:bookmarkStart w:id="367" w:name="_Toc370815522"/>
      <w:bookmarkStart w:id="368" w:name="_Toc370815577"/>
      <w:bookmarkStart w:id="369" w:name="_Toc370815632"/>
      <w:bookmarkStart w:id="370" w:name="_Toc370815687"/>
      <w:bookmarkStart w:id="371" w:name="_Toc370815742"/>
      <w:bookmarkStart w:id="372" w:name="_Toc370815797"/>
      <w:bookmarkStart w:id="373" w:name="_Toc370817048"/>
      <w:bookmarkStart w:id="374" w:name="_Toc370892111"/>
      <w:bookmarkStart w:id="375" w:name="_Toc370892165"/>
      <w:bookmarkStart w:id="376" w:name="_Toc370892221"/>
      <w:bookmarkStart w:id="377" w:name="_DV_M570"/>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sectPr w:rsidR="006B3686">
      <w:headerReference w:type="even" r:id="rId31"/>
      <w:footerReference w:type="even" r:id="rId32"/>
      <w:footerReference w:type="default" r:id="rId33"/>
      <w:headerReference w:type="first" r:id="rId34"/>
      <w:pgSz w:w="11906" w:h="16838" w:code="121"/>
      <w:pgMar w:top="2552" w:right="991" w:bottom="1843" w:left="2398"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F9E" w:rsidRDefault="008A6F9E">
      <w:r>
        <w:separator/>
      </w:r>
    </w:p>
    <w:p w:rsidR="008A6F9E" w:rsidRDefault="008A6F9E"/>
    <w:p w:rsidR="008A6F9E" w:rsidRDefault="008A6F9E"/>
  </w:endnote>
  <w:endnote w:type="continuationSeparator" w:id="0">
    <w:p w:rsidR="008A6F9E" w:rsidRDefault="008A6F9E">
      <w:r>
        <w:continuationSeparator/>
      </w:r>
    </w:p>
    <w:p w:rsidR="008A6F9E" w:rsidRDefault="008A6F9E"/>
    <w:p w:rsidR="008A6F9E" w:rsidRDefault="008A6F9E"/>
  </w:endnote>
  <w:endnote w:type="continuationNotice" w:id="1">
    <w:p w:rsidR="008A6F9E" w:rsidRDefault="008A6F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F9E" w:rsidRDefault="008A6F9E">
    <w:pPr>
      <w:rPr>
        <w:sz w:val="14"/>
        <w:szCs w:val="14"/>
      </w:rPr>
    </w:pPr>
    <w:r>
      <w:rPr>
        <w:sz w:val="14"/>
        <w:szCs w:val="14"/>
      </w:rPr>
      <w:fldChar w:fldCharType="begin"/>
    </w:r>
    <w:r>
      <w:rPr>
        <w:sz w:val="14"/>
        <w:szCs w:val="14"/>
      </w:rPr>
      <w:instrText>DOCPROPERTY iManageFooter \* MERGEFORMAT</w:instrText>
    </w:r>
    <w:r>
      <w:rPr>
        <w:sz w:val="14"/>
        <w:szCs w:val="14"/>
      </w:rPr>
      <w:fldChar w:fldCharType="separate"/>
    </w:r>
    <w:r>
      <w:rPr>
        <w:sz w:val="14"/>
        <w:szCs w:val="14"/>
      </w:rPr>
      <w:t>JUR_SP - 36417701v29 - 1776019.456974</w:t>
    </w:r>
    <w:r>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F9E" w:rsidRDefault="008A6F9E">
    <w:fldSimple w:instr="DOCPROPERTY iManageFooter \* MERGEFORMAT">
      <w:r>
        <w:t>JUR_SP - 36417701v29 - 1776019.456974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F9E" w:rsidRDefault="008A6F9E">
      <w:r>
        <w:separator/>
      </w:r>
    </w:p>
    <w:p w:rsidR="008A6F9E" w:rsidRDefault="008A6F9E"/>
    <w:p w:rsidR="008A6F9E" w:rsidRDefault="008A6F9E"/>
  </w:footnote>
  <w:footnote w:type="continuationSeparator" w:id="0">
    <w:p w:rsidR="008A6F9E" w:rsidRDefault="008A6F9E">
      <w:r>
        <w:continuationSeparator/>
      </w:r>
    </w:p>
    <w:p w:rsidR="008A6F9E" w:rsidRDefault="008A6F9E"/>
    <w:p w:rsidR="008A6F9E" w:rsidRDefault="008A6F9E"/>
  </w:footnote>
  <w:footnote w:type="continuationNotice" w:id="1">
    <w:p w:rsidR="008A6F9E" w:rsidRDefault="008A6F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F9E" w:rsidRDefault="008A6F9E">
    <w:pPr>
      <w:pStyle w:val="Cabealho"/>
    </w:pPr>
  </w:p>
  <w:p w:rsidR="008A6F9E" w:rsidRDefault="008A6F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F9E" w:rsidRDefault="008A6F9E">
    <w:pPr>
      <w:pStyle w:val="Cabealho"/>
      <w:jc w:val="right"/>
      <w:rPr>
        <w:rFonts w:ascii="Arial" w:hAnsi="Arial" w:cs="Arial"/>
        <w:b/>
        <w:sz w:val="20"/>
      </w:rPr>
    </w:pPr>
    <w:r>
      <w:rPr>
        <w:noProof/>
      </w:rPr>
      <w:drawing>
        <wp:inline distT="0" distB="0" distL="0" distR="0">
          <wp:extent cx="1075974" cy="622732"/>
          <wp:effectExtent l="0" t="0" r="0" b="0"/>
          <wp:docPr id="18" name="Imagem 18"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0"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355D7B"/>
    <w:multiLevelType w:val="multilevel"/>
    <w:tmpl w:val="833047F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8"/>
  </w:num>
  <w:num w:numId="2">
    <w:abstractNumId w:val="21"/>
  </w:num>
  <w:num w:numId="3">
    <w:abstractNumId w:val="1"/>
  </w:num>
  <w:num w:numId="4">
    <w:abstractNumId w:val="11"/>
  </w:num>
  <w:num w:numId="5">
    <w:abstractNumId w:val="23"/>
  </w:num>
  <w:num w:numId="6">
    <w:abstractNumId w:val="24"/>
  </w:num>
  <w:num w:numId="7">
    <w:abstractNumId w:val="17"/>
  </w:num>
  <w:num w:numId="8">
    <w:abstractNumId w:val="7"/>
  </w:num>
  <w:num w:numId="9">
    <w:abstractNumId w:val="4"/>
  </w:num>
  <w:num w:numId="10">
    <w:abstractNumId w:val="16"/>
  </w:num>
  <w:num w:numId="11">
    <w:abstractNumId w:val="2"/>
  </w:num>
  <w:num w:numId="12">
    <w:abstractNumId w:val="15"/>
  </w:num>
  <w:num w:numId="13">
    <w:abstractNumId w:val="19"/>
  </w:num>
  <w:num w:numId="14">
    <w:abstractNumId w:val="12"/>
  </w:num>
  <w:num w:numId="15">
    <w:abstractNumId w:val="0"/>
  </w:num>
  <w:num w:numId="16">
    <w:abstractNumId w:val="20"/>
  </w:num>
  <w:num w:numId="17">
    <w:abstractNumId w:val="22"/>
  </w:num>
  <w:num w:numId="18">
    <w:abstractNumId w:val="9"/>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6"/>
  </w:num>
  <w:num w:numId="31">
    <w:abstractNumId w:val="13"/>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2518D8"/>
    <w:rsid w:val="002E67AF"/>
    <w:rsid w:val="002F24C4"/>
    <w:rsid w:val="00660F5E"/>
    <w:rsid w:val="006B3686"/>
    <w:rsid w:val="00804E9F"/>
    <w:rsid w:val="008A6F9E"/>
    <w:rsid w:val="00A4303F"/>
    <w:rsid w:val="00CE2CA2"/>
    <w:rsid w:val="00F15147"/>
    <w:rsid w:val="00F654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D51D0"/>
  <w15:docId w15:val="{7F56910E-C781-4799-A9EF-F25570A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aliases w:val="Lev 6 Char,Numbered - 6 Char,Lev 61 Char,Numbered - 61 Char,Lev 62 Char,Numbered - 62 Char,Lev 63 Char,Numbered - 63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https://www.acciona.com.br/" TargetMode="External"/><Relationship Id="rId35" Type="http://schemas.openxmlformats.org/officeDocument/2006/relationships/fontTable" Target="fontTable.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Props1.xml><?xml version="1.0" encoding="utf-8"?>
<ds:datastoreItem xmlns:ds="http://schemas.openxmlformats.org/officeDocument/2006/customXml" ds:itemID="{AC08BC02-C2F6-421D-ACC1-1F928C647219}">
  <ds:schemaRefs>
    <ds:schemaRef ds:uri="http://schemas.openxmlformats.org/officeDocument/2006/bibliography"/>
  </ds:schemaRefs>
</ds:datastoreItem>
</file>

<file path=customXml/itemProps10.xml><?xml version="1.0" encoding="utf-8"?>
<ds:datastoreItem xmlns:ds="http://schemas.openxmlformats.org/officeDocument/2006/customXml" ds:itemID="{544078A4-571B-4C3E-AF54-B3F8EDA7D5C1}">
  <ds:schemaRefs>
    <ds:schemaRef ds:uri="http://schemas.openxmlformats.org/officeDocument/2006/bibliography"/>
  </ds:schemaRefs>
</ds:datastoreItem>
</file>

<file path=customXml/itemProps11.xml><?xml version="1.0" encoding="utf-8"?>
<ds:datastoreItem xmlns:ds="http://schemas.openxmlformats.org/officeDocument/2006/customXml" ds:itemID="{83E68B5C-8CD3-4BF1-A1E4-198F53B0B9AC}">
  <ds:schemaRefs>
    <ds:schemaRef ds:uri="http://schemas.openxmlformats.org/officeDocument/2006/bibliography"/>
  </ds:schemaRefs>
</ds:datastoreItem>
</file>

<file path=customXml/itemProps12.xml><?xml version="1.0" encoding="utf-8"?>
<ds:datastoreItem xmlns:ds="http://schemas.openxmlformats.org/officeDocument/2006/customXml" ds:itemID="{A2FFBCEE-B9D9-4DB7-97F9-A65F0245794E}">
  <ds:schemaRefs>
    <ds:schemaRef ds:uri="http://www.imanage.com/work/xmlschema"/>
  </ds:schemaRefs>
</ds:datastoreItem>
</file>

<file path=customXml/itemProps13.xml><?xml version="1.0" encoding="utf-8"?>
<ds:datastoreItem xmlns:ds="http://schemas.openxmlformats.org/officeDocument/2006/customXml" ds:itemID="{8E41FC95-5B04-4EC7-9BF5-31FCF1E85896}">
  <ds:schemaRefs>
    <ds:schemaRef ds:uri="http://schemas.openxmlformats.org/officeDocument/2006/bibliography"/>
  </ds:schemaRefs>
</ds:datastoreItem>
</file>

<file path=customXml/itemProps14.xml><?xml version="1.0" encoding="utf-8"?>
<ds:datastoreItem xmlns:ds="http://schemas.openxmlformats.org/officeDocument/2006/customXml" ds:itemID="{5CC2029D-CA92-494B-B905-8FF0CD27B73D}">
  <ds:schemaRefs>
    <ds:schemaRef ds:uri="http://schemas.openxmlformats.org/officeDocument/2006/bibliography"/>
  </ds:schemaRefs>
</ds:datastoreItem>
</file>

<file path=customXml/itemProps15.xml><?xml version="1.0" encoding="utf-8"?>
<ds:datastoreItem xmlns:ds="http://schemas.openxmlformats.org/officeDocument/2006/customXml" ds:itemID="{3A7D8D0E-0773-44C9-8F37-048BE4162714}">
  <ds:schemaRefs>
    <ds:schemaRef ds:uri="http://schemas.openxmlformats.org/officeDocument/2006/bibliography"/>
  </ds:schemaRefs>
</ds:datastoreItem>
</file>

<file path=customXml/itemProps16.xml><?xml version="1.0" encoding="utf-8"?>
<ds:datastoreItem xmlns:ds="http://schemas.openxmlformats.org/officeDocument/2006/customXml" ds:itemID="{BC8935F0-75EC-437E-A810-B060BAD9A10C}">
  <ds:schemaRefs>
    <ds:schemaRef ds:uri="http://schemas.openxmlformats.org/officeDocument/2006/bibliography"/>
  </ds:schemaRefs>
</ds:datastoreItem>
</file>

<file path=customXml/itemProps17.xml><?xml version="1.0" encoding="utf-8"?>
<ds:datastoreItem xmlns:ds="http://schemas.openxmlformats.org/officeDocument/2006/customXml" ds:itemID="{1EDD1BA6-A6C4-4550-82D7-D5C6412E41D6}">
  <ds:schemaRefs>
    <ds:schemaRef ds:uri="http://schemas.openxmlformats.org/officeDocument/2006/bibliography"/>
  </ds:schemaRefs>
</ds:datastoreItem>
</file>

<file path=customXml/itemProps18.xml><?xml version="1.0" encoding="utf-8"?>
<ds:datastoreItem xmlns:ds="http://schemas.openxmlformats.org/officeDocument/2006/customXml" ds:itemID="{DDD95BCA-936D-4514-9C4F-B223D691E2D9}">
  <ds:schemaRefs>
    <ds:schemaRef ds:uri="http://schemas.openxmlformats.org/officeDocument/2006/bibliography"/>
  </ds:schemaRefs>
</ds:datastoreItem>
</file>

<file path=customXml/itemProps19.xml><?xml version="1.0" encoding="utf-8"?>
<ds:datastoreItem xmlns:ds="http://schemas.openxmlformats.org/officeDocument/2006/customXml" ds:itemID="{75B09558-234B-4908-A516-6EB01BF57A03}">
  <ds:schemaRefs>
    <ds:schemaRef ds:uri="http://schemas.openxmlformats.org/officeDocument/2006/bibliography"/>
  </ds:schemaRefs>
</ds:datastoreItem>
</file>

<file path=customXml/itemProps2.xml><?xml version="1.0" encoding="utf-8"?>
<ds:datastoreItem xmlns:ds="http://schemas.openxmlformats.org/officeDocument/2006/customXml" ds:itemID="{64512D26-BC87-47B7-9046-84864D19D9B4}">
  <ds:schemaRefs>
    <ds:schemaRef ds:uri="http://schemas.openxmlformats.org/officeDocument/2006/bibliography"/>
  </ds:schemaRefs>
</ds:datastoreItem>
</file>

<file path=customXml/itemProps20.xml><?xml version="1.0" encoding="utf-8"?>
<ds:datastoreItem xmlns:ds="http://schemas.openxmlformats.org/officeDocument/2006/customXml" ds:itemID="{FCC62A5E-1C3B-453D-BBD1-0DC9BBEE03D3}">
  <ds:schemaRefs>
    <ds:schemaRef ds:uri="http://schemas.openxmlformats.org/officeDocument/2006/bibliography"/>
  </ds:schemaRefs>
</ds:datastoreItem>
</file>

<file path=customXml/itemProps3.xml><?xml version="1.0" encoding="utf-8"?>
<ds:datastoreItem xmlns:ds="http://schemas.openxmlformats.org/officeDocument/2006/customXml" ds:itemID="{7BF2DC53-2CB2-4B9B-91F4-4CAAD811AE42}">
  <ds:schemaRefs>
    <ds:schemaRef ds:uri="http://schemas.openxmlformats.org/officeDocument/2006/bibliography"/>
  </ds:schemaRefs>
</ds:datastoreItem>
</file>

<file path=customXml/itemProps4.xml><?xml version="1.0" encoding="utf-8"?>
<ds:datastoreItem xmlns:ds="http://schemas.openxmlformats.org/officeDocument/2006/customXml" ds:itemID="{18AB6204-6215-4559-8BE5-C532A3FA0FC8}">
  <ds:schemaRefs>
    <ds:schemaRef ds:uri="http://schemas.openxmlformats.org/officeDocument/2006/bibliography"/>
  </ds:schemaRefs>
</ds:datastoreItem>
</file>

<file path=customXml/itemProps5.xml><?xml version="1.0" encoding="utf-8"?>
<ds:datastoreItem xmlns:ds="http://schemas.openxmlformats.org/officeDocument/2006/customXml" ds:itemID="{4FAAC0AB-7262-4E56-8810-65834E08AE28}">
  <ds:schemaRefs>
    <ds:schemaRef ds:uri="http://schemas.openxmlformats.org/officeDocument/2006/bibliography"/>
  </ds:schemaRefs>
</ds:datastoreItem>
</file>

<file path=customXml/itemProps6.xml><?xml version="1.0" encoding="utf-8"?>
<ds:datastoreItem xmlns:ds="http://schemas.openxmlformats.org/officeDocument/2006/customXml" ds:itemID="{F9671E0B-A7AA-4BD2-B7AB-361AEDA8794A}">
  <ds:schemaRefs>
    <ds:schemaRef ds:uri="http://schemas.openxmlformats.org/officeDocument/2006/bibliography"/>
  </ds:schemaRefs>
</ds:datastoreItem>
</file>

<file path=customXml/itemProps7.xml><?xml version="1.0" encoding="utf-8"?>
<ds:datastoreItem xmlns:ds="http://schemas.openxmlformats.org/officeDocument/2006/customXml" ds:itemID="{C9343546-C34A-45A2-98DF-1DBB6588C438}">
  <ds:schemaRefs>
    <ds:schemaRef ds:uri="http://schemas.openxmlformats.org/officeDocument/2006/bibliography"/>
  </ds:schemaRefs>
</ds:datastoreItem>
</file>

<file path=customXml/itemProps8.xml><?xml version="1.0" encoding="utf-8"?>
<ds:datastoreItem xmlns:ds="http://schemas.openxmlformats.org/officeDocument/2006/customXml" ds:itemID="{C371FA8A-E060-4C93-870D-F94A188BF039}">
  <ds:schemaRefs>
    <ds:schemaRef ds:uri="http://schemas.openxmlformats.org/officeDocument/2006/bibliography"/>
  </ds:schemaRefs>
</ds:datastoreItem>
</file>

<file path=customXml/itemProps9.xml><?xml version="1.0" encoding="utf-8"?>
<ds:datastoreItem xmlns:ds="http://schemas.openxmlformats.org/officeDocument/2006/customXml" ds:itemID="{84B86D60-16E9-46BF-A05C-DAA0BC2F990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21962</Words>
  <Characters>128656</Characters>
  <Application>Microsoft Office Word</Application>
  <DocSecurity>4</DocSecurity>
  <Lines>2737</Lines>
  <Paragraphs>965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149653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Mattos Filho</cp:lastModifiedBy>
  <cp:revision>2</cp:revision>
  <cp:lastPrinted>2020-09-30T03:03:00Z</cp:lastPrinted>
  <dcterms:created xsi:type="dcterms:W3CDTF">2020-11-30T21:06:00Z</dcterms:created>
  <dcterms:modified xsi:type="dcterms:W3CDTF">2020-11-30T21:06:00Z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