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04685558" w:rsidR="00CE2CA2" w:rsidRPr="001B39F8" w:rsidRDefault="00AF2AA9" w:rsidP="00CE2CA2">
      <w:pPr>
        <w:widowControl w:val="0"/>
        <w:spacing w:after="240" w:line="320" w:lineRule="atLeast"/>
        <w:rPr>
          <w:rFonts w:ascii="Tahoma" w:hAnsi="Tahoma" w:cs="Tahoma"/>
          <w:b/>
          <w:szCs w:val="22"/>
        </w:rPr>
      </w:pPr>
      <w:r>
        <w:rPr>
          <w:rFonts w:ascii="Tahoma" w:hAnsi="Tahoma" w:cs="Tahoma"/>
          <w:b/>
          <w:szCs w:val="22"/>
        </w:rPr>
        <w:t>6</w:t>
      </w:r>
      <w:r w:rsidR="00E438F7" w:rsidRPr="001B39F8">
        <w:rPr>
          <w:rFonts w:ascii="Tahoma" w:hAnsi="Tahoma" w:cs="Tahoma"/>
          <w:b/>
          <w:szCs w:val="22"/>
        </w:rPr>
        <w:t xml:space="preserve">º </w:t>
      </w:r>
      <w:r w:rsidR="00CE2CA2" w:rsidRPr="001B39F8">
        <w:rPr>
          <w:rFonts w:ascii="Tahoma" w:hAnsi="Tahoma" w:cs="Tahoma"/>
          <w:b/>
          <w:szCs w:val="22"/>
        </w:rPr>
        <w:t>(</w:t>
      </w:r>
      <w:r>
        <w:rPr>
          <w:rFonts w:ascii="Tahoma" w:hAnsi="Tahoma" w:cs="Tahoma"/>
          <w:b/>
          <w:szCs w:val="22"/>
        </w:rPr>
        <w:t>SEXTO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67648F2C"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AF2AA9">
        <w:rPr>
          <w:rFonts w:ascii="Tahoma" w:hAnsi="Tahoma" w:cs="Tahoma"/>
          <w:i/>
          <w:szCs w:val="22"/>
        </w:rPr>
        <w:t>6</w:t>
      </w:r>
      <w:r w:rsidR="00E438F7" w:rsidRPr="001B39F8">
        <w:rPr>
          <w:rFonts w:ascii="Tahoma" w:hAnsi="Tahoma" w:cs="Tahoma"/>
          <w:i/>
          <w:szCs w:val="22"/>
        </w:rPr>
        <w:t xml:space="preserve">º </w:t>
      </w:r>
      <w:r w:rsidRPr="001B39F8">
        <w:rPr>
          <w:rFonts w:ascii="Tahoma" w:hAnsi="Tahoma" w:cs="Tahoma"/>
          <w:i/>
          <w:szCs w:val="22"/>
        </w:rPr>
        <w:t>(</w:t>
      </w:r>
      <w:r w:rsidR="00AF2AA9">
        <w:rPr>
          <w:rFonts w:ascii="Tahoma" w:hAnsi="Tahoma" w:cs="Tahoma"/>
          <w:i/>
          <w:szCs w:val="22"/>
        </w:rPr>
        <w:t>Sexto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037EEEC3"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73BA1F98"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00F8473C">
        <w:rPr>
          <w:rFonts w:ascii="Tahoma" w:hAnsi="Tahoma" w:cs="Tahoma"/>
          <w:szCs w:val="22"/>
        </w:rPr>
        <w:t xml:space="preserve">, </w:t>
      </w:r>
      <w:r w:rsidR="002C1D34" w:rsidRPr="001B39F8">
        <w:rPr>
          <w:rFonts w:ascii="Tahoma" w:hAnsi="Tahoma" w:cs="Tahoma"/>
          <w:szCs w:val="22"/>
        </w:rPr>
        <w:t xml:space="preserve">em </w:t>
      </w:r>
      <w:r w:rsidR="002C1D34">
        <w:rPr>
          <w:rFonts w:ascii="Tahoma" w:hAnsi="Tahoma" w:cs="Tahoma"/>
          <w:szCs w:val="22"/>
        </w:rPr>
        <w:t xml:space="preserve">01 de outubro de 2021 </w:t>
      </w:r>
      <w:r w:rsidR="00F8473C">
        <w:rPr>
          <w:rFonts w:ascii="Tahoma" w:hAnsi="Tahoma" w:cs="Tahoma"/>
          <w:szCs w:val="22"/>
        </w:rPr>
        <w:t xml:space="preserve">e em 28 de dezembro de 2021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nos termos especificados neste Aditamento;</w:t>
      </w:r>
      <w:r w:rsidR="00487F74" w:rsidRPr="001B39F8" w:rsidDel="00487F74">
        <w:rPr>
          <w:rFonts w:ascii="Tahoma" w:hAnsi="Tahoma" w:cs="Tahoma"/>
          <w:szCs w:val="22"/>
        </w:rPr>
        <w:t xml:space="preserve"> </w:t>
      </w:r>
    </w:p>
    <w:p w14:paraId="5DB22000" w14:textId="4B381E36"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lastRenderedPageBreak/>
        <w:t xml:space="preserve">a celebração do presente Aditamento foi aprovada em sede de Assembleia Geral de Debenturistas, realizada em </w:t>
      </w:r>
      <w:r w:rsidR="00D74ACB">
        <w:rPr>
          <w:rFonts w:ascii="Tahoma" w:hAnsi="Tahoma" w:cs="Tahoma"/>
          <w:szCs w:val="22"/>
        </w:rPr>
        <w:t>31</w:t>
      </w:r>
      <w:r w:rsidR="006B539C" w:rsidRPr="00FA6D58">
        <w:rPr>
          <w:rFonts w:ascii="Tahoma" w:hAnsi="Tahoma" w:cs="Tahoma"/>
          <w:szCs w:val="22"/>
        </w:rPr>
        <w:t xml:space="preserve"> </w:t>
      </w:r>
      <w:r w:rsidR="002C1D34" w:rsidRPr="00FA6D58">
        <w:rPr>
          <w:rFonts w:ascii="Tahoma" w:hAnsi="Tahoma" w:cs="Tahoma"/>
          <w:szCs w:val="22"/>
        </w:rPr>
        <w:t xml:space="preserve">de </w:t>
      </w:r>
      <w:r w:rsidR="008434C0">
        <w:rPr>
          <w:rFonts w:ascii="Tahoma" w:hAnsi="Tahoma" w:cs="Tahoma"/>
          <w:szCs w:val="22"/>
        </w:rPr>
        <w:t>março</w:t>
      </w:r>
      <w:r w:rsidR="00F8473C">
        <w:rPr>
          <w:rFonts w:ascii="Tahoma" w:hAnsi="Tahoma" w:cs="Tahoma"/>
          <w:szCs w:val="22"/>
        </w:rPr>
        <w:t xml:space="preserve"> </w:t>
      </w:r>
      <w:r w:rsidR="002C1D34" w:rsidRPr="00341BE1">
        <w:rPr>
          <w:rFonts w:ascii="Tahoma" w:hAnsi="Tahoma" w:cs="Tahoma"/>
          <w:szCs w:val="22"/>
        </w:rPr>
        <w:t xml:space="preserve">de </w:t>
      </w:r>
      <w:bookmarkStart w:id="0" w:name="_GoBack"/>
      <w:r w:rsidR="004849BD">
        <w:rPr>
          <w:rFonts w:ascii="Tahoma" w:hAnsi="Tahoma" w:cs="Tahoma"/>
          <w:szCs w:val="22"/>
        </w:rPr>
        <w:t>202</w:t>
      </w:r>
      <w:r w:rsidR="00F8473C">
        <w:rPr>
          <w:rFonts w:ascii="Tahoma" w:hAnsi="Tahoma" w:cs="Tahoma"/>
          <w:szCs w:val="22"/>
        </w:rPr>
        <w:t>2</w:t>
      </w:r>
      <w:bookmarkEnd w:id="0"/>
      <w:r w:rsidR="00FF6C47" w:rsidRPr="001B39F8">
        <w:rPr>
          <w:rFonts w:ascii="Tahoma" w:hAnsi="Tahoma" w:cs="Tahoma"/>
          <w:szCs w:val="22"/>
        </w:rPr>
        <w:t xml:space="preserve"> e em Assembleia Geral Extraordinária da Companhia realizada em </w:t>
      </w:r>
      <w:r w:rsidR="008434C0">
        <w:rPr>
          <w:rFonts w:ascii="Tahoma" w:hAnsi="Tahoma" w:cs="Tahoma"/>
          <w:szCs w:val="22"/>
        </w:rPr>
        <w:t>2</w:t>
      </w:r>
      <w:r w:rsidR="0065362F">
        <w:rPr>
          <w:rFonts w:ascii="Tahoma" w:hAnsi="Tahoma" w:cs="Tahoma"/>
          <w:szCs w:val="22"/>
        </w:rPr>
        <w:t>9</w:t>
      </w:r>
      <w:r w:rsidR="008434C0" w:rsidRPr="00FA6D58">
        <w:rPr>
          <w:rFonts w:ascii="Tahoma" w:hAnsi="Tahoma" w:cs="Tahoma"/>
          <w:szCs w:val="22"/>
        </w:rPr>
        <w:t xml:space="preserve"> de </w:t>
      </w:r>
      <w:r w:rsidR="008434C0">
        <w:rPr>
          <w:rFonts w:ascii="Tahoma" w:hAnsi="Tahoma" w:cs="Tahoma"/>
          <w:szCs w:val="22"/>
        </w:rPr>
        <w:t xml:space="preserve">março </w:t>
      </w:r>
      <w:r w:rsidR="008434C0" w:rsidRPr="00341BE1">
        <w:rPr>
          <w:rFonts w:ascii="Tahoma" w:hAnsi="Tahoma" w:cs="Tahoma"/>
          <w:szCs w:val="22"/>
        </w:rPr>
        <w:t xml:space="preserve">de </w:t>
      </w:r>
      <w:r w:rsidR="008434C0">
        <w:rPr>
          <w:rFonts w:ascii="Tahoma" w:hAnsi="Tahoma" w:cs="Tahoma"/>
          <w:szCs w:val="22"/>
        </w:rPr>
        <w:t>2022</w:t>
      </w:r>
      <w:r w:rsidR="00CE2CA2" w:rsidRPr="001B39F8">
        <w:rPr>
          <w:rFonts w:ascii="Tahoma" w:hAnsi="Tahoma" w:cs="Tahoma"/>
          <w:szCs w:val="22"/>
        </w:rPr>
        <w:t xml:space="preserve">; </w:t>
      </w:r>
    </w:p>
    <w:p w14:paraId="15827B91" w14:textId="021CC61B"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6B539C">
        <w:rPr>
          <w:rFonts w:ascii="Tahoma" w:hAnsi="Tahoma" w:cs="Tahoma"/>
          <w:szCs w:val="22"/>
        </w:rPr>
        <w:t>29</w:t>
      </w:r>
      <w:r w:rsidR="006B539C" w:rsidRPr="001B39F8">
        <w:rPr>
          <w:rFonts w:ascii="Tahoma" w:hAnsi="Tahoma" w:cs="Tahoma"/>
          <w:szCs w:val="22"/>
        </w:rPr>
        <w:t xml:space="preserve"> </w:t>
      </w:r>
      <w:r w:rsidR="00940DBA" w:rsidRPr="001B39F8">
        <w:rPr>
          <w:rFonts w:ascii="Tahoma" w:hAnsi="Tahoma" w:cs="Tahoma"/>
          <w:szCs w:val="22"/>
        </w:rPr>
        <w:t xml:space="preserve">de </w:t>
      </w:r>
      <w:r w:rsidR="006B539C">
        <w:rPr>
          <w:rFonts w:ascii="Tahoma" w:hAnsi="Tahoma" w:cs="Tahoma"/>
          <w:szCs w:val="22"/>
        </w:rPr>
        <w:t>abril</w:t>
      </w:r>
      <w:r w:rsidR="006B539C"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8434C0">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5E0A4BB8"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56B2E20E" w14:textId="08B866CB"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1" w:name="_Hlk97315194"/>
      <w:r w:rsidR="008434C0" w:rsidRPr="008434C0">
        <w:rPr>
          <w:rFonts w:ascii="Tahoma" w:hAnsi="Tahoma" w:cs="Tahoma"/>
          <w:i/>
          <w:szCs w:val="22"/>
        </w:rPr>
        <w:t xml:space="preserve">574 (quinhentos e setenta e quatro) </w:t>
      </w:r>
      <w:r w:rsidR="00F8473C" w:rsidRPr="00F8473C">
        <w:rPr>
          <w:rFonts w:ascii="Tahoma" w:hAnsi="Tahoma" w:cs="Tahoma"/>
          <w:i/>
          <w:szCs w:val="22"/>
        </w:rPr>
        <w:t>dias</w:t>
      </w:r>
      <w:r w:rsidR="00F8473C">
        <w:rPr>
          <w:rFonts w:ascii="Tahoma" w:hAnsi="Tahoma" w:cs="Tahoma"/>
          <w:i/>
          <w:szCs w:val="22"/>
        </w:rPr>
        <w:t xml:space="preserve">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6B539C">
        <w:rPr>
          <w:rFonts w:ascii="Tahoma" w:hAnsi="Tahoma" w:cs="Tahoma"/>
          <w:i/>
          <w:szCs w:val="22"/>
        </w:rPr>
        <w:t>29</w:t>
      </w:r>
      <w:r w:rsidR="006B539C" w:rsidRPr="001B39F8">
        <w:rPr>
          <w:rFonts w:ascii="Tahoma" w:hAnsi="Tahoma" w:cs="Tahoma"/>
          <w:i/>
          <w:szCs w:val="22"/>
        </w:rPr>
        <w:t xml:space="preserve"> </w:t>
      </w:r>
      <w:r w:rsidR="00F12150" w:rsidRPr="001B39F8">
        <w:rPr>
          <w:rFonts w:ascii="Tahoma" w:hAnsi="Tahoma" w:cs="Tahoma"/>
          <w:i/>
          <w:szCs w:val="22"/>
        </w:rPr>
        <w:t xml:space="preserve">de </w:t>
      </w:r>
      <w:r w:rsidR="006B539C">
        <w:rPr>
          <w:rFonts w:ascii="Tahoma" w:hAnsi="Tahoma" w:cs="Tahoma"/>
          <w:i/>
          <w:szCs w:val="22"/>
        </w:rPr>
        <w:t>abril</w:t>
      </w:r>
      <w:r w:rsidR="006B539C"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bookmarkEnd w:id="1"/>
      <w:r w:rsidR="00B85167" w:rsidRPr="001B39F8">
        <w:rPr>
          <w:rFonts w:ascii="Tahoma" w:hAnsi="Tahoma" w:cs="Tahoma"/>
          <w:i/>
          <w:szCs w:val="22"/>
        </w:rPr>
        <w:t>(“</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5123D8D8" w14:textId="446E4101" w:rsidR="0064665E" w:rsidRPr="001B39F8"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8434C0">
        <w:rPr>
          <w:rFonts w:ascii="Tahoma" w:hAnsi="Tahoma" w:cs="Tahoma"/>
          <w:szCs w:val="22"/>
        </w:rPr>
        <w:t>29</w:t>
      </w:r>
      <w:r w:rsidR="008434C0" w:rsidRPr="001B39F8">
        <w:rPr>
          <w:rFonts w:ascii="Tahoma" w:hAnsi="Tahoma" w:cs="Tahoma"/>
          <w:szCs w:val="22"/>
        </w:rPr>
        <w:t xml:space="preserve"> </w:t>
      </w:r>
      <w:r w:rsidR="004A0BCD" w:rsidRPr="001B39F8">
        <w:rPr>
          <w:rFonts w:ascii="Tahoma" w:hAnsi="Tahoma" w:cs="Tahoma"/>
          <w:szCs w:val="22"/>
        </w:rPr>
        <w:t xml:space="preserve">de </w:t>
      </w:r>
      <w:r w:rsidR="008434C0">
        <w:rPr>
          <w:rFonts w:ascii="Tahoma" w:hAnsi="Tahoma" w:cs="Tahoma"/>
          <w:szCs w:val="22"/>
        </w:rPr>
        <w:t>abril</w:t>
      </w:r>
      <w:r w:rsidR="008434C0"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263FE082" w:rsidR="00CE2CA2" w:rsidRPr="004E2234"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0DF11888" w14:textId="77777777" w:rsidR="004E2234" w:rsidRPr="001B39F8" w:rsidRDefault="004E2234" w:rsidP="004E2234">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lastRenderedPageBreak/>
        <w:t>A Companhia, nesta data, declara que:</w:t>
      </w:r>
    </w:p>
    <w:p w14:paraId="7546C8FC"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7995280" w14:textId="26D95CCF"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0FFEC228" w14:textId="76CC450B"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14:paraId="3B6B4136" w14:textId="4B668354"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14:paraId="1CB195CD" w14:textId="711CE9E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w:t>
      </w:r>
      <w:proofErr w:type="spellStart"/>
      <w:r w:rsidRPr="001B39F8">
        <w:rPr>
          <w:rFonts w:ascii="Tahoma" w:hAnsi="Tahoma" w:cs="Tahoma"/>
          <w:sz w:val="22"/>
          <w:szCs w:val="22"/>
        </w:rPr>
        <w:t>ii</w:t>
      </w:r>
      <w:proofErr w:type="spellEnd"/>
      <w:r w:rsidRPr="001B39F8">
        <w:rPr>
          <w:rFonts w:ascii="Tahoma" w:hAnsi="Tahoma" w:cs="Tahoma"/>
          <w:sz w:val="22"/>
          <w:szCs w:val="22"/>
        </w:rPr>
        <w:t>)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63CCA380" w14:textId="79B9B0E2"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w:t>
      </w:r>
      <w:r w:rsidR="00A1581E">
        <w:rPr>
          <w:rFonts w:ascii="Tahoma" w:hAnsi="Tahoma" w:cs="Tahoma"/>
          <w:sz w:val="22"/>
          <w:szCs w:val="22"/>
        </w:rPr>
        <w:lastRenderedPageBreak/>
        <w:t xml:space="preserve">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14:paraId="3CA95106" w14:textId="50AE3341" w:rsidR="004E2234" w:rsidRPr="001B39F8" w:rsidRDefault="00A1581E"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004E2234" w:rsidRPr="001B39F8">
        <w:rPr>
          <w:rFonts w:ascii="Tahoma" w:hAnsi="Tahoma" w:cs="Tahoma"/>
          <w:sz w:val="22"/>
          <w:szCs w:val="22"/>
        </w:rPr>
        <w:t xml:space="preserve">; </w:t>
      </w:r>
    </w:p>
    <w:p w14:paraId="46961FC2" w14:textId="683E3E53"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2946 (número único 0002755-06.2003.1.00.0000), em trâmite no Supremo Tribunal Federal</w:t>
      </w:r>
      <w:r w:rsidRPr="001B39F8">
        <w:rPr>
          <w:rFonts w:ascii="Tahoma" w:hAnsi="Tahoma" w:cs="Tahoma"/>
          <w:sz w:val="22"/>
          <w:szCs w:val="22"/>
        </w:rPr>
        <w:t>;</w:t>
      </w:r>
    </w:p>
    <w:p w14:paraId="12066028" w14:textId="7FA25DA4" w:rsidR="004E2234" w:rsidRPr="001B39F8" w:rsidRDefault="004E2234"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14:paraId="19A390D0" w14:textId="01F86B4E"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32F72A7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4F250C3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lastRenderedPageBreak/>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5B51A265"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65CFDA6D"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71FB6A5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552BE7F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w:t>
      </w:r>
      <w:r w:rsidRPr="001B39F8">
        <w:rPr>
          <w:rFonts w:ascii="Tahoma" w:hAnsi="Tahoma" w:cs="Tahoma"/>
          <w:sz w:val="22"/>
          <w:szCs w:val="22"/>
        </w:rPr>
        <w:lastRenderedPageBreak/>
        <w:t xml:space="preserve">aplicáveis e no prazo legal; </w:t>
      </w:r>
    </w:p>
    <w:p w14:paraId="106EF6E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0C01CAC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14:paraId="3BCD71F0" w14:textId="4674B81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398D3C3"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00B5EF" w14:textId="2D2CBB9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248CBB28" w:rsidR="00CE2CA2" w:rsidRPr="008434C0"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45F4B8AF" w14:textId="6102377E" w:rsidR="008434C0" w:rsidRPr="008434C0" w:rsidRDefault="008434C0" w:rsidP="008434C0">
      <w:pPr>
        <w:numPr>
          <w:ilvl w:val="1"/>
          <w:numId w:val="4"/>
        </w:numPr>
        <w:spacing w:after="240" w:line="320" w:lineRule="atLeast"/>
        <w:ind w:left="0" w:firstLine="0"/>
        <w:rPr>
          <w:rFonts w:ascii="Tahoma" w:hAnsi="Tahoma" w:cs="Tahoma"/>
          <w:szCs w:val="22"/>
        </w:rPr>
      </w:pPr>
      <w:r w:rsidRPr="008434C0">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10277AB" w14:textId="77777777" w:rsidR="00CE2CA2" w:rsidRPr="001B39F8" w:rsidRDefault="00CE2CA2" w:rsidP="008434C0">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3A20651E" w:rsidR="00CE2CA2" w:rsidRPr="008434C0" w:rsidRDefault="00CE2CA2" w:rsidP="00F03B2F">
      <w:pPr>
        <w:pStyle w:val="PargrafodaLista"/>
        <w:numPr>
          <w:ilvl w:val="1"/>
          <w:numId w:val="4"/>
        </w:numPr>
        <w:spacing w:after="240" w:line="320" w:lineRule="atLeast"/>
        <w:ind w:left="0" w:firstLine="0"/>
        <w:rPr>
          <w:rFonts w:ascii="Tahoma" w:hAnsi="Tahoma" w:cs="Tahoma"/>
          <w:b/>
          <w:szCs w:val="22"/>
        </w:rPr>
      </w:pPr>
      <w:r w:rsidRPr="008434C0">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8434C0">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1ACC9F3A"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8434C0">
        <w:rPr>
          <w:rFonts w:ascii="Tahoma" w:hAnsi="Tahoma" w:cs="Tahoma"/>
          <w:szCs w:val="22"/>
        </w:rPr>
        <w:t xml:space="preserve"> </w:t>
      </w:r>
      <w:r w:rsidR="00FE2310">
        <w:rPr>
          <w:rFonts w:ascii="Tahoma" w:hAnsi="Tahoma" w:cs="Tahoma"/>
          <w:szCs w:val="22"/>
        </w:rPr>
        <w:t>01</w:t>
      </w:r>
      <w:r w:rsidR="00E92440">
        <w:rPr>
          <w:rFonts w:ascii="Tahoma" w:hAnsi="Tahoma" w:cs="Tahoma"/>
          <w:szCs w:val="22"/>
        </w:rPr>
        <w:t xml:space="preserve"> </w:t>
      </w:r>
      <w:r w:rsidR="00F8473C">
        <w:rPr>
          <w:rFonts w:ascii="Tahoma" w:hAnsi="Tahoma" w:cs="Tahoma"/>
          <w:szCs w:val="22"/>
        </w:rPr>
        <w:t xml:space="preserve">de </w:t>
      </w:r>
      <w:r w:rsidR="00FE2310">
        <w:rPr>
          <w:rFonts w:ascii="Tahoma" w:hAnsi="Tahoma" w:cs="Tahoma"/>
          <w:szCs w:val="22"/>
        </w:rPr>
        <w:t xml:space="preserve">abril </w:t>
      </w:r>
      <w:r w:rsidR="00F8473C">
        <w:rPr>
          <w:rFonts w:ascii="Tahoma" w:hAnsi="Tahoma" w:cs="Tahoma"/>
          <w:szCs w:val="22"/>
        </w:rPr>
        <w:t>de 2022</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5DB325A8" w:rsidR="00CE2CA2" w:rsidRPr="001B39F8" w:rsidRDefault="00CE2CA2"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r w:rsidR="00F8473C">
        <w:rPr>
          <w:rFonts w:ascii="Tahoma" w:hAnsi="Tahoma" w:cs="Tahoma"/>
          <w:i/>
          <w:sz w:val="22"/>
        </w:rPr>
        <w:t>6</w:t>
      </w:r>
      <w:r w:rsidR="002C1D34" w:rsidRPr="00F60579">
        <w:rPr>
          <w:rFonts w:ascii="Tahoma" w:hAnsi="Tahoma" w:cs="Tahoma"/>
          <w:i/>
          <w:sz w:val="22"/>
        </w:rPr>
        <w:t xml:space="preserve">º </w:t>
      </w:r>
      <w:r w:rsidRPr="00F60579">
        <w:rPr>
          <w:rFonts w:ascii="Tahoma" w:hAnsi="Tahoma" w:cs="Tahoma"/>
          <w:i/>
          <w:sz w:val="22"/>
        </w:rPr>
        <w:t>(</w:t>
      </w:r>
      <w:r w:rsidR="00F8473C">
        <w:rPr>
          <w:rFonts w:ascii="Tahoma" w:hAnsi="Tahoma" w:cs="Tahoma"/>
          <w:i/>
          <w:sz w:val="22"/>
        </w:rPr>
        <w:t>Sexto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FE2310" w14:paraId="3B875AB7" w14:textId="77777777" w:rsidTr="00FE2310">
        <w:trPr>
          <w:cantSplit/>
          <w:trHeight w:val="101"/>
        </w:trPr>
        <w:tc>
          <w:tcPr>
            <w:tcW w:w="4253" w:type="dxa"/>
            <w:tcBorders>
              <w:top w:val="single" w:sz="6" w:space="0" w:color="auto"/>
            </w:tcBorders>
          </w:tcPr>
          <w:p w14:paraId="28FCF2DF" w14:textId="5AF0815C" w:rsidR="00CE2CA2" w:rsidRPr="00FE2310" w:rsidRDefault="00CE2CA2"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 xml:space="preserve">Nelson </w:t>
            </w:r>
            <w:proofErr w:type="spellStart"/>
            <w:r w:rsidR="00AD5515" w:rsidRPr="00FE2310">
              <w:rPr>
                <w:rFonts w:ascii="Tahoma" w:hAnsi="Tahoma" w:cs="Tahoma"/>
                <w:sz w:val="22"/>
              </w:rPr>
              <w:t>Segnini</w:t>
            </w:r>
            <w:proofErr w:type="spellEnd"/>
            <w:r w:rsidR="00AD5515" w:rsidRPr="00FE2310">
              <w:rPr>
                <w:rFonts w:ascii="Tahoma" w:hAnsi="Tahoma" w:cs="Tahoma"/>
                <w:sz w:val="22"/>
              </w:rPr>
              <w:t xml:space="preserve"> </w:t>
            </w:r>
            <w:proofErr w:type="spellStart"/>
            <w:r w:rsidR="00AD5515" w:rsidRPr="00FE2310">
              <w:rPr>
                <w:rFonts w:ascii="Tahoma" w:hAnsi="Tahoma" w:cs="Tahoma"/>
                <w:sz w:val="22"/>
              </w:rPr>
              <w:t>Bossolan</w:t>
            </w:r>
            <w:proofErr w:type="spellEnd"/>
            <w:r w:rsidRPr="00FE2310">
              <w:rPr>
                <w:rFonts w:ascii="Tahoma" w:hAnsi="Tahoma" w:cs="Tahoma"/>
                <w:sz w:val="22"/>
              </w:rPr>
              <w:br/>
              <w:t>Cargo:</w:t>
            </w:r>
            <w:r w:rsidR="00AD5515" w:rsidRPr="00FE2310">
              <w:rPr>
                <w:rFonts w:ascii="Tahoma" w:hAnsi="Tahoma" w:cs="Tahoma"/>
                <w:sz w:val="22"/>
              </w:rPr>
              <w:t xml:space="preserve"> Diretor</w:t>
            </w:r>
          </w:p>
        </w:tc>
        <w:tc>
          <w:tcPr>
            <w:tcW w:w="567" w:type="dxa"/>
          </w:tcPr>
          <w:p w14:paraId="0AFE1C92"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1DE891ED" w:rsidR="00CE2CA2" w:rsidRPr="00FE2310" w:rsidRDefault="00CE2CA2"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Juan Antonio Santos de Paz</w:t>
            </w:r>
            <w:r w:rsidRPr="00FE2310">
              <w:rPr>
                <w:rFonts w:ascii="Tahoma" w:hAnsi="Tahoma" w:cs="Tahoma"/>
                <w:sz w:val="22"/>
              </w:rPr>
              <w:br/>
              <w:t>Cargo:</w:t>
            </w:r>
            <w:r w:rsidR="00AD5515" w:rsidRPr="00FE2310">
              <w:rPr>
                <w:rFonts w:ascii="Tahoma" w:hAnsi="Tahoma" w:cs="Tahoma"/>
                <w:sz w:val="22"/>
              </w:rPr>
              <w:t xml:space="preserve"> Diretor</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0D9623C5"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F8473C">
        <w:rPr>
          <w:rFonts w:ascii="Tahoma" w:hAnsi="Tahoma" w:cs="Tahoma"/>
          <w:i/>
          <w:sz w:val="22"/>
        </w:rPr>
        <w:t>6</w:t>
      </w:r>
      <w:r w:rsidR="00F60579" w:rsidRPr="00F60579">
        <w:rPr>
          <w:rFonts w:ascii="Tahoma" w:hAnsi="Tahoma" w:cs="Tahoma"/>
          <w:i/>
          <w:sz w:val="22"/>
        </w:rPr>
        <w:t>º (</w:t>
      </w:r>
      <w:r w:rsidR="00F8473C">
        <w:rPr>
          <w:rFonts w:ascii="Tahoma" w:hAnsi="Tahoma" w:cs="Tahoma"/>
          <w:i/>
          <w:sz w:val="22"/>
        </w:rPr>
        <w:t>Sexto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4D089954" w:rsidR="00CE2CA2" w:rsidRPr="001B39F8"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t xml:space="preserve"> </w:t>
            </w:r>
            <w:r w:rsidR="00D32963" w:rsidRPr="00FE2310">
              <w:rPr>
                <w:rFonts w:ascii="Tahoma" w:hAnsi="Tahoma" w:cs="Tahoma"/>
                <w:sz w:val="22"/>
              </w:rPr>
              <w:t>Carlos Alberto Bacha</w:t>
            </w:r>
            <w:r w:rsidRPr="00FE2310">
              <w:rPr>
                <w:rFonts w:ascii="Tahoma" w:hAnsi="Tahoma" w:cs="Tahoma"/>
                <w:sz w:val="22"/>
              </w:rPr>
              <w:br/>
              <w:t>Cargo:</w:t>
            </w:r>
            <w:r w:rsidR="00D32963" w:rsidRPr="00FE2310">
              <w:rPr>
                <w:rFonts w:ascii="Tahoma" w:hAnsi="Tahoma" w:cs="Tahoma"/>
                <w:sz w:val="22"/>
              </w:rPr>
              <w:t xml:space="preserve"> </w:t>
            </w:r>
            <w:r w:rsidR="008434C0" w:rsidRPr="00FE2310">
              <w:rPr>
                <w:rFonts w:ascii="Tahoma" w:hAnsi="Tahoma" w:cs="Tahoma"/>
                <w:sz w:val="22"/>
              </w:rPr>
              <w:t>Administrador</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60230A2E"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F8473C">
        <w:rPr>
          <w:rFonts w:ascii="Tahoma" w:hAnsi="Tahoma" w:cs="Tahoma"/>
          <w:i/>
          <w:sz w:val="22"/>
        </w:rPr>
        <w:t>6</w:t>
      </w:r>
      <w:r w:rsidR="00F60579" w:rsidRPr="00F60579">
        <w:rPr>
          <w:rFonts w:ascii="Tahoma" w:hAnsi="Tahoma" w:cs="Tahoma"/>
          <w:i/>
          <w:sz w:val="22"/>
        </w:rPr>
        <w:t>º (</w:t>
      </w:r>
      <w:r w:rsidR="00F8473C">
        <w:rPr>
          <w:rFonts w:ascii="Tahoma" w:hAnsi="Tahoma" w:cs="Tahoma"/>
          <w:i/>
          <w:sz w:val="22"/>
        </w:rPr>
        <w:t>Sexto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17B87F31" w:rsidR="00CE2CA2" w:rsidRPr="001B39F8" w:rsidRDefault="00CE2CA2" w:rsidP="00FE2310">
      <w:pPr>
        <w:pStyle w:val="Body"/>
        <w:widowControl w:val="0"/>
        <w:tabs>
          <w:tab w:val="left" w:pos="3660"/>
        </w:tabs>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FE2310" w14:paraId="2CB0A740" w14:textId="77777777" w:rsidTr="00D32963">
        <w:trPr>
          <w:cantSplit/>
        </w:trPr>
        <w:tc>
          <w:tcPr>
            <w:tcW w:w="4253" w:type="dxa"/>
            <w:tcBorders>
              <w:top w:val="single" w:sz="6" w:space="0" w:color="auto"/>
            </w:tcBorders>
          </w:tcPr>
          <w:p w14:paraId="1960AF61" w14:textId="364B5E9E" w:rsidR="00CE2CA2" w:rsidRPr="00FE2310"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Alexandre Oliveira de Jesus</w:t>
            </w:r>
            <w:r w:rsidRPr="00FE2310">
              <w:rPr>
                <w:rFonts w:ascii="Tahoma" w:hAnsi="Tahoma" w:cs="Tahoma"/>
                <w:sz w:val="22"/>
              </w:rPr>
              <w:br/>
              <w:t>CPF:</w:t>
            </w:r>
            <w:r w:rsidR="00D32963" w:rsidRPr="00FE2310">
              <w:t xml:space="preserve"> </w:t>
            </w:r>
            <w:r w:rsidR="00D32963" w:rsidRPr="00FE2310">
              <w:rPr>
                <w:rFonts w:ascii="Tahoma" w:hAnsi="Tahoma" w:cs="Tahoma"/>
                <w:sz w:val="22"/>
              </w:rPr>
              <w:t>456.570.758-62</w:t>
            </w:r>
          </w:p>
        </w:tc>
        <w:tc>
          <w:tcPr>
            <w:tcW w:w="567" w:type="dxa"/>
          </w:tcPr>
          <w:p w14:paraId="2D34DA35"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4B6DA987" w:rsidR="00CE2CA2" w:rsidRPr="00FE2310"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Vinicius </w:t>
            </w:r>
            <w:proofErr w:type="spellStart"/>
            <w:r w:rsidR="00D32963" w:rsidRPr="00FE2310">
              <w:rPr>
                <w:rFonts w:ascii="Tahoma" w:hAnsi="Tahoma" w:cs="Tahoma"/>
                <w:sz w:val="22"/>
              </w:rPr>
              <w:t>Aló</w:t>
            </w:r>
            <w:proofErr w:type="spellEnd"/>
            <w:r w:rsidR="00D32963" w:rsidRPr="00FE2310">
              <w:rPr>
                <w:rFonts w:ascii="Tahoma" w:hAnsi="Tahoma" w:cs="Tahoma"/>
                <w:sz w:val="22"/>
              </w:rPr>
              <w:t xml:space="preserve"> Alves Ferreira</w:t>
            </w:r>
            <w:r w:rsidRPr="00FE2310">
              <w:rPr>
                <w:rFonts w:ascii="Tahoma" w:hAnsi="Tahoma" w:cs="Tahoma"/>
                <w:sz w:val="22"/>
              </w:rPr>
              <w:br/>
              <w:t>CPF:</w:t>
            </w:r>
            <w:r w:rsidR="00AD5515" w:rsidRPr="00FE2310">
              <w:t xml:space="preserve"> </w:t>
            </w:r>
            <w:r w:rsidR="00AD5515" w:rsidRPr="00FE2310">
              <w:rPr>
                <w:rFonts w:ascii="Tahoma" w:hAnsi="Tahoma" w:cs="Tahoma"/>
                <w:sz w:val="22"/>
              </w:rPr>
              <w:t>029.305.397-98</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2"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2"/>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 w:name="_Toc51602581"/>
      <w:r w:rsidRPr="001B39F8">
        <w:rPr>
          <w:rFonts w:ascii="Tahoma" w:hAnsi="Tahoma" w:cs="Tahoma"/>
          <w:color w:val="auto"/>
        </w:rPr>
        <w:t>DEFINIÇÕES</w:t>
      </w:r>
      <w:bookmarkEnd w:id="3"/>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4" w:name="_Ref167514799"/>
      <w:bookmarkStart w:id="5"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4"/>
      <w:bookmarkEnd w:id="5"/>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7" w:name="_Hlk40694099"/>
      <w:bookmarkEnd w:id="6"/>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7"/>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8" w:name="_Hlk43148304"/>
      <w:bookmarkStart w:id="9"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8"/>
    </w:p>
    <w:bookmarkEnd w:id="9"/>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10"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do Banco Santander (Brasil) S.A; (</w:t>
      </w:r>
      <w:proofErr w:type="spellStart"/>
      <w:r w:rsidRPr="001B39F8">
        <w:rPr>
          <w:rFonts w:ascii="Tahoma" w:hAnsi="Tahoma" w:cs="Tahoma"/>
          <w:sz w:val="22"/>
          <w:szCs w:val="22"/>
        </w:rPr>
        <w:t>ii</w:t>
      </w:r>
      <w:proofErr w:type="spellEnd"/>
      <w:r w:rsidRPr="001B39F8">
        <w:rPr>
          <w:rFonts w:ascii="Tahoma" w:hAnsi="Tahoma" w:cs="Tahoma"/>
          <w:sz w:val="22"/>
          <w:szCs w:val="22"/>
        </w:rPr>
        <w:t>) Cédula de Crédito Bancário a ser emitida em favor do Banco ABC Brasil S.A.;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w:t>
      </w:r>
      <w:proofErr w:type="spellStart"/>
      <w:r w:rsidRPr="001B39F8">
        <w:rPr>
          <w:rFonts w:ascii="Tahoma" w:hAnsi="Tahoma" w:cs="Tahoma"/>
          <w:sz w:val="22"/>
          <w:szCs w:val="22"/>
        </w:rPr>
        <w:t>iv</w:t>
      </w:r>
      <w:proofErr w:type="spellEnd"/>
      <w:r w:rsidRPr="001B39F8">
        <w:rPr>
          <w:rFonts w:ascii="Tahoma" w:hAnsi="Tahoma" w:cs="Tahoma"/>
          <w:sz w:val="22"/>
          <w:szCs w:val="22"/>
        </w:rPr>
        <w:t xml:space="preserve">) Cédula de Crédito Bancário a ser emitida em favor do Banco BTG Pactual S.A., todas no âmbito da assunção de dívidas da Concessionária Move São Paulo S.A. </w:t>
      </w:r>
      <w:bookmarkEnd w:id="10"/>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 xml:space="preserve">Cadastro Nacional da Pessoa Jurídica do </w:t>
      </w:r>
      <w:proofErr w:type="gramStart"/>
      <w:r w:rsidRPr="001B39F8">
        <w:rPr>
          <w:rFonts w:ascii="Tahoma" w:hAnsi="Tahoma" w:cs="Tahoma"/>
          <w:sz w:val="22"/>
          <w:szCs w:val="22"/>
        </w:rPr>
        <w:t>Ministério da Economia</w:t>
      </w:r>
      <w:proofErr w:type="gramEnd"/>
      <w:r w:rsidRPr="001B39F8">
        <w:rPr>
          <w:rFonts w:ascii="Tahoma" w:hAnsi="Tahoma" w:cs="Tahoma"/>
          <w:sz w:val="22"/>
          <w:szCs w:val="22"/>
        </w:rPr>
        <w:t>.</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1" w:name="_Hlk51703390"/>
      <w:r w:rsidRPr="001B39F8">
        <w:rPr>
          <w:rFonts w:ascii="Tahoma" w:hAnsi="Tahoma" w:cs="Tahoma"/>
          <w:i/>
          <w:sz w:val="22"/>
          <w:szCs w:val="22"/>
        </w:rPr>
        <w:t>e Garantia Fidejussória Adicional</w:t>
      </w:r>
      <w:bookmarkEnd w:id="11"/>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12" w:name="_Hlk40287426"/>
      <w:r w:rsidRPr="001B39F8">
        <w:rPr>
          <w:rFonts w:ascii="Tahoma" w:hAnsi="Tahoma" w:cs="Tahoma"/>
          <w:sz w:val="22"/>
          <w:szCs w:val="22"/>
        </w:rPr>
        <w:t>Secretaria de Estado dos Transportes Metropolitanos</w:t>
      </w:r>
      <w:bookmarkEnd w:id="12"/>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3"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13"/>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1B39F8">
        <w:rPr>
          <w:rFonts w:ascii="Tahoma" w:hAnsi="Tahoma" w:cs="Tahoma"/>
          <w:sz w:val="22"/>
          <w:szCs w:val="22"/>
        </w:rPr>
        <w:t>ii</w:t>
      </w:r>
      <w:proofErr w:type="spellEnd"/>
      <w:r w:rsidRPr="001B39F8">
        <w:rPr>
          <w:rFonts w:ascii="Tahoma" w:hAnsi="Tahoma" w:cs="Tahoma"/>
          <w:sz w:val="22"/>
          <w:szCs w:val="22"/>
        </w:rPr>
        <w:t>) a qualquer Controladora, a qualquer Controlada (se houver) e/ou a qualquer Coligada (se houver) de quaisquer das pessoas indicadas neste item e no item anterior; ou (</w:t>
      </w:r>
      <w:proofErr w:type="spellStart"/>
      <w:r w:rsidRPr="001B39F8">
        <w:rPr>
          <w:rFonts w:ascii="Tahoma" w:hAnsi="Tahoma" w:cs="Tahoma"/>
          <w:sz w:val="22"/>
          <w:szCs w:val="22"/>
        </w:rPr>
        <w:t>iii</w:t>
      </w:r>
      <w:proofErr w:type="spellEnd"/>
      <w:r w:rsidRPr="001B39F8">
        <w:rPr>
          <w:rFonts w:ascii="Tahoma" w:hAnsi="Tahoma" w:cs="Tahoma"/>
          <w:sz w:val="22"/>
          <w:szCs w:val="22"/>
        </w:rPr>
        <w:t>)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14"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w:t>
      </w:r>
      <w:proofErr w:type="spellStart"/>
      <w:r w:rsidRPr="001B39F8">
        <w:rPr>
          <w:rFonts w:ascii="Tahoma" w:hAnsi="Tahoma" w:cs="Tahoma"/>
          <w:sz w:val="22"/>
          <w:szCs w:val="22"/>
        </w:rPr>
        <w:t>ii</w:t>
      </w:r>
      <w:proofErr w:type="spellEnd"/>
      <w:r w:rsidRPr="001B39F8">
        <w:rPr>
          <w:rFonts w:ascii="Tahoma" w:hAnsi="Tahoma" w:cs="Tahoma"/>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B39F8">
        <w:rPr>
          <w:rFonts w:ascii="Tahoma" w:hAnsi="Tahoma" w:cs="Tahoma"/>
          <w:sz w:val="22"/>
          <w:szCs w:val="22"/>
        </w:rPr>
        <w:t>iii</w:t>
      </w:r>
      <w:proofErr w:type="spellEnd"/>
      <w:r w:rsidRPr="001B39F8">
        <w:rPr>
          <w:rFonts w:ascii="Tahoma" w:hAnsi="Tahoma" w:cs="Tahoma"/>
          <w:sz w:val="22"/>
          <w:szCs w:val="22"/>
        </w:rPr>
        <w:t>) com relação a qualquer obrigação não pecuniária prevista nesta Escritura de Emissão, qualquer dia que não seja sábado ou domingo ou feriado na Cidade de São Paulo, Estado de São Paulo; e (</w:t>
      </w:r>
      <w:proofErr w:type="spellStart"/>
      <w:r w:rsidRPr="001B39F8">
        <w:rPr>
          <w:rFonts w:ascii="Tahoma" w:hAnsi="Tahoma" w:cs="Tahoma"/>
          <w:sz w:val="22"/>
          <w:szCs w:val="22"/>
        </w:rPr>
        <w:t>iv</w:t>
      </w:r>
      <w:proofErr w:type="spellEnd"/>
      <w:r w:rsidRPr="001B39F8">
        <w:rPr>
          <w:rFonts w:ascii="Tahoma" w:hAnsi="Tahoma" w:cs="Tahoma"/>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4"/>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15"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15"/>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xml:space="preserve">” significa qualquer efeito adverso relevante (i) na situação (econômica, 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operacional) da Companhia e/ou da Garantidora e/ou na Concessão; ou (</w:t>
      </w:r>
      <w:proofErr w:type="spellStart"/>
      <w:r w:rsidRPr="001B39F8">
        <w:rPr>
          <w:rFonts w:ascii="Tahoma" w:hAnsi="Tahoma" w:cs="Tahoma"/>
          <w:sz w:val="22"/>
          <w:szCs w:val="22"/>
        </w:rPr>
        <w:t>ii</w:t>
      </w:r>
      <w:proofErr w:type="spellEnd"/>
      <w:r w:rsidRPr="001B39F8">
        <w:rPr>
          <w:rFonts w:ascii="Tahoma" w:hAnsi="Tahoma" w:cs="Tahoma"/>
          <w:sz w:val="22"/>
          <w:szCs w:val="22"/>
        </w:rPr>
        <w:t>) no pontual cumprimento das obrigações assumidas pela Companhia e/ou pela Garantidora perante os Debenturistas, nos termos desta Escritura de Emissão e/ou do Contrato de Garantia Fidejussória, conforme o caso; (</w:t>
      </w:r>
      <w:proofErr w:type="spellStart"/>
      <w:r w:rsidRPr="001B39F8">
        <w:rPr>
          <w:rFonts w:ascii="Tahoma" w:hAnsi="Tahoma" w:cs="Tahoma"/>
          <w:sz w:val="22"/>
          <w:szCs w:val="22"/>
        </w:rPr>
        <w:t>iii</w:t>
      </w:r>
      <w:proofErr w:type="spellEnd"/>
      <w:r w:rsidRPr="001B39F8">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proofErr w:type="spellStart"/>
      <w:r w:rsidRPr="001B39F8">
        <w:rPr>
          <w:rFonts w:ascii="Tahoma" w:hAnsi="Tahoma" w:cs="Tahoma"/>
          <w:b/>
          <w:sz w:val="22"/>
          <w:szCs w:val="22"/>
        </w:rPr>
        <w:t>Escriturador</w:t>
      </w:r>
      <w:proofErr w:type="spellEnd"/>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 xml:space="preserve">sendo que essa definição incluí qualquer outra instituição que venha a suceder o </w:t>
      </w:r>
      <w:proofErr w:type="spellStart"/>
      <w:r w:rsidRPr="001B39F8">
        <w:rPr>
          <w:rFonts w:ascii="Tahoma" w:eastAsia="Arial Unicode MS" w:hAnsi="Tahoma" w:cs="Tahoma"/>
          <w:color w:val="000000"/>
          <w:sz w:val="22"/>
          <w:szCs w:val="22"/>
        </w:rPr>
        <w:t>Escriturador</w:t>
      </w:r>
      <w:proofErr w:type="spellEnd"/>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16" w:name="_Hlk38571858"/>
      <w:r w:rsidRPr="001B39F8">
        <w:rPr>
          <w:rFonts w:ascii="Tahoma" w:hAnsi="Tahoma" w:cs="Tahoma"/>
          <w:sz w:val="22"/>
          <w:szCs w:val="22"/>
          <w:lang w:val="es-ES"/>
        </w:rPr>
        <w:t>Acciona, S.A.</w:t>
      </w:r>
      <w:bookmarkEnd w:id="16"/>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17"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17"/>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 xml:space="preserve">over </w:t>
      </w:r>
      <w:proofErr w:type="spellStart"/>
      <w:r w:rsidRPr="001B39F8">
        <w:rPr>
          <w:rFonts w:ascii="Tahoma" w:hAnsi="Tahoma" w:cs="Tahoma"/>
          <w:i/>
          <w:sz w:val="22"/>
          <w:szCs w:val="22"/>
        </w:rPr>
        <w:t>extra-grupo</w:t>
      </w:r>
      <w:proofErr w:type="spellEnd"/>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8" w:name="_Toc51602583"/>
      <w:bookmarkStart w:id="19" w:name="_Ref532040236"/>
      <w:r w:rsidRPr="001B39F8">
        <w:rPr>
          <w:rFonts w:ascii="Tahoma" w:hAnsi="Tahoma" w:cs="Tahoma"/>
          <w:smallCaps/>
          <w:color w:val="auto"/>
        </w:rPr>
        <w:t>AUTORIZAÇÕES</w:t>
      </w:r>
      <w:bookmarkEnd w:id="18"/>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 w:name="_Ref40350060"/>
      <w:bookmarkStart w:id="21" w:name="_Toc51602584"/>
      <w:bookmarkEnd w:id="19"/>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20"/>
      <w:bookmarkEnd w:id="21"/>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 w:name="_Hlk38570429"/>
      <w:bookmarkStart w:id="23" w:name="_Toc51602586"/>
      <w:r w:rsidRPr="001B39F8">
        <w:rPr>
          <w:rFonts w:ascii="Tahoma" w:hAnsi="Tahoma" w:cs="Tahoma"/>
          <w:sz w:val="22"/>
          <w:szCs w:val="22"/>
        </w:rPr>
        <w:t>A constituição da Garantia Fidejussória será realizada com base nas deliberações da Garantidora.</w:t>
      </w:r>
      <w:bookmarkEnd w:id="22"/>
      <w:bookmarkEnd w:id="23"/>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 w:name="_Ref330905317"/>
      <w:bookmarkStart w:id="25" w:name="_Toc51602587"/>
      <w:r w:rsidRPr="001B39F8">
        <w:rPr>
          <w:rFonts w:ascii="Tahoma" w:hAnsi="Tahoma" w:cs="Tahoma"/>
          <w:smallCaps/>
          <w:color w:val="auto"/>
        </w:rPr>
        <w:t>REQUISITOS</w:t>
      </w:r>
      <w:bookmarkEnd w:id="24"/>
      <w:bookmarkEnd w:id="25"/>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26" w:name="_Ref376965967"/>
      <w:bookmarkStart w:id="27"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26"/>
      <w:bookmarkEnd w:id="27"/>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28"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28"/>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9"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30" w:name="_Hlk40694136"/>
      <w:r w:rsidRPr="001B39F8">
        <w:rPr>
          <w:rFonts w:ascii="Tahoma" w:hAnsi="Tahoma" w:cs="Tahoma"/>
          <w:sz w:val="22"/>
          <w:szCs w:val="22"/>
        </w:rPr>
        <w:t>“Data Mercantil”</w:t>
      </w:r>
      <w:bookmarkEnd w:id="30"/>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29"/>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1" w:name="_Ref528689374"/>
      <w:bookmarkStart w:id="32" w:name="_Toc51602591"/>
      <w:bookmarkStart w:id="33"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1"/>
      <w:bookmarkEnd w:id="32"/>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4" w:name="_Ref528683189"/>
      <w:bookmarkStart w:id="35"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3"/>
      <w:bookmarkEnd w:id="34"/>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5"/>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6"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6"/>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7" w:name="_Toc51602594"/>
      <w:bookmarkStart w:id="38" w:name="_Ref201729546"/>
      <w:bookmarkStart w:id="39"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37"/>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0" w:name="_Toc51602595"/>
      <w:bookmarkEnd w:id="38"/>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39"/>
      <w:bookmarkEnd w:id="40"/>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1" w:name="_Ref529290575"/>
      <w:bookmarkStart w:id="42"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1"/>
      <w:bookmarkEnd w:id="42"/>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3" w:name="_Ref528003806"/>
      <w:bookmarkStart w:id="44"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3"/>
      <w:bookmarkEnd w:id="44"/>
      <w:r w:rsidRPr="001B39F8">
        <w:rPr>
          <w:rFonts w:ascii="Tahoma" w:hAnsi="Tahoma" w:cs="Tahoma"/>
          <w:sz w:val="22"/>
          <w:szCs w:val="22"/>
        </w:rPr>
        <w:t xml:space="preserve"> </w:t>
      </w:r>
      <w:bookmarkStart w:id="45"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45"/>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6"/>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47" w:name="_Toc51602599"/>
      <w:r w:rsidRPr="001B39F8">
        <w:rPr>
          <w:rFonts w:ascii="Tahoma" w:hAnsi="Tahoma" w:cs="Tahoma"/>
          <w:b/>
          <w:i/>
          <w:sz w:val="22"/>
          <w:szCs w:val="22"/>
        </w:rPr>
        <w:t>Registro da Oferta pela CVM.</w:t>
      </w:r>
      <w:bookmarkEnd w:id="47"/>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48"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8"/>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9"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49"/>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50"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50"/>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1" w:name="_Toc51602606"/>
      <w:r w:rsidRPr="001B39F8">
        <w:rPr>
          <w:rFonts w:ascii="Tahoma" w:hAnsi="Tahoma" w:cs="Tahoma"/>
          <w:b/>
          <w:i/>
          <w:sz w:val="22"/>
          <w:szCs w:val="22"/>
        </w:rPr>
        <w:t>Eficácia da Garantia Fidejussória</w:t>
      </w:r>
      <w:bookmarkEnd w:id="51"/>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52" w:name="_Hlk38571142"/>
      <w:bookmarkStart w:id="53" w:name="_Toc51602607"/>
      <w:r w:rsidRPr="001B39F8">
        <w:rPr>
          <w:rFonts w:ascii="Tahoma" w:hAnsi="Tahoma" w:cs="Tahoma"/>
          <w:sz w:val="22"/>
          <w:szCs w:val="22"/>
        </w:rPr>
        <w:t>A Garantia Fidejussória deverá estar existente, válida e eficaz nos termos das leis estrangeiras aplicáveis.</w:t>
      </w:r>
      <w:bookmarkEnd w:id="52"/>
      <w:bookmarkEnd w:id="53"/>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4" w:name="_Toc51602608"/>
      <w:r w:rsidRPr="001B39F8">
        <w:rPr>
          <w:rFonts w:ascii="Tahoma" w:hAnsi="Tahoma" w:cs="Tahoma"/>
          <w:smallCaps/>
          <w:color w:val="auto"/>
        </w:rPr>
        <w:t>OBJETO SOCIAL DA COMPANHIA</w:t>
      </w:r>
      <w:bookmarkEnd w:id="54"/>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5" w:name="_Ref37879059"/>
      <w:bookmarkStart w:id="56"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55"/>
      <w:bookmarkEnd w:id="56"/>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57" w:name="_Ref368578037"/>
      <w:bookmarkStart w:id="58" w:name="_Toc51602610"/>
      <w:r w:rsidRPr="001B39F8">
        <w:rPr>
          <w:rFonts w:ascii="Tahoma" w:hAnsi="Tahoma" w:cs="Tahoma"/>
          <w:color w:val="auto"/>
        </w:rPr>
        <w:t>DESTINAÇÃO DOS RECURSOS</w:t>
      </w:r>
      <w:bookmarkEnd w:id="57"/>
      <w:bookmarkEnd w:id="58"/>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59" w:name="_Ref264564155"/>
      <w:bookmarkStart w:id="60" w:name="_Hlk40288483"/>
      <w:bookmarkStart w:id="61" w:name="_Hlk40698730"/>
      <w:bookmarkStart w:id="62" w:name="_Toc51602611"/>
      <w:bookmarkStart w:id="63"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w:t>
      </w:r>
      <w:proofErr w:type="spellStart"/>
      <w:r w:rsidRPr="001B39F8">
        <w:rPr>
          <w:rFonts w:ascii="Tahoma" w:hAnsi="Tahoma" w:cs="Tahoma"/>
          <w:sz w:val="22"/>
          <w:szCs w:val="22"/>
        </w:rPr>
        <w:t>ii</w:t>
      </w:r>
      <w:proofErr w:type="spellEnd"/>
      <w:r w:rsidRPr="001B39F8">
        <w:rPr>
          <w:rFonts w:ascii="Tahoma" w:hAnsi="Tahoma" w:cs="Tahoma"/>
          <w:sz w:val="22"/>
          <w:szCs w:val="22"/>
        </w:rPr>
        <w:t>)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59"/>
      <w:bookmarkEnd w:id="60"/>
      <w:bookmarkEnd w:id="61"/>
      <w:bookmarkEnd w:id="62"/>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4" w:name="_Toc51602612"/>
      <w:bookmarkEnd w:id="63"/>
      <w:r w:rsidRPr="001B39F8">
        <w:rPr>
          <w:rFonts w:ascii="Tahoma" w:hAnsi="Tahoma" w:cs="Tahoma"/>
          <w:smallCaps/>
          <w:color w:val="auto"/>
        </w:rPr>
        <w:t>CARACTERÍSTICAS DA OFERTA</w:t>
      </w:r>
      <w:bookmarkEnd w:id="64"/>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5" w:name="_Ref488943219"/>
      <w:bookmarkStart w:id="66"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65"/>
      <w:bookmarkEnd w:id="66"/>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7" w:name="_Ref529268539"/>
      <w:bookmarkStart w:id="68"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as Debêntures serão subscritas, a qualquer tempo, a partir da data de início </w:t>
      </w:r>
      <w:r w:rsidRPr="001B39F8">
        <w:rPr>
          <w:rFonts w:ascii="Tahoma" w:hAnsi="Tahoma" w:cs="Tahoma"/>
          <w:sz w:val="22"/>
          <w:szCs w:val="22"/>
        </w:rPr>
        <w:lastRenderedPageBreak/>
        <w:t>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67"/>
      <w:bookmarkEnd w:id="68"/>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9" w:name="_Ref312315490"/>
      <w:bookmarkStart w:id="70" w:name="_Ref529293817"/>
      <w:bookmarkStart w:id="71"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9"/>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70"/>
      <w:bookmarkEnd w:id="71"/>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2" w:name="_Ref264481789"/>
      <w:bookmarkStart w:id="73" w:name="_Ref310606049"/>
      <w:bookmarkStart w:id="74"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2"/>
      <w:r w:rsidRPr="001B39F8">
        <w:rPr>
          <w:rFonts w:ascii="Tahoma" w:hAnsi="Tahoma" w:cs="Tahoma"/>
          <w:sz w:val="22"/>
          <w:szCs w:val="22"/>
        </w:rPr>
        <w:t>.</w:t>
      </w:r>
      <w:bookmarkEnd w:id="73"/>
      <w:bookmarkEnd w:id="74"/>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5" w:name="_Toc51602617"/>
      <w:r w:rsidRPr="001B39F8">
        <w:rPr>
          <w:rFonts w:ascii="Tahoma" w:hAnsi="Tahoma" w:cs="Tahoma"/>
          <w:smallCaps/>
          <w:color w:val="auto"/>
        </w:rPr>
        <w:t>CARACTERÍSTICAS DA EMISSÃO E DAS DEBÊNTURES</w:t>
      </w:r>
      <w:bookmarkEnd w:id="75"/>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6"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77" w:name="_Ref130282607"/>
      <w:r w:rsidRPr="001B39F8">
        <w:rPr>
          <w:rFonts w:ascii="Tahoma" w:hAnsi="Tahoma" w:cs="Tahoma"/>
          <w:sz w:val="22"/>
          <w:szCs w:val="22"/>
        </w:rPr>
        <w:t>As Debêntures representam a 1ª (primeira) emissão de debêntures da Companhia.</w:t>
      </w:r>
      <w:bookmarkEnd w:id="76"/>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77"/>
      <w:bookmarkEnd w:id="78"/>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9" w:name="_Ref130282609"/>
      <w:bookmarkStart w:id="80" w:name="_Ref191891558"/>
      <w:bookmarkStart w:id="81" w:name="_Ref310951543"/>
      <w:bookmarkStart w:id="82"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79"/>
      <w:bookmarkEnd w:id="80"/>
      <w:r w:rsidRPr="001B39F8">
        <w:rPr>
          <w:rFonts w:ascii="Tahoma" w:hAnsi="Tahoma" w:cs="Tahoma"/>
          <w:sz w:val="22"/>
          <w:szCs w:val="22"/>
        </w:rPr>
        <w:t xml:space="preserve">, sendo que serão emitidas </w:t>
      </w:r>
      <w:bookmarkStart w:id="83"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1"/>
      <w:bookmarkEnd w:id="82"/>
      <w:bookmarkEnd w:id="83"/>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4" w:name="_Ref264653613"/>
      <w:bookmarkStart w:id="85"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84"/>
      <w:r w:rsidRPr="001B39F8">
        <w:rPr>
          <w:rFonts w:ascii="Tahoma" w:hAnsi="Tahoma" w:cs="Tahoma"/>
          <w:sz w:val="22"/>
          <w:szCs w:val="22"/>
        </w:rPr>
        <w:t>”).</w:t>
      </w:r>
      <w:bookmarkEnd w:id="85"/>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6" w:name="_Ref137548372"/>
      <w:bookmarkStart w:id="87" w:name="_Ref168458019"/>
      <w:bookmarkStart w:id="88" w:name="_Ref191891571"/>
      <w:bookmarkStart w:id="89" w:name="_Toc51602622"/>
      <w:bookmarkStart w:id="90" w:name="_Ref130363099"/>
      <w:r w:rsidRPr="001B39F8">
        <w:rPr>
          <w:rFonts w:ascii="Tahoma" w:hAnsi="Tahoma" w:cs="Tahoma"/>
          <w:i/>
          <w:sz w:val="22"/>
          <w:szCs w:val="22"/>
        </w:rPr>
        <w:t>Séries</w:t>
      </w:r>
      <w:r w:rsidRPr="001B39F8">
        <w:rPr>
          <w:rFonts w:ascii="Tahoma" w:hAnsi="Tahoma" w:cs="Tahoma"/>
          <w:sz w:val="22"/>
          <w:szCs w:val="22"/>
        </w:rPr>
        <w:t xml:space="preserve">. </w:t>
      </w:r>
      <w:bookmarkEnd w:id="86"/>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87"/>
      <w:bookmarkEnd w:id="88"/>
      <w:bookmarkEnd w:id="89"/>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1" w:name="_Toc51602623"/>
      <w:bookmarkEnd w:id="90"/>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1"/>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92"/>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3"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3"/>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Ref264653840"/>
      <w:bookmarkStart w:id="95" w:name="_Ref278297550"/>
      <w:bookmarkStart w:id="96" w:name="_Ref279826913"/>
      <w:bookmarkStart w:id="97"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98" w:name="_Ref535067474"/>
      <w:bookmarkEnd w:id="94"/>
      <w:bookmarkEnd w:id="95"/>
      <w:bookmarkEnd w:id="96"/>
      <w:r w:rsidRPr="001B39F8">
        <w:rPr>
          <w:rFonts w:ascii="Tahoma" w:hAnsi="Tahoma" w:cs="Tahoma"/>
          <w:sz w:val="22"/>
          <w:szCs w:val="22"/>
        </w:rPr>
        <w:t>”).</w:t>
      </w:r>
      <w:bookmarkEnd w:id="97"/>
      <w:r w:rsidRPr="001B39F8">
        <w:rPr>
          <w:rFonts w:ascii="Tahoma" w:hAnsi="Tahoma" w:cs="Tahoma"/>
          <w:sz w:val="22"/>
          <w:szCs w:val="22"/>
        </w:rPr>
        <w:t xml:space="preserve"> </w:t>
      </w:r>
    </w:p>
    <w:p w14:paraId="6505EBA1" w14:textId="2D63E842"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9" w:name="_Ref272250319"/>
      <w:bookmarkStart w:id="100"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8434C0" w:rsidRPr="008434C0">
        <w:rPr>
          <w:rFonts w:ascii="Tahoma" w:hAnsi="Tahoma" w:cs="Tahoma"/>
          <w:sz w:val="22"/>
          <w:szCs w:val="22"/>
        </w:rPr>
        <w:t>574 (quinhentos e setenta e quatro)</w:t>
      </w:r>
      <w:r w:rsidR="00F8473C" w:rsidRPr="00F8473C">
        <w:rPr>
          <w:rFonts w:ascii="Tahoma" w:hAnsi="Tahoma" w:cs="Tahoma"/>
          <w:sz w:val="22"/>
          <w:szCs w:val="22"/>
        </w:rPr>
        <w:t xml:space="preserve"> dias contados da Data de Emissão, vencendo-se, portanto, em </w:t>
      </w:r>
      <w:r w:rsidR="008434C0">
        <w:rPr>
          <w:rFonts w:ascii="Tahoma" w:hAnsi="Tahoma" w:cs="Tahoma"/>
          <w:sz w:val="22"/>
          <w:szCs w:val="22"/>
        </w:rPr>
        <w:t>29</w:t>
      </w:r>
      <w:r w:rsidR="008434C0" w:rsidRPr="00F8473C">
        <w:rPr>
          <w:rFonts w:ascii="Tahoma" w:hAnsi="Tahoma" w:cs="Tahoma"/>
          <w:sz w:val="22"/>
          <w:szCs w:val="22"/>
        </w:rPr>
        <w:t xml:space="preserve"> </w:t>
      </w:r>
      <w:r w:rsidR="00F8473C" w:rsidRPr="00F8473C">
        <w:rPr>
          <w:rFonts w:ascii="Tahoma" w:hAnsi="Tahoma" w:cs="Tahoma"/>
          <w:sz w:val="22"/>
          <w:szCs w:val="22"/>
        </w:rPr>
        <w:t xml:space="preserve">de </w:t>
      </w:r>
      <w:r w:rsidR="008434C0">
        <w:rPr>
          <w:rFonts w:ascii="Tahoma" w:hAnsi="Tahoma" w:cs="Tahoma"/>
          <w:sz w:val="22"/>
          <w:szCs w:val="22"/>
        </w:rPr>
        <w:t xml:space="preserve">abril </w:t>
      </w:r>
      <w:r w:rsidR="00F8473C" w:rsidRPr="00F8473C">
        <w:rPr>
          <w:rFonts w:ascii="Tahoma" w:hAnsi="Tahoma" w:cs="Tahoma"/>
          <w:sz w:val="22"/>
          <w:szCs w:val="22"/>
        </w:rPr>
        <w:t>de 2022</w:t>
      </w:r>
      <w:r w:rsidR="00F8473C" w:rsidRP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99"/>
      <w:r w:rsidRPr="001B39F8">
        <w:rPr>
          <w:rFonts w:ascii="Tahoma" w:hAnsi="Tahoma" w:cs="Tahoma"/>
          <w:sz w:val="22"/>
          <w:szCs w:val="22"/>
        </w:rPr>
        <w:t>”).</w:t>
      </w:r>
      <w:bookmarkEnd w:id="100"/>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Ref499717905"/>
      <w:bookmarkStart w:id="102" w:name="_Toc51602629"/>
      <w:bookmarkStart w:id="103" w:name="_Ref528595098"/>
      <w:bookmarkStart w:id="104"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1"/>
      <w:r w:rsidRPr="001B39F8">
        <w:rPr>
          <w:rFonts w:ascii="Tahoma" w:hAnsi="Tahoma" w:cs="Tahoma"/>
          <w:sz w:val="22"/>
          <w:szCs w:val="22"/>
        </w:rPr>
        <w:t>uma única parcela, na Data de Vencimento.</w:t>
      </w:r>
      <w:bookmarkEnd w:id="102"/>
      <w:r w:rsidRPr="001B39F8">
        <w:rPr>
          <w:rFonts w:ascii="Tahoma" w:hAnsi="Tahoma" w:cs="Tahoma"/>
          <w:sz w:val="22"/>
          <w:szCs w:val="22"/>
        </w:rPr>
        <w:t xml:space="preserve"> </w:t>
      </w:r>
      <w:bookmarkEnd w:id="103"/>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5" w:name="_Ref137107211"/>
      <w:bookmarkStart w:id="106" w:name="_Ref264551489"/>
      <w:bookmarkStart w:id="107" w:name="_Ref279826774"/>
      <w:bookmarkStart w:id="108" w:name="_Toc51602630"/>
      <w:bookmarkEnd w:id="104"/>
      <w:r w:rsidRPr="001B39F8">
        <w:rPr>
          <w:rFonts w:ascii="Tahoma" w:hAnsi="Tahoma" w:cs="Tahoma"/>
          <w:i/>
          <w:sz w:val="22"/>
          <w:szCs w:val="22"/>
        </w:rPr>
        <w:t>Remuneração</w:t>
      </w:r>
      <w:r w:rsidRPr="001B39F8">
        <w:rPr>
          <w:rFonts w:ascii="Tahoma" w:hAnsi="Tahoma" w:cs="Tahoma"/>
          <w:sz w:val="22"/>
          <w:szCs w:val="22"/>
        </w:rPr>
        <w:t>.</w:t>
      </w:r>
      <w:bookmarkEnd w:id="105"/>
      <w:r w:rsidRPr="001B39F8">
        <w:rPr>
          <w:rFonts w:ascii="Tahoma" w:hAnsi="Tahoma" w:cs="Tahoma"/>
          <w:sz w:val="22"/>
          <w:szCs w:val="22"/>
        </w:rPr>
        <w:t xml:space="preserve"> </w:t>
      </w:r>
      <w:bookmarkStart w:id="109" w:name="_Ref260242522"/>
      <w:bookmarkStart w:id="110" w:name="_Ref130286776"/>
      <w:bookmarkStart w:id="111" w:name="_Ref130611431"/>
      <w:bookmarkStart w:id="112" w:name="_Ref168843122"/>
      <w:bookmarkStart w:id="113" w:name="_Ref130282854"/>
      <w:bookmarkEnd w:id="106"/>
      <w:r w:rsidRPr="001B39F8">
        <w:rPr>
          <w:rFonts w:ascii="Tahoma" w:hAnsi="Tahoma" w:cs="Tahoma"/>
          <w:sz w:val="22"/>
          <w:szCs w:val="22"/>
        </w:rPr>
        <w:t>A remuneração das Debêntures será a seguinte:</w:t>
      </w:r>
      <w:bookmarkEnd w:id="107"/>
      <w:bookmarkEnd w:id="108"/>
      <w:bookmarkEnd w:id="109"/>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4"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15" w:name="_Ref164156803"/>
      <w:r w:rsidRPr="001B39F8">
        <w:rPr>
          <w:rFonts w:ascii="Tahoma" w:hAnsi="Tahoma" w:cs="Tahoma"/>
          <w:sz w:val="22"/>
          <w:szCs w:val="22"/>
        </w:rPr>
        <w:t>o Valor Nominal Unitário das Debêntures não será atualizado monetariamente; e</w:t>
      </w:r>
      <w:bookmarkEnd w:id="114"/>
    </w:p>
    <w:p w14:paraId="111DC6FC" w14:textId="176E4094"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6" w:name="_Toc51602632"/>
      <w:bookmarkStart w:id="117" w:name="_Hlk82612283"/>
      <w:bookmarkStart w:id="118" w:name="_Hlk82613491"/>
      <w:bookmarkStart w:id="119" w:name="_Ref328665579"/>
      <w:bookmarkStart w:id="120" w:name="_Ref488948415"/>
      <w:bookmarkStart w:id="121" w:name="_Ref279828381"/>
      <w:bookmarkStart w:id="122"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3"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3"/>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 xml:space="preserve">será paga periodicamente, com o primeiro pagamento em 02 de abril de 2021, </w:t>
      </w:r>
      <w:r w:rsidR="00355033" w:rsidRPr="00E92440">
        <w:rPr>
          <w:rFonts w:ascii="Tahoma" w:hAnsi="Tahoma" w:cs="Tahoma"/>
          <w:sz w:val="22"/>
          <w:szCs w:val="22"/>
        </w:rPr>
        <w:t>o segundo em 15 de outubro de 2021</w:t>
      </w:r>
      <w:r w:rsidR="00DA27B7" w:rsidRPr="00E92440">
        <w:rPr>
          <w:rFonts w:ascii="Tahoma" w:hAnsi="Tahoma" w:cs="Tahoma"/>
          <w:sz w:val="22"/>
          <w:szCs w:val="22"/>
        </w:rPr>
        <w:t xml:space="preserve"> </w:t>
      </w:r>
      <w:r w:rsidR="00355033" w:rsidRPr="00E92440">
        <w:rPr>
          <w:rFonts w:ascii="Tahoma" w:hAnsi="Tahoma" w:cs="Tahoma"/>
          <w:sz w:val="22"/>
          <w:szCs w:val="22"/>
        </w:rPr>
        <w:t>e</w:t>
      </w:r>
      <w:r w:rsidR="00DA27B7" w:rsidRPr="00E92440">
        <w:rPr>
          <w:rFonts w:ascii="Tahoma" w:hAnsi="Tahoma" w:cs="Tahoma"/>
          <w:sz w:val="22"/>
          <w:szCs w:val="22"/>
        </w:rPr>
        <w:t xml:space="preserve"> </w:t>
      </w:r>
      <w:r w:rsidR="00355033" w:rsidRPr="00E92440">
        <w:rPr>
          <w:rFonts w:ascii="Tahoma" w:hAnsi="Tahoma" w:cs="Tahoma"/>
          <w:sz w:val="22"/>
          <w:szCs w:val="22"/>
        </w:rPr>
        <w:t>último na Data de Vencimento</w:t>
      </w:r>
      <w:r w:rsidRPr="001B39F8">
        <w:rPr>
          <w:rFonts w:ascii="Tahoma" w:hAnsi="Tahoma" w:cs="Tahoma"/>
          <w:sz w:val="22"/>
          <w:szCs w:val="22"/>
        </w:rPr>
        <w:t>.</w:t>
      </w:r>
      <w:bookmarkEnd w:id="116"/>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4" w:name="_Toc51602633"/>
      <w:bookmarkEnd w:id="117"/>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24"/>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5" w:name="_Toc51602634"/>
            <w:r w:rsidRPr="001B39F8">
              <w:rPr>
                <w:rFonts w:ascii="Tahoma" w:hAnsi="Tahoma" w:cs="Tahoma"/>
                <w:b/>
                <w:sz w:val="22"/>
                <w:szCs w:val="22"/>
              </w:rPr>
              <w:t>Período</w:t>
            </w:r>
            <w:bookmarkEnd w:id="125"/>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6" w:name="_Toc51602635"/>
            <w:r w:rsidRPr="001B39F8">
              <w:rPr>
                <w:rFonts w:ascii="Tahoma" w:hAnsi="Tahoma" w:cs="Tahoma"/>
                <w:b/>
                <w:sz w:val="22"/>
                <w:szCs w:val="22"/>
              </w:rPr>
              <w:t>Taxa de Remuneração do Período</w:t>
            </w:r>
            <w:bookmarkEnd w:id="126"/>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7" w:name="_Toc51602636"/>
            <w:r w:rsidRPr="001B39F8">
              <w:rPr>
                <w:rFonts w:ascii="Tahoma" w:hAnsi="Tahoma" w:cs="Tahoma"/>
                <w:sz w:val="22"/>
                <w:szCs w:val="22"/>
              </w:rPr>
              <w:t>Da Data de Emissão (inclusive) até 2 de abril de 2021 (exclusive)</w:t>
            </w:r>
            <w:bookmarkEnd w:id="127"/>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8" w:name="_Toc51602637"/>
            <w:r w:rsidRPr="001B39F8">
              <w:rPr>
                <w:rFonts w:ascii="Tahoma" w:hAnsi="Tahoma" w:cs="Tahoma"/>
                <w:sz w:val="22"/>
                <w:szCs w:val="22"/>
              </w:rPr>
              <w:t>1,35% (um inteiro e trinta e cinco centésimos por cento)</w:t>
            </w:r>
            <w:bookmarkEnd w:id="128"/>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9" w:name="_Toc51602638"/>
            <w:r w:rsidRPr="001B39F8">
              <w:rPr>
                <w:rFonts w:ascii="Tahoma" w:hAnsi="Tahoma" w:cs="Tahoma"/>
                <w:sz w:val="22"/>
                <w:szCs w:val="22"/>
              </w:rPr>
              <w:lastRenderedPageBreak/>
              <w:t>De 2 de abril de 2021 (inclusive) até 2 de julho de 2021 (exclusive)</w:t>
            </w:r>
            <w:bookmarkEnd w:id="129"/>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0" w:name="_Toc51602639"/>
            <w:r w:rsidRPr="001B39F8">
              <w:rPr>
                <w:rFonts w:ascii="Tahoma" w:hAnsi="Tahoma" w:cs="Tahoma"/>
                <w:sz w:val="22"/>
                <w:szCs w:val="22"/>
              </w:rPr>
              <w:t>1,50% (um inteiro e cinquenta centésimos por cento)</w:t>
            </w:r>
            <w:bookmarkEnd w:id="130"/>
          </w:p>
        </w:tc>
      </w:tr>
      <w:tr w:rsidR="00355033" w:rsidRPr="001B39F8" w14:paraId="542ACCD0" w14:textId="77777777" w:rsidTr="00D169E7">
        <w:tc>
          <w:tcPr>
            <w:tcW w:w="4253" w:type="dxa"/>
          </w:tcPr>
          <w:p w14:paraId="0D8659EC" w14:textId="18B621EC"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 de Vencimento</w:t>
            </w:r>
            <w:r w:rsidRPr="00355033">
              <w:rPr>
                <w:rFonts w:ascii="Tahoma" w:hAnsi="Tahoma" w:cs="Tahoma"/>
                <w:sz w:val="22"/>
                <w:szCs w:val="22"/>
              </w:rPr>
              <w:t xml:space="preserve">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1" w:name="_Toc51602642"/>
      <w:bookmarkEnd w:id="118"/>
      <w:r w:rsidRPr="001B39F8">
        <w:rPr>
          <w:rFonts w:ascii="Tahoma" w:hAnsi="Tahoma" w:cs="Tahoma"/>
          <w:sz w:val="22"/>
          <w:szCs w:val="22"/>
        </w:rPr>
        <w:t>A Remuneração será calculada de acordo com a seguinte fórmula:</w:t>
      </w:r>
      <w:bookmarkEnd w:id="119"/>
      <w:bookmarkEnd w:id="120"/>
      <w:bookmarkEnd w:id="131"/>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2" w:name="_Toc51602643"/>
      <w:r w:rsidRPr="001B39F8">
        <w:rPr>
          <w:rFonts w:ascii="Tahoma" w:hAnsi="Tahoma" w:cs="Tahoma"/>
          <w:b/>
          <w:sz w:val="22"/>
          <w:szCs w:val="22"/>
        </w:rPr>
        <w:t>J=</w:t>
      </w:r>
      <w:proofErr w:type="spellStart"/>
      <w:r w:rsidRPr="001B39F8">
        <w:rPr>
          <w:rFonts w:ascii="Tahoma" w:hAnsi="Tahoma" w:cs="Tahoma"/>
          <w:b/>
          <w:sz w:val="22"/>
          <w:szCs w:val="22"/>
        </w:rPr>
        <w:t>VNe</w:t>
      </w:r>
      <w:proofErr w:type="spellEnd"/>
      <w:r w:rsidRPr="001B39F8">
        <w:rPr>
          <w:rFonts w:ascii="Tahoma" w:hAnsi="Tahoma" w:cs="Tahoma"/>
          <w:b/>
          <w:sz w:val="22"/>
          <w:szCs w:val="22"/>
        </w:rPr>
        <w:t xml:space="preserve"> x (Fator Juros – 1)</w:t>
      </w:r>
      <w:bookmarkEnd w:id="132"/>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VNe</w:t>
      </w:r>
      <w:proofErr w:type="spellEnd"/>
      <w:r w:rsidRPr="001B39F8">
        <w:rPr>
          <w:rFonts w:ascii="Tahoma" w:hAnsi="Tahoma" w:cs="Tahoma"/>
          <w:szCs w:val="22"/>
        </w:rPr>
        <w:t xml:space="preserv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 xml:space="preserve">Fator DI = </w:t>
      </w:r>
      <w:proofErr w:type="spellStart"/>
      <w:r w:rsidRPr="001B39F8">
        <w:rPr>
          <w:rFonts w:ascii="Tahoma" w:hAnsi="Tahoma" w:cs="Tahoma"/>
          <w:szCs w:val="22"/>
        </w:rPr>
        <w:t>produtório</w:t>
      </w:r>
      <w:proofErr w:type="spellEnd"/>
      <w:r w:rsidRPr="001B39F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D74ACB"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DI</w:t>
      </w:r>
      <w:r w:rsidRPr="001B39F8">
        <w:rPr>
          <w:rFonts w:ascii="Tahoma" w:hAnsi="Tahoma" w:cs="Tahoma"/>
          <w:szCs w:val="22"/>
          <w:vertAlign w:val="subscript"/>
        </w:rPr>
        <w:t>k</w:t>
      </w:r>
      <w:proofErr w:type="spellEnd"/>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D74ACB"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9" o:title=""/>
          </v:shape>
          <o:OLEObject Type="Embed" ProgID="Equation.3" ShapeID="_x0000_s1027" DrawAspect="Content" ObjectID="_1710243046"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w:t>
      </w:r>
      <w:proofErr w:type="spellStart"/>
      <w:r w:rsidRPr="001B39F8">
        <w:rPr>
          <w:rFonts w:ascii="Tahoma" w:hAnsi="Tahoma" w:cs="Tahoma"/>
          <w:szCs w:val="22"/>
        </w:rPr>
        <w:t>produtório</w:t>
      </w:r>
      <w:proofErr w:type="spellEnd"/>
      <w:r w:rsidRPr="001B39F8">
        <w:rPr>
          <w:rFonts w:ascii="Tahoma" w:hAnsi="Tahoma" w:cs="Tahoma"/>
          <w:szCs w:val="22"/>
        </w:rPr>
        <w:t xml:space="preserve">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3" w:name="_Ref495492067"/>
      <w:bookmarkStart w:id="134" w:name="_Toc51602644"/>
      <w:bookmarkStart w:id="135" w:name="_Ref286154048"/>
      <w:bookmarkEnd w:id="110"/>
      <w:bookmarkEnd w:id="111"/>
      <w:bookmarkEnd w:id="112"/>
      <w:bookmarkEnd w:id="115"/>
      <w:bookmarkEnd w:id="121"/>
      <w:bookmarkEnd w:id="122"/>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33"/>
      <w:bookmarkEnd w:id="134"/>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6" w:name="_Toc51602645"/>
      <w:r w:rsidRPr="001B39F8">
        <w:rPr>
          <w:rFonts w:ascii="Tahoma" w:hAnsi="Tahoma" w:cs="Tahoma"/>
          <w:b/>
          <w:sz w:val="22"/>
          <w:szCs w:val="22"/>
        </w:rPr>
        <w:t>7.12.5.1</w:t>
      </w:r>
      <w:r w:rsidRPr="001B39F8">
        <w:rPr>
          <w:rFonts w:ascii="Tahoma" w:hAnsi="Tahoma" w:cs="Tahoma"/>
          <w:b/>
          <w:sz w:val="22"/>
          <w:szCs w:val="22"/>
        </w:rPr>
        <w:tab/>
      </w:r>
      <w:bookmarkStart w:id="137" w:name="_Ref314589042"/>
      <w:r w:rsidRPr="001B39F8">
        <w:rPr>
          <w:rFonts w:ascii="Tahoma" w:hAnsi="Tahoma" w:cs="Tahoma"/>
          <w:sz w:val="22"/>
          <w:szCs w:val="22"/>
        </w:rPr>
        <w:t xml:space="preserve">Observado o disposto na Cláusula 7.12.5.2 abaixo, se, quando do </w:t>
      </w:r>
      <w:r w:rsidRPr="001B39F8">
        <w:rPr>
          <w:rFonts w:ascii="Tahoma" w:hAnsi="Tahoma" w:cs="Tahoma"/>
          <w:sz w:val="22"/>
          <w:szCs w:val="22"/>
        </w:rPr>
        <w:lastRenderedPageBreak/>
        <w:t>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6"/>
      <w:bookmarkEnd w:id="137"/>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8" w:name="_Toc51602646"/>
      <w:bookmarkStart w:id="139"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38"/>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0"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39"/>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w:t>
      </w:r>
      <w:r w:rsidRPr="001B39F8">
        <w:rPr>
          <w:rFonts w:ascii="Tahoma" w:hAnsi="Tahoma" w:cs="Tahoma"/>
          <w:sz w:val="22"/>
          <w:szCs w:val="22"/>
        </w:rPr>
        <w:lastRenderedPageBreak/>
        <w:t xml:space="preserve">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0"/>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1" w:name="_Toc51602648"/>
      <w:bookmarkEnd w:id="135"/>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1"/>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2" w:name="_Ref37080392"/>
      <w:bookmarkStart w:id="143"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2"/>
      <w:bookmarkEnd w:id="143"/>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4"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4"/>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5" w:name="_Ref37080739"/>
      <w:bookmarkStart w:id="146"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até a data do efetivo Resgate Antecipado Obrigatório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dos Encargos Moratórios devidos e não pagos até a data do </w:t>
      </w:r>
      <w:r w:rsidRPr="001B39F8">
        <w:rPr>
          <w:rFonts w:ascii="Tahoma" w:hAnsi="Tahoma" w:cs="Tahoma"/>
          <w:sz w:val="22"/>
          <w:szCs w:val="22"/>
        </w:rPr>
        <w:lastRenderedPageBreak/>
        <w:t>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45"/>
      <w:bookmarkEnd w:id="146"/>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7"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47"/>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8" w:name="_Toc51602653"/>
      <w:r w:rsidRPr="001B39F8">
        <w:rPr>
          <w:rFonts w:ascii="Tahoma" w:hAnsi="Tahoma" w:cs="Tahoma"/>
          <w:sz w:val="22"/>
          <w:szCs w:val="22"/>
        </w:rPr>
        <w:t>As Debêntures não estarão sujeitas a resgate antecipado facultativo.</w:t>
      </w:r>
      <w:bookmarkEnd w:id="148"/>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49" w:name="_Ref37877429"/>
      <w:bookmarkStart w:id="150" w:name="_Toc51602654"/>
      <w:bookmarkStart w:id="151" w:name="_Ref534176584"/>
      <w:bookmarkEnd w:id="98"/>
      <w:bookmarkEnd w:id="113"/>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49"/>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50"/>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2" w:name="_Toc51602655"/>
      <w:bookmarkStart w:id="153"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2"/>
      <w:r w:rsidRPr="001B39F8">
        <w:rPr>
          <w:rFonts w:ascii="Tahoma" w:hAnsi="Tahoma" w:cs="Tahoma"/>
          <w:sz w:val="22"/>
          <w:szCs w:val="22"/>
        </w:rPr>
        <w:t xml:space="preserve"> </w:t>
      </w:r>
      <w:bookmarkEnd w:id="153"/>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4" w:name="_Ref37876729"/>
      <w:bookmarkStart w:id="155" w:name="_Toc51602656"/>
      <w:bookmarkStart w:id="156"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até a data da Amortização Obrigatória Parcial, conforme aplicável,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54"/>
      <w:bookmarkEnd w:id="155"/>
      <w:r w:rsidRPr="001B39F8">
        <w:rPr>
          <w:rFonts w:ascii="Tahoma" w:hAnsi="Tahoma" w:cs="Tahoma"/>
          <w:sz w:val="22"/>
          <w:szCs w:val="22"/>
        </w:rPr>
        <w:t xml:space="preserve"> </w:t>
      </w:r>
      <w:bookmarkEnd w:id="156"/>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7" w:name="_Toc51602657"/>
      <w:r w:rsidRPr="001B39F8">
        <w:rPr>
          <w:rFonts w:ascii="Tahoma" w:hAnsi="Tahoma" w:cs="Tahoma"/>
          <w:sz w:val="22"/>
          <w:szCs w:val="22"/>
        </w:rPr>
        <w:t>As Debêntures não estarão sujeitas a amortização antecipada facultativa.</w:t>
      </w:r>
      <w:bookmarkEnd w:id="157"/>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8" w:name="_Toc51602658"/>
      <w:bookmarkStart w:id="159"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58"/>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0"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59"/>
      <w:bookmarkEnd w:id="160"/>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1"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1"/>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2" w:name="_Ref324932809"/>
      <w:bookmarkStart w:id="163"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w:t>
      </w:r>
      <w:proofErr w:type="spellStart"/>
      <w:r w:rsidRPr="001B39F8">
        <w:rPr>
          <w:rFonts w:ascii="Tahoma" w:hAnsi="Tahoma" w:cs="Tahoma"/>
          <w:b/>
          <w:sz w:val="22"/>
          <w:szCs w:val="22"/>
        </w:rPr>
        <w:t>ii</w:t>
      </w:r>
      <w:proofErr w:type="spellEnd"/>
      <w:r w:rsidRPr="001B39F8">
        <w:rPr>
          <w:rFonts w:ascii="Tahoma" w:hAnsi="Tahoma" w:cs="Tahoma"/>
          <w:b/>
          <w:sz w:val="22"/>
          <w:szCs w:val="22"/>
        </w:rPr>
        <w:t>)</w:t>
      </w:r>
      <w:r w:rsidRPr="001B39F8">
        <w:rPr>
          <w:rFonts w:ascii="Tahoma" w:hAnsi="Tahoma" w:cs="Tahoma"/>
          <w:sz w:val="22"/>
          <w:szCs w:val="22"/>
        </w:rPr>
        <w:t xml:space="preserve"> pela Companhia, nos casos em que as Debêntures não estejam custodiadas eletronicamente na B3, por meio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ou na sede da Companhia, conforme o caso.</w:t>
      </w:r>
      <w:bookmarkEnd w:id="162"/>
      <w:bookmarkEnd w:id="163"/>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4" w:name="_Ref278399164"/>
      <w:bookmarkStart w:id="165"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4"/>
      <w:bookmarkEnd w:id="165"/>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6" w:name="_Ref279851957"/>
      <w:bookmarkStart w:id="167"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de 2% (dois por cento) (“</w:t>
      </w:r>
      <w:r w:rsidRPr="001B39F8">
        <w:rPr>
          <w:rFonts w:ascii="Tahoma" w:hAnsi="Tahoma" w:cs="Tahoma"/>
          <w:b/>
          <w:sz w:val="22"/>
          <w:szCs w:val="22"/>
        </w:rPr>
        <w:t>Encargos Moratórios</w:t>
      </w:r>
      <w:bookmarkEnd w:id="166"/>
      <w:r w:rsidRPr="001B39F8">
        <w:rPr>
          <w:rFonts w:ascii="Tahoma" w:hAnsi="Tahoma" w:cs="Tahoma"/>
          <w:sz w:val="22"/>
          <w:szCs w:val="22"/>
        </w:rPr>
        <w:t>”).</w:t>
      </w:r>
      <w:bookmarkEnd w:id="167"/>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8"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68"/>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9" w:name="_Toc51602665"/>
      <w:bookmarkEnd w:id="151"/>
      <w:r w:rsidRPr="001B39F8">
        <w:rPr>
          <w:rFonts w:ascii="Tahoma" w:hAnsi="Tahoma" w:cs="Tahoma"/>
          <w:i/>
          <w:iCs/>
          <w:sz w:val="22"/>
          <w:szCs w:val="22"/>
        </w:rPr>
        <w:t>Imunidade Tributária</w:t>
      </w:r>
      <w:r w:rsidRPr="001B39F8">
        <w:rPr>
          <w:rFonts w:ascii="Tahoma" w:hAnsi="Tahoma" w:cs="Tahoma"/>
          <w:sz w:val="22"/>
          <w:szCs w:val="22"/>
        </w:rPr>
        <w:t xml:space="preserve">. Caso qualquer Debenturista tenha imunidade ou isenção tributária, este deverá encaminhar ao Banco Liquidante ou ao </w:t>
      </w:r>
      <w:proofErr w:type="spellStart"/>
      <w:r w:rsidRPr="001B39F8">
        <w:rPr>
          <w:rFonts w:ascii="Tahoma" w:hAnsi="Tahoma" w:cs="Tahoma"/>
          <w:sz w:val="22"/>
          <w:szCs w:val="22"/>
        </w:rPr>
        <w:t>Escriturador</w:t>
      </w:r>
      <w:proofErr w:type="spellEnd"/>
      <w:r w:rsidRPr="001B39F8">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69"/>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70" w:name="_Ref534176672"/>
      <w:bookmarkStart w:id="171" w:name="_Ref359943667"/>
      <w:bookmarkStart w:id="172" w:name="_Ref37878946"/>
      <w:bookmarkStart w:id="173"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70"/>
      <w:bookmarkEnd w:id="171"/>
      <w:r w:rsidRPr="001B39F8">
        <w:rPr>
          <w:rFonts w:ascii="Tahoma" w:hAnsi="Tahoma" w:cs="Tahoma"/>
          <w:b/>
          <w:sz w:val="22"/>
          <w:szCs w:val="22"/>
        </w:rPr>
        <w:t>Vencimento Antecipado</w:t>
      </w:r>
      <w:r w:rsidRPr="001B39F8">
        <w:rPr>
          <w:rFonts w:ascii="Tahoma" w:hAnsi="Tahoma" w:cs="Tahoma"/>
          <w:sz w:val="22"/>
          <w:szCs w:val="22"/>
        </w:rPr>
        <w:t>”):</w:t>
      </w:r>
      <w:bookmarkEnd w:id="172"/>
      <w:bookmarkEnd w:id="173"/>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74" w:name="_Ref356481657"/>
      <w:bookmarkStart w:id="175"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74"/>
      <w:bookmarkEnd w:id="175"/>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76" w:name="_Ref352202606"/>
      <w:bookmarkStart w:id="177" w:name="_Ref137104988"/>
      <w:bookmarkStart w:id="178" w:name="_Ref149034057"/>
      <w:bookmarkStart w:id="179" w:name="_Ref164238959"/>
      <w:bookmarkStart w:id="180" w:name="_Ref264563274"/>
      <w:bookmarkStart w:id="181" w:name="_Ref149034055"/>
      <w:bookmarkStart w:id="182" w:name="_Ref164238994"/>
      <w:bookmarkStart w:id="183" w:name="_Ref152389657"/>
      <w:bookmarkStart w:id="184" w:name="_Ref164238965"/>
      <w:bookmarkStart w:id="185" w:name="_Ref137105000"/>
      <w:bookmarkStart w:id="186" w:name="_Ref130283570"/>
      <w:bookmarkStart w:id="187" w:name="_Ref130301134"/>
      <w:bookmarkStart w:id="188" w:name="_Ref137104995"/>
      <w:bookmarkStart w:id="189" w:name="_Ref137475230"/>
      <w:bookmarkStart w:id="190" w:name="_Ref264657534"/>
      <w:r w:rsidRPr="001B39F8">
        <w:rPr>
          <w:rFonts w:ascii="Tahoma" w:hAnsi="Tahoma" w:cs="Tahoma"/>
          <w:sz w:val="22"/>
          <w:szCs w:val="22"/>
        </w:rPr>
        <w:t>liquidação, dissolução ou extinção da Companhia, exceto se em decorrência de uma Reorganização Societária Permitida;</w:t>
      </w:r>
      <w:bookmarkEnd w:id="176"/>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1"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w:t>
      </w:r>
      <w:proofErr w:type="spellStart"/>
      <w:r w:rsidRPr="001B39F8">
        <w:rPr>
          <w:rFonts w:ascii="Tahoma" w:hAnsi="Tahoma" w:cs="Tahoma"/>
          <w:sz w:val="22"/>
          <w:szCs w:val="22"/>
        </w:rPr>
        <w:t>elisivo</w:t>
      </w:r>
      <w:proofErr w:type="spellEnd"/>
      <w:r w:rsidRPr="001B39F8">
        <w:rPr>
          <w:rFonts w:ascii="Tahoma" w:hAnsi="Tahoma" w:cs="Tahoma"/>
          <w:sz w:val="22"/>
          <w:szCs w:val="22"/>
        </w:rPr>
        <w:t xml:space="preserve">; (d) propositura, pela Companhia e/ou pela Garantidora, de plano de recuperação extrajudicial </w:t>
      </w:r>
      <w:r w:rsidRPr="001B39F8">
        <w:rPr>
          <w:rFonts w:ascii="Tahoma" w:hAnsi="Tahoma" w:cs="Tahoma"/>
          <w:sz w:val="22"/>
          <w:szCs w:val="22"/>
        </w:rPr>
        <w:lastRenderedPageBreak/>
        <w:t>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1"/>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2" w:name="_Ref137475231"/>
      <w:bookmarkStart w:id="193" w:name="_Ref149033996"/>
      <w:bookmarkStart w:id="194"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2"/>
      <w:bookmarkEnd w:id="193"/>
      <w:bookmarkEnd w:id="194"/>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5" w:name="_Ref328666840"/>
      <w:bookmarkEnd w:id="177"/>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78"/>
      <w:r w:rsidRPr="001B39F8">
        <w:rPr>
          <w:rFonts w:ascii="Tahoma" w:hAnsi="Tahoma" w:cs="Tahoma"/>
          <w:sz w:val="22"/>
          <w:szCs w:val="22"/>
        </w:rPr>
        <w:t>;</w:t>
      </w:r>
      <w:bookmarkEnd w:id="179"/>
      <w:bookmarkEnd w:id="180"/>
      <w:bookmarkEnd w:id="195"/>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6" w:name="_Ref322627685"/>
      <w:bookmarkStart w:id="197" w:name="_Ref272841215"/>
      <w:bookmarkEnd w:id="181"/>
      <w:bookmarkEnd w:id="182"/>
      <w:bookmarkEnd w:id="183"/>
      <w:bookmarkEnd w:id="184"/>
      <w:bookmarkEnd w:id="185"/>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198" w:name="_Ref273672022"/>
      <w:bookmarkEnd w:id="196"/>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199" w:name="_DV_M45"/>
      <w:bookmarkStart w:id="200" w:name="_Ref356481704"/>
      <w:bookmarkStart w:id="201" w:name="_Ref359943338"/>
      <w:bookmarkStart w:id="202" w:name="_Ref528593648"/>
      <w:bookmarkStart w:id="203" w:name="_Toc51602668"/>
      <w:bookmarkStart w:id="204" w:name="_Ref130283254"/>
      <w:bookmarkEnd w:id="186"/>
      <w:bookmarkEnd w:id="187"/>
      <w:bookmarkEnd w:id="188"/>
      <w:bookmarkEnd w:id="189"/>
      <w:bookmarkEnd w:id="190"/>
      <w:bookmarkEnd w:id="197"/>
      <w:bookmarkEnd w:id="198"/>
      <w:bookmarkEnd w:id="199"/>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00"/>
      <w:bookmarkEnd w:id="201"/>
      <w:bookmarkEnd w:id="202"/>
      <w:bookmarkEnd w:id="203"/>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5"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w:t>
      </w:r>
      <w:r w:rsidRPr="001B39F8">
        <w:rPr>
          <w:rFonts w:ascii="Tahoma" w:hAnsi="Tahoma" w:cs="Tahoma"/>
          <w:sz w:val="22"/>
          <w:szCs w:val="22"/>
        </w:rPr>
        <w:lastRenderedPageBreak/>
        <w:t xml:space="preserve">empresas do mesmo grupo econômico; e/ou (d) para o ingresso no quadro societário da Emissora das sociedades STOA S.A. e do Société </w:t>
      </w:r>
      <w:proofErr w:type="spellStart"/>
      <w:r w:rsidRPr="001B39F8">
        <w:rPr>
          <w:rFonts w:ascii="Tahoma" w:hAnsi="Tahoma" w:cs="Tahoma"/>
          <w:sz w:val="22"/>
          <w:szCs w:val="22"/>
        </w:rPr>
        <w:t>Générale</w:t>
      </w:r>
      <w:proofErr w:type="spellEnd"/>
      <w:r w:rsidRPr="001B39F8">
        <w:rPr>
          <w:rFonts w:ascii="Tahoma" w:hAnsi="Tahoma" w:cs="Tahoma"/>
          <w:sz w:val="22"/>
          <w:szCs w:val="22"/>
        </w:rPr>
        <w:t xml:space="preserv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05"/>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06"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6"/>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07"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w:t>
      </w:r>
      <w:r w:rsidRPr="001B39F8">
        <w:rPr>
          <w:rFonts w:ascii="Tahoma" w:hAnsi="Tahoma" w:cs="Tahoma"/>
          <w:sz w:val="22"/>
          <w:szCs w:val="22"/>
        </w:rPr>
        <w:lastRenderedPageBreak/>
        <w:t xml:space="preserve">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07"/>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08" w:name="_DV_C54"/>
      <w:r w:rsidRPr="001B39F8">
        <w:rPr>
          <w:rFonts w:ascii="Tahoma" w:hAnsi="Tahoma" w:cs="Tahoma"/>
          <w:sz w:val="22"/>
          <w:szCs w:val="22"/>
        </w:rPr>
        <w:t xml:space="preserve">, não sanado no prazo de até 60 (sessenta) dias (consecutivos), </w:t>
      </w:r>
      <w:bookmarkEnd w:id="208"/>
      <w:r w:rsidRPr="001B39F8">
        <w:rPr>
          <w:rFonts w:ascii="Tahoma" w:hAnsi="Tahoma" w:cs="Tahoma"/>
          <w:sz w:val="22"/>
          <w:szCs w:val="22"/>
        </w:rPr>
        <w:t>que possa causar um Efeito Adverso Relevante, ou abandono de qualquer ativo que seja essencial à</w:t>
      </w:r>
      <w:bookmarkStart w:id="209" w:name="_DV_M345"/>
      <w:bookmarkEnd w:id="209"/>
      <w:r w:rsidRPr="001B39F8">
        <w:rPr>
          <w:rFonts w:ascii="Tahoma" w:hAnsi="Tahoma" w:cs="Tahoma"/>
          <w:sz w:val="22"/>
          <w:szCs w:val="22"/>
        </w:rPr>
        <w:t xml:space="preserve"> implementação ou à operação do Projeto previsto no Contrato de Concessão;</w:t>
      </w:r>
      <w:bookmarkStart w:id="210" w:name="_DV_M346"/>
      <w:bookmarkEnd w:id="210"/>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1" w:name="_Ref130283217"/>
      <w:bookmarkStart w:id="212" w:name="_Ref169028300"/>
      <w:bookmarkStart w:id="213" w:name="_Ref278369126"/>
      <w:bookmarkStart w:id="214" w:name="_Ref534176562"/>
      <w:bookmarkEnd w:id="204"/>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5" w:name="_Toc51602669"/>
      <w:bookmarkStart w:id="216" w:name="_Ref130283218"/>
      <w:bookmarkEnd w:id="211"/>
      <w:bookmarkEnd w:id="212"/>
      <w:bookmarkEnd w:id="213"/>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15"/>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7" w:name="_Toc51602670"/>
      <w:bookmarkStart w:id="218"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7"/>
      <w:r w:rsidRPr="001B39F8">
        <w:rPr>
          <w:rFonts w:ascii="Tahoma" w:hAnsi="Tahoma" w:cs="Tahoma"/>
          <w:sz w:val="22"/>
          <w:szCs w:val="22"/>
        </w:rPr>
        <w:t xml:space="preserve"> </w:t>
      </w:r>
      <w:bookmarkEnd w:id="218"/>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9" w:name="_Ref495338909"/>
      <w:bookmarkStart w:id="220" w:name="_Ref36898161"/>
      <w:bookmarkStart w:id="221"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19"/>
      <w:r w:rsidRPr="001B39F8">
        <w:rPr>
          <w:rFonts w:ascii="Tahoma" w:hAnsi="Tahoma" w:cs="Tahoma"/>
          <w:sz w:val="22"/>
          <w:szCs w:val="22"/>
        </w:rPr>
        <w:t>.</w:t>
      </w:r>
      <w:bookmarkEnd w:id="220"/>
      <w:bookmarkEnd w:id="221"/>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2" w:name="_Ref36898125"/>
      <w:bookmarkStart w:id="223"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24"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com a presença de Titulares que representem, no mínimo, 50% (cinquenta por cento) mais uma das Debêntures em Circulação.</w:t>
      </w:r>
      <w:bookmarkEnd w:id="222"/>
      <w:bookmarkEnd w:id="223"/>
      <w:bookmarkEnd w:id="224"/>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5"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25"/>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6" w:name="_Ref130283221"/>
      <w:bookmarkStart w:id="227" w:name="_Ref534176563"/>
      <w:bookmarkStart w:id="228" w:name="_Ref495496127"/>
      <w:bookmarkStart w:id="229" w:name="_Toc51602674"/>
      <w:bookmarkEnd w:id="214"/>
      <w:bookmarkEnd w:id="216"/>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26"/>
      <w:bookmarkEnd w:id="227"/>
      <w:r w:rsidRPr="001B39F8">
        <w:rPr>
          <w:rFonts w:ascii="Tahoma" w:hAnsi="Tahoma" w:cs="Tahoma"/>
          <w:sz w:val="22"/>
          <w:szCs w:val="22"/>
        </w:rPr>
        <w:t>.</w:t>
      </w:r>
      <w:bookmarkEnd w:id="228"/>
      <w:bookmarkEnd w:id="229"/>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0" w:name="_Ref359943492"/>
      <w:bookmarkStart w:id="231" w:name="_Toc51602675"/>
      <w:r w:rsidRPr="001B39F8">
        <w:rPr>
          <w:rFonts w:ascii="Tahoma" w:hAnsi="Tahoma" w:cs="Tahoma"/>
          <w:sz w:val="22"/>
          <w:szCs w:val="22"/>
        </w:rPr>
        <w:t xml:space="preserve">Na ocorrência do vencimento antecipado das obrigações decorrentes das </w:t>
      </w:r>
      <w:r w:rsidRPr="001B39F8">
        <w:rPr>
          <w:rFonts w:ascii="Tahoma" w:hAnsi="Tahoma" w:cs="Tahoma"/>
          <w:sz w:val="22"/>
          <w:szCs w:val="22"/>
        </w:rPr>
        <w:lastRenderedPageBreak/>
        <w:t xml:space="preserve">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que não sejam os valores a que se referem os itens (</w:t>
      </w:r>
      <w:proofErr w:type="spellStart"/>
      <w:r w:rsidRPr="001B39F8">
        <w:rPr>
          <w:rFonts w:ascii="Tahoma" w:hAnsi="Tahoma" w:cs="Tahoma"/>
          <w:bCs/>
          <w:sz w:val="22"/>
          <w:szCs w:val="22"/>
        </w:rPr>
        <w:t>ii</w:t>
      </w:r>
      <w:proofErr w:type="spellEnd"/>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abaixo; (</w:t>
      </w:r>
      <w:proofErr w:type="spellStart"/>
      <w:r w:rsidRPr="001B39F8">
        <w:rPr>
          <w:rFonts w:ascii="Tahoma" w:hAnsi="Tahoma" w:cs="Tahoma"/>
          <w:bCs/>
          <w:sz w:val="22"/>
          <w:szCs w:val="22"/>
        </w:rPr>
        <w:t>ii</w:t>
      </w:r>
      <w:proofErr w:type="spellEnd"/>
      <w:r w:rsidRPr="001B39F8">
        <w:rPr>
          <w:rFonts w:ascii="Tahoma" w:hAnsi="Tahoma" w:cs="Tahoma"/>
          <w:bCs/>
          <w:sz w:val="22"/>
          <w:szCs w:val="22"/>
        </w:rPr>
        <w:t xml:space="preserve">)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30"/>
      <w:bookmarkEnd w:id="231"/>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w:t>
      </w:r>
      <w:proofErr w:type="spellStart"/>
      <w:r w:rsidRPr="001B39F8">
        <w:rPr>
          <w:rFonts w:ascii="Tahoma" w:hAnsi="Tahoma" w:cs="Tahoma"/>
          <w:sz w:val="22"/>
          <w:szCs w:val="22"/>
        </w:rPr>
        <w:t>Générale</w:t>
      </w:r>
      <w:proofErr w:type="spellEnd"/>
      <w:r w:rsidRPr="001B39F8">
        <w:rPr>
          <w:rFonts w:ascii="Tahoma" w:hAnsi="Tahoma" w:cs="Tahoma"/>
          <w:sz w:val="22"/>
          <w:szCs w:val="22"/>
        </w:rPr>
        <w:t xml:space="preserv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2" w:name="_Ref130286395"/>
      <w:bookmarkStart w:id="233" w:name="_Ref284530595"/>
      <w:bookmarkStart w:id="234"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2"/>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3"/>
      <w:bookmarkEnd w:id="234"/>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35" w:name="_Toc51602677"/>
      <w:r w:rsidRPr="001B39F8">
        <w:rPr>
          <w:rFonts w:ascii="Tahoma" w:hAnsi="Tahoma" w:cs="Tahoma"/>
          <w:smallCaps/>
          <w:color w:val="auto"/>
        </w:rPr>
        <w:t>GARANTIAS</w:t>
      </w:r>
      <w:bookmarkEnd w:id="235"/>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36" w:name="_Ref37879943"/>
      <w:bookmarkStart w:id="237" w:name="_Toc51602678"/>
      <w:bookmarkStart w:id="238"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36"/>
      <w:bookmarkEnd w:id="237"/>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39"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39"/>
      <w:r w:rsidRPr="001B39F8">
        <w:rPr>
          <w:rFonts w:ascii="Tahoma" w:hAnsi="Tahoma" w:cs="Tahoma"/>
          <w:sz w:val="22"/>
          <w:szCs w:val="22"/>
        </w:rPr>
        <w:t xml:space="preserve"> </w:t>
      </w:r>
      <w:bookmarkEnd w:id="238"/>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0" w:name="_Toc51602684"/>
      <w:r w:rsidRPr="001B39F8">
        <w:rPr>
          <w:rFonts w:ascii="Tahoma" w:hAnsi="Tahoma" w:cs="Tahoma"/>
          <w:smallCaps/>
          <w:color w:val="auto"/>
        </w:rPr>
        <w:t>OBRIGAÇÕES ADICIONAIS DA COMPANHIA</w:t>
      </w:r>
      <w:bookmarkStart w:id="241" w:name="_Ref130390982"/>
      <w:bookmarkEnd w:id="240"/>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2" w:name="_Ref279333767"/>
      <w:bookmarkStart w:id="243" w:name="_Toc51602685"/>
      <w:r w:rsidRPr="001B39F8">
        <w:rPr>
          <w:rFonts w:ascii="Tahoma" w:hAnsi="Tahoma" w:cs="Tahoma"/>
          <w:sz w:val="22"/>
          <w:szCs w:val="22"/>
        </w:rPr>
        <w:t>A Companhia está adicionalmente obrigada a:</w:t>
      </w:r>
      <w:bookmarkEnd w:id="241"/>
      <w:bookmarkEnd w:id="242"/>
      <w:bookmarkEnd w:id="243"/>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44" w:name="_Ref262552287"/>
      <w:bookmarkStart w:id="245" w:name="_Ref168844178"/>
      <w:r w:rsidRPr="001B39F8">
        <w:rPr>
          <w:rFonts w:ascii="Tahoma" w:hAnsi="Tahoma" w:cs="Tahoma"/>
          <w:sz w:val="22"/>
          <w:szCs w:val="22"/>
        </w:rPr>
        <w:t>disponibilizar em sua página na Internet e fornecer ao Agente Fiduciário</w:t>
      </w:r>
      <w:bookmarkStart w:id="246"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44"/>
      <w:bookmarkEnd w:id="246"/>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47" w:name="_Ref225332080"/>
      <w:bookmarkEnd w:id="245"/>
      <w:r w:rsidRPr="001B39F8">
        <w:rPr>
          <w:rFonts w:ascii="Tahoma" w:hAnsi="Tahoma" w:cs="Tahoma"/>
          <w:sz w:val="22"/>
          <w:szCs w:val="22"/>
        </w:rPr>
        <w:t>fornecer ao Agente Fiduciário:</w:t>
      </w:r>
      <w:bookmarkEnd w:id="247"/>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48"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w:t>
      </w:r>
      <w:proofErr w:type="spellStart"/>
      <w:r w:rsidRPr="001B39F8">
        <w:rPr>
          <w:rFonts w:ascii="Tahoma" w:hAnsi="Tahoma" w:cs="Tahoma"/>
          <w:sz w:val="22"/>
          <w:szCs w:val="22"/>
        </w:rPr>
        <w:t>ii</w:t>
      </w:r>
      <w:proofErr w:type="spellEnd"/>
      <w:r w:rsidRPr="001B39F8">
        <w:rPr>
          <w:rFonts w:ascii="Tahoma" w:hAnsi="Tahoma" w:cs="Tahoma"/>
          <w:sz w:val="22"/>
          <w:szCs w:val="22"/>
        </w:rPr>
        <w:t>) a não ocorrência de qualquer Evento de Vencimento Antecipado e a inexistência de descumprimento de qualquer obrigação prevista nesta Escritura de Emissão;</w:t>
      </w:r>
      <w:bookmarkEnd w:id="248"/>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49" w:name="_Ref168844063"/>
      <w:bookmarkStart w:id="250" w:name="_Ref278277903"/>
      <w:bookmarkStart w:id="251"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249"/>
      <w:bookmarkEnd w:id="250"/>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1B39F8">
        <w:rPr>
          <w:rFonts w:ascii="Tahoma" w:hAnsi="Tahoma" w:cs="Tahoma"/>
          <w:sz w:val="22"/>
          <w:szCs w:val="22"/>
        </w:rPr>
        <w:t>ii</w:t>
      </w:r>
      <w:proofErr w:type="spellEnd"/>
      <w:r w:rsidRPr="001B39F8">
        <w:rPr>
          <w:rFonts w:ascii="Tahoma" w:hAnsi="Tahoma" w:cs="Tahoma"/>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2"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2"/>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3"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3"/>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4" w:name="_Ref168844102"/>
      <w:bookmarkEnd w:id="251"/>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54"/>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lastRenderedPageBreak/>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 xml:space="preserve">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5"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w:t>
      </w:r>
      <w:proofErr w:type="spellStart"/>
      <w:r w:rsidRPr="001B39F8">
        <w:rPr>
          <w:rFonts w:ascii="Tahoma" w:hAnsi="Tahoma" w:cs="Tahoma"/>
          <w:sz w:val="22"/>
          <w:szCs w:val="22"/>
        </w:rPr>
        <w:t>iii</w:t>
      </w:r>
      <w:proofErr w:type="spellEnd"/>
      <w:r w:rsidRPr="001B39F8">
        <w:rPr>
          <w:rFonts w:ascii="Tahoma" w:hAnsi="Tahoma" w:cs="Tahoma"/>
          <w:sz w:val="22"/>
          <w:szCs w:val="22"/>
        </w:rPr>
        <w:t>);</w:t>
      </w:r>
      <w:bookmarkEnd w:id="255"/>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6"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56"/>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7"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bookmarkEnd w:id="257"/>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58" w:name="_Toc51602686"/>
      <w:r w:rsidRPr="001B39F8">
        <w:rPr>
          <w:rFonts w:ascii="Tahoma" w:hAnsi="Tahoma" w:cs="Tahoma"/>
          <w:smallCaps/>
          <w:color w:val="auto"/>
        </w:rPr>
        <w:t>AGENTE FIDUCIÁRIO</w:t>
      </w:r>
      <w:bookmarkEnd w:id="258"/>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59"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59"/>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60"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0"/>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1" w:name="_Ref528593743"/>
      <w:bookmarkStart w:id="262"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1"/>
      <w:bookmarkEnd w:id="262"/>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63"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3"/>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4" w:name="_Ref130284025"/>
      <w:bookmarkStart w:id="265"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64"/>
      <w:bookmarkEnd w:id="265"/>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6" w:name="_Ref264564354"/>
      <w:bookmarkStart w:id="267"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8"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68"/>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9" w:name="_Ref264707931"/>
      <w:bookmarkStart w:id="270" w:name="_Ref274576365"/>
      <w:bookmarkEnd w:id="266"/>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se necessário;</w:t>
      </w:r>
      <w:bookmarkEnd w:id="269"/>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1" w:name="_Ref289701353"/>
      <w:bookmarkEnd w:id="270"/>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1"/>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2"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2"/>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irredutível e de natureza não compensatória, de 2% (dois por cento); e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atualização monetária pelo IPCA,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3" w:name="_Ref130284022"/>
      <w:bookmarkEnd w:id="267"/>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3"/>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74"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5"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74"/>
      <w:bookmarkEnd w:id="275"/>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6" w:name="_Ref164589409"/>
      <w:bookmarkStart w:id="277"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76"/>
      <w:bookmarkEnd w:id="277"/>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8"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qualquer outra modalidade de inaptidão e realizar a imediata convocação da assembleia geral </w:t>
      </w:r>
      <w:r w:rsidRPr="001B39F8">
        <w:rPr>
          <w:rFonts w:ascii="Tahoma" w:hAnsi="Tahoma" w:cs="Tahoma"/>
          <w:sz w:val="22"/>
          <w:szCs w:val="22"/>
        </w:rPr>
        <w:lastRenderedPageBreak/>
        <w:t>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9"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79"/>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0" w:name="_Ref264564739"/>
      <w:bookmarkStart w:id="281" w:name="_Ref494783220"/>
      <w:bookmarkStart w:id="282"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78"/>
      <w:bookmarkEnd w:id="280"/>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81"/>
      <w:bookmarkEnd w:id="282"/>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3"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3"/>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4" w:name="_Ref130286643"/>
      <w:r w:rsidRPr="001B39F8">
        <w:rPr>
          <w:rFonts w:ascii="Tahoma" w:hAnsi="Tahoma" w:cs="Tahoma"/>
          <w:sz w:val="22"/>
          <w:szCs w:val="22"/>
        </w:rPr>
        <w:t>tomar quaisquer outras providências necessárias para que os Debenturistas realizem seus créditos; e</w:t>
      </w:r>
      <w:bookmarkEnd w:id="284"/>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5"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5"/>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6"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86"/>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7"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87"/>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8"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88"/>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89" w:name="_Ref272246430"/>
      <w:bookmarkStart w:id="290" w:name="_Toc51602696"/>
      <w:r w:rsidRPr="001B39F8">
        <w:rPr>
          <w:rFonts w:ascii="Tahoma" w:hAnsi="Tahoma" w:cs="Tahoma"/>
          <w:smallCaps/>
          <w:color w:val="auto"/>
        </w:rPr>
        <w:t>ASSEMBLEIA GERAL DE DEBENTURISTAS</w:t>
      </w:r>
      <w:bookmarkEnd w:id="289"/>
      <w:bookmarkEnd w:id="290"/>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1" w:name="_Ref379625198"/>
      <w:bookmarkStart w:id="292"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1"/>
      <w:bookmarkEnd w:id="292"/>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3"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3"/>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observado o disposto no inciso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w:t>
      </w:r>
      <w:r w:rsidRPr="001B39F8">
        <w:rPr>
          <w:rFonts w:ascii="Tahoma" w:hAnsi="Tahoma" w:cs="Tahoma"/>
          <w:sz w:val="22"/>
          <w:szCs w:val="22"/>
        </w:rPr>
        <w:lastRenderedPageBreak/>
        <w:t>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4" w:name="_Ref187755774"/>
      <w:bookmarkStart w:id="295"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4"/>
      <w:bookmarkEnd w:id="295"/>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6"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296"/>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Toc51602701"/>
      <w:r w:rsidRPr="001B39F8">
        <w:rPr>
          <w:rFonts w:ascii="Tahoma" w:hAnsi="Tahoma" w:cs="Tahoma"/>
          <w:sz w:val="22"/>
          <w:szCs w:val="22"/>
        </w:rPr>
        <w:t>A presidência das Assembleias Gerais caberá ao Debenturista eleito por estes próprios ou àquele que for designado pela CVM.</w:t>
      </w:r>
      <w:bookmarkEnd w:id="297"/>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8" w:name="_Ref130286717"/>
      <w:bookmarkStart w:id="299" w:name="_Toc51602702"/>
      <w:r w:rsidRPr="001B39F8">
        <w:rPr>
          <w:rFonts w:ascii="Tahoma" w:hAnsi="Tahoma" w:cs="Tahoma"/>
          <w:sz w:val="22"/>
          <w:szCs w:val="22"/>
        </w:rPr>
        <w:t xml:space="preserve">Nas deliberações das Assembleias Gerais, a cada uma das Debêntures em Circulação caberá um voto, admitida a constituição de mandatário, </w:t>
      </w:r>
      <w:proofErr w:type="gramStart"/>
      <w:r w:rsidRPr="001B39F8">
        <w:rPr>
          <w:rFonts w:ascii="Tahoma" w:hAnsi="Tahoma" w:cs="Tahoma"/>
          <w:sz w:val="22"/>
          <w:szCs w:val="22"/>
        </w:rPr>
        <w:t>Debenturista</w:t>
      </w:r>
      <w:proofErr w:type="gramEnd"/>
      <w:r w:rsidRPr="001B39F8">
        <w:rPr>
          <w:rFonts w:ascii="Tahoma" w:hAnsi="Tahoma" w:cs="Tahoma"/>
          <w:sz w:val="22"/>
          <w:szCs w:val="22"/>
        </w:rPr>
        <w:t xml:space="preserve">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298"/>
      <w:bookmarkEnd w:id="299"/>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0" w:name="_Ref130286715"/>
      <w:bookmarkStart w:id="301"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0"/>
      <w:bookmarkEnd w:id="301"/>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2"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2"/>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3"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3"/>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4" w:name="_Toc51602706"/>
      <w:r w:rsidRPr="001B39F8">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1B39F8">
        <w:rPr>
          <w:rFonts w:ascii="Tahoma" w:hAnsi="Tahoma" w:cs="Tahoma"/>
          <w:sz w:val="22"/>
          <w:szCs w:val="22"/>
        </w:rPr>
        <w:t>ii</w:t>
      </w:r>
      <w:proofErr w:type="spellEnd"/>
      <w:r w:rsidRPr="001B39F8">
        <w:rPr>
          <w:rFonts w:ascii="Tahoma" w:hAnsi="Tahoma" w:cs="Tahoma"/>
          <w:sz w:val="22"/>
          <w:szCs w:val="22"/>
        </w:rPr>
        <w:t>) alterações a esta Escritura de Emissão já expressamente permitidas nos termos desta Escritura de Emissão; (</w:t>
      </w:r>
      <w:proofErr w:type="spellStart"/>
      <w:r w:rsidRPr="001B39F8">
        <w:rPr>
          <w:rFonts w:ascii="Tahoma" w:hAnsi="Tahoma" w:cs="Tahoma"/>
          <w:sz w:val="22"/>
          <w:szCs w:val="22"/>
        </w:rPr>
        <w:t>iii</w:t>
      </w:r>
      <w:proofErr w:type="spellEnd"/>
      <w:r w:rsidRPr="001B39F8">
        <w:rPr>
          <w:rFonts w:ascii="Tahoma" w:hAnsi="Tahoma" w:cs="Tahoma"/>
          <w:sz w:val="22"/>
          <w:szCs w:val="22"/>
        </w:rPr>
        <w:t>) alterações a esta Escritura de Emissão em decorrência de exigências formuladas pela CVM, pela B3 ou pela ANBIMA; ou (</w:t>
      </w:r>
      <w:proofErr w:type="spellStart"/>
      <w:r w:rsidRPr="001B39F8">
        <w:rPr>
          <w:rFonts w:ascii="Tahoma" w:hAnsi="Tahoma" w:cs="Tahoma"/>
          <w:sz w:val="22"/>
          <w:szCs w:val="22"/>
        </w:rPr>
        <w:t>iv</w:t>
      </w:r>
      <w:proofErr w:type="spellEnd"/>
      <w:r w:rsidRPr="001B39F8">
        <w:rPr>
          <w:rFonts w:ascii="Tahoma" w:hAnsi="Tahoma" w:cs="Tahoma"/>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B39F8">
        <w:rPr>
          <w:rFonts w:ascii="Tahoma" w:hAnsi="Tahoma" w:cs="Tahoma"/>
          <w:sz w:val="22"/>
          <w:szCs w:val="22"/>
        </w:rPr>
        <w:t>ii</w:t>
      </w:r>
      <w:proofErr w:type="spellEnd"/>
      <w:r w:rsidRPr="001B39F8">
        <w:rPr>
          <w:rFonts w:ascii="Tahoma" w:hAnsi="Tahoma" w:cs="Tahoma"/>
          <w:sz w:val="22"/>
          <w:szCs w:val="22"/>
        </w:rPr>
        <w:t>), (</w:t>
      </w:r>
      <w:proofErr w:type="spellStart"/>
      <w:r w:rsidRPr="001B39F8">
        <w:rPr>
          <w:rFonts w:ascii="Tahoma" w:hAnsi="Tahoma" w:cs="Tahoma"/>
          <w:sz w:val="22"/>
          <w:szCs w:val="22"/>
        </w:rPr>
        <w:t>iii</w:t>
      </w:r>
      <w:proofErr w:type="spellEnd"/>
      <w:r w:rsidRPr="001B39F8">
        <w:rPr>
          <w:rFonts w:ascii="Tahoma" w:hAnsi="Tahoma" w:cs="Tahoma"/>
          <w:sz w:val="22"/>
          <w:szCs w:val="22"/>
        </w:rPr>
        <w:t>) e (</w:t>
      </w:r>
      <w:proofErr w:type="spellStart"/>
      <w:r w:rsidRPr="001B39F8">
        <w:rPr>
          <w:rFonts w:ascii="Tahoma" w:hAnsi="Tahoma" w:cs="Tahoma"/>
          <w:sz w:val="22"/>
          <w:szCs w:val="22"/>
        </w:rPr>
        <w:t>iv</w:t>
      </w:r>
      <w:proofErr w:type="spellEnd"/>
      <w:r w:rsidRPr="001B39F8">
        <w:rPr>
          <w:rFonts w:ascii="Tahoma" w:hAnsi="Tahoma" w:cs="Tahoma"/>
          <w:sz w:val="22"/>
          <w:szCs w:val="22"/>
        </w:rPr>
        <w:t>) acima não possam acarretar qualquer prejuízo aos Debenturistas e/ou à Companhia ou qualquer alteração no fluxo das Debêntures, e desde que não haja qualquer custo ou despesa adicional para os Debenturistas.</w:t>
      </w:r>
      <w:bookmarkEnd w:id="304"/>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5"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05"/>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6" w:name="_Toc51602708"/>
      <w:bookmarkStart w:id="307" w:name="_Ref534176609"/>
      <w:r w:rsidRPr="001B39F8">
        <w:rPr>
          <w:rFonts w:ascii="Tahoma" w:hAnsi="Tahoma" w:cs="Tahoma"/>
          <w:sz w:val="22"/>
          <w:szCs w:val="22"/>
        </w:rPr>
        <w:t>Aplica-se às Assembleias Gerais, no que couber, o disposto na Lei das Sociedades por Ações, sobre a assembleia geral de acionistas.</w:t>
      </w:r>
      <w:bookmarkEnd w:id="306"/>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08" w:name="_Ref147910921"/>
      <w:bookmarkStart w:id="309" w:name="_Toc51602709"/>
      <w:r w:rsidRPr="001B39F8">
        <w:rPr>
          <w:rFonts w:ascii="Tahoma" w:hAnsi="Tahoma" w:cs="Tahoma"/>
          <w:color w:val="auto"/>
        </w:rPr>
        <w:t>DECLARAÇÕES DA COMPANHIA</w:t>
      </w:r>
      <w:bookmarkEnd w:id="308"/>
      <w:bookmarkEnd w:id="309"/>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0" w:name="_Ref130286814"/>
      <w:bookmarkStart w:id="311" w:name="_Toc51602710"/>
      <w:r w:rsidRPr="001B39F8">
        <w:rPr>
          <w:rFonts w:ascii="Tahoma" w:hAnsi="Tahoma" w:cs="Tahoma"/>
          <w:sz w:val="22"/>
          <w:szCs w:val="22"/>
        </w:rPr>
        <w:t>A Companhia, nesta data, declara que:</w:t>
      </w:r>
      <w:bookmarkEnd w:id="307"/>
      <w:bookmarkEnd w:id="310"/>
      <w:bookmarkEnd w:id="311"/>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2"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3"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w:t>
      </w:r>
      <w:r w:rsidRPr="001B39F8">
        <w:rPr>
          <w:rFonts w:ascii="Tahoma" w:hAnsi="Tahoma" w:cs="Tahoma"/>
          <w:sz w:val="22"/>
          <w:szCs w:val="22"/>
        </w:rPr>
        <w:lastRenderedPageBreak/>
        <w:t xml:space="preserve">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3"/>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w:t>
      </w:r>
      <w:r w:rsidRPr="001B39F8">
        <w:rPr>
          <w:rFonts w:ascii="Tahoma" w:hAnsi="Tahoma" w:cs="Tahoma"/>
          <w:sz w:val="22"/>
          <w:szCs w:val="22"/>
        </w:rPr>
        <w:lastRenderedPageBreak/>
        <w:t xml:space="preserve">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4"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14"/>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5" w:name="_Toc51602711"/>
      <w:bookmarkEnd w:id="312"/>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15"/>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6"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16"/>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17" w:name="_Toc51602713"/>
      <w:r w:rsidRPr="001B39F8">
        <w:rPr>
          <w:rFonts w:ascii="Tahoma" w:hAnsi="Tahoma" w:cs="Tahoma"/>
          <w:color w:val="auto"/>
        </w:rPr>
        <w:t>DESPESAS</w:t>
      </w:r>
      <w:bookmarkEnd w:id="317"/>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8" w:name="_Toc51602714"/>
      <w:r w:rsidRPr="001B39F8">
        <w:rPr>
          <w:rFonts w:ascii="Tahoma" w:hAnsi="Tahoma" w:cs="Tahoma"/>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do Banco Liquidante, do auditor independente e dos demais prestadores de serviços, e quaisquer outros custos relacionados às Debêntures.</w:t>
      </w:r>
      <w:bookmarkEnd w:id="318"/>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19" w:name="_Ref384312323"/>
      <w:bookmarkStart w:id="320" w:name="_Toc51602715"/>
      <w:r w:rsidRPr="001B39F8">
        <w:rPr>
          <w:rFonts w:ascii="Tahoma" w:hAnsi="Tahoma" w:cs="Tahoma"/>
          <w:smallCaps/>
          <w:color w:val="auto"/>
        </w:rPr>
        <w:t>COMUNICAÇÕES</w:t>
      </w:r>
      <w:bookmarkEnd w:id="319"/>
      <w:bookmarkEnd w:id="320"/>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1"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1B39F8">
        <w:rPr>
          <w:rFonts w:ascii="Tahoma" w:hAnsi="Tahoma" w:cs="Tahoma"/>
          <w:sz w:val="22"/>
          <w:szCs w:val="22"/>
        </w:rPr>
        <w:t>ii</w:t>
      </w:r>
      <w:proofErr w:type="spellEnd"/>
      <w:r w:rsidRPr="001B39F8">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1"/>
    </w:p>
    <w:p w14:paraId="7F1F1583" w14:textId="77777777" w:rsidR="001B39F8" w:rsidRPr="001B39F8" w:rsidRDefault="001B39F8" w:rsidP="001B39F8">
      <w:pPr>
        <w:pStyle w:val="Level4"/>
        <w:spacing w:before="240"/>
        <w:rPr>
          <w:rFonts w:ascii="Tahoma" w:hAnsi="Tahoma" w:cs="Tahoma"/>
          <w:sz w:val="22"/>
          <w:szCs w:val="22"/>
        </w:rPr>
      </w:pPr>
      <w:bookmarkStart w:id="322" w:name="_Toc51602717"/>
      <w:r w:rsidRPr="001B39F8">
        <w:rPr>
          <w:rFonts w:ascii="Tahoma" w:hAnsi="Tahoma" w:cs="Tahoma"/>
          <w:sz w:val="22"/>
          <w:szCs w:val="22"/>
        </w:rPr>
        <w:t>para a Companhia:</w:t>
      </w:r>
      <w:bookmarkEnd w:id="322"/>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23" w:name="_Hlk40693022"/>
      <w:r w:rsidRPr="001B39F8">
        <w:rPr>
          <w:rFonts w:ascii="Tahoma" w:hAnsi="Tahoma" w:cs="Tahoma"/>
          <w:sz w:val="22"/>
        </w:rPr>
        <w:t>(11) 3047-2902</w:t>
      </w:r>
      <w:bookmarkEnd w:id="323"/>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24" w:name="_Hlk40693037"/>
      <w:r w:rsidRPr="001B39F8">
        <w:rPr>
          <w:rFonts w:ascii="Tahoma" w:hAnsi="Tahoma" w:cs="Tahoma"/>
          <w:sz w:val="22"/>
        </w:rPr>
        <w:t>fabioluis.santos@acciona.com</w:t>
      </w:r>
      <w:bookmarkEnd w:id="324"/>
    </w:p>
    <w:p w14:paraId="6C2B5974" w14:textId="77777777" w:rsidR="001B39F8" w:rsidRPr="001B39F8" w:rsidRDefault="001B39F8" w:rsidP="001B39F8">
      <w:pPr>
        <w:pStyle w:val="Level4"/>
        <w:spacing w:before="240"/>
        <w:rPr>
          <w:rFonts w:ascii="Tahoma" w:hAnsi="Tahoma" w:cs="Tahoma"/>
          <w:sz w:val="22"/>
          <w:szCs w:val="22"/>
        </w:rPr>
      </w:pPr>
      <w:bookmarkStart w:id="325" w:name="_Toc51602718"/>
      <w:r w:rsidRPr="001B39F8">
        <w:rPr>
          <w:rFonts w:ascii="Tahoma" w:hAnsi="Tahoma" w:cs="Tahoma"/>
          <w:sz w:val="22"/>
          <w:szCs w:val="22"/>
        </w:rPr>
        <w:lastRenderedPageBreak/>
        <w:t>para o Agente Fiduciário:</w:t>
      </w:r>
      <w:bookmarkEnd w:id="325"/>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26" w:name="_Toc51602719"/>
      <w:r w:rsidRPr="001B39F8">
        <w:rPr>
          <w:rFonts w:ascii="Tahoma" w:hAnsi="Tahoma" w:cs="Tahoma"/>
          <w:sz w:val="22"/>
          <w:szCs w:val="22"/>
        </w:rPr>
        <w:t>para o Banco Liquidante:</w:t>
      </w:r>
      <w:bookmarkEnd w:id="326"/>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27" w:name="_Hlk43149550"/>
      <w:r w:rsidRPr="001B39F8">
        <w:rPr>
          <w:rFonts w:ascii="Tahoma" w:hAnsi="Tahoma" w:cs="Tahoma"/>
          <w:sz w:val="22"/>
        </w:rPr>
        <w:t>Praça Alfredo Egydio de Souza Aranha, nº 100.</w:t>
      </w:r>
      <w:bookmarkEnd w:id="327"/>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28" w:name="_Toc51602720"/>
      <w:r w:rsidRPr="001B39F8">
        <w:rPr>
          <w:rFonts w:ascii="Tahoma" w:hAnsi="Tahoma" w:cs="Tahoma"/>
          <w:sz w:val="22"/>
          <w:szCs w:val="22"/>
        </w:rPr>
        <w:t xml:space="preserve">para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328"/>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29" w:name="_Toc51602721"/>
      <w:r w:rsidRPr="001B39F8">
        <w:rPr>
          <w:rFonts w:ascii="Tahoma" w:hAnsi="Tahoma" w:cs="Tahoma"/>
          <w:sz w:val="22"/>
          <w:szCs w:val="22"/>
        </w:rPr>
        <w:t>para a B3:</w:t>
      </w:r>
      <w:bookmarkEnd w:id="329"/>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30" w:name="_Toc51602722"/>
      <w:r w:rsidRPr="001B39F8">
        <w:rPr>
          <w:rFonts w:ascii="Tahoma" w:hAnsi="Tahoma" w:cs="Tahoma"/>
          <w:color w:val="auto"/>
        </w:rPr>
        <w:t>DISPOSIÇÕES GERAIS</w:t>
      </w:r>
      <w:bookmarkEnd w:id="330"/>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1"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31"/>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2" w:name="_Toc51602724"/>
      <w:r w:rsidRPr="001B39F8">
        <w:rPr>
          <w:rFonts w:ascii="Tahoma" w:hAnsi="Tahoma" w:cs="Tahoma"/>
          <w:sz w:val="22"/>
          <w:szCs w:val="22"/>
        </w:rPr>
        <w:lastRenderedPageBreak/>
        <w:t>Qualquer alteração a esta Escritura de Emissão somente será considerada válida se formalizada por escrito, em instrumento próprio assinado por todas as Partes.</w:t>
      </w:r>
      <w:bookmarkEnd w:id="332"/>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3"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3"/>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4"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4"/>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5"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35"/>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6"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36"/>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7" w:name="_Toc51602729"/>
      <w:r w:rsidRPr="001B39F8">
        <w:rPr>
          <w:rFonts w:ascii="Tahoma" w:hAnsi="Tahoma" w:cs="Tahoma"/>
          <w:smallCaps/>
          <w:color w:val="auto"/>
        </w:rPr>
        <w:t>LEI DE REGÊNCIA</w:t>
      </w:r>
      <w:bookmarkEnd w:id="337"/>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8" w:name="_Toc51602730"/>
      <w:r w:rsidRPr="001B39F8">
        <w:rPr>
          <w:rFonts w:ascii="Tahoma" w:hAnsi="Tahoma" w:cs="Tahoma"/>
          <w:sz w:val="22"/>
          <w:szCs w:val="22"/>
        </w:rPr>
        <w:t>Esta Escritura de Emissão é regida pelas leis da República Federativa do Brasil.</w:t>
      </w:r>
      <w:bookmarkEnd w:id="338"/>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9" w:name="_Ref279318438"/>
      <w:bookmarkStart w:id="340" w:name="_Toc51602731"/>
      <w:r w:rsidRPr="001B39F8">
        <w:rPr>
          <w:rFonts w:ascii="Tahoma" w:hAnsi="Tahoma" w:cs="Tahoma"/>
          <w:smallCaps/>
          <w:color w:val="auto"/>
        </w:rPr>
        <w:t>FORO</w:t>
      </w:r>
      <w:bookmarkEnd w:id="339"/>
      <w:bookmarkEnd w:id="340"/>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1"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41"/>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42" w:name="_Toc370813549"/>
      <w:bookmarkStart w:id="343" w:name="_Toc370815330"/>
      <w:bookmarkStart w:id="344" w:name="_Toc370815384"/>
      <w:bookmarkStart w:id="345" w:name="_Toc370815467"/>
      <w:bookmarkStart w:id="346" w:name="_Toc370815522"/>
      <w:bookmarkStart w:id="347" w:name="_Toc370815577"/>
      <w:bookmarkStart w:id="348" w:name="_Toc370815632"/>
      <w:bookmarkStart w:id="349" w:name="_Toc370815687"/>
      <w:bookmarkStart w:id="350" w:name="_Toc370815742"/>
      <w:bookmarkStart w:id="351" w:name="_Toc370815797"/>
      <w:bookmarkStart w:id="352" w:name="_Toc370817048"/>
      <w:bookmarkStart w:id="353" w:name="_Toc370892111"/>
      <w:bookmarkStart w:id="354" w:name="_Toc370892165"/>
      <w:bookmarkStart w:id="355" w:name="_Toc370892221"/>
      <w:bookmarkStart w:id="356" w:name="_DV_M57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first" r:id="rId34"/>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DBF54" w14:textId="77777777" w:rsidR="00A92BBD" w:rsidRDefault="00A92BBD">
      <w:r>
        <w:separator/>
      </w:r>
    </w:p>
    <w:p w14:paraId="7551B5FB" w14:textId="77777777" w:rsidR="00A92BBD" w:rsidRDefault="00A92BBD"/>
    <w:p w14:paraId="5ABF4E6D" w14:textId="77777777" w:rsidR="00A92BBD" w:rsidRDefault="00A92BBD"/>
  </w:endnote>
  <w:endnote w:type="continuationSeparator" w:id="0">
    <w:p w14:paraId="791164A2" w14:textId="77777777" w:rsidR="00A92BBD" w:rsidRDefault="00A92BBD">
      <w:r>
        <w:continuationSeparator/>
      </w:r>
    </w:p>
    <w:p w14:paraId="2B4E8447" w14:textId="77777777" w:rsidR="00A92BBD" w:rsidRDefault="00A92BBD"/>
    <w:p w14:paraId="7E356125" w14:textId="77777777" w:rsidR="00A92BBD" w:rsidRDefault="00A92BBD"/>
  </w:endnote>
  <w:endnote w:type="continuationNotice" w:id="1">
    <w:p w14:paraId="100A5F47" w14:textId="77777777" w:rsidR="00A92BBD" w:rsidRDefault="00A92B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05837" w14:textId="77777777" w:rsidR="00A92BBD" w:rsidRDefault="00A92BBD">
      <w:r>
        <w:separator/>
      </w:r>
    </w:p>
    <w:p w14:paraId="5A1500C2" w14:textId="77777777" w:rsidR="00A92BBD" w:rsidRDefault="00A92BBD"/>
    <w:p w14:paraId="72CAF6F4" w14:textId="77777777" w:rsidR="00A92BBD" w:rsidRDefault="00A92BBD"/>
  </w:footnote>
  <w:footnote w:type="continuationSeparator" w:id="0">
    <w:p w14:paraId="581DA1F2" w14:textId="77777777" w:rsidR="00A92BBD" w:rsidRDefault="00A92BBD">
      <w:r>
        <w:continuationSeparator/>
      </w:r>
    </w:p>
    <w:p w14:paraId="03DA9E0E" w14:textId="77777777" w:rsidR="00A92BBD" w:rsidRDefault="00A92BBD"/>
    <w:p w14:paraId="74EE2A18" w14:textId="77777777" w:rsidR="00A92BBD" w:rsidRDefault="00A92BBD"/>
  </w:footnote>
  <w:footnote w:type="continuationNotice" w:id="1">
    <w:p w14:paraId="5C89D25D" w14:textId="77777777" w:rsidR="00A92BBD" w:rsidRDefault="00A92B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D74ACB" w:rsidRDefault="00D74ACB" w:rsidP="006908C6">
    <w:pPr>
      <w:pStyle w:val="Cabealho"/>
      <w:jc w:val="right"/>
    </w:pPr>
    <w:r w:rsidRPr="00F03B2F">
      <w:rPr>
        <w:noProof/>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D74ACB" w:rsidRDefault="00D74A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D74ACB" w:rsidRDefault="00D74ACB">
    <w:pPr>
      <w:pStyle w:val="Cabealho"/>
      <w:jc w:val="right"/>
      <w:rPr>
        <w:rFonts w:ascii="Arial" w:hAnsi="Arial" w:cs="Arial"/>
        <w:b/>
        <w:sz w:val="20"/>
      </w:rPr>
    </w:pPr>
    <w:r w:rsidRPr="00F03B2F">
      <w:rPr>
        <w:noProof/>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163EA"/>
    <w:rsid w:val="00121B6E"/>
    <w:rsid w:val="00140857"/>
    <w:rsid w:val="001668A7"/>
    <w:rsid w:val="001B39F8"/>
    <w:rsid w:val="001C22B1"/>
    <w:rsid w:val="001C315C"/>
    <w:rsid w:val="001C4E98"/>
    <w:rsid w:val="001C7893"/>
    <w:rsid w:val="001D3080"/>
    <w:rsid w:val="001E39C1"/>
    <w:rsid w:val="001E4D0B"/>
    <w:rsid w:val="00206D2B"/>
    <w:rsid w:val="002518D8"/>
    <w:rsid w:val="0027640C"/>
    <w:rsid w:val="00292C4F"/>
    <w:rsid w:val="00292FB0"/>
    <w:rsid w:val="002C1D34"/>
    <w:rsid w:val="002D2F3F"/>
    <w:rsid w:val="002D74FA"/>
    <w:rsid w:val="002E67AF"/>
    <w:rsid w:val="002F24C4"/>
    <w:rsid w:val="003004A7"/>
    <w:rsid w:val="00310372"/>
    <w:rsid w:val="0035081A"/>
    <w:rsid w:val="00355033"/>
    <w:rsid w:val="00385E5D"/>
    <w:rsid w:val="003C605C"/>
    <w:rsid w:val="003D17D7"/>
    <w:rsid w:val="00416900"/>
    <w:rsid w:val="004849BD"/>
    <w:rsid w:val="00487F74"/>
    <w:rsid w:val="004919A4"/>
    <w:rsid w:val="00497440"/>
    <w:rsid w:val="004975F6"/>
    <w:rsid w:val="004A0BCD"/>
    <w:rsid w:val="004A7C18"/>
    <w:rsid w:val="004C566E"/>
    <w:rsid w:val="004D6B8C"/>
    <w:rsid w:val="004E2234"/>
    <w:rsid w:val="00502682"/>
    <w:rsid w:val="0050600A"/>
    <w:rsid w:val="0050732B"/>
    <w:rsid w:val="00514D5D"/>
    <w:rsid w:val="00517293"/>
    <w:rsid w:val="0052190E"/>
    <w:rsid w:val="0054621B"/>
    <w:rsid w:val="00572DBD"/>
    <w:rsid w:val="00580AC6"/>
    <w:rsid w:val="00595C66"/>
    <w:rsid w:val="005C1686"/>
    <w:rsid w:val="005D1C67"/>
    <w:rsid w:val="005E50A3"/>
    <w:rsid w:val="00614FE4"/>
    <w:rsid w:val="00635603"/>
    <w:rsid w:val="0064665E"/>
    <w:rsid w:val="0065362F"/>
    <w:rsid w:val="00654462"/>
    <w:rsid w:val="00657785"/>
    <w:rsid w:val="00660F5E"/>
    <w:rsid w:val="006652FE"/>
    <w:rsid w:val="006908C6"/>
    <w:rsid w:val="00690C46"/>
    <w:rsid w:val="006A7EED"/>
    <w:rsid w:val="006B3686"/>
    <w:rsid w:val="006B539C"/>
    <w:rsid w:val="006F2623"/>
    <w:rsid w:val="00732BED"/>
    <w:rsid w:val="00733E11"/>
    <w:rsid w:val="007361B2"/>
    <w:rsid w:val="0076329F"/>
    <w:rsid w:val="00767698"/>
    <w:rsid w:val="007968A3"/>
    <w:rsid w:val="00796AF4"/>
    <w:rsid w:val="007C3774"/>
    <w:rsid w:val="007D5168"/>
    <w:rsid w:val="007F598D"/>
    <w:rsid w:val="00804E9F"/>
    <w:rsid w:val="008139C2"/>
    <w:rsid w:val="008434C0"/>
    <w:rsid w:val="008A6F9E"/>
    <w:rsid w:val="008B25A7"/>
    <w:rsid w:val="008E48DC"/>
    <w:rsid w:val="008E55A2"/>
    <w:rsid w:val="009075A2"/>
    <w:rsid w:val="009114D0"/>
    <w:rsid w:val="00917147"/>
    <w:rsid w:val="00922B1D"/>
    <w:rsid w:val="00930F24"/>
    <w:rsid w:val="00936CF6"/>
    <w:rsid w:val="00940DBA"/>
    <w:rsid w:val="00941A6A"/>
    <w:rsid w:val="0096718C"/>
    <w:rsid w:val="009A070B"/>
    <w:rsid w:val="009A0EFE"/>
    <w:rsid w:val="009C0D4D"/>
    <w:rsid w:val="009F2B4E"/>
    <w:rsid w:val="00A011F9"/>
    <w:rsid w:val="00A1581E"/>
    <w:rsid w:val="00A40257"/>
    <w:rsid w:val="00A4303F"/>
    <w:rsid w:val="00A92BBD"/>
    <w:rsid w:val="00AC0CBA"/>
    <w:rsid w:val="00AC3796"/>
    <w:rsid w:val="00AD5515"/>
    <w:rsid w:val="00AF2AA9"/>
    <w:rsid w:val="00B13B97"/>
    <w:rsid w:val="00B32B21"/>
    <w:rsid w:val="00B36963"/>
    <w:rsid w:val="00B411BC"/>
    <w:rsid w:val="00B52821"/>
    <w:rsid w:val="00B62BFE"/>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213C8"/>
    <w:rsid w:val="00D32963"/>
    <w:rsid w:val="00D5614A"/>
    <w:rsid w:val="00D61BE0"/>
    <w:rsid w:val="00D74ACB"/>
    <w:rsid w:val="00D826F3"/>
    <w:rsid w:val="00DA27B7"/>
    <w:rsid w:val="00DA7022"/>
    <w:rsid w:val="00E25393"/>
    <w:rsid w:val="00E438F7"/>
    <w:rsid w:val="00E71459"/>
    <w:rsid w:val="00E86C8D"/>
    <w:rsid w:val="00E92440"/>
    <w:rsid w:val="00EA583B"/>
    <w:rsid w:val="00EB2FBF"/>
    <w:rsid w:val="00EC7DC0"/>
    <w:rsid w:val="00F03B2F"/>
    <w:rsid w:val="00F12150"/>
    <w:rsid w:val="00F15147"/>
    <w:rsid w:val="00F60579"/>
    <w:rsid w:val="00F6540F"/>
    <w:rsid w:val="00F70621"/>
    <w:rsid w:val="00F84529"/>
    <w:rsid w:val="00F8473C"/>
    <w:rsid w:val="00F85654"/>
    <w:rsid w:val="00FC4AEB"/>
    <w:rsid w:val="00FD0CA3"/>
    <w:rsid w:val="00FD407A"/>
    <w:rsid w:val="00FD547D"/>
    <w:rsid w:val="00FE160A"/>
    <w:rsid w:val="00FE2310"/>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customStyle="1" w:styleId="MenoPendente2">
    <w:name w:val="Menção Pendente2"/>
    <w:basedOn w:val="Fontepargpadro"/>
    <w:uiPriority w:val="99"/>
    <w:semiHidden/>
    <w:unhideWhenUsed/>
    <w:rsid w:val="001B39F8"/>
    <w:rPr>
      <w:color w:val="605E5C"/>
      <w:shd w:val="clear" w:color="auto" w:fill="E1DFDD"/>
    </w:rPr>
  </w:style>
  <w:style w:type="paragraph" w:customStyle="1" w:styleId="Estilo1">
    <w:name w:val="Estilo1"/>
    <w:basedOn w:val="Ttulo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styleId="MenoPendente">
    <w:name w:val="Unresolved Mention"/>
    <w:basedOn w:val="Fontepargpadro"/>
    <w:uiPriority w:val="99"/>
    <w:semiHidden/>
    <w:unhideWhenUsed/>
    <w:rsid w:val="00F0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BA11-7A65-4559-B199-B0FABBE96BCC}">
  <ds:schemaRefs>
    <ds:schemaRef ds:uri="http://schemas.openxmlformats.org/officeDocument/2006/bibliography"/>
  </ds:schemaRefs>
</ds:datastoreItem>
</file>

<file path=customXml/itemProps10.xml><?xml version="1.0" encoding="utf-8"?>
<ds:datastoreItem xmlns:ds="http://schemas.openxmlformats.org/officeDocument/2006/customXml" ds:itemID="{40BDCD0F-8139-46C2-9EF0-D1AE45C527FB}">
  <ds:schemaRefs>
    <ds:schemaRef ds:uri="http://schemas.openxmlformats.org/officeDocument/2006/bibliography"/>
  </ds:schemaRefs>
</ds:datastoreItem>
</file>

<file path=customXml/itemProps11.xml><?xml version="1.0" encoding="utf-8"?>
<ds:datastoreItem xmlns:ds="http://schemas.openxmlformats.org/officeDocument/2006/customXml" ds:itemID="{8CD72ACE-643C-41E7-8D28-7CEED9EBB803}">
  <ds:schemaRefs>
    <ds:schemaRef ds:uri="http://schemas.openxmlformats.org/officeDocument/2006/bibliography"/>
  </ds:schemaRefs>
</ds:datastoreItem>
</file>

<file path=customXml/itemProps12.xml><?xml version="1.0" encoding="utf-8"?>
<ds:datastoreItem xmlns:ds="http://schemas.openxmlformats.org/officeDocument/2006/customXml" ds:itemID="{A7248C38-E425-4D44-B26C-7AF1DF9A3AC1}">
  <ds:schemaRefs>
    <ds:schemaRef ds:uri="http://schemas.openxmlformats.org/officeDocument/2006/bibliography"/>
  </ds:schemaRefs>
</ds:datastoreItem>
</file>

<file path=customXml/itemProps13.xml><?xml version="1.0" encoding="utf-8"?>
<ds:datastoreItem xmlns:ds="http://schemas.openxmlformats.org/officeDocument/2006/customXml" ds:itemID="{84B86D60-16E9-46BF-A05C-DAA0BC2F9905}">
  <ds:schemaRefs>
    <ds:schemaRef ds:uri="http://www.imanage.com/work/xmlschema"/>
  </ds:schemaRefs>
</ds:datastoreItem>
</file>

<file path=customXml/itemProps14.xml><?xml version="1.0" encoding="utf-8"?>
<ds:datastoreItem xmlns:ds="http://schemas.openxmlformats.org/officeDocument/2006/customXml" ds:itemID="{A1AA6A03-60D6-461B-9E9E-F8CC197490F3}">
  <ds:schemaRefs>
    <ds:schemaRef ds:uri="http://schemas.openxmlformats.org/officeDocument/2006/bibliography"/>
  </ds:schemaRefs>
</ds:datastoreItem>
</file>

<file path=customXml/itemProps15.xml><?xml version="1.0" encoding="utf-8"?>
<ds:datastoreItem xmlns:ds="http://schemas.openxmlformats.org/officeDocument/2006/customXml" ds:itemID="{53BF7DF4-F419-49FC-834C-AB9F924ABF40}">
  <ds:schemaRefs>
    <ds:schemaRef ds:uri="http://schemas.openxmlformats.org/officeDocument/2006/bibliography"/>
  </ds:schemaRefs>
</ds:datastoreItem>
</file>

<file path=customXml/itemProps16.xml><?xml version="1.0" encoding="utf-8"?>
<ds:datastoreItem xmlns:ds="http://schemas.openxmlformats.org/officeDocument/2006/customXml" ds:itemID="{03FDE977-4581-49A3-AE5F-A8B92F43B334}">
  <ds:schemaRefs>
    <ds:schemaRef ds:uri="http://schemas.openxmlformats.org/officeDocument/2006/bibliography"/>
  </ds:schemaRefs>
</ds:datastoreItem>
</file>

<file path=customXml/itemProps17.xml><?xml version="1.0" encoding="utf-8"?>
<ds:datastoreItem xmlns:ds="http://schemas.openxmlformats.org/officeDocument/2006/customXml" ds:itemID="{BC32ED35-147C-4439-8738-34CAF4304942}">
  <ds:schemaRefs>
    <ds:schemaRef ds:uri="http://www.imanage.com/work/xmlschema"/>
  </ds:schemaRefs>
</ds:datastoreItem>
</file>

<file path=customXml/itemProps18.xml><?xml version="1.0" encoding="utf-8"?>
<ds:datastoreItem xmlns:ds="http://schemas.openxmlformats.org/officeDocument/2006/customXml" ds:itemID="{3870AC2C-33E6-4EA6-B279-1CF896956085}">
  <ds:schemaRefs>
    <ds:schemaRef ds:uri="http://schemas.openxmlformats.org/officeDocument/2006/bibliography"/>
  </ds:schemaRefs>
</ds:datastoreItem>
</file>

<file path=customXml/itemProps19.xml><?xml version="1.0" encoding="utf-8"?>
<ds:datastoreItem xmlns:ds="http://schemas.openxmlformats.org/officeDocument/2006/customXml" ds:itemID="{C2A762B4-BADE-40DD-9EA6-BBC7248C743F}">
  <ds:schemaRefs>
    <ds:schemaRef ds:uri="http://schemas.openxmlformats.org/officeDocument/2006/bibliography"/>
  </ds:schemaRefs>
</ds:datastoreItem>
</file>

<file path=customXml/itemProps2.xml><?xml version="1.0" encoding="utf-8"?>
<ds:datastoreItem xmlns:ds="http://schemas.openxmlformats.org/officeDocument/2006/customXml" ds:itemID="{4F068E50-3D64-4E73-A97F-C13946AA7E68}">
  <ds:schemaRefs>
    <ds:schemaRef ds:uri="http://schemas.openxmlformats.org/officeDocument/2006/bibliography"/>
  </ds:schemaRefs>
</ds:datastoreItem>
</file>

<file path=customXml/itemProps20.xml><?xml version="1.0" encoding="utf-8"?>
<ds:datastoreItem xmlns:ds="http://schemas.openxmlformats.org/officeDocument/2006/customXml" ds:itemID="{9A0AAAFA-A367-4FC9-B33E-D0EB7B993D62}">
  <ds:schemaRefs>
    <ds:schemaRef ds:uri="http://schemas.openxmlformats.org/officeDocument/2006/bibliography"/>
  </ds:schemaRefs>
</ds:datastoreItem>
</file>

<file path=customXml/itemProps21.xml><?xml version="1.0" encoding="utf-8"?>
<ds:datastoreItem xmlns:ds="http://schemas.openxmlformats.org/officeDocument/2006/customXml" ds:itemID="{BAD5EE27-8F09-4DB9-9273-85A4431DBDFF}">
  <ds:schemaRefs>
    <ds:schemaRef ds:uri="http://schemas.openxmlformats.org/officeDocument/2006/bibliography"/>
  </ds:schemaRefs>
</ds:datastoreItem>
</file>

<file path=customXml/itemProps3.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4.xml><?xml version="1.0" encoding="utf-8"?>
<ds:datastoreItem xmlns:ds="http://schemas.openxmlformats.org/officeDocument/2006/customXml" ds:itemID="{A2FFBCEE-B9D9-4DB7-97F9-A65F0245794E}">
  <ds:schemaRefs>
    <ds:schemaRef ds:uri="http://www.imanage.com/work/xmlschema"/>
  </ds:schemaRefs>
</ds:datastoreItem>
</file>

<file path=customXml/itemProps5.xml><?xml version="1.0" encoding="utf-8"?>
<ds:datastoreItem xmlns:ds="http://schemas.openxmlformats.org/officeDocument/2006/customXml" ds:itemID="{10C6E34B-7235-4478-A7B2-C47045684688}">
  <ds:schemaRefs>
    <ds:schemaRef ds:uri="http://schemas.openxmlformats.org/officeDocument/2006/bibliography"/>
  </ds:schemaRefs>
</ds:datastoreItem>
</file>

<file path=customXml/itemProps6.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7.xml><?xml version="1.0" encoding="utf-8"?>
<ds:datastoreItem xmlns:ds="http://schemas.openxmlformats.org/officeDocument/2006/customXml" ds:itemID="{B48C2B45-BDBF-40EC-9EA3-CCD0F724F844}">
  <ds:schemaRefs>
    <ds:schemaRef ds:uri="http://schemas.openxmlformats.org/officeDocument/2006/bibliography"/>
  </ds:schemaRefs>
</ds:datastoreItem>
</file>

<file path=customXml/itemProps8.xml><?xml version="1.0" encoding="utf-8"?>
<ds:datastoreItem xmlns:ds="http://schemas.openxmlformats.org/officeDocument/2006/customXml" ds:itemID="{F6C249A3-E1B0-4A3B-B3A9-B4D41C2AAADE}">
  <ds:schemaRefs>
    <ds:schemaRef ds:uri="http://schemas.openxmlformats.org/officeDocument/2006/bibliography"/>
  </ds:schemaRefs>
</ds:datastoreItem>
</file>

<file path=customXml/itemProps9.xml><?xml version="1.0" encoding="utf-8"?>
<ds:datastoreItem xmlns:ds="http://schemas.openxmlformats.org/officeDocument/2006/customXml" ds:itemID="{93BED5F8-FC98-4F46-BDE9-6FB55649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21345</Words>
  <Characters>127648</Characters>
  <Application>Microsoft Office Word</Application>
  <DocSecurity>0</DocSecurity>
  <Lines>3647</Lines>
  <Paragraphs>1354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147639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 Advogados</cp:lastModifiedBy>
  <cp:revision>2</cp:revision>
  <cp:lastPrinted>2021-09-14T09:31:00Z</cp:lastPrinted>
  <dcterms:created xsi:type="dcterms:W3CDTF">2022-03-31T17:44:00Z</dcterms:created>
  <dcterms:modified xsi:type="dcterms:W3CDTF">2022-03-31T17:44:00Z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iManageFooter">
    <vt:lpwstr>JUR_SP - 36417701v29 - 1776019.456974</vt:lpwstr>
  </property>
  <property fmtid="{D5CDD505-2E9C-101B-9397-08002B2CF9AE}" pid="4" name="Classification">
    <vt:lpwstr>Confidential</vt:lpwstr>
  </property>
  <property fmtid="{D5CDD505-2E9C-101B-9397-08002B2CF9AE}" pid="5" name="ApplyVisualMarking">
    <vt:lpwstr>None</vt:lpwstr>
  </property>
</Properties>
</file>