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bookmarkStart w:id="0" w:name="_GoBack"/>
      <w:bookmarkEnd w:id="0"/>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2DF74BF6"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00396BE1">
        <w:rPr>
          <w:rFonts w:eastAsia="Times New Roman" w:cs="Tahoma"/>
          <w:b/>
          <w:smallCaps/>
          <w:sz w:val="22"/>
          <w:lang w:eastAsia="pt-BR"/>
        </w:rPr>
        <w:t>TERCEIRA</w:t>
      </w:r>
      <w:r w:rsidRPr="00D15D20">
        <w:rPr>
          <w:rFonts w:eastAsia="Times New Roman" w:cs="Tahoma"/>
          <w:b/>
          <w:smallCaps/>
          <w:sz w:val="22"/>
          <w:lang w:eastAsia="pt-BR"/>
        </w:rPr>
        <w:t xml:space="preserve"> </w:t>
      </w:r>
      <w:r w:rsidR="005B1EDD" w:rsidRPr="00D15D20">
        <w:rPr>
          <w:rFonts w:eastAsia="Times New Roman" w:cs="Tahoma"/>
          <w:b/>
          <w:smallCaps/>
          <w:sz w:val="22"/>
          <w:lang w:eastAsia="pt-BR"/>
        </w:rPr>
        <w:t xml:space="preserve">EMISSÃO DE DEBÊNTURES SIMPLES, NÃO CONVERSÍVEIS EM AÇÕES, DA ESPÉCIE COM GARANTIA </w:t>
      </w:r>
      <w:r w:rsidR="00916F20">
        <w:rPr>
          <w:rFonts w:eastAsia="Times New Roman" w:cs="Tahoma"/>
          <w:b/>
          <w:smallCaps/>
          <w:sz w:val="22"/>
          <w:lang w:eastAsia="pt-BR"/>
        </w:rPr>
        <w:t xml:space="preserve">FLUTUANTE COM </w:t>
      </w:r>
      <w:r w:rsidR="005B1EDD" w:rsidRPr="00D15D20">
        <w:rPr>
          <w:rFonts w:eastAsia="Times New Roman" w:cs="Tahoma"/>
          <w:b/>
          <w:smallCaps/>
          <w:sz w:val="22"/>
          <w:lang w:eastAsia="pt-BR"/>
        </w:rPr>
        <w:t>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427E13">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695C939D"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427E13">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7E94169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1" w:name="_Hlk52233348"/>
      <w:r w:rsidR="008A2BA5" w:rsidRPr="00D15D20">
        <w:rPr>
          <w:rFonts w:cs="Tahoma"/>
          <w:i/>
          <w:sz w:val="22"/>
        </w:rPr>
        <w:t xml:space="preserve">Instrumento Particular de Escritura da </w:t>
      </w:r>
      <w:r w:rsidR="00916F20">
        <w:rPr>
          <w:rFonts w:cs="Tahoma"/>
          <w:i/>
          <w:sz w:val="22"/>
        </w:rPr>
        <w:t>3</w:t>
      </w:r>
      <w:r w:rsidR="008A2BA5" w:rsidRPr="00D15D20">
        <w:rPr>
          <w:rFonts w:cs="Tahoma"/>
          <w:i/>
          <w:sz w:val="22"/>
        </w:rPr>
        <w:t>ª (</w:t>
      </w:r>
      <w:r w:rsidR="00916F20">
        <w:rPr>
          <w:rFonts w:cs="Tahoma"/>
          <w:i/>
          <w:sz w:val="22"/>
        </w:rPr>
        <w:t>Terceira</w:t>
      </w:r>
      <w:r w:rsidR="008A2BA5" w:rsidRPr="00D15D20">
        <w:rPr>
          <w:rFonts w:cs="Tahoma"/>
          <w:i/>
          <w:sz w:val="22"/>
        </w:rPr>
        <w:t xml:space="preserve">) Emissão de Debêntures Simples, Não Conversíveis em Ações, da Espécie com Garantia </w:t>
      </w:r>
      <w:r w:rsidR="00916F20">
        <w:rPr>
          <w:rFonts w:cs="Tahoma"/>
          <w:i/>
          <w:sz w:val="22"/>
        </w:rPr>
        <w:t>Flutuante com</w:t>
      </w:r>
      <w:r w:rsidR="008A2BA5" w:rsidRPr="00D15D20">
        <w:rPr>
          <w:rFonts w:cs="Tahoma"/>
          <w:i/>
          <w:sz w:val="22"/>
        </w:rPr>
        <w:t xml:space="preserv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1"/>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2</w:t>
      </w:r>
      <w:r w:rsidR="00916F20">
        <w:rPr>
          <w:rFonts w:eastAsia="MS Mincho" w:cs="Tahoma"/>
          <w:sz w:val="22"/>
          <w:lang w:eastAsia="pt-BR"/>
        </w:rPr>
        <w:t>6</w:t>
      </w:r>
      <w:r w:rsidR="008A2BA5" w:rsidRPr="00D15D20">
        <w:rPr>
          <w:rFonts w:eastAsia="MS Mincho" w:cs="Tahoma"/>
          <w:sz w:val="22"/>
          <w:lang w:eastAsia="pt-BR"/>
        </w:rPr>
        <w:t xml:space="preserve"> de </w:t>
      </w:r>
      <w:r w:rsidR="00916F20">
        <w:rPr>
          <w:rFonts w:eastAsia="MS Mincho" w:cs="Tahoma"/>
          <w:sz w:val="22"/>
          <w:lang w:eastAsia="pt-BR"/>
        </w:rPr>
        <w:t>março</w:t>
      </w:r>
      <w:r w:rsidR="008A2BA5" w:rsidRPr="00D15D20">
        <w:rPr>
          <w:rFonts w:eastAsia="MS Mincho" w:cs="Tahoma"/>
          <w:sz w:val="22"/>
          <w:lang w:eastAsia="pt-BR"/>
        </w:rPr>
        <w:t xml:space="preserve"> de 202</w:t>
      </w:r>
      <w:r w:rsidR="00916F20">
        <w:rPr>
          <w:rFonts w:eastAsia="MS Mincho" w:cs="Tahoma"/>
          <w:sz w:val="22"/>
          <w:lang w:eastAsia="pt-BR"/>
        </w:rPr>
        <w:t>1</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2D41ADFD"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916F20">
        <w:rPr>
          <w:rFonts w:eastAsia="MS Mincho" w:cs="Tahoma"/>
          <w:sz w:val="22"/>
          <w:lang w:eastAsia="pt-BR"/>
        </w:rPr>
        <w:t>terceira</w:t>
      </w:r>
      <w:r w:rsidR="00183B2A" w:rsidRPr="00D15D20">
        <w:rPr>
          <w:rFonts w:eastAsia="MS Mincho" w:cs="Tahoma"/>
          <w:sz w:val="22"/>
          <w:lang w:eastAsia="pt-BR"/>
        </w:rPr>
        <w:t xml:space="preserve"> </w:t>
      </w:r>
      <w:r w:rsidR="00601C3A" w:rsidRPr="00D15D20">
        <w:rPr>
          <w:rFonts w:eastAsia="MS Mincho" w:cs="Tahoma"/>
          <w:sz w:val="22"/>
          <w:lang w:eastAsia="pt-BR"/>
        </w:rPr>
        <w:t xml:space="preserve">Emissão de debêntures simples, não conversíveis em ações, da espécie com garantia </w:t>
      </w:r>
      <w:r w:rsidR="00916F20">
        <w:rPr>
          <w:rFonts w:eastAsia="MS Mincho" w:cs="Tahoma"/>
          <w:sz w:val="22"/>
          <w:lang w:eastAsia="pt-BR"/>
        </w:rPr>
        <w:t>flutuante com</w:t>
      </w:r>
      <w:r w:rsidR="00601C3A" w:rsidRPr="00D15D20">
        <w:rPr>
          <w:rFonts w:eastAsia="MS Mincho" w:cs="Tahoma"/>
          <w:sz w:val="22"/>
          <w:lang w:eastAsia="pt-BR"/>
        </w:rPr>
        <w:t xml:space="preserv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2FFF7855"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7166A2" w:rsidRPr="007166A2">
        <w:rPr>
          <w:rFonts w:eastAsiaTheme="minorHAnsi" w:cs="Tahoma"/>
          <w:sz w:val="22"/>
          <w:highlight w:val="yellow"/>
          <w:lang w:eastAsia="en-US"/>
        </w:rPr>
        <w:t>Daniel Ferreira Leite Aquino</w:t>
      </w:r>
      <w:r w:rsidR="00F0342B">
        <w:rPr>
          <w:rFonts w:eastAsia="Times New Roman" w:cs="Tahoma"/>
          <w:smallCaps/>
          <w:sz w:val="22"/>
          <w:lang w:eastAsia="pt-BR"/>
        </w:rPr>
        <w:t>]</w:t>
      </w:r>
      <w:r w:rsidR="00F75090" w:rsidRPr="00D15D20">
        <w:rPr>
          <w:rFonts w:eastAsia="MS Mincho" w:cs="Tahoma"/>
          <w:sz w:val="22"/>
          <w:lang w:eastAsia="pt-BR"/>
        </w:rPr>
        <w:t xml:space="preserve">, e secretariada pelo </w:t>
      </w:r>
      <w:r w:rsidR="00183B2A" w:rsidRPr="00D15D20">
        <w:rPr>
          <w:rFonts w:eastAsia="MS Mincho" w:cs="Tahoma"/>
          <w:sz w:val="22"/>
          <w:lang w:eastAsia="pt-BR"/>
        </w:rPr>
        <w:t xml:space="preserve">Sr. </w:t>
      </w:r>
      <w:r w:rsidR="00D13B0C">
        <w:rPr>
          <w:rFonts w:eastAsia="MS Mincho" w:cs="Tahoma"/>
          <w:sz w:val="22"/>
          <w:lang w:eastAsia="pt-BR"/>
        </w:rPr>
        <w:t>Carlos Alberto Bacha</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056D7FAC" w:rsidR="00FE70EF" w:rsidRPr="00D15D20" w:rsidRDefault="00427E13"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 xml:space="preserve">a </w:t>
      </w:r>
      <w:r>
        <w:rPr>
          <w:rFonts w:eastAsia="MS Mincho" w:cs="Tahoma"/>
          <w:color w:val="000000"/>
          <w:sz w:val="22"/>
          <w:lang w:eastAsia="pt-BR"/>
        </w:rPr>
        <w:t>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 xml:space="preserve">três </w:t>
      </w:r>
      <w:r w:rsidR="00F0342B">
        <w:rPr>
          <w:rFonts w:eastAsia="MS Mincho" w:cs="Tahoma"/>
          <w:color w:val="000000"/>
          <w:sz w:val="22"/>
          <w:lang w:eastAsia="pt-BR"/>
        </w:rPr>
        <w:t>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F00E68">
        <w:rPr>
          <w:rFonts w:eastAsia="MS Mincho" w:cs="Tahoma"/>
          <w:color w:val="000000"/>
          <w:sz w:val="22"/>
          <w:lang w:eastAsia="pt-BR"/>
        </w:rPr>
        <w:t>, restrita à Emissão de Debêntures EBL,</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 xml:space="preserve">do vencimento antecipado não-automático previsto na cláusula </w:t>
      </w:r>
      <w:r w:rsidR="00916F20">
        <w:rPr>
          <w:rFonts w:eastAsia="MS Mincho" w:cs="Tahoma"/>
          <w:color w:val="000000"/>
          <w:sz w:val="22"/>
          <w:lang w:eastAsia="pt-BR"/>
        </w:rPr>
        <w:t>8.1.2</w:t>
      </w:r>
      <w:r w:rsidR="002348E2" w:rsidRPr="00D15D20">
        <w:rPr>
          <w:rFonts w:eastAsia="MS Mincho" w:cs="Tahoma"/>
          <w:color w:val="000000"/>
          <w:sz w:val="22"/>
          <w:lang w:eastAsia="pt-BR"/>
        </w:rPr>
        <w:t xml:space="preserve">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2013D09E"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 xml:space="preserve">declaração de vencimento antecipado não-automático previsto na cláusula </w:t>
      </w:r>
      <w:r w:rsidR="00916F20">
        <w:rPr>
          <w:rFonts w:eastAsia="MS Mincho" w:cs="Tahoma"/>
          <w:color w:val="000000"/>
          <w:sz w:val="22"/>
          <w:lang w:eastAsia="pt-BR"/>
        </w:rPr>
        <w:t>8.1</w:t>
      </w:r>
      <w:r w:rsidR="002348E2" w:rsidRPr="00D15D20">
        <w:rPr>
          <w:rFonts w:eastAsia="MS Mincho" w:cs="Tahoma"/>
          <w:color w:val="000000"/>
          <w:sz w:val="22"/>
          <w:lang w:eastAsia="pt-BR"/>
        </w:rPr>
        <w:t>.2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427E13">
        <w:rPr>
          <w:rFonts w:eastAsia="MS Mincho" w:cs="Tahoma"/>
          <w:sz w:val="22"/>
          <w:lang w:eastAsia="pt-BR"/>
        </w:rPr>
        <w:t xml:space="preserve">a </w:t>
      </w:r>
      <w:r w:rsidR="00427E13" w:rsidRPr="00427E13">
        <w:rPr>
          <w:rFonts w:eastAsia="MS Mincho" w:cs="Tahoma"/>
          <w:sz w:val="22"/>
          <w:lang w:eastAsia="pt-BR"/>
        </w:rPr>
        <w:t>Emissão de Debêntures EBL</w:t>
      </w:r>
      <w:r w:rsidR="00427E13" w:rsidRPr="00D15D20">
        <w:rPr>
          <w:rFonts w:eastAsia="MS Mincho" w:cs="Tahoma"/>
          <w:sz w:val="22"/>
          <w:lang w:eastAsia="pt-BR"/>
        </w:rPr>
        <w:t xml:space="preserve">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279A232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5F44709A"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5FA0BC6E"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3469A4C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53E401F8"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6D2C7B74"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5E8914B7" w14:textId="5708B1B3"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4BEC88D2"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fixos correspondentes ao montante derivado da taxa DI + spread de 1,82% (um por cento e oitenta e dois centésimos) ao ano-base de 360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a ser definido de acordo com as operações de swap na </w:t>
      </w:r>
      <w:r>
        <w:rPr>
          <w:rFonts w:eastAsia="Times New Roman" w:cs="Tahoma"/>
          <w:sz w:val="22"/>
          <w:lang w:eastAsia="pt-BR"/>
        </w:rPr>
        <w:t>d</w:t>
      </w:r>
      <w:r w:rsidRPr="00276B3B">
        <w:rPr>
          <w:rFonts w:eastAsia="Times New Roman" w:cs="Tahoma"/>
          <w:sz w:val="22"/>
          <w:lang w:eastAsia="pt-BR"/>
        </w:rPr>
        <w:t xml:space="preserve">ata de </w:t>
      </w:r>
      <w:r>
        <w:rPr>
          <w:rFonts w:eastAsia="Times New Roman" w:cs="Tahoma"/>
          <w:sz w:val="22"/>
          <w:lang w:eastAsia="pt-BR"/>
        </w:rPr>
        <w:t>e</w:t>
      </w:r>
      <w:r w:rsidRPr="00276B3B">
        <w:rPr>
          <w:rFonts w:eastAsia="Times New Roman" w:cs="Tahoma"/>
          <w:sz w:val="22"/>
          <w:lang w:eastAsia="pt-BR"/>
        </w:rPr>
        <w:t>missão;</w:t>
      </w:r>
    </w:p>
    <w:p w14:paraId="4C49C00C"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44596B72" w14:textId="77777777" w:rsidR="00427E13" w:rsidRPr="00276B3B" w:rsidRDefault="00427E13" w:rsidP="00427E13">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539065F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427E13">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612CCCF8"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lastRenderedPageBreak/>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w:t>
      </w:r>
      <w:r w:rsidR="00916F20">
        <w:rPr>
          <w:rFonts w:eastAsia="Times New Roman" w:cs="Tahoma"/>
          <w:i/>
          <w:sz w:val="22"/>
          <w:lang w:eastAsia="pt-BR"/>
        </w:rPr>
        <w:t>Terceira</w:t>
      </w:r>
      <w:r w:rsidR="007B34EC" w:rsidRPr="00D15D20">
        <w:rPr>
          <w:rFonts w:eastAsia="Times New Roman" w:cs="Tahoma"/>
          <w:i/>
          <w:sz w:val="22"/>
          <w:lang w:eastAsia="pt-BR"/>
        </w:rPr>
        <w:t xml:space="preserve"> Emissão de Debêntures Simples, Não Conversíveis em Ações, da Espécie com Garantia </w:t>
      </w:r>
      <w:r w:rsidR="00916F20">
        <w:rPr>
          <w:rFonts w:eastAsia="Times New Roman" w:cs="Tahoma"/>
          <w:i/>
          <w:sz w:val="22"/>
          <w:lang w:eastAsia="pt-BR"/>
        </w:rPr>
        <w:t>Flutuante com</w:t>
      </w:r>
      <w:r w:rsidR="007B34EC" w:rsidRPr="00D15D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427E13">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48412567" w14:textId="537BD31D" w:rsidR="00EB5AA2" w:rsidRPr="007166A2" w:rsidRDefault="0080682E" w:rsidP="00321C9F">
            <w:pPr>
              <w:spacing w:line="276" w:lineRule="auto"/>
              <w:ind w:right="44"/>
              <w:rPr>
                <w:rFonts w:eastAsia="MS Mincho" w:cs="Tahoma"/>
                <w:sz w:val="22"/>
                <w:lang w:eastAsia="pt-BR"/>
              </w:rPr>
            </w:pPr>
            <w:r w:rsidRPr="007166A2">
              <w:rPr>
                <w:rFonts w:eastAsia="MS Mincho" w:cs="Tahoma"/>
                <w:color w:val="000000"/>
                <w:sz w:val="22"/>
                <w:highlight w:val="yellow"/>
                <w:lang w:eastAsia="pt-BR"/>
              </w:rPr>
              <w:t>[</w:t>
            </w:r>
            <w:r w:rsidR="007166A2" w:rsidRPr="007166A2">
              <w:rPr>
                <w:rFonts w:eastAsia="MS Mincho" w:cs="Tahoma"/>
                <w:color w:val="000000"/>
                <w:sz w:val="22"/>
                <w:highlight w:val="yellow"/>
                <w:lang w:eastAsia="pt-BR"/>
              </w:rPr>
              <w:t>Daniel Ferreira Leite Aquino]</w:t>
            </w:r>
          </w:p>
          <w:p w14:paraId="0644CF04" w14:textId="79EA1379" w:rsidR="00EB5AA2" w:rsidRPr="007166A2" w:rsidRDefault="00EB5AA2"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sidRPr="007166A2">
              <w:rPr>
                <w:rFonts w:eastAsia="MS Mincho" w:cs="Tahoma"/>
                <w:color w:val="000000"/>
                <w:sz w:val="22"/>
                <w:highlight w:val="yellow"/>
                <w:lang w:eastAsia="pt-BR"/>
              </w:rPr>
              <w:t>[</w:t>
            </w:r>
            <w:r w:rsidR="007166A2" w:rsidRPr="007166A2">
              <w:rPr>
                <w:rFonts w:eastAsiaTheme="minorHAnsi" w:cs="Tahoma"/>
                <w:sz w:val="22"/>
                <w:highlight w:val="yellow"/>
                <w:lang w:eastAsia="en-US"/>
              </w:rPr>
              <w:t>159.447.718-36]</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F1D6C49" w14:textId="0A09C577" w:rsidR="007166A2" w:rsidRPr="007166A2" w:rsidRDefault="00D13B0C" w:rsidP="007166A2">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5501370E" w14:textId="1385C428" w:rsidR="00321C9F" w:rsidRPr="007166A2"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7166A2">
              <w:rPr>
                <w:rFonts w:eastAsia="MS Mincho" w:cs="Tahoma"/>
                <w:sz w:val="22"/>
                <w:lang w:eastAsia="pt-BR"/>
              </w:rPr>
              <w:t xml:space="preserve">: </w:t>
            </w:r>
            <w:r w:rsidR="00D13B0C">
              <w:rPr>
                <w:rFonts w:eastAsia="MS Mincho" w:cs="Tahoma"/>
                <w:sz w:val="22"/>
                <w:lang w:eastAsia="pt-BR"/>
              </w:rPr>
              <w:t>606.744.587-53</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78497B24" w14:textId="30990F41" w:rsidR="007166A2" w:rsidRPr="007166A2" w:rsidRDefault="00D13B0C" w:rsidP="00894796">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5A831D23" w14:textId="15B82507"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D13B0C">
              <w:rPr>
                <w:rFonts w:eastAsia="MS Mincho" w:cs="Tahoma"/>
                <w:sz w:val="22"/>
                <w:lang w:eastAsia="pt-BR"/>
              </w:rPr>
              <w:t>606.744.587-53</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r w:rsidR="007166A2" w:rsidRPr="007166A2" w14:paraId="18AA7AB7" w14:textId="77777777" w:rsidTr="00C6417C">
        <w:tc>
          <w:tcPr>
            <w:tcW w:w="8988" w:type="dxa"/>
          </w:tcPr>
          <w:p w14:paraId="65DADF04" w14:textId="77777777" w:rsidR="007166A2" w:rsidRPr="007166A2" w:rsidRDefault="007166A2" w:rsidP="00894796">
            <w:pPr>
              <w:spacing w:line="276" w:lineRule="auto"/>
              <w:ind w:right="44"/>
              <w:rPr>
                <w:rFonts w:eastAsia="MS Mincho" w:cs="Tahoma"/>
                <w:i/>
                <w:color w:val="000000"/>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7EF71E91"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916F20">
        <w:rPr>
          <w:rFonts w:eastAsia="Times New Roman" w:cs="Tahoma"/>
          <w:b/>
          <w:smallCaps/>
          <w:sz w:val="22"/>
          <w:lang w:eastAsia="pt-BR"/>
        </w:rPr>
        <w:t>TERCEIRA</w:t>
      </w:r>
      <w:r w:rsidR="007B34EC" w:rsidRPr="00D15D20">
        <w:rPr>
          <w:rFonts w:eastAsia="Times New Roman" w:cs="Tahoma"/>
          <w:b/>
          <w:smallCaps/>
          <w:sz w:val="22"/>
          <w:lang w:eastAsia="pt-BR"/>
        </w:rPr>
        <w:t xml:space="preserve"> EMISSÃO DE DEBÊNTURES SIMPLES, NÃO CONVERSÍVEIS EM AÇÕES, DA ESPÉCIE COM GARANTIA </w:t>
      </w:r>
      <w:r w:rsidR="00916F20">
        <w:rPr>
          <w:rFonts w:eastAsia="Times New Roman" w:cs="Tahoma"/>
          <w:b/>
          <w:smallCaps/>
          <w:sz w:val="22"/>
          <w:lang w:eastAsia="pt-BR"/>
        </w:rPr>
        <w:t>FLUTUANTE COM</w:t>
      </w:r>
      <w:r w:rsidR="007B34EC" w:rsidRPr="00D15D20">
        <w:rPr>
          <w:rFonts w:eastAsia="Times New Roman" w:cs="Tahoma"/>
          <w:b/>
          <w:smallCaps/>
          <w:sz w:val="22"/>
          <w:lang w:eastAsia="pt-BR"/>
        </w:rPr>
        <w:t xml:space="preserv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427E13">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2DD50021"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 xml:space="preserve">BANCO </w:t>
            </w:r>
            <w:r w:rsidR="00916F20">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1B9B90F6" w:rsidR="00BD7CF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55A9EE95"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1930E86F"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B6134E3" w:rsidR="008976BF" w:rsidRPr="00D15D20" w:rsidRDefault="00916F20" w:rsidP="00894796">
            <w:pPr>
              <w:rPr>
                <w:rFonts w:eastAsia="MS Mincho" w:cs="Tahoma"/>
                <w:color w:val="000000"/>
                <w:sz w:val="22"/>
                <w:lang w:eastAsia="pt-BR"/>
              </w:rPr>
            </w:pPr>
            <w:r w:rsidRPr="00D15D20">
              <w:rPr>
                <w:rFonts w:eastAsia="MS Mincho" w:cs="Tahoma"/>
                <w:color w:val="000000"/>
                <w:sz w:val="22"/>
                <w:lang w:eastAsia="pt-BR"/>
              </w:rPr>
              <w:t xml:space="preserve">BANCO </w:t>
            </w:r>
            <w:r>
              <w:rPr>
                <w:rFonts w:eastAsia="MS Mincho" w:cs="Tahoma"/>
                <w:color w:val="000000"/>
                <w:sz w:val="22"/>
                <w:lang w:eastAsia="pt-BR"/>
              </w:rPr>
              <w:t>CRÉDIT AGRICOLE</w:t>
            </w:r>
            <w:r w:rsidRPr="00D15D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4EA31F28" w:rsidR="008976BF" w:rsidRPr="00D15D20" w:rsidRDefault="00916F20" w:rsidP="00894796">
            <w:pPr>
              <w:rPr>
                <w:rFonts w:eastAsia="MS Mincho" w:cs="Tahoma"/>
                <w:color w:val="000000"/>
                <w:sz w:val="22"/>
                <w:lang w:eastAsia="pt-BR"/>
              </w:rPr>
            </w:pPr>
            <w:r w:rsidRPr="00916F20">
              <w:rPr>
                <w:rFonts w:eastAsia="MS Mincho" w:cs="Tahoma"/>
                <w:color w:val="000000"/>
                <w:sz w:val="22"/>
                <w:lang w:eastAsia="pt-BR"/>
              </w:rPr>
              <w:t>75.647.891/0001-71</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71C05C4D" w14:textId="2160E44A" w:rsidR="007166A2" w:rsidRPr="007166A2" w:rsidRDefault="00F75090" w:rsidP="007166A2">
      <w:pPr>
        <w:rPr>
          <w:rFonts w:eastAsia="MS Mincho" w:cs="Tahoma"/>
          <w:sz w:val="22"/>
          <w:highlight w:val="yellow"/>
          <w:lang w:eastAsia="pt-BR"/>
        </w:rPr>
      </w:pPr>
      <w:r w:rsidRPr="00D15D20">
        <w:rPr>
          <w:rFonts w:eastAsia="MS Mincho" w:cs="Tahoma"/>
          <w:sz w:val="22"/>
          <w:lang w:eastAsia="pt-BR"/>
        </w:rPr>
        <w:t xml:space="preserve">Representados neste ato por </w:t>
      </w:r>
      <w:r w:rsidR="007166A2">
        <w:rPr>
          <w:rFonts w:eastAsia="MS Mincho" w:cs="Tahoma"/>
          <w:sz w:val="22"/>
          <w:lang w:eastAsia="pt-BR"/>
        </w:rPr>
        <w:t>[</w:t>
      </w:r>
      <w:r w:rsidR="007166A2" w:rsidRPr="007166A2">
        <w:rPr>
          <w:rFonts w:eastAsia="MS Mincho" w:cs="Tahoma"/>
          <w:sz w:val="22"/>
          <w:highlight w:val="yellow"/>
          <w:lang w:eastAsia="pt-BR"/>
        </w:rPr>
        <w:t>Daniel Ferreira Leite Aquino, portador do CPF sob o nº</w:t>
      </w:r>
    </w:p>
    <w:p w14:paraId="7BA1E3AA" w14:textId="77777777" w:rsidR="007166A2" w:rsidRPr="007166A2" w:rsidRDefault="007166A2" w:rsidP="007166A2">
      <w:pPr>
        <w:rPr>
          <w:rFonts w:eastAsia="MS Mincho" w:cs="Tahoma"/>
          <w:sz w:val="22"/>
          <w:highlight w:val="yellow"/>
          <w:lang w:eastAsia="pt-BR"/>
        </w:rPr>
      </w:pPr>
      <w:r w:rsidRPr="007166A2">
        <w:rPr>
          <w:rFonts w:eastAsia="MS Mincho" w:cs="Tahoma"/>
          <w:sz w:val="22"/>
          <w:highlight w:val="yellow"/>
          <w:lang w:eastAsia="pt-BR"/>
        </w:rPr>
        <w:t>159.447.718-36, e por Nuno Henrique Bessa Correia, portador do CPF/MF sob o nº</w:t>
      </w:r>
    </w:p>
    <w:p w14:paraId="07EB96A5" w14:textId="1D22B045" w:rsidR="00E12EF0" w:rsidRPr="00D15D20" w:rsidRDefault="007166A2" w:rsidP="007166A2">
      <w:pPr>
        <w:rPr>
          <w:rFonts w:eastAsia="MS Mincho" w:cs="Tahoma"/>
          <w:sz w:val="22"/>
          <w:lang w:eastAsia="pt-BR"/>
        </w:rPr>
      </w:pPr>
      <w:r w:rsidRPr="007166A2">
        <w:rPr>
          <w:rFonts w:eastAsia="MS Mincho" w:cs="Tahoma"/>
          <w:sz w:val="22"/>
          <w:highlight w:val="yellow"/>
          <w:lang w:eastAsia="pt-BR"/>
        </w:rPr>
        <w:t>233.348.528-06.</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AB510" w14:textId="77777777" w:rsidR="008A302B" w:rsidRDefault="008A302B" w:rsidP="00965482">
      <w:r>
        <w:separator/>
      </w:r>
    </w:p>
  </w:endnote>
  <w:endnote w:type="continuationSeparator" w:id="0">
    <w:p w14:paraId="6102DE7D" w14:textId="77777777" w:rsidR="008A302B" w:rsidRDefault="008A302B"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A003" w14:textId="77777777" w:rsidR="008A302B" w:rsidRDefault="008A302B" w:rsidP="00965482">
      <w:r>
        <w:separator/>
      </w:r>
    </w:p>
  </w:footnote>
  <w:footnote w:type="continuationSeparator" w:id="0">
    <w:p w14:paraId="6E29F117" w14:textId="77777777" w:rsidR="008A302B" w:rsidRDefault="008A302B"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1F3B3F"/>
    <w:rsid w:val="0020758F"/>
    <w:rsid w:val="00211447"/>
    <w:rsid w:val="0021156F"/>
    <w:rsid w:val="002348E2"/>
    <w:rsid w:val="00240215"/>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96BE1"/>
    <w:rsid w:val="003A38F7"/>
    <w:rsid w:val="003A3BF8"/>
    <w:rsid w:val="003B4BC6"/>
    <w:rsid w:val="003C29F6"/>
    <w:rsid w:val="003F1F6C"/>
    <w:rsid w:val="00407C60"/>
    <w:rsid w:val="00427E13"/>
    <w:rsid w:val="00463C8E"/>
    <w:rsid w:val="00465A27"/>
    <w:rsid w:val="00466F6C"/>
    <w:rsid w:val="00482AE0"/>
    <w:rsid w:val="0048441D"/>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F0DDB"/>
    <w:rsid w:val="007018CD"/>
    <w:rsid w:val="00703C08"/>
    <w:rsid w:val="00706E2A"/>
    <w:rsid w:val="007166A2"/>
    <w:rsid w:val="00723A37"/>
    <w:rsid w:val="00724E7D"/>
    <w:rsid w:val="007313ED"/>
    <w:rsid w:val="00744887"/>
    <w:rsid w:val="00745B9B"/>
    <w:rsid w:val="00773F5F"/>
    <w:rsid w:val="00775B1A"/>
    <w:rsid w:val="00793DCF"/>
    <w:rsid w:val="007A5079"/>
    <w:rsid w:val="007B0B0F"/>
    <w:rsid w:val="007B34EC"/>
    <w:rsid w:val="007B6322"/>
    <w:rsid w:val="007C2FF6"/>
    <w:rsid w:val="007E6BD9"/>
    <w:rsid w:val="007F0925"/>
    <w:rsid w:val="007F4333"/>
    <w:rsid w:val="0080682E"/>
    <w:rsid w:val="00821C80"/>
    <w:rsid w:val="0084138A"/>
    <w:rsid w:val="00851974"/>
    <w:rsid w:val="00870BD9"/>
    <w:rsid w:val="0087312E"/>
    <w:rsid w:val="0087533C"/>
    <w:rsid w:val="008879E7"/>
    <w:rsid w:val="00894796"/>
    <w:rsid w:val="008976BF"/>
    <w:rsid w:val="008A1ADF"/>
    <w:rsid w:val="008A2BA5"/>
    <w:rsid w:val="008A302B"/>
    <w:rsid w:val="008A7F04"/>
    <w:rsid w:val="008E2A2A"/>
    <w:rsid w:val="008E57AF"/>
    <w:rsid w:val="008E7D2F"/>
    <w:rsid w:val="008F0EFE"/>
    <w:rsid w:val="008F53FC"/>
    <w:rsid w:val="008F7693"/>
    <w:rsid w:val="00915F65"/>
    <w:rsid w:val="00916F20"/>
    <w:rsid w:val="00926B6D"/>
    <w:rsid w:val="009324A8"/>
    <w:rsid w:val="009436C5"/>
    <w:rsid w:val="00944B75"/>
    <w:rsid w:val="00947ED1"/>
    <w:rsid w:val="0095051E"/>
    <w:rsid w:val="0096462B"/>
    <w:rsid w:val="00964E33"/>
    <w:rsid w:val="00965482"/>
    <w:rsid w:val="00973F8D"/>
    <w:rsid w:val="009828E6"/>
    <w:rsid w:val="009913E4"/>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A578C"/>
    <w:rsid w:val="00AE4CB9"/>
    <w:rsid w:val="00AF3BC7"/>
    <w:rsid w:val="00AF3F16"/>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3B0C"/>
    <w:rsid w:val="00D15D20"/>
    <w:rsid w:val="00D40229"/>
    <w:rsid w:val="00D46ECC"/>
    <w:rsid w:val="00D54129"/>
    <w:rsid w:val="00D605F1"/>
    <w:rsid w:val="00D94C07"/>
    <w:rsid w:val="00DB1B0A"/>
    <w:rsid w:val="00DC4D8D"/>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D67B7"/>
    <w:rsid w:val="00EF4E79"/>
    <w:rsid w:val="00F00E68"/>
    <w:rsid w:val="00F0342B"/>
    <w:rsid w:val="00F06066"/>
    <w:rsid w:val="00F2148D"/>
    <w:rsid w:val="00F21A45"/>
    <w:rsid w:val="00F3452E"/>
    <w:rsid w:val="00F37A12"/>
    <w:rsid w:val="00F45ECD"/>
    <w:rsid w:val="00F50501"/>
    <w:rsid w:val="00F55F7B"/>
    <w:rsid w:val="00F64AFA"/>
    <w:rsid w:val="00F75090"/>
    <w:rsid w:val="00F822DF"/>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719B66FE-481E-473D-BA4D-18F2DC42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5663</Characters>
  <Application>Microsoft Office Word</Application>
  <DocSecurity>0</DocSecurity>
  <Lines>182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3</cp:revision>
  <cp:lastPrinted>2021-03-15T15:21:00Z</cp:lastPrinted>
  <dcterms:created xsi:type="dcterms:W3CDTF">2021-10-08T22:39:00Z</dcterms:created>
  <dcterms:modified xsi:type="dcterms:W3CDTF">2021-10-08T22:39:00Z</dcterms:modified>
</cp:coreProperties>
</file>