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lastRenderedPageBreak/>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4F977C0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017E9DAC"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1009B522"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4B46BA">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lastRenderedPageBreak/>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79F1">
        <w:t>sub-cláusula</w:t>
      </w:r>
      <w:proofErr w:type="spellEnd"/>
      <w:r w:rsidRPr="002979F1">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lastRenderedPageBreak/>
        <w:t>ALIENAÇÃO FIDUCIÁRIA E CESSÃO FIDUCIÁRIA</w:t>
      </w:r>
    </w:p>
    <w:p w14:paraId="541668EE" w14:textId="1539C2A8"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4B46BA">
        <w:rPr>
          <w:b/>
          <w:bCs/>
          <w:u w:val="single"/>
        </w:rPr>
        <w:t>ANEXO</w:t>
      </w:r>
      <w:r w:rsidR="004B46BA" w:rsidRPr="00264A27">
        <w:rPr>
          <w:u w:val="single"/>
        </w:rPr>
        <w:t xml:space="preserve"> </w:t>
      </w:r>
      <w:r w:rsidR="004B46BA">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xml:space="preserve">, sejam elas </w:t>
      </w:r>
      <w:r w:rsidRPr="00A2620F">
        <w:lastRenderedPageBreak/>
        <w:t>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w:t>
      </w:r>
      <w:proofErr w:type="spellStart"/>
      <w:r w:rsidRPr="00A2620F">
        <w:t>ii</w:t>
      </w:r>
      <w:proofErr w:type="spellEnd"/>
      <w:r w:rsidRPr="00A2620F">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43665D4A"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4B46BA">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w:t>
      </w:r>
      <w:proofErr w:type="spellStart"/>
      <w:r w:rsidRPr="00745155">
        <w:t>ii</w:t>
      </w:r>
      <w:proofErr w:type="spellEnd"/>
      <w:r w:rsidRPr="00745155">
        <w:t>)</w:t>
      </w:r>
      <w:r w:rsidRPr="00DC64D6">
        <w:t xml:space="preserve"> (A) no prazo </w:t>
      </w:r>
      <w:r w:rsidRPr="00A570EC">
        <w:t xml:space="preserve">de </w:t>
      </w:r>
      <w:r w:rsidRPr="00716A33">
        <w:t xml:space="preserve">10 (dez) dias úteis contados da subscrição, compra, aquisição, conferência e/ou </w:t>
      </w:r>
      <w:r w:rsidRPr="00716A33">
        <w:lastRenderedPageBreak/>
        <w:t>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788154C7"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ins w:id="10" w:author="Rinaldo Rabello" w:date="2022-02-21T17:43:00Z">
        <w:r w:rsidR="00334AFD" w:rsidRPr="00334AFD">
          <w:rPr>
            <w:highlight w:val="yellow"/>
          </w:rPr>
          <w:t xml:space="preserve"> </w:t>
        </w:r>
        <w:r w:rsidR="00334AFD" w:rsidRPr="00FE549D">
          <w:rPr>
            <w:highlight w:val="yellow"/>
          </w:rPr>
          <w:t>Nota Pavarini: Não foi incluído o valor das Ações no Anexo I.</w:t>
        </w:r>
      </w:ins>
      <w:r w:rsidR="002979F1" w:rsidRPr="00716A33">
        <w:t xml:space="preserve"> </w:t>
      </w:r>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w:t>
      </w:r>
      <w:proofErr w:type="spellStart"/>
      <w:r w:rsidR="00BD38D5">
        <w:t>ii</w:t>
      </w:r>
      <w:proofErr w:type="spellEnd"/>
      <w:r w:rsidR="00BD38D5">
        <w:t>)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lastRenderedPageBreak/>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1" w:name="_Ref90306948"/>
      <w:r w:rsidRPr="00A2620F">
        <w:t>EXCUSSÃO DA GARANTIA</w:t>
      </w:r>
      <w:bookmarkEnd w:id="11"/>
    </w:p>
    <w:p w14:paraId="04109120" w14:textId="67F0078D"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w:t>
      </w:r>
      <w:proofErr w:type="spellStart"/>
      <w:r w:rsidRPr="00A2620F">
        <w:t>ii</w:t>
      </w:r>
      <w:proofErr w:type="spellEnd"/>
      <w:r w:rsidRPr="00A2620F">
        <w:t>)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A2620F">
        <w:t>iii</w:t>
      </w:r>
      <w:proofErr w:type="spellEnd"/>
      <w:r w:rsidRPr="00A2620F">
        <w:t>)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w:t>
      </w:r>
      <w:r w:rsidRPr="00A2620F">
        <w:lastRenderedPageBreak/>
        <w:t xml:space="preserve">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62C4B164" w:rsidR="002979F1" w:rsidRPr="00A2620F" w:rsidRDefault="002979F1" w:rsidP="003D5B1E">
      <w:pPr>
        <w:pStyle w:val="2MMSecurity"/>
      </w:pPr>
      <w:bookmarkStart w:id="12" w:name="_DV_M23"/>
      <w:bookmarkStart w:id="13" w:name="_DV_M24"/>
      <w:bookmarkStart w:id="14" w:name="_DV_M25"/>
      <w:bookmarkStart w:id="15" w:name="_DV_M26"/>
      <w:bookmarkStart w:id="16" w:name="_DV_M27"/>
      <w:bookmarkStart w:id="17" w:name="_DV_M28"/>
      <w:bookmarkStart w:id="18" w:name="_DV_M29"/>
      <w:bookmarkStart w:id="19" w:name="_DV_M31"/>
      <w:bookmarkEnd w:id="12"/>
      <w:bookmarkEnd w:id="13"/>
      <w:bookmarkEnd w:id="14"/>
      <w:bookmarkEnd w:id="15"/>
      <w:bookmarkEnd w:id="16"/>
      <w:bookmarkEnd w:id="17"/>
      <w:bookmarkEnd w:id="18"/>
      <w:bookmarkEnd w:id="19"/>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w:t>
      </w:r>
      <w:r w:rsidRPr="00A2620F">
        <w:lastRenderedPageBreak/>
        <w:t xml:space="preserve">Cláusula </w:t>
      </w:r>
      <w:r w:rsidR="00520931">
        <w:fldChar w:fldCharType="begin"/>
      </w:r>
      <w:r w:rsidR="00520931">
        <w:instrText xml:space="preserve"> REF _Ref90306948 \r \h </w:instrText>
      </w:r>
      <w:r w:rsidR="00520931">
        <w:fldChar w:fldCharType="separate"/>
      </w:r>
      <w:r w:rsidR="004B46BA">
        <w:t>4</w:t>
      </w:r>
      <w:r w:rsidR="00520931">
        <w:fldChar w:fldCharType="end"/>
      </w:r>
      <w:r w:rsidRPr="00A2620F">
        <w:t>, de forma a respeitar e atender todas as exigências legais e regulamentares necessárias à regular realização de tal transferência.</w:t>
      </w:r>
      <w:bookmarkStart w:id="20" w:name="_DV_M32"/>
      <w:bookmarkEnd w:id="20"/>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5C5806DE" w:rsidR="002979F1" w:rsidRPr="00A2620F" w:rsidRDefault="002979F1" w:rsidP="003D5B1E">
      <w:pPr>
        <w:pStyle w:val="2MMSecurity"/>
      </w:pPr>
      <w:bookmarkStart w:id="21" w:name="_Ref90163683"/>
      <w:bookmarkStart w:id="22"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4B46BA">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w:t>
      </w:r>
      <w:proofErr w:type="spellStart"/>
      <w:r w:rsidR="00234163" w:rsidRPr="00D6718C">
        <w:rPr>
          <w:color w:val="000000"/>
        </w:rPr>
        <w:t>ii</w:t>
      </w:r>
      <w:proofErr w:type="spellEnd"/>
      <w:r w:rsidR="00234163" w:rsidRPr="00D6718C">
        <w:rPr>
          <w:color w:val="000000"/>
        </w:rPr>
        <w:t xml:space="preserve">)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w:t>
      </w:r>
      <w:proofErr w:type="spellStart"/>
      <w:r w:rsidRPr="00A2620F">
        <w:rPr>
          <w:color w:val="000000"/>
        </w:rPr>
        <w:t>ii</w:t>
      </w:r>
      <w:r w:rsidR="00234163">
        <w:rPr>
          <w:color w:val="000000"/>
        </w:rPr>
        <w:t>i</w:t>
      </w:r>
      <w:proofErr w:type="spellEnd"/>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4B46BA">
        <w:t>2.3</w:t>
      </w:r>
      <w:r w:rsidR="003D5B1E">
        <w:fldChar w:fldCharType="end"/>
      </w:r>
      <w:r w:rsidRPr="00A2620F">
        <w:t>; e (</w:t>
      </w:r>
      <w:proofErr w:type="spellStart"/>
      <w:r w:rsidR="00234163" w:rsidRPr="00A2620F">
        <w:t>i</w:t>
      </w:r>
      <w:r w:rsidR="00234163">
        <w:t>v</w:t>
      </w:r>
      <w:proofErr w:type="spellEnd"/>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3"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1"/>
      <w:bookmarkEnd w:id="23"/>
      <w:r w:rsidR="00A87FFA">
        <w:t>.</w:t>
      </w:r>
      <w:bookmarkEnd w:id="22"/>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5AD1ECCE"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w:t>
      </w:r>
      <w:r w:rsidRPr="00A2620F">
        <w:lastRenderedPageBreak/>
        <w:t xml:space="preserve">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8"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24" w:name="_Ref89821736"/>
      <w:bookmarkStart w:id="25" w:name="_Ref449732856"/>
      <w:bookmarkEnd w:id="4"/>
      <w:bookmarkEnd w:id="5"/>
      <w:r w:rsidRPr="00A2620F">
        <w:t>OBRIGAÇÕES DA ACIONISTA</w:t>
      </w:r>
      <w:bookmarkEnd w:id="24"/>
    </w:p>
    <w:p w14:paraId="7B59E78F" w14:textId="77777777" w:rsidR="002979F1" w:rsidRPr="00A2620F" w:rsidRDefault="002979F1" w:rsidP="003D5B1E">
      <w:pPr>
        <w:pStyle w:val="2MMSecurity"/>
      </w:pPr>
      <w:bookmarkStart w:id="26" w:name="_DV_M33"/>
      <w:bookmarkStart w:id="27" w:name="_DV_M34"/>
      <w:bookmarkStart w:id="28" w:name="_DV_M35"/>
      <w:bookmarkStart w:id="29" w:name="_DV_M36"/>
      <w:bookmarkEnd w:id="26"/>
      <w:bookmarkEnd w:id="27"/>
      <w:bookmarkEnd w:id="28"/>
      <w:bookmarkEnd w:id="29"/>
      <w:r w:rsidRPr="00A2620F">
        <w:t xml:space="preserve">A Acionista se obriga a: </w:t>
      </w:r>
    </w:p>
    <w:p w14:paraId="0B3F77A1" w14:textId="06BA2A0F" w:rsidR="00103ADA" w:rsidRPr="00A2620F" w:rsidRDefault="002979F1" w:rsidP="00D80596">
      <w:pPr>
        <w:pStyle w:val="aMMSecurity"/>
      </w:pPr>
      <w:bookmarkStart w:id="30" w:name="_DV_M37"/>
      <w:bookmarkEnd w:id="30"/>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1"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1"/>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w:t>
      </w:r>
      <w:proofErr w:type="spellStart"/>
      <w:r w:rsidR="004E34C6">
        <w:t>ii</w:t>
      </w:r>
      <w:proofErr w:type="spellEnd"/>
      <w:r w:rsidR="004E34C6">
        <w:t>) pelos ônus existentes no âmbito da Garantia Subordinada;</w:t>
      </w:r>
      <w:r w:rsidR="00C1436A" w:rsidRPr="00C1436A">
        <w:t xml:space="preserve"> </w:t>
      </w:r>
      <w:r w:rsidR="00B27621">
        <w:t>ou</w:t>
      </w:r>
      <w:r w:rsidR="00C1436A" w:rsidRPr="00C1436A">
        <w:t xml:space="preserve"> (</w:t>
      </w:r>
      <w:proofErr w:type="spellStart"/>
      <w:r w:rsidR="00C1436A" w:rsidRPr="00C1436A">
        <w:t>ii</w:t>
      </w:r>
      <w:r w:rsidR="004E34C6">
        <w:t>i</w:t>
      </w:r>
      <w:proofErr w:type="spellEnd"/>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2" w:name="_DV_M38"/>
      <w:bookmarkEnd w:id="32"/>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4FAA91DC"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4B46BA">
        <w:t>10</w:t>
      </w:r>
      <w:r w:rsidR="003D5B1E">
        <w:fldChar w:fldCharType="end"/>
      </w:r>
      <w:r w:rsidRPr="00A2620F">
        <w:t xml:space="preserve"> abaixo;</w:t>
      </w:r>
    </w:p>
    <w:p w14:paraId="3B92623E" w14:textId="5A4FAFD9" w:rsidR="002979F1" w:rsidRPr="00A2620F" w:rsidRDefault="00D80596" w:rsidP="003D5B1E">
      <w:pPr>
        <w:pStyle w:val="aMMSecurity"/>
      </w:pPr>
      <w:bookmarkStart w:id="33" w:name="_DV_M39"/>
      <w:bookmarkEnd w:id="33"/>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w:t>
      </w:r>
      <w:r w:rsidRPr="00295207">
        <w:lastRenderedPageBreak/>
        <w:t>as societárias, regulatórias e governamentais, exigidas (i) para a validade ou exequibilidade da garantia constituída neste Contrato; (</w:t>
      </w:r>
      <w:proofErr w:type="spellStart"/>
      <w:r w:rsidRPr="00295207">
        <w:t>ii</w:t>
      </w:r>
      <w:proofErr w:type="spellEnd"/>
      <w:r w:rsidRPr="00295207">
        <w:t xml:space="preserve">) </w:t>
      </w:r>
      <w:r w:rsidR="00AA79C7">
        <w:t xml:space="preserve">para </w:t>
      </w:r>
      <w:ins w:id="34" w:author="HUGO BUENO NETO" w:date="2022-02-21T17:00:00Z">
        <w:r w:rsidR="00AA79C7">
          <w:t>a assinatura deste Contrato; e (</w:t>
        </w:r>
        <w:proofErr w:type="spellStart"/>
        <w:r w:rsidR="00AA79C7">
          <w:t>iii</w:t>
        </w:r>
        <w:proofErr w:type="spellEnd"/>
        <w:r w:rsidR="00AA79C7">
          <w:t xml:space="preserve">) </w:t>
        </w:r>
        <w:r w:rsidRPr="00295207">
          <w:t xml:space="preserve">para </w:t>
        </w:r>
      </w:ins>
      <w:r w:rsidRPr="00295207">
        <w:t>o fiel, pontual e integral cumprimento das obrigações decorrentes deste Contrato</w:t>
      </w:r>
      <w:del w:id="35" w:author="HUGO BUENO NETO" w:date="2022-02-21T17:00:00Z">
        <w:r w:rsidRPr="00295207">
          <w:delText>; (iii) à assinatura deste Contrato, e ao cumprimento de todas as obrigações aqui previstas</w:delText>
        </w:r>
      </w:del>
      <w:ins w:id="36" w:author="HUGO BUENO NETO" w:date="2022-02-21T17:00:00Z">
        <w:r w:rsidR="00586018" w:rsidRPr="00586018">
          <w:t xml:space="preserve"> </w:t>
        </w:r>
        <w:r w:rsidR="00AA79C7">
          <w:t>(exclusivamente com relação a este último item</w:t>
        </w:r>
      </w:ins>
      <w:r w:rsidR="00AA79C7">
        <w:t xml:space="preserve">, </w:t>
      </w:r>
      <w:r w:rsidR="00586018" w:rsidRPr="00586018">
        <w:t xml:space="preserve">exceto </w:t>
      </w:r>
      <w:del w:id="37" w:author="HUGO BUENO NETO" w:date="2022-02-21T17:00:00Z">
        <w:r w:rsidR="00586018" w:rsidRPr="00586018">
          <w:delText>por aquelas</w:delText>
        </w:r>
      </w:del>
      <w:ins w:id="38" w:author="HUGO BUENO NETO" w:date="2022-02-21T17:00:00Z">
        <w:r w:rsidR="00AA79C7">
          <w:t>pelas autorizações</w:t>
        </w:r>
      </w:ins>
      <w:r w:rsidR="00AA79C7">
        <w:t xml:space="preserve"> </w:t>
      </w:r>
      <w:r w:rsidR="00586018" w:rsidRPr="00586018">
        <w:t>que estejam sendo discutidas de boa-fé pela Acionista</w:t>
      </w:r>
      <w:del w:id="39" w:author="HUGO BUENO NETO" w:date="2022-02-21T17:00:00Z">
        <w:r w:rsidR="002979F1" w:rsidRPr="00A2620F">
          <w:delText>;</w:delText>
        </w:r>
        <w:r w:rsidR="00072DAE">
          <w:delText xml:space="preserve"> </w:delText>
        </w:r>
        <w:r w:rsidR="000749A3" w:rsidRPr="00154477">
          <w:rPr>
            <w:b/>
            <w:bCs/>
            <w:highlight w:val="yellow"/>
          </w:rPr>
          <w:delText xml:space="preserve">[Companhia, </w:delText>
        </w:r>
        <w:r w:rsidR="0024729B" w:rsidRPr="00154477">
          <w:rPr>
            <w:b/>
            <w:bCs/>
            <w:highlight w:val="yellow"/>
          </w:rPr>
          <w:delText>entendemos que as aprovações necessárias serão obtidas antes da assinatura deste contrato. F</w:delText>
        </w:r>
        <w:r w:rsidR="000749A3" w:rsidRPr="00154477">
          <w:rPr>
            <w:b/>
            <w:bCs/>
            <w:highlight w:val="yellow"/>
          </w:rPr>
          <w:delText xml:space="preserve">avor </w:delText>
        </w:r>
        <w:r w:rsidR="0024729B" w:rsidRPr="00154477">
          <w:rPr>
            <w:b/>
            <w:bCs/>
            <w:highlight w:val="yellow"/>
          </w:rPr>
          <w:delText>esclarecer o motivo desse carve-out.]</w:delText>
        </w:r>
        <w:r w:rsidR="00586018">
          <w:rPr>
            <w:b/>
            <w:bCs/>
          </w:rPr>
          <w:delText xml:space="preserve"> </w:delText>
        </w:r>
        <w:r w:rsidR="00586018" w:rsidRPr="00BA75B2">
          <w:rPr>
            <w:b/>
            <w:bCs/>
            <w:highlight w:val="yellow"/>
          </w:rPr>
          <w:delText xml:space="preserve">[Nota Lefosse: a cláusula </w:delText>
        </w:r>
        <w:r w:rsidR="00465462">
          <w:rPr>
            <w:b/>
            <w:bCs/>
            <w:highlight w:val="yellow"/>
          </w:rPr>
          <w:delText xml:space="preserve">trata também do </w:delText>
        </w:r>
        <w:r w:rsidR="00586018" w:rsidRPr="00BA75B2">
          <w:rPr>
            <w:b/>
            <w:bCs/>
            <w:highlight w:val="yellow"/>
          </w:rPr>
          <w:delText>cumprimento de todas as obrigações previstas n</w:delText>
        </w:r>
        <w:r w:rsidR="00465462">
          <w:rPr>
            <w:b/>
            <w:bCs/>
            <w:highlight w:val="yellow"/>
          </w:rPr>
          <w:delText>este</w:delText>
        </w:r>
        <w:r w:rsidR="00586018" w:rsidRPr="00BA75B2">
          <w:rPr>
            <w:b/>
            <w:bCs/>
            <w:highlight w:val="yellow"/>
          </w:rPr>
          <w:delText xml:space="preserve"> instrumento, bem como cita “manter válidas”, portanto, essa obrigação não é válida apenas até a assinatura do contrato]</w:delText>
        </w:r>
      </w:del>
      <w:ins w:id="40" w:author="HUGO BUENO NETO" w:date="2022-02-21T17:00:00Z">
        <w:r w:rsidR="00AA79C7">
          <w:t xml:space="preserve"> nas esferas administrativa e/ou judicial)</w:t>
        </w:r>
        <w:r w:rsidR="002979F1" w:rsidRPr="00A2620F">
          <w:t>;</w:t>
        </w:r>
        <w:r w:rsidR="00072DAE">
          <w:t xml:space="preserve"> </w:t>
        </w:r>
      </w:ins>
    </w:p>
    <w:p w14:paraId="2EAD6B27" w14:textId="479F1F55" w:rsidR="002979F1" w:rsidRDefault="002979F1" w:rsidP="003D5B1E">
      <w:pPr>
        <w:pStyle w:val="aMMSecurity"/>
      </w:pPr>
      <w:bookmarkStart w:id="41" w:name="_DV_M40"/>
      <w:bookmarkEnd w:id="41"/>
      <w:r w:rsidRPr="00A2620F">
        <w:t>manter a garantia ora constituída sempre existente, válida, eficaz, e em perfeita ordem e em pleno vigor, sem qualquer restrição ou condição</w:t>
      </w:r>
      <w:bookmarkStart w:id="42" w:name="_DV_M56"/>
      <w:bookmarkStart w:id="43" w:name="_DV_M57"/>
      <w:bookmarkStart w:id="44" w:name="_DV_M58"/>
      <w:bookmarkStart w:id="45" w:name="_DV_M59"/>
      <w:bookmarkEnd w:id="42"/>
      <w:bookmarkEnd w:id="43"/>
      <w:bookmarkEnd w:id="44"/>
      <w:bookmarkEnd w:id="45"/>
      <w:r w:rsidR="00BB14FB">
        <w:t>, observada a Condição Suspensiva</w:t>
      </w:r>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665AA2" w:rsidRPr="00295207">
        <w:t>ii</w:t>
      </w:r>
      <w:proofErr w:type="spellEnd"/>
      <w:r w:rsidR="00665AA2" w:rsidRPr="00295207">
        <w:t>)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w:t>
      </w:r>
      <w:proofErr w:type="spellStart"/>
      <w:r w:rsidR="00665AA2" w:rsidRPr="00295207">
        <w:t>iii</w:t>
      </w:r>
      <w:proofErr w:type="spellEnd"/>
      <w:r w:rsidR="00665AA2" w:rsidRPr="00295207">
        <w:t>)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(i) ocorrer o vencimento final das Debêntures sem que as Obrigações Garantidas tenham sido integralmente quitadas, (</w:t>
      </w:r>
      <w:proofErr w:type="spellStart"/>
      <w:r w:rsidR="009F7EBC">
        <w:t>ii</w:t>
      </w:r>
      <w:proofErr w:type="spellEnd"/>
      <w:r w:rsidR="009F7EBC">
        <w:t xml:space="preserve">)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das Debêntures, na forma da Escritura de Emissão, ou (</w:t>
      </w:r>
      <w:proofErr w:type="spellStart"/>
      <w:r w:rsidR="009F7EBC" w:rsidRPr="00D6718C">
        <w:t>iii</w:t>
      </w:r>
      <w:proofErr w:type="spellEnd"/>
      <w:r w:rsidR="009F7EBC" w:rsidRPr="00D6718C">
        <w:t xml:space="preserve">)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17466AD7" w14:textId="1421FBB0" w:rsidR="00295207" w:rsidRPr="00295207" w:rsidRDefault="00665AA2" w:rsidP="00313702">
      <w:pPr>
        <w:pStyle w:val="aMMSecurity"/>
        <w:keepNext w:val="0"/>
        <w:widowControl w:val="0"/>
        <w:ind w:left="1135" w:hanging="851"/>
      </w:pPr>
      <w:r w:rsidRPr="00295207">
        <w:t>pagar</w:t>
      </w:r>
      <w:r w:rsidR="00E45290">
        <w:t xml:space="preserve"> </w:t>
      </w:r>
      <w:r w:rsidRPr="00295207">
        <w:t xml:space="preserve">rigorosamente em dia, antes da incidência de quaisquer multas, penalidades, juros ou despesas, todos os tributos, contribuições, multas, </w:t>
      </w:r>
      <w:r w:rsidRPr="00295207">
        <w:lastRenderedPageBreak/>
        <w:t>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del w:id="46" w:author="HUGO BUENO NETO" w:date="2022-02-21T17:00:00Z">
        <w:r w:rsidR="00407142">
          <w:delText>e</w:delText>
        </w:r>
        <w:r w:rsidR="002C1454">
          <w:delText xml:space="preserve"> </w:delText>
        </w:r>
      </w:del>
      <w:r w:rsidR="00E45290">
        <w:t>(</w:t>
      </w:r>
      <w:proofErr w:type="spellStart"/>
      <w:r w:rsidR="00E45290">
        <w:t>ii</w:t>
      </w:r>
      <w:proofErr w:type="spellEnd"/>
      <w:r w:rsidR="00E45290">
        <w:t>)</w:t>
      </w:r>
      <w:r w:rsidR="00AF4272" w:rsidRPr="00512E66">
        <w:t xml:space="preserve"> </w:t>
      </w:r>
      <w:r w:rsidR="00B47949">
        <w:t>tiverem</w:t>
      </w:r>
      <w:r w:rsidR="00AF4272" w:rsidRPr="00512E66">
        <w:t xml:space="preserve"> sua exigibilidade e efeitos suspensos por decisão judicial ou administrativa dentro do prazo legal</w:t>
      </w:r>
      <w:del w:id="47" w:author="HUGO BUENO NETO" w:date="2022-02-21T17:00:00Z">
        <w:r w:rsidR="00465462">
          <w:delText xml:space="preserve"> ou</w:delText>
        </w:r>
      </w:del>
      <w:ins w:id="48" w:author="HUGO BUENO NETO" w:date="2022-02-21T17:00:00Z">
        <w:r w:rsidR="00AA79C7">
          <w:t>;</w:t>
        </w:r>
        <w:r w:rsidR="00465462">
          <w:t xml:space="preserve"> </w:t>
        </w:r>
        <w:r w:rsidR="00AA79C7">
          <w:t>e</w:t>
        </w:r>
      </w:ins>
      <w:r w:rsidR="00465462">
        <w:t xml:space="preserve"> (</w:t>
      </w:r>
      <w:proofErr w:type="spellStart"/>
      <w:r w:rsidR="00465462">
        <w:t>iii</w:t>
      </w:r>
      <w:proofErr w:type="spellEnd"/>
      <w:r w:rsidR="00465462">
        <w:t xml:space="preserve">) não </w:t>
      </w:r>
      <w:del w:id="49" w:author="HUGO BUENO NETO" w:date="2022-02-21T17:00:00Z">
        <w:r w:rsidR="00465462">
          <w:delText>prejudicar</w:delText>
        </w:r>
      </w:del>
      <w:ins w:id="50" w:author="HUGO BUENO NETO" w:date="2022-02-21T17:00:00Z">
        <w:r w:rsidR="00AA79C7">
          <w:t>prejudiquem</w:t>
        </w:r>
      </w:ins>
      <w:r w:rsidR="00465462">
        <w:t xml:space="preserve"> a validade, eficácia </w:t>
      </w:r>
      <w:r w:rsidR="00465462" w:rsidRPr="00E45290">
        <w:t>ou exequibilidade da garantia prevista neste Contrato</w:t>
      </w:r>
      <w:r w:rsidR="00AF4272">
        <w:t>;</w:t>
      </w:r>
      <w:r w:rsidR="002C1454">
        <w:t xml:space="preserve"> </w:t>
      </w:r>
      <w:del w:id="51" w:author="HUGO BUENO NETO" w:date="2022-02-21T17:00:00Z">
        <w:r w:rsidR="00465462" w:rsidRPr="00BA75B2">
          <w:rPr>
            <w:b/>
            <w:bCs/>
            <w:highlight w:val="yellow"/>
          </w:rPr>
          <w:delText>[Nota Lefosse: precisamos manter o carve-out a respeito do efeito adverso relevante]</w:delText>
        </w:r>
      </w:del>
    </w:p>
    <w:p w14:paraId="3C64FE6B" w14:textId="5DCB82DD" w:rsidR="00630C81" w:rsidRDefault="00630C81" w:rsidP="003D5B1E">
      <w:pPr>
        <w:pStyle w:val="aMMSecurity"/>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w:t>
      </w:r>
      <w:proofErr w:type="spellStart"/>
      <w:r w:rsidR="008F0653">
        <w:t>ii</w:t>
      </w:r>
      <w:proofErr w:type="spellEnd"/>
      <w:r w:rsidR="008F0653">
        <w:t>)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717D289F"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4B46BA">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w:t>
      </w:r>
      <w:r w:rsidRPr="00A2620F">
        <w:lastRenderedPageBreak/>
        <w:t>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w:t>
      </w:r>
      <w:proofErr w:type="spellStart"/>
      <w:r w:rsidR="00002F40" w:rsidRPr="00002F40">
        <w:t>ii</w:t>
      </w:r>
      <w:proofErr w:type="spellEnd"/>
      <w:r w:rsidR="00002F40" w:rsidRPr="00002F40">
        <w:t>) garantir o cumprimento das obrigações assumidas neste Contrato, (</w:t>
      </w:r>
      <w:proofErr w:type="spellStart"/>
      <w:r w:rsidR="00002F40" w:rsidRPr="00002F40">
        <w:t>iii</w:t>
      </w:r>
      <w:proofErr w:type="spellEnd"/>
      <w:r w:rsidR="00002F40" w:rsidRPr="00002F40">
        <w:t>) garantir a legalidade, validade e exequibilidade deste Contrato</w:t>
      </w:r>
      <w:r w:rsidR="00002F40">
        <w:t>,</w:t>
      </w:r>
      <w:r w:rsidR="00B47949">
        <w:t xml:space="preserve"> e</w:t>
      </w:r>
      <w:r w:rsidR="00002F40">
        <w:t xml:space="preserve"> (</w:t>
      </w:r>
      <w:proofErr w:type="spellStart"/>
      <w:r w:rsidR="00002F40">
        <w:t>iv</w:t>
      </w:r>
      <w:proofErr w:type="spellEnd"/>
      <w:r w:rsidR="00002F40">
        <w:t xml:space="preserve">)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lastRenderedPageBreak/>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w:t>
      </w:r>
      <w:proofErr w:type="spellStart"/>
      <w:r w:rsidRPr="00A2620F">
        <w:rPr>
          <w:rFonts w:eastAsia="SimSun"/>
        </w:rPr>
        <w:t>ii</w:t>
      </w:r>
      <w:proofErr w:type="spellEnd"/>
      <w:r w:rsidRPr="00A2620F">
        <w:rPr>
          <w:rFonts w:eastAsia="SimSun"/>
        </w:rPr>
        <w:t xml:space="preserve">)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52" w:name="_Hlk95991762"/>
      <w:r w:rsidR="006D0344">
        <w:rPr>
          <w:rFonts w:eastAsia="SimSun"/>
        </w:rPr>
        <w:t xml:space="preserve">exceto se tais títulos ou direitos conversíveis sejam subscritos pela </w:t>
      </w:r>
      <w:r w:rsidR="006D0344">
        <w:rPr>
          <w:rFonts w:eastAsia="SimSun"/>
        </w:rPr>
        <w:lastRenderedPageBreak/>
        <w:t>Acionista</w:t>
      </w:r>
      <w:r w:rsidR="00B8089A">
        <w:rPr>
          <w:rFonts w:eastAsia="SimSun"/>
        </w:rPr>
        <w:t xml:space="preserve"> e sujeitos à presente garantia</w:t>
      </w:r>
      <w:bookmarkEnd w:id="52"/>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53" w:name="_DV_M68"/>
      <w:bookmarkStart w:id="54" w:name="_DV_M71"/>
      <w:bookmarkEnd w:id="53"/>
      <w:bookmarkEnd w:id="54"/>
      <w:r w:rsidRPr="00A2620F">
        <w:t>DECLARAÇÕES E GARANTIAS</w:t>
      </w:r>
    </w:p>
    <w:p w14:paraId="47CAD5A0" w14:textId="77777777" w:rsidR="002979F1" w:rsidRPr="00A2620F" w:rsidRDefault="002979F1" w:rsidP="003D5B1E">
      <w:pPr>
        <w:pStyle w:val="2MMSecurity"/>
      </w:pPr>
      <w:bookmarkStart w:id="55" w:name="_DV_M72"/>
      <w:bookmarkStart w:id="56" w:name="_Ref89821745"/>
      <w:bookmarkStart w:id="57" w:name="_Hlk89179577"/>
      <w:bookmarkEnd w:id="55"/>
      <w:r w:rsidRPr="00A2620F">
        <w:t>A Acionista e a Companhia, conforme aplicável, declaram e garantem ao Agente Fiduciário que:</w:t>
      </w:r>
      <w:bookmarkEnd w:id="56"/>
    </w:p>
    <w:bookmarkEnd w:id="57"/>
    <w:p w14:paraId="790786A6" w14:textId="3EC4791C" w:rsidR="002979F1" w:rsidRPr="003D5B1E" w:rsidRDefault="002979F1" w:rsidP="003D5B1E">
      <w:pPr>
        <w:pStyle w:val="aMMSecurity"/>
      </w:pPr>
      <w:r w:rsidRPr="003D5B1E">
        <w:lastRenderedPageBreak/>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w:t>
      </w:r>
      <w:proofErr w:type="spellStart"/>
      <w:r w:rsidRPr="003D5B1E">
        <w:t>ii</w:t>
      </w:r>
      <w:proofErr w:type="spellEnd"/>
      <w:r w:rsidRPr="003D5B1E">
        <w:t>) à validade, existência ou exequibilidade do presente Contrato; e (</w:t>
      </w:r>
      <w:proofErr w:type="spellStart"/>
      <w:r w:rsidRPr="003D5B1E">
        <w:t>iii</w:t>
      </w:r>
      <w:proofErr w:type="spellEnd"/>
      <w:r w:rsidRPr="003D5B1E">
        <w:t>)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w:t>
      </w:r>
      <w:proofErr w:type="spellStart"/>
      <w:r w:rsidRPr="003D5B1E">
        <w:t>ii</w:t>
      </w:r>
      <w:proofErr w:type="spellEnd"/>
      <w:r w:rsidRPr="003D5B1E">
        <w:t>) o descumprimento de qualquer norma jurídica legal ou infralegal; ou (</w:t>
      </w:r>
      <w:proofErr w:type="spellStart"/>
      <w:r w:rsidRPr="003D5B1E">
        <w:t>iii</w:t>
      </w:r>
      <w:proofErr w:type="spellEnd"/>
      <w:r w:rsidRPr="003D5B1E">
        <w:t>)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002979F1" w:rsidRPr="003D5B1E">
        <w:t>ii</w:t>
      </w:r>
      <w:proofErr w:type="spellEnd"/>
      <w:r w:rsidR="002979F1" w:rsidRPr="003D5B1E">
        <w:t xml:space="preserve">) </w:t>
      </w:r>
      <w:r w:rsidR="002979F1" w:rsidRPr="003D5B1E">
        <w:lastRenderedPageBreak/>
        <w:t>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457229ED" w:rsidR="002979F1" w:rsidRPr="00805552" w:rsidRDefault="002979F1" w:rsidP="003D5B1E">
      <w:pPr>
        <w:pStyle w:val="aMMSecurity"/>
      </w:pPr>
      <w:bookmarkStart w:id="58" w:name="_DV_M73"/>
      <w:bookmarkEnd w:id="58"/>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4B46BA">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w:t>
      </w:r>
      <w:proofErr w:type="spellStart"/>
      <w:r w:rsidR="009603AC" w:rsidRPr="00805552">
        <w:t>ii</w:t>
      </w:r>
      <w:proofErr w:type="spellEnd"/>
      <w:r w:rsidR="009603AC" w:rsidRPr="00805552">
        <w:t xml:space="preserve">) </w:t>
      </w:r>
      <w:r w:rsidRPr="00805552">
        <w:t xml:space="preserve">pelo presente Contrato, </w:t>
      </w:r>
      <w:r w:rsidR="009603AC" w:rsidRPr="00805552">
        <w:t>(</w:t>
      </w:r>
      <w:proofErr w:type="spellStart"/>
      <w:r w:rsidR="009603AC" w:rsidRPr="00805552">
        <w:t>iii</w:t>
      </w:r>
      <w:proofErr w:type="spellEnd"/>
      <w:r w:rsidR="009603AC" w:rsidRPr="00805552">
        <w:t xml:space="preserve">)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w:t>
      </w:r>
      <w:proofErr w:type="spellStart"/>
      <w:r w:rsidRPr="00805552">
        <w:t>Credit</w:t>
      </w:r>
      <w:proofErr w:type="spellEnd"/>
      <w:r w:rsidRPr="00805552">
        <w:t xml:space="preserve"> </w:t>
      </w:r>
      <w:proofErr w:type="spellStart"/>
      <w:r w:rsidRPr="00805552">
        <w:t>Suisse</w:t>
      </w:r>
      <w:proofErr w:type="spellEnd"/>
      <w:r w:rsidRPr="00805552">
        <w:t xml:space="preserv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w:t>
      </w:r>
      <w:proofErr w:type="spellStart"/>
      <w:r w:rsidRPr="00805552">
        <w:t>Partners</w:t>
      </w:r>
      <w:proofErr w:type="spellEnd"/>
      <w:r w:rsidRPr="00805552">
        <w:t xml:space="preserve">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w:t>
      </w:r>
      <w:proofErr w:type="spellStart"/>
      <w:r w:rsidR="002D1570">
        <w:t>iv</w:t>
      </w:r>
      <w:proofErr w:type="spellEnd"/>
      <w:r w:rsidR="002D1570">
        <w:t>) e pelo Contrato de Concessão</w:t>
      </w:r>
      <w:r w:rsidR="009603AC" w:rsidRPr="00805552">
        <w:t>;</w:t>
      </w:r>
      <w:r w:rsidRPr="00805552">
        <w:t xml:space="preserve"> estando a Acionista em dia com todas as suas </w:t>
      </w:r>
      <w:r w:rsidRPr="00805552">
        <w:lastRenderedPageBreak/>
        <w:t xml:space="preserve">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59" w:name="_DV_M74"/>
      <w:bookmarkStart w:id="60" w:name="_DV_M75"/>
      <w:bookmarkStart w:id="61" w:name="_DV_M77"/>
      <w:bookmarkEnd w:id="59"/>
      <w:bookmarkEnd w:id="60"/>
      <w:bookmarkEnd w:id="61"/>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w:t>
      </w:r>
      <w:proofErr w:type="spellStart"/>
      <w:r w:rsidR="00B8089A">
        <w:t>ii</w:t>
      </w:r>
      <w:proofErr w:type="spellEnd"/>
      <w:r w:rsidR="00B8089A">
        <w:t xml:space="preserve">) </w:t>
      </w:r>
      <w:r w:rsidR="00BF6681" w:rsidRPr="00295207">
        <w:t xml:space="preserve">invalidar, </w:t>
      </w:r>
      <w:r w:rsidR="00B8089A">
        <w:t>(</w:t>
      </w:r>
      <w:proofErr w:type="spellStart"/>
      <w:r w:rsidR="00B8089A">
        <w:t>iii</w:t>
      </w:r>
      <w:proofErr w:type="spellEnd"/>
      <w:r w:rsidR="00B8089A">
        <w:t xml:space="preserve">) </w:t>
      </w:r>
      <w:r w:rsidR="00BF6681" w:rsidRPr="00295207">
        <w:t xml:space="preserve">questionar ou </w:t>
      </w:r>
      <w:r w:rsidR="00B8089A">
        <w:t>(</w:t>
      </w:r>
      <w:proofErr w:type="spellStart"/>
      <w:r w:rsidR="00B8089A">
        <w:t>iv</w:t>
      </w:r>
      <w:proofErr w:type="spellEnd"/>
      <w:r w:rsidR="00B8089A">
        <w:t xml:space="preserve">)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11BF489C"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4B46BA">
        <w:t>4.4</w:t>
      </w:r>
      <w:r w:rsidR="000B2F4B">
        <w:fldChar w:fldCharType="end"/>
      </w:r>
      <w:r w:rsidR="000B2F4B">
        <w:t xml:space="preserve"> </w:t>
      </w:r>
      <w:r>
        <w:t xml:space="preserve">deste Contrato e a Acionista e a Companhia não outorgaram instrumentos de mandato ou outros </w:t>
      </w:r>
      <w:r>
        <w:lastRenderedPageBreak/>
        <w:t>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w:t>
      </w:r>
      <w:r w:rsidRPr="00A2620F">
        <w:lastRenderedPageBreak/>
        <w:t xml:space="preserve">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62" w:name="_DV_M79"/>
      <w:bookmarkStart w:id="63" w:name="_DV_M80"/>
      <w:bookmarkStart w:id="64" w:name="_DV_M81"/>
      <w:bookmarkEnd w:id="62"/>
      <w:bookmarkEnd w:id="63"/>
      <w:bookmarkEnd w:id="64"/>
      <w:r w:rsidRPr="009603AC">
        <w:t>DISPOSIÇÕES COMPLEMENTARES</w:t>
      </w:r>
    </w:p>
    <w:p w14:paraId="43D2FD60" w14:textId="77777777" w:rsidR="009603AC" w:rsidRPr="00A2620F" w:rsidRDefault="009603AC" w:rsidP="003D5B1E">
      <w:pPr>
        <w:pStyle w:val="2MMSecurity"/>
      </w:pPr>
      <w:bookmarkStart w:id="65" w:name="_DV_M82"/>
      <w:bookmarkStart w:id="66" w:name="_DV_M83"/>
      <w:bookmarkStart w:id="67" w:name="_DV_M84"/>
      <w:bookmarkStart w:id="68" w:name="_DV_M85"/>
      <w:bookmarkEnd w:id="65"/>
      <w:bookmarkEnd w:id="66"/>
      <w:bookmarkEnd w:id="67"/>
      <w:bookmarkEnd w:id="68"/>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69" w:name="_DV_M86"/>
      <w:bookmarkEnd w:id="69"/>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70" w:name="_DV_M87"/>
      <w:bookmarkEnd w:id="70"/>
      <w:r w:rsidRPr="00A2620F">
        <w:t>Quaisquer custos e/ou despesas (i) razoáveis comprovadamente incorridos pelo Agente Fiduciário</w:t>
      </w:r>
      <w:r w:rsidRPr="00A2620F" w:rsidDel="003D7111">
        <w:t xml:space="preserve"> </w:t>
      </w:r>
      <w:r w:rsidRPr="00A2620F">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A2620F">
        <w:t>ii</w:t>
      </w:r>
      <w:proofErr w:type="spellEnd"/>
      <w:r w:rsidRPr="00A2620F">
        <w:t xml:space="preserve">)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w:t>
      </w:r>
      <w:r w:rsidRPr="003D5B1E">
        <w:lastRenderedPageBreak/>
        <w:t xml:space="preserve">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 xml:space="preserve">Para os fins legais, a Acionista apresenta na presente data [Certidão Positiva com Efeito de Negativa de Débitos Relativos aos Tributos Federais e à Dívida Ativa da União, </w:t>
      </w:r>
      <w:r w:rsidRPr="00D01355">
        <w:rPr>
          <w:lang w:eastAsia="en-US"/>
        </w:rPr>
        <w:lastRenderedPageBreak/>
        <w:t>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71"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71"/>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w:t>
      </w:r>
      <w:proofErr w:type="spellStart"/>
      <w:r w:rsidR="00C01A62" w:rsidRPr="00C01A62">
        <w:t>Comazzetto</w:t>
      </w:r>
      <w:proofErr w:type="spellEnd"/>
      <w:r w:rsidR="00C01A62" w:rsidRPr="00C01A62">
        <w:t>;</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9" w:history="1">
        <w:r w:rsidR="00D6718C" w:rsidRPr="00D6718C">
          <w:rPr>
            <w:rStyle w:val="Hyperlink"/>
          </w:rPr>
          <w:t>mailto:</w:t>
        </w:r>
      </w:hyperlink>
      <w:hyperlink r:id="rId70"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71"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72"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72"/>
    <w:p w14:paraId="45D2862A" w14:textId="3288A373"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4B46BA">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w:t>
      </w:r>
      <w:proofErr w:type="spellStart"/>
      <w:r w:rsidRPr="00A2620F">
        <w:t>ii</w:t>
      </w:r>
      <w:proofErr w:type="spellEnd"/>
      <w:r w:rsidRPr="00A2620F">
        <w:t>) se enviadas por via postal ou e-mail, na data comprovada de recebimento, através do relatório ou comprovante de entrega; (</w:t>
      </w:r>
      <w:proofErr w:type="spellStart"/>
      <w:r w:rsidRPr="00A2620F">
        <w:t>iii</w:t>
      </w:r>
      <w:proofErr w:type="spellEnd"/>
      <w:r w:rsidRPr="00A2620F">
        <w:t>)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73" w:name="_DV_M143"/>
      <w:bookmarkStart w:id="74" w:name="_Ref89821725"/>
      <w:bookmarkEnd w:id="73"/>
      <w:r w:rsidRPr="00A2620F">
        <w:lastRenderedPageBreak/>
        <w:t>REGISTROS E AVERBAÇÕES</w:t>
      </w:r>
      <w:bookmarkEnd w:id="74"/>
      <w:r w:rsidR="006071DC">
        <w:t xml:space="preserve"> </w:t>
      </w:r>
    </w:p>
    <w:p w14:paraId="6F61B27F" w14:textId="54FA4B1D" w:rsidR="009603AC" w:rsidRPr="00D01355" w:rsidRDefault="009603AC" w:rsidP="003D5B1E">
      <w:pPr>
        <w:pStyle w:val="2MMSecurity"/>
      </w:pPr>
      <w:bookmarkStart w:id="75" w:name="_DV_M144"/>
      <w:bookmarkStart w:id="76" w:name="_Ref89820975"/>
      <w:bookmarkEnd w:id="75"/>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w:t>
      </w:r>
      <w:proofErr w:type="spellStart"/>
      <w:r w:rsidR="00887FEF">
        <w:t>ii</w:t>
      </w:r>
      <w:proofErr w:type="spellEnd"/>
      <w:r w:rsidR="00887FEF">
        <w:t>)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76"/>
    </w:p>
    <w:p w14:paraId="18286F7F" w14:textId="77777777" w:rsidR="009603AC" w:rsidRPr="00D01355" w:rsidRDefault="009603AC" w:rsidP="003D5B1E">
      <w:pPr>
        <w:pStyle w:val="2MMSecurity"/>
      </w:pPr>
      <w:bookmarkStart w:id="77" w:name="_DV_M145"/>
      <w:bookmarkEnd w:id="77"/>
      <w:r w:rsidRPr="00D01355">
        <w:t>Correrão por conta exclusiva da Acionista e da Companhia todas e quaisquer despesas decorrentes do registro deste Contrato e eventuais aditamentos, junto às repartições e cartórios competentes.</w:t>
      </w:r>
    </w:p>
    <w:p w14:paraId="50D9EF48" w14:textId="08969ED3" w:rsidR="009603AC" w:rsidRPr="00334AFD" w:rsidRDefault="009603AC" w:rsidP="00334AFD">
      <w:pPr>
        <w:pStyle w:val="2MMSecurity"/>
        <w:rPr>
          <w:rFonts w:eastAsia="Batang"/>
          <w:highlight w:val="yellow"/>
          <w:rPrChange w:id="78" w:author="Rinaldo Rabello" w:date="2022-02-21T17:41:00Z">
            <w:rPr>
              <w:rFonts w:eastAsia="Batang"/>
            </w:rPr>
          </w:rPrChange>
        </w:rPr>
      </w:pPr>
      <w:bookmarkStart w:id="79"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79"/>
      <w:r w:rsidRPr="00A2620F">
        <w:rPr>
          <w:rFonts w:eastAsia="Batang"/>
        </w:rPr>
        <w:t xml:space="preserve"> </w:t>
      </w:r>
      <w:ins w:id="80" w:author="Rinaldo Rabello" w:date="2022-02-21T17:41:00Z">
        <w:r w:rsidR="00334AFD" w:rsidRPr="00FE549D">
          <w:rPr>
            <w:rFonts w:eastAsia="Batang"/>
            <w:highlight w:val="yellow"/>
          </w:rPr>
          <w:t xml:space="preserve">Nota Pavarini: </w:t>
        </w:r>
        <w:r w:rsidR="00334AFD">
          <w:rPr>
            <w:rFonts w:eastAsia="Batang"/>
            <w:highlight w:val="yellow"/>
          </w:rPr>
          <w:t xml:space="preserve">1) </w:t>
        </w:r>
        <w:r w:rsidR="00334AFD" w:rsidRPr="00FE549D">
          <w:rPr>
            <w:rFonts w:eastAsia="Batang"/>
            <w:highlight w:val="yellow"/>
          </w:rPr>
          <w:t>Solicitamos cópia dos registros existentes.</w:t>
        </w:r>
        <w:r w:rsidR="00334AFD">
          <w:rPr>
            <w:rFonts w:eastAsia="Batang"/>
            <w:highlight w:val="yellow"/>
          </w:rPr>
          <w:t xml:space="preserve"> 2) Seria o caso de registrar após atendimento da condição suspensiva?</w:t>
        </w:r>
      </w:ins>
    </w:p>
    <w:p w14:paraId="25E14DF1" w14:textId="16CF1B13"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4B46BA">
        <w:t>10.3</w:t>
      </w:r>
      <w:r w:rsidR="003D5B1E">
        <w:fldChar w:fldCharType="end"/>
      </w:r>
      <w:r w:rsidR="003D5B1E">
        <w:t xml:space="preserve"> </w:t>
      </w:r>
      <w:r w:rsidRPr="00A2620F">
        <w:t>acima em até 2 (dois) dias úteis após sua realização.</w:t>
      </w:r>
    </w:p>
    <w:p w14:paraId="77E6F799" w14:textId="0241EB48" w:rsidR="009603AC" w:rsidRDefault="009603AC" w:rsidP="003D5B1E">
      <w:pPr>
        <w:pStyle w:val="2MMSecurity"/>
      </w:pPr>
      <w:bookmarkStart w:id="81" w:name="_Ref89820468"/>
      <w:r>
        <w:lastRenderedPageBreak/>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4B46BA">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4B46BA">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81"/>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82" w:name="_DV_M246"/>
      <w:bookmarkStart w:id="83" w:name="_DV_M245"/>
      <w:bookmarkEnd w:id="82"/>
      <w:bookmarkEnd w:id="83"/>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84" w:name="_DV_M248"/>
      <w:bookmarkEnd w:id="84"/>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lastRenderedPageBreak/>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5"/>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72"/>
          <w:headerReference w:type="default" r:id="rId73"/>
          <w:footerReference w:type="even" r:id="rId74"/>
          <w:footerReference w:type="default" r:id="rId75"/>
          <w:headerReference w:type="first" r:id="rId76"/>
          <w:footerReference w:type="first" r:id="rId77"/>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D3C6780" w:rsidR="00B920AD" w:rsidRDefault="00B920AD" w:rsidP="00B920AD">
      <w:pPr>
        <w:spacing w:line="320" w:lineRule="exact"/>
        <w:jc w:val="center"/>
        <w:rPr>
          <w:ins w:id="85" w:author="Rinaldo Rabello" w:date="2022-02-21T17:42:00Z"/>
          <w:b/>
          <w:szCs w:val="20"/>
        </w:rPr>
      </w:pPr>
    </w:p>
    <w:p w14:paraId="115B8B18" w14:textId="347F4AE1" w:rsidR="00334AFD" w:rsidRDefault="00334AFD" w:rsidP="00B920AD">
      <w:pPr>
        <w:spacing w:line="320" w:lineRule="exact"/>
        <w:jc w:val="center"/>
        <w:rPr>
          <w:ins w:id="86" w:author="Rinaldo Rabello" w:date="2022-02-21T17:42:00Z"/>
          <w:b/>
          <w:szCs w:val="20"/>
        </w:rPr>
      </w:pPr>
    </w:p>
    <w:p w14:paraId="12686EA3" w14:textId="77777777" w:rsidR="00334AFD" w:rsidRPr="005A5C91" w:rsidRDefault="00334AFD" w:rsidP="00B920AD">
      <w:pPr>
        <w:spacing w:line="320" w:lineRule="exact"/>
        <w:jc w:val="center"/>
        <w:rPr>
          <w:b/>
          <w:szCs w:val="20"/>
        </w:rPr>
      </w:pPr>
    </w:p>
    <w:tbl>
      <w:tblPr>
        <w:tblW w:w="0" w:type="auto"/>
        <w:tblLook w:val="0680" w:firstRow="0" w:lastRow="0" w:firstColumn="1" w:lastColumn="0" w:noHBand="1" w:noVBand="1"/>
        <w:tblPrChange w:id="87" w:author="Rinaldo Rabello" w:date="2022-02-21T17:42:00Z">
          <w:tblPr>
            <w:tblW w:w="0" w:type="auto"/>
            <w:tblLook w:val="0680" w:firstRow="0" w:lastRow="0" w:firstColumn="1" w:lastColumn="0" w:noHBand="1" w:noVBand="1"/>
          </w:tblPr>
        </w:tblPrChange>
      </w:tblPr>
      <w:tblGrid>
        <w:gridCol w:w="6065"/>
        <w:tblGridChange w:id="88">
          <w:tblGrid>
            <w:gridCol w:w="4419"/>
          </w:tblGrid>
        </w:tblGridChange>
      </w:tblGrid>
      <w:tr w:rsidR="00334AFD" w:rsidRPr="005A5C91" w14:paraId="0D35D4F4" w14:textId="77777777" w:rsidTr="00334AFD">
        <w:trPr>
          <w:trHeight w:val="1202"/>
          <w:trPrChange w:id="89" w:author="Rinaldo Rabello" w:date="2022-02-21T17:42:00Z">
            <w:trPr>
              <w:trHeight w:val="1202"/>
            </w:trPr>
          </w:trPrChange>
        </w:trPr>
        <w:tc>
          <w:tcPr>
            <w:tcW w:w="4419" w:type="dxa"/>
            <w:hideMark/>
            <w:tcPrChange w:id="90" w:author="Rinaldo Rabello" w:date="2022-02-21T17:42:00Z">
              <w:tcPr>
                <w:tcW w:w="4888" w:type="dxa"/>
                <w:hideMark/>
              </w:tcPr>
            </w:tcPrChange>
          </w:tcPr>
          <w:p w14:paraId="6CF9FC2A" w14:textId="3B14FB7D" w:rsidR="00334AFD" w:rsidRPr="005A5C91" w:rsidRDefault="00334AFD" w:rsidP="00EA0A7D">
            <w:pPr>
              <w:spacing w:after="0" w:line="320" w:lineRule="exact"/>
              <w:contextualSpacing/>
              <w:rPr>
                <w:rFonts w:cs="Arial"/>
                <w:smallCaps/>
                <w:szCs w:val="20"/>
              </w:rPr>
            </w:pPr>
            <w:r w:rsidRPr="005A5C91">
              <w:rPr>
                <w:rFonts w:cs="Arial"/>
                <w:smallCaps/>
                <w:szCs w:val="20"/>
              </w:rPr>
              <w:t>_____________________________</w:t>
            </w:r>
            <w:ins w:id="91" w:author="Rinaldo Rabello" w:date="2022-02-21T17:42:00Z">
              <w:r>
                <w:rPr>
                  <w:rFonts w:cs="Arial"/>
                  <w:smallCaps/>
                  <w:szCs w:val="20"/>
                </w:rPr>
                <w:t>_________________</w:t>
              </w:r>
            </w:ins>
          </w:p>
          <w:p w14:paraId="4D4BB6A4" w14:textId="77777777" w:rsidR="00334AFD" w:rsidRPr="005A5C91" w:rsidRDefault="00334AFD" w:rsidP="00EA0A7D">
            <w:pPr>
              <w:spacing w:after="0" w:line="320" w:lineRule="exact"/>
              <w:contextualSpacing/>
              <w:rPr>
                <w:rFonts w:cs="Arial"/>
                <w:szCs w:val="20"/>
              </w:rPr>
            </w:pPr>
            <w:r w:rsidRPr="005A5C91">
              <w:rPr>
                <w:rFonts w:cs="Arial"/>
                <w:szCs w:val="20"/>
              </w:rPr>
              <w:t>Nome:</w:t>
            </w:r>
          </w:p>
          <w:p w14:paraId="6CAA9442" w14:textId="77777777" w:rsidR="00334AFD" w:rsidRDefault="00334AFD" w:rsidP="00EA0A7D">
            <w:pPr>
              <w:spacing w:after="0" w:line="320" w:lineRule="exact"/>
              <w:contextualSpacing/>
              <w:rPr>
                <w:rFonts w:cs="Arial"/>
                <w:szCs w:val="20"/>
              </w:rPr>
            </w:pPr>
            <w:r w:rsidRPr="005A5C91">
              <w:rPr>
                <w:rFonts w:cs="Arial"/>
                <w:szCs w:val="20"/>
              </w:rPr>
              <w:t>Cargo:</w:t>
            </w:r>
          </w:p>
          <w:p w14:paraId="00F3D1FD" w14:textId="504371F5" w:rsidR="00334AFD" w:rsidRPr="005A5C91" w:rsidRDefault="00334AFD" w:rsidP="00EA0A7D">
            <w:pPr>
              <w:spacing w:after="0" w:line="320" w:lineRule="exact"/>
              <w:contextualSpacing/>
              <w:rPr>
                <w:rFonts w:cs="Arial"/>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92" w:name="_Ref89820823"/>
      <w:r>
        <w:lastRenderedPageBreak/>
        <w:t xml:space="preserve">- </w:t>
      </w:r>
      <w:r w:rsidR="001144A8">
        <w:rPr>
          <w:lang w:eastAsia="en-US"/>
        </w:rPr>
        <w:t>AÇÕES</w:t>
      </w:r>
      <w:bookmarkEnd w:id="92"/>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93" w:name="_Ref89820854"/>
      <w:r w:rsidR="001144A8">
        <w:lastRenderedPageBreak/>
        <w:t xml:space="preserve">- </w:t>
      </w:r>
      <w:r w:rsidR="001144A8">
        <w:rPr>
          <w:lang w:eastAsia="en-US"/>
        </w:rPr>
        <w:t>OBRIGAÇÕES GARANTIDAS</w:t>
      </w:r>
      <w:bookmarkEnd w:id="93"/>
    </w:p>
    <w:p w14:paraId="282C2F27" w14:textId="77777777" w:rsidR="001144A8" w:rsidRDefault="001144A8" w:rsidP="001144A8">
      <w:pPr>
        <w:spacing w:after="0" w:line="320" w:lineRule="exact"/>
        <w:contextualSpacing/>
        <w:rPr>
          <w:rFonts w:cs="Arial"/>
          <w:szCs w:val="20"/>
        </w:rPr>
      </w:pPr>
    </w:p>
    <w:p w14:paraId="07184F11" w14:textId="577502CF"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sidR="00154477">
        <w:rPr>
          <w:rFonts w:eastAsia="Batang"/>
        </w:rPr>
        <w:t>S</w:t>
      </w:r>
      <w:r>
        <w:rPr>
          <w:rFonts w:eastAsia="Batang"/>
        </w:rPr>
        <w:t>érie</w:t>
      </w:r>
      <w:r w:rsidR="00154477">
        <w:rPr>
          <w:rFonts w:eastAsia="Batang"/>
        </w:rPr>
        <w:t xml:space="preserve"> Única</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7C221D99"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w:t>
      </w:r>
      <w:r>
        <w:t>1</w:t>
      </w:r>
      <w:r w:rsidR="00234163">
        <w:t>0</w:t>
      </w:r>
      <w:r>
        <w:t>0</w:t>
      </w:r>
      <w:r w:rsidRPr="00E11D49">
        <w:t>.000.000,00 (</w:t>
      </w:r>
      <w:r w:rsidR="00234163">
        <w:t xml:space="preserve">cem </w:t>
      </w:r>
      <w:r w:rsidRPr="00E11D49">
        <w:t>milhões de reais), na Data de Emissão (conforme definida abaixo)</w:t>
      </w:r>
      <w:r w:rsidRPr="00E11D49">
        <w:rPr>
          <w:rFonts w:cstheme="minorHAnsi"/>
        </w:rPr>
        <w:t>.</w:t>
      </w:r>
    </w:p>
    <w:p w14:paraId="29A7D49F" w14:textId="3EF997C4"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1</w:t>
      </w:r>
      <w:r w:rsidR="00234163">
        <w:rPr>
          <w:lang w:eastAsia="ar-SA"/>
        </w:rPr>
        <w:t>0</w:t>
      </w:r>
      <w:r w:rsidRPr="00E11D49">
        <w:rPr>
          <w:lang w:eastAsia="ar-SA"/>
        </w:rPr>
        <w:t>0.000</w:t>
      </w:r>
      <w:r w:rsidR="00154477">
        <w:rPr>
          <w:lang w:eastAsia="ar-SA"/>
        </w:rPr>
        <w:t xml:space="preserve"> </w:t>
      </w:r>
      <w:r w:rsidRPr="00E11D49">
        <w:rPr>
          <w:lang w:eastAsia="ar-SA"/>
        </w:rPr>
        <w:t>(cem mil) Debêntures</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31E761EE"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terão prazo de 10 (dez) anos, vencendo-se, portanto, em [</w:t>
      </w:r>
      <w:r w:rsidRPr="003D5B1E">
        <w:rPr>
          <w:highlight w:val="yellow"/>
          <w:lang w:eastAsia="ar-SA"/>
        </w:rPr>
        <w:t>=</w:t>
      </w:r>
      <w:r w:rsidRPr="00E11D49">
        <w:rPr>
          <w:lang w:eastAsia="ar-SA"/>
        </w:rPr>
        <w:t xml:space="preserve">] </w:t>
      </w:r>
      <w:r w:rsidR="00234163">
        <w:rPr>
          <w:lang w:eastAsia="ar-SA"/>
        </w:rPr>
        <w:t>(</w:t>
      </w:r>
      <w:r w:rsidRPr="00E11D49">
        <w:rPr>
          <w:lang w:eastAsia="ar-SA"/>
        </w:rPr>
        <w:t>“</w:t>
      </w:r>
      <w:r w:rsidRPr="00E11D49">
        <w:rPr>
          <w:u w:val="single"/>
          <w:lang w:eastAsia="ar-SA"/>
        </w:rPr>
        <w:t>Data de Vencimento</w:t>
      </w:r>
      <w:r w:rsidRPr="00E11D49">
        <w:rPr>
          <w:lang w:eastAsia="ar-SA"/>
        </w:rPr>
        <w:t>”)</w:t>
      </w:r>
      <w:r w:rsidRPr="00E11D49">
        <w:t>.</w:t>
      </w:r>
    </w:p>
    <w:p w14:paraId="77B46FCB" w14:textId="14A4C1AD" w:rsidR="001144A8" w:rsidRPr="00E11D49" w:rsidRDefault="001144A8" w:rsidP="00520931">
      <w:pPr>
        <w:pStyle w:val="iMMSecurity"/>
        <w:ind w:left="709" w:hanging="709"/>
        <w:rPr>
          <w:bCs/>
        </w:rPr>
      </w:pPr>
      <w:r w:rsidRPr="00E11D49">
        <w:rPr>
          <w:b/>
          <w:lang w:eastAsia="ar-SA"/>
        </w:rPr>
        <w:t xml:space="preserve">Juros Remuneratórios: </w:t>
      </w:r>
      <w:r>
        <w:rPr>
          <w:b/>
          <w:lang w:eastAsia="ar-SA"/>
        </w:rPr>
        <w:t>[</w:t>
      </w:r>
      <w:r w:rsidRPr="00E11D49">
        <w:t xml:space="preserve">Sobre o Valor Nominal Unitário das Debêntures ou </w:t>
      </w:r>
      <w:r w:rsidRPr="00C636CB">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proofErr w:type="spellStart"/>
      <w:r w:rsidRPr="00E11D49">
        <w:rPr>
          <w:i/>
        </w:rPr>
        <w:t>Bookbuilding</w:t>
      </w:r>
      <w:proofErr w:type="spellEnd"/>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E11D49">
        <w:rPr>
          <w:i/>
        </w:rPr>
        <w:t>Bookbuilding</w:t>
      </w:r>
      <w:proofErr w:type="spellEnd"/>
      <w:r w:rsidRPr="00235E97">
        <w:t>, acrescida exponencialmente de um spread equivalente a 1,70% (um inteiro e setenta centésimos por cento) ao ano, base 252 (duzentos e cinquenta e dois) Dias Úteis; e (</w:t>
      </w:r>
      <w:proofErr w:type="spellStart"/>
      <w:r w:rsidRPr="00235E97">
        <w:t>ii</w:t>
      </w:r>
      <w:proofErr w:type="spellEnd"/>
      <w:r w:rsidRPr="00235E97">
        <w:t>)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Série serão calculados </w:t>
      </w:r>
      <w:r w:rsidRPr="00235E97">
        <w:t xml:space="preserve">de acordo com </w:t>
      </w:r>
      <w:r>
        <w:t>a fórmula presente na Escritura de Emissão.]</w:t>
      </w:r>
    </w:p>
    <w:p w14:paraId="169AAA0E" w14:textId="65863192" w:rsidR="001144A8" w:rsidRPr="00E11D49" w:rsidRDefault="001144A8" w:rsidP="00520931">
      <w:pPr>
        <w:pStyle w:val="iMMSecurity"/>
        <w:ind w:left="709" w:hanging="709"/>
        <w:rPr>
          <w:bCs/>
          <w:lang w:eastAsia="ar-SA"/>
        </w:rPr>
      </w:pPr>
      <w:r w:rsidRPr="00E11D49">
        <w:rPr>
          <w:b/>
          <w:lang w:eastAsia="ar-SA"/>
        </w:rPr>
        <w:t xml:space="preserve">Amortização Programada: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w:t>
      </w:r>
      <w:r w:rsidRPr="00E11D49">
        <w:t xml:space="preserve">, </w:t>
      </w:r>
      <w:r w:rsidRPr="00E11D49">
        <w:lastRenderedPageBreak/>
        <w:t xml:space="preserve">conforme os percentuais </w:t>
      </w:r>
      <w:r>
        <w:t xml:space="preserve">e cronograma </w:t>
      </w:r>
      <w:r w:rsidRPr="00E11D49">
        <w:t>da tabela prevista na Escritura de Emissão.</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94" w:name="_Ref264227481"/>
      <w:r w:rsidRPr="0038603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386031">
        <w:t>temporis</w:t>
      </w:r>
      <w:proofErr w:type="spellEnd"/>
      <w:r w:rsidRPr="00386031">
        <w:t>;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94"/>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95" w:name="_Ref89820908"/>
      <w:r>
        <w:lastRenderedPageBreak/>
        <w:t xml:space="preserve">- </w:t>
      </w:r>
      <w:r>
        <w:rPr>
          <w:lang w:eastAsia="en-US"/>
        </w:rPr>
        <w:t>MODELO DE PROCURAÇÃO</w:t>
      </w:r>
      <w:bookmarkEnd w:id="95"/>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96"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96"/>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97"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97"/>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lastRenderedPageBreak/>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58F6754E" w14:textId="35F27E54" w:rsidR="00843302" w:rsidRDefault="00C427F7" w:rsidP="00517F48">
      <w:pPr>
        <w:pStyle w:val="MMSecAnexos"/>
        <w:numPr>
          <w:ilvl w:val="0"/>
          <w:numId w:val="5"/>
        </w:numPr>
      </w:pPr>
      <w:bookmarkStart w:id="98" w:name="_Ref17296825"/>
      <w:bookmarkStart w:id="99" w:name="_Ref17241889"/>
      <w:r>
        <w:lastRenderedPageBreak/>
        <w:t xml:space="preserve">- </w:t>
      </w:r>
      <w:r w:rsidRPr="00647EB0">
        <w:rPr>
          <w:lang w:eastAsia="en-US"/>
        </w:rPr>
        <w:t>CUMPRIMENTO DE CONDIÇÃO SUSPENSIVA</w:t>
      </w:r>
      <w:bookmarkEnd w:id="98"/>
      <w:bookmarkEnd w:id="99"/>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701575DD"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4B46BA">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100" w:name="_Hlk16007120"/>
      <w:bookmarkStart w:id="101"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102" w:name="_Hlk17331953"/>
      <w:bookmarkEnd w:id="100"/>
      <w:bookmarkEnd w:id="101"/>
      <w:r w:rsidR="001144A8">
        <w:rPr>
          <w:rFonts w:cs="Arial"/>
          <w:szCs w:val="20"/>
        </w:rPr>
        <w:t xml:space="preserve"> </w:t>
      </w:r>
      <w:bookmarkEnd w:id="102"/>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8"/>
      <w:headerReference w:type="default" r:id="rId79"/>
      <w:footerReference w:type="even" r:id="rId80"/>
      <w:footerReference w:type="default" r:id="rId81"/>
      <w:headerReference w:type="first" r:id="rId82"/>
      <w:footerReference w:type="first" r:id="rId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AA07" w14:textId="77777777" w:rsidR="00642969" w:rsidRDefault="00642969" w:rsidP="005D04C7">
      <w:pPr>
        <w:spacing w:before="0" w:after="0" w:line="240" w:lineRule="auto"/>
      </w:pPr>
      <w:r>
        <w:separator/>
      </w:r>
    </w:p>
  </w:endnote>
  <w:endnote w:type="continuationSeparator" w:id="0">
    <w:p w14:paraId="5E61AB6A" w14:textId="77777777" w:rsidR="00642969" w:rsidRDefault="00642969" w:rsidP="005D04C7">
      <w:pPr>
        <w:spacing w:before="0" w:after="0" w:line="240" w:lineRule="auto"/>
      </w:pPr>
      <w:r>
        <w:continuationSeparator/>
      </w:r>
    </w:p>
  </w:endnote>
  <w:endnote w:type="continuationNotice" w:id="1">
    <w:p w14:paraId="05661FBB" w14:textId="77777777" w:rsidR="00642969" w:rsidRDefault="00642969"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1827" w14:textId="77777777" w:rsidR="00642969" w:rsidRDefault="00642969" w:rsidP="005D04C7">
      <w:pPr>
        <w:spacing w:before="0" w:after="0" w:line="240" w:lineRule="auto"/>
      </w:pPr>
      <w:r>
        <w:separator/>
      </w:r>
    </w:p>
  </w:footnote>
  <w:footnote w:type="continuationSeparator" w:id="0">
    <w:p w14:paraId="1FE88EDE" w14:textId="77777777" w:rsidR="00642969" w:rsidRDefault="00642969" w:rsidP="005D04C7">
      <w:pPr>
        <w:spacing w:before="0" w:after="0" w:line="240" w:lineRule="auto"/>
      </w:pPr>
      <w:r>
        <w:continuationSeparator/>
      </w:r>
    </w:p>
  </w:footnote>
  <w:footnote w:type="continuationNotice" w:id="1">
    <w:p w14:paraId="02DEDB4E" w14:textId="77777777" w:rsidR="00642969" w:rsidRDefault="00642969"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6"/>
    </w:lvlOverride>
    <w:lvlOverride w:ilvl="2">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HUGO BUENO NETO">
    <w15:presenceInfo w15:providerId="AD" w15:userId="S::F001822@modal.net.br::ddb0214e-ad5e-4081-8508-9f3a47797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4AFD"/>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30A97"/>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462"/>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hyperlink" Target="http://legislacao.planalto.gov.br/legisla/legislacao.nsf/Viw_Identificacao/lei%208.987-1995?OpenDocument" TargetMode="External"/><Relationship Id="rId84"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footer" Target="footer1.xml"/><Relationship Id="rId79" Type="http://schemas.openxmlformats.org/officeDocument/2006/relationships/header" Target="header5.xm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yperlink" Target="mailto:" TargetMode="External"/><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80" Type="http://schemas.openxmlformats.org/officeDocument/2006/relationships/footer" Target="footer4.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hyperlink" Target="mailto:sidney.almeida@qgsa.com.br" TargetMode="External"/><Relationship Id="rId75" Type="http://schemas.openxmlformats.org/officeDocument/2006/relationships/footer" Target="footer2.xml"/><Relationship Id="rId8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eader" Target="header2.xml"/><Relationship Id="rId78" Type="http://schemas.openxmlformats.org/officeDocument/2006/relationships/header" Target="header4.xml"/><Relationship Id="rId81" Type="http://schemas.openxmlformats.org/officeDocument/2006/relationships/footer" Target="footer5.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hyperlink" Target="mailto:spestruturacao@simplificpavarini.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footnotes" Target="footnotes.xml"/><Relationship Id="rId61" Type="http://schemas.openxmlformats.org/officeDocument/2006/relationships/customXml" Target="../customXml/item61.xml"/><Relationship Id="rId8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 T E X T ! 5 5 9 0 0 9 3 3 . 9 < / d o c u m e n t i d >  
     < s e n d e r i d > E O C < / s e n d e r i d >  
     < s e n d e r e m a i l > E O L I V E I R A @ M A C H A D O M E Y E R . C O M . B R < / s e n d e r e m a i l >  
     < l a s t m o d i f i e d > 2 0 2 2 - 0 2 - 1 1 T 2 2 : 3 7 : 0 0 . 0 0 0 0 0 0 0 - 0 3 : 0 0 < / l a s t m o d i f i e d >  
     < d a t a b a s e > T E X T < / d a t a b a s e >  
 < / p r o p e r t i e s > 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1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1.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12.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13.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14.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15.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16.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17.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18.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19.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0.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21.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22.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23.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24.xml><?xml version="1.0" encoding="utf-8"?>
<ds:datastoreItem xmlns:ds="http://schemas.openxmlformats.org/officeDocument/2006/customXml" ds:itemID="{C0FDF691-BC2B-4F4C-983A-03A01769A618}">
  <ds:schemaRefs>
    <ds:schemaRef ds:uri="http://www.imanage.com/work/xmlschema"/>
  </ds:schemaRefs>
</ds:datastoreItem>
</file>

<file path=customXml/itemProps25.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26.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7.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28.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29.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3.xml><?xml version="1.0" encoding="utf-8"?>
<ds:datastoreItem xmlns:ds="http://schemas.openxmlformats.org/officeDocument/2006/customXml" ds:itemID="{0C8B8663-798F-4622-98CD-E10D416C5C7D}">
  <ds:schemaRefs>
    <ds:schemaRef ds:uri="http://www.imanage.com/work/xmlschema"/>
  </ds:schemaRefs>
</ds:datastoreItem>
</file>

<file path=customXml/itemProps30.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31.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32.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33.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34.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35.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36.xml><?xml version="1.0" encoding="utf-8"?>
<ds:datastoreItem xmlns:ds="http://schemas.openxmlformats.org/officeDocument/2006/customXml" ds:itemID="{F35CA2FD-C608-4DB6-9E8C-1C05B937A354}">
  <ds:schemaRefs>
    <ds:schemaRef ds:uri="http://www.imanage.com/work/xmlschema"/>
  </ds:schemaRefs>
</ds:datastoreItem>
</file>

<file path=customXml/itemProps37.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8.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39.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4.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40.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1.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42.xml><?xml version="1.0" encoding="utf-8"?>
<ds:datastoreItem xmlns:ds="http://schemas.openxmlformats.org/officeDocument/2006/customXml" ds:itemID="{9A7F6937-D4F9-49B0-B5ED-FE6EC21563E0}">
  <ds:schemaRefs>
    <ds:schemaRef ds:uri="http://www.imanage.com/work/xmlschema"/>
  </ds:schemaRefs>
</ds:datastoreItem>
</file>

<file path=customXml/itemProps43.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44.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45.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46.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47.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48.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49.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5.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0.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51.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52.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53.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54.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55.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6.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57.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58.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5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6.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60.xml><?xml version="1.0" encoding="utf-8"?>
<ds:datastoreItem xmlns:ds="http://schemas.openxmlformats.org/officeDocument/2006/customXml" ds:itemID="{1D38DDC9-8FC9-4FF5-8E4C-CC9947BD5CBD}">
  <ds:schemaRefs>
    <ds:schemaRef ds:uri="http://www.imanage.com/work/xmlschema"/>
  </ds:schemaRefs>
</ds:datastoreItem>
</file>

<file path=customXml/itemProps61.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7.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8.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9.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11818</Words>
  <Characters>63822</Characters>
  <Application>Microsoft Office Word</Application>
  <DocSecurity>4</DocSecurity>
  <Lines>531</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75490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2022-02-21T20:45:00Z</dcterms:created>
  <dcterms:modified xsi:type="dcterms:W3CDTF">2022-02-21T20:45:00Z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