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w:t>
      </w:r>
      <w:r w:rsidRPr="009A58D5">
        <w:rPr>
          <w:rFonts w:ascii="Bradesco Sans" w:hAnsi="Bradesco Sans" w:cs="Calibri"/>
          <w:sz w:val="22"/>
          <w:szCs w:val="22"/>
        </w:rPr>
        <w:t xml:space="preserve">i)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(iii</w:t>
      </w:r>
      <w:commentRangeStart w:id="0"/>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63A91CC6"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w:t>
      </w:r>
      <w:r w:rsidR="0090133F">
        <w:rPr>
          <w:rFonts w:ascii="Bradesco Sans" w:hAnsi="Bradesco Sans" w:cs="Calibri"/>
          <w:sz w:val="22"/>
          <w:szCs w:val="22"/>
        </w:rPr>
        <w:t xml:space="preserve">em 31 de março de 2022, </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Pr>
          <w:rFonts w:ascii="Bradesco Sans" w:hAnsi="Bradesco Sans" w:cs="Calibri"/>
          <w:b/>
          <w:sz w:val="22"/>
          <w:szCs w:val="22"/>
        </w:rPr>
        <w:t xml:space="preserve"> </w:t>
      </w:r>
      <w:r w:rsidR="0090133F" w:rsidRPr="00A82A6D">
        <w:rPr>
          <w:rFonts w:ascii="Bradesco Sans" w:hAnsi="Bradesco Sans" w:cs="Calibri"/>
          <w:bCs/>
          <w:sz w:val="22"/>
          <w:szCs w:val="22"/>
        </w:rPr>
        <w:t xml:space="preserve">realizou o pagamento de todas as obrigações garantidas </w:t>
      </w:r>
      <w:r w:rsidR="00EF793A">
        <w:rPr>
          <w:rFonts w:ascii="Bradesco Sans" w:hAnsi="Bradesco Sans" w:cs="Calibri"/>
          <w:bCs/>
          <w:sz w:val="22"/>
          <w:szCs w:val="22"/>
        </w:rPr>
        <w:t>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1"/>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1"/>
      <w:r w:rsidR="00521914">
        <w:rPr>
          <w:rStyle w:val="Refdecomentrio"/>
        </w:rPr>
        <w:commentReference w:id="1"/>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vii)</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E280287"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 xml:space="preserve">Em virtude </w:t>
      </w:r>
      <w:r w:rsidR="0090133F">
        <w:rPr>
          <w:rFonts w:ascii="Bradesco Sans" w:hAnsi="Bradesco Sans" w:cs="Calibri"/>
          <w:sz w:val="22"/>
          <w:szCs w:val="22"/>
        </w:rPr>
        <w:t xml:space="preserve">da quitação das obrigações garantidas da 1ª Emissão e da realização da </w:t>
      </w:r>
      <w:r w:rsidR="00B84F4D">
        <w:rPr>
          <w:rFonts w:ascii="Bradesco Sans" w:hAnsi="Bradesco Sans" w:cs="Calibri"/>
          <w:sz w:val="22"/>
          <w:szCs w:val="22"/>
        </w:rPr>
        <w:t>2ª Emissão de Debêntures</w:t>
      </w:r>
      <w:r w:rsidR="0090133F">
        <w:rPr>
          <w:rFonts w:ascii="Bradesco Sans" w:hAnsi="Bradesco Sans" w:cs="Calibri"/>
          <w:sz w:val="22"/>
          <w:szCs w:val="22"/>
        </w:rPr>
        <w:t xml:space="preserve"> </w:t>
      </w:r>
      <w:r w:rsidR="00B84F4D">
        <w:rPr>
          <w:rFonts w:ascii="Bradesco Sans" w:hAnsi="Bradesco Sans" w:cs="Calibri"/>
          <w:sz w:val="22"/>
          <w:szCs w:val="22"/>
        </w:rPr>
        <w:t>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FF5F09A"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399FE197"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deverá</w:t>
      </w:r>
      <w:r w:rsidRPr="00917953">
        <w:rPr>
          <w:rFonts w:ascii="Bradesco Sans" w:hAnsi="Bradesco Sans" w:cs="Calibri"/>
          <w:i/>
          <w:iCs/>
          <w:sz w:val="22"/>
          <w:szCs w:val="22"/>
        </w:rPr>
        <w:t xml:space="preserve"> </w:t>
      </w:r>
      <w:r w:rsidR="00995EB0" w:rsidRPr="00917953">
        <w:rPr>
          <w:rFonts w:ascii="Bradesco Sans" w:hAnsi="Bradesco Sans" w:cs="Calibri"/>
          <w:i/>
          <w:iCs/>
          <w:sz w:val="22"/>
          <w:szCs w:val="22"/>
        </w:rPr>
        <w:t xml:space="preserve">transferir </w:t>
      </w:r>
      <w:r w:rsidR="006029E0" w:rsidRPr="006029E0">
        <w:rPr>
          <w:rFonts w:ascii="Bradesco Sans" w:hAnsi="Bradesco Sans" w:cs="Calibri"/>
          <w:i/>
          <w:iCs/>
          <w:sz w:val="22"/>
          <w:szCs w:val="22"/>
        </w:rPr>
        <w:t xml:space="preserve">automaticamente para a </w:t>
      </w:r>
      <w:r w:rsidR="006029E0">
        <w:rPr>
          <w:rFonts w:ascii="Bradesco Sans" w:hAnsi="Bradesco Sans" w:cs="Calibri"/>
          <w:i/>
          <w:iCs/>
          <w:sz w:val="22"/>
          <w:szCs w:val="22"/>
        </w:rPr>
        <w:t>c</w:t>
      </w:r>
      <w:r w:rsidR="006029E0" w:rsidRPr="006029E0">
        <w:rPr>
          <w:rFonts w:ascii="Bradesco Sans" w:hAnsi="Bradesco Sans" w:cs="Calibri"/>
          <w:i/>
          <w:iCs/>
          <w:sz w:val="22"/>
          <w:szCs w:val="22"/>
        </w:rPr>
        <w:t>onta de</w:t>
      </w:r>
      <w:r w:rsidR="006029E0">
        <w:rPr>
          <w:rFonts w:ascii="Bradesco Sans" w:hAnsi="Bradesco Sans" w:cs="Calibri"/>
          <w:i/>
          <w:iCs/>
          <w:sz w:val="22"/>
          <w:szCs w:val="22"/>
        </w:rPr>
        <w:t xml:space="preserve"> l</w:t>
      </w:r>
      <w:r w:rsidR="006029E0" w:rsidRPr="006029E0">
        <w:rPr>
          <w:rFonts w:ascii="Bradesco Sans" w:hAnsi="Bradesco Sans" w:cs="Calibri"/>
          <w:i/>
          <w:iCs/>
          <w:sz w:val="22"/>
          <w:szCs w:val="22"/>
        </w:rPr>
        <w:t xml:space="preserve">ivre </w:t>
      </w:r>
      <w:r w:rsidR="006029E0">
        <w:rPr>
          <w:rFonts w:ascii="Bradesco Sans" w:hAnsi="Bradesco Sans" w:cs="Calibri"/>
          <w:i/>
          <w:iCs/>
          <w:sz w:val="22"/>
          <w:szCs w:val="22"/>
        </w:rPr>
        <w:t>m</w:t>
      </w:r>
      <w:r w:rsidR="006029E0" w:rsidRPr="006029E0">
        <w:rPr>
          <w:rFonts w:ascii="Bradesco Sans" w:hAnsi="Bradesco Sans" w:cs="Calibri"/>
          <w:i/>
          <w:iCs/>
          <w:sz w:val="22"/>
          <w:szCs w:val="22"/>
        </w:rPr>
        <w:t>ovimentação, independentemente da ocorrência de uma Hipótese de Vencimento Antecipado das Debêntures</w:t>
      </w:r>
      <w:r w:rsidR="006029E0">
        <w:rPr>
          <w:rFonts w:ascii="Bradesco Sans" w:hAnsi="Bradesco Sans" w:cs="Calibri"/>
          <w:i/>
          <w:iCs/>
          <w:sz w:val="22"/>
          <w:szCs w:val="22"/>
        </w:rPr>
        <w:t xml:space="preserve"> (conforme definido na Escritura de Emissão)</w:t>
      </w:r>
      <w:r w:rsidR="006029E0" w:rsidRPr="006029E0">
        <w:rPr>
          <w:rFonts w:ascii="Bradesco Sans" w:hAnsi="Bradesco Sans" w:cs="Calibri"/>
          <w:i/>
          <w:iCs/>
          <w:sz w:val="22"/>
          <w:szCs w:val="22"/>
        </w:rPr>
        <w:t>, [</w:t>
      </w:r>
      <w:r w:rsidR="006029E0" w:rsidRPr="00A8339B">
        <w:rPr>
          <w:rFonts w:ascii="Bradesco Sans" w:hAnsi="Bradesco Sans" w:cs="Calibri"/>
          <w:i/>
          <w:iCs/>
          <w:sz w:val="22"/>
          <w:szCs w:val="22"/>
          <w:highlight w:val="yellow"/>
        </w:rPr>
        <w:t>30% (trinta por cento)</w:t>
      </w:r>
      <w:r w:rsidR="006029E0" w:rsidRPr="006029E0">
        <w:rPr>
          <w:rFonts w:ascii="Bradesco Sans" w:hAnsi="Bradesco Sans" w:cs="Calibri"/>
          <w:i/>
          <w:iCs/>
          <w:sz w:val="22"/>
          <w:szCs w:val="22"/>
        </w:rPr>
        <w:t xml:space="preserve">] dos recursos depositados na Conta </w:t>
      </w:r>
      <w:r w:rsidR="006029E0">
        <w:rPr>
          <w:rFonts w:ascii="Bradesco Sans" w:hAnsi="Bradesco Sans" w:cs="Calibri"/>
          <w:i/>
          <w:iCs/>
          <w:sz w:val="22"/>
          <w:szCs w:val="22"/>
        </w:rPr>
        <w:t>Vinculada</w:t>
      </w:r>
      <w:r w:rsidR="00510D13">
        <w:rPr>
          <w:rFonts w:ascii="Bradesco Sans" w:hAnsi="Bradesco Sans" w:cs="Calibri"/>
          <w:i/>
          <w:iCs/>
          <w:sz w:val="22"/>
          <w:szCs w:val="22"/>
        </w:rPr>
        <w:t xml:space="preserve"> (“</w:t>
      </w:r>
      <w:r w:rsidR="00510D13" w:rsidRPr="008D56F3">
        <w:rPr>
          <w:rFonts w:ascii="Bradesco Sans" w:hAnsi="Bradesco Sans" w:cs="Calibri"/>
          <w:i/>
          <w:iCs/>
          <w:sz w:val="22"/>
          <w:szCs w:val="22"/>
          <w:u w:val="single"/>
        </w:rPr>
        <w:t>Valor Operacional Mínimo</w:t>
      </w:r>
      <w:r w:rsidR="00510D13">
        <w:rPr>
          <w:rFonts w:ascii="Bradesco Sans" w:hAnsi="Bradesco Sans" w:cs="Calibri"/>
          <w:i/>
          <w:iCs/>
          <w:sz w:val="22"/>
          <w:szCs w:val="22"/>
        </w:rPr>
        <w:t>”)</w:t>
      </w:r>
      <w:r w:rsidR="006029E0" w:rsidRPr="006029E0">
        <w:rPr>
          <w:rFonts w:ascii="Bradesco Sans" w:hAnsi="Bradesco Sans" w:cs="Calibri"/>
          <w:i/>
          <w:iCs/>
          <w:sz w:val="22"/>
          <w:szCs w:val="22"/>
        </w:rPr>
        <w:t>, para que</w:t>
      </w:r>
      <w:r w:rsidR="00995EB0" w:rsidRPr="00917953">
        <w:rPr>
          <w:rFonts w:ascii="Bradesco Sans" w:hAnsi="Bradesco Sans" w:cs="Calibri"/>
          <w:i/>
          <w:iCs/>
          <w:sz w:val="22"/>
          <w:szCs w:val="22"/>
        </w:rPr>
        <w:t xml:space="preserve"> a </w:t>
      </w:r>
      <w:r w:rsidR="00995EB0" w:rsidRPr="00917953">
        <w:rPr>
          <w:rFonts w:ascii="Bradesco Sans" w:hAnsi="Bradesco Sans" w:cs="Calibri"/>
          <w:b/>
          <w:bCs/>
          <w:i/>
          <w:iCs/>
          <w:sz w:val="22"/>
          <w:szCs w:val="22"/>
        </w:rPr>
        <w:t>CONTRATANTE</w:t>
      </w:r>
      <w:r w:rsidR="00995EB0" w:rsidRPr="00917953">
        <w:rPr>
          <w:rFonts w:ascii="Bradesco Sans" w:hAnsi="Bradesco Sans" w:cs="Calibri"/>
          <w:i/>
          <w:iCs/>
          <w:sz w:val="22"/>
          <w:szCs w:val="22"/>
        </w:rPr>
        <w:t xml:space="preserve"> realize o</w:t>
      </w:r>
      <w:r w:rsidR="005279F5" w:rsidRPr="00917953">
        <w:rPr>
          <w:rFonts w:ascii="Bradesco Sans" w:hAnsi="Bradesco Sans" w:cs="Calibri"/>
          <w:i/>
          <w:iCs/>
          <w:sz w:val="22"/>
          <w:szCs w:val="22"/>
        </w:rPr>
        <w:t>s</w:t>
      </w:r>
      <w:r w:rsidR="00995EB0" w:rsidRPr="00917953">
        <w:rPr>
          <w:rFonts w:ascii="Bradesco Sans" w:hAnsi="Bradesco Sans" w:cs="Calibri"/>
          <w:i/>
          <w:iCs/>
          <w:sz w:val="22"/>
          <w:szCs w:val="22"/>
        </w:rPr>
        <w:t xml:space="preserve"> </w:t>
      </w:r>
      <w:r w:rsidR="00C81A2F" w:rsidRPr="00917953">
        <w:rPr>
          <w:rFonts w:ascii="Bradesco Sans" w:hAnsi="Bradesco Sans" w:cs="Calibri"/>
          <w:i/>
          <w:iCs/>
          <w:sz w:val="22"/>
          <w:szCs w:val="22"/>
        </w:rPr>
        <w:t xml:space="preserve">pagamentos relativos às despesas necessárias para a operacionalização e continuidade da prestação dos serviços previstos no Contrato de Concessão patrocinada entre o Estado de São Paulo, por intermédio da Agência Reguladora de Serviços Públicos Delegados de Transporte do Estado de São Paulo – ARTESP, , incluindo o pagamento de </w:t>
      </w:r>
      <w:r w:rsidR="00CF7324" w:rsidRPr="00917953">
        <w:rPr>
          <w:rFonts w:ascii="Bradesco Sans" w:hAnsi="Bradesco Sans" w:cs="Calibri"/>
          <w:i/>
          <w:iCs/>
          <w:sz w:val="22"/>
          <w:szCs w:val="22"/>
        </w:rPr>
        <w:t>tributos, seguros, taxas de fiscalização e ônus devidos ao Poder Concedente, bem como os serviços descritos no artigo 5º do Anexo I do Edital da Concessão</w:t>
      </w:r>
      <w:r w:rsidR="007A0743">
        <w:rPr>
          <w:rFonts w:ascii="Bradesco Sans" w:hAnsi="Bradesco Sans" w:cs="Calibri"/>
          <w:i/>
          <w:iCs/>
          <w:sz w:val="22"/>
          <w:szCs w:val="22"/>
        </w:rPr>
        <w:t>,</w:t>
      </w:r>
      <w:r w:rsidR="007A0743" w:rsidRPr="007A0743">
        <w:rPr>
          <w:rFonts w:ascii="Bradesco Sans" w:hAnsi="Bradesco Sans" w:cs="Calibri"/>
          <w:i/>
          <w:iCs/>
          <w:sz w:val="22"/>
          <w:szCs w:val="22"/>
        </w:rPr>
        <w:t xml:space="preserve"> </w:t>
      </w:r>
      <w:r w:rsidR="007A0743" w:rsidRPr="00917953">
        <w:rPr>
          <w:rFonts w:ascii="Bradesco Sans" w:hAnsi="Bradesco Sans" w:cs="Calibri"/>
          <w:i/>
          <w:iCs/>
          <w:sz w:val="22"/>
          <w:szCs w:val="22"/>
        </w:rPr>
        <w:t>nos termos do artigo 28 da Lei nº 8.987</w:t>
      </w:r>
      <w:r w:rsidR="00A024C2" w:rsidRPr="00917953">
        <w:rPr>
          <w:rFonts w:ascii="Bradesco Sans" w:hAnsi="Bradesco Sans" w:cs="Calibri"/>
          <w:i/>
          <w:iCs/>
          <w:sz w:val="22"/>
          <w:szCs w:val="22"/>
        </w:rPr>
        <w:t xml:space="preserve">. </w:t>
      </w:r>
      <w:r w:rsidR="006029E0" w:rsidRPr="00A82A6D">
        <w:rPr>
          <w:rFonts w:ascii="Bradesco Sans" w:hAnsi="Bradesco Sans" w:cs="Calibri"/>
          <w:i/>
          <w:iCs/>
          <w:sz w:val="22"/>
          <w:szCs w:val="22"/>
        </w:rPr>
        <w:t xml:space="preserve">[A </w:t>
      </w:r>
      <w:r w:rsidR="00510D13" w:rsidRPr="00A82A6D">
        <w:rPr>
          <w:rFonts w:ascii="Bradesco Sans" w:hAnsi="Bradesco Sans" w:cs="Calibri"/>
          <w:b/>
          <w:bCs/>
          <w:i/>
          <w:iCs/>
          <w:sz w:val="22"/>
          <w:szCs w:val="22"/>
        </w:rPr>
        <w:t>CONTRATANTE</w:t>
      </w:r>
      <w:r w:rsidR="006029E0" w:rsidRPr="00A82A6D">
        <w:rPr>
          <w:rFonts w:ascii="Bradesco Sans" w:hAnsi="Bradesco Sans" w:cs="Calibri"/>
          <w:i/>
          <w:iCs/>
          <w:sz w:val="22"/>
          <w:szCs w:val="22"/>
        </w:rPr>
        <w:t xml:space="preserve"> reconhece e aceita que o Valor Operacional Mínimo é o valor suficiente para </w:t>
      </w:r>
      <w:r w:rsidR="00510D13" w:rsidRPr="00A82A6D">
        <w:rPr>
          <w:rFonts w:ascii="Bradesco Sans" w:hAnsi="Bradesco Sans" w:cs="Calibri"/>
          <w:i/>
          <w:iCs/>
          <w:sz w:val="22"/>
          <w:szCs w:val="22"/>
        </w:rPr>
        <w:t>que o referido bloqueio</w:t>
      </w:r>
      <w:r w:rsidR="006029E0" w:rsidRPr="00A82A6D">
        <w:rPr>
          <w:rFonts w:ascii="Bradesco Sans" w:hAnsi="Bradesco Sans" w:cs="Calibri"/>
          <w:i/>
          <w:iCs/>
          <w:sz w:val="22"/>
          <w:szCs w:val="22"/>
        </w:rPr>
        <w:t xml:space="preserve"> não comprometa a operacionalização e a continuidade da prestação de serviços pela </w:t>
      </w:r>
      <w:r w:rsidR="00510D13" w:rsidRPr="00A82A6D">
        <w:rPr>
          <w:rFonts w:ascii="Bradesco Sans" w:hAnsi="Bradesco Sans" w:cs="Calibri"/>
          <w:b/>
          <w:bCs/>
          <w:i/>
          <w:iCs/>
          <w:sz w:val="22"/>
          <w:szCs w:val="22"/>
        </w:rPr>
        <w:t>CONTRATANTE</w:t>
      </w:r>
      <w:r w:rsidR="006029E0" w:rsidRPr="00A82A6D">
        <w:rPr>
          <w:rFonts w:ascii="Bradesco Sans" w:hAnsi="Bradesco Sans" w:cs="Calibri"/>
          <w:i/>
          <w:iCs/>
          <w:sz w:val="22"/>
          <w:szCs w:val="22"/>
        </w:rPr>
        <w:t xml:space="preserve"> no âmbito do Contrato de Concessão</w:t>
      </w:r>
      <w:r w:rsidR="006029E0" w:rsidRPr="0090133F">
        <w:rPr>
          <w:rFonts w:ascii="Bradesco Sans" w:hAnsi="Bradesco Sans" w:cs="Calibri"/>
          <w:i/>
          <w:iCs/>
          <w:sz w:val="22"/>
          <w:szCs w:val="22"/>
        </w:rPr>
        <w:t>.]</w:t>
      </w:r>
    </w:p>
    <w:p w14:paraId="3C15E709" w14:textId="2F4D0E3A" w:rsidR="00342560" w:rsidRPr="00917953" w:rsidRDefault="00342560" w:rsidP="00A25F33">
      <w:pPr>
        <w:spacing w:line="276" w:lineRule="auto"/>
        <w:ind w:left="567"/>
        <w:jc w:val="both"/>
        <w:rPr>
          <w:rFonts w:ascii="Bradesco Sans" w:hAnsi="Bradesco Sans" w:cs="Calibri"/>
          <w:i/>
          <w:iCs/>
          <w:sz w:val="22"/>
          <w:szCs w:val="22"/>
        </w:rPr>
      </w:pPr>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“iii”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459E3EBD" w:rsidR="009C5D2D" w:rsidRPr="009C5D2D" w:rsidRDefault="009C5D2D" w:rsidP="009C5D2D">
      <w:pPr>
        <w:spacing w:line="276" w:lineRule="auto"/>
        <w:jc w:val="both"/>
      </w:pPr>
      <w:r>
        <w:rPr>
          <w:rFonts w:ascii="Bradesco Sans" w:hAnsi="Bradesco Sans" w:cs="Calibri"/>
          <w:sz w:val="22"/>
          <w:szCs w:val="22"/>
        </w:rPr>
        <w:t>1.</w:t>
      </w:r>
      <w:r w:rsidR="00510D13">
        <w:rPr>
          <w:rFonts w:ascii="Bradesco Sans" w:hAnsi="Bradesco Sans" w:cs="Calibri"/>
          <w:sz w:val="22"/>
          <w:szCs w:val="22"/>
        </w:rPr>
        <w:t>4</w:t>
      </w:r>
      <w:r>
        <w:rPr>
          <w:rFonts w:ascii="Bradesco Sans" w:hAnsi="Bradesco Sans" w:cs="Calibri"/>
          <w:sz w:val="22"/>
          <w:szCs w:val="22"/>
        </w:rPr>
        <w:t xml:space="preserve">.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7817AA1"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2F5FB97" w:rsidR="004A33C7" w:rsidRPr="009A58D5" w:rsidRDefault="001577DD" w:rsidP="004A33C7">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53D5935A"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w:t>
      </w:r>
      <w:r w:rsidR="00510D13">
        <w:rPr>
          <w:rFonts w:ascii="Bradesco Sans" w:hAnsi="Bradesco Sans" w:cs="Calibri"/>
          <w:b/>
          <w:sz w:val="22"/>
          <w:szCs w:val="22"/>
          <w:highlight w:val="yellow"/>
        </w:rPr>
        <w:t xml:space="preserve"> e</w:t>
      </w:r>
      <w:r w:rsidRPr="00A25F33">
        <w:rPr>
          <w:rFonts w:ascii="Bradesco Sans" w:hAnsi="Bradesco Sans" w:cs="Calibri"/>
          <w:b/>
          <w:sz w:val="22"/>
          <w:szCs w:val="22"/>
          <w:highlight w:val="yellow"/>
        </w:rPr>
        <w:t xml:space="preserve"> Bradesco</w:t>
      </w:r>
      <w:r w:rsidR="00510D13">
        <w:rPr>
          <w:rFonts w:ascii="Bradesco Sans" w:hAnsi="Bradesco Sans" w:cs="Calibri"/>
          <w:b/>
          <w:sz w:val="22"/>
          <w:szCs w:val="22"/>
          <w:highlight w:val="yellow"/>
        </w:rPr>
        <w:t>,</w:t>
      </w:r>
      <w:r w:rsidRPr="00A25F33">
        <w:rPr>
          <w:rFonts w:ascii="Bradesco Sans" w:hAnsi="Bradesco Sans" w:cs="Calibri"/>
          <w:b/>
          <w:sz w:val="22"/>
          <w:szCs w:val="22"/>
          <w:highlight w:val="yellow"/>
        </w:rPr>
        <w:t xml:space="preserve">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C5B2750" w14:textId="2444CE00" w:rsidR="00510D13" w:rsidRPr="00510D13" w:rsidRDefault="00A25F3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510D13" w:rsidRPr="00510D13">
        <w:rPr>
          <w:rFonts w:ascii="Bradesco Sans" w:hAnsi="Bradesco Sans" w:cs="Calibri"/>
          <w:color w:val="000000"/>
          <w:sz w:val="22"/>
          <w:szCs w:val="22"/>
        </w:rPr>
        <w:t>Nome completo: Matheus Gomes Faria</w:t>
      </w:r>
    </w:p>
    <w:p w14:paraId="6FFFF7C9" w14:textId="2A7D9B3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058.133.117-69</w:t>
      </w:r>
    </w:p>
    <w:p w14:paraId="49D1BE0C" w14:textId="2FB7F24F"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0E74BF15" w14:textId="3ED78110"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matheus@simplificpavarini.com.br</w:t>
      </w:r>
    </w:p>
    <w:p w14:paraId="2FD3519C" w14:textId="77777777" w:rsidR="00510D13" w:rsidRPr="00510D13" w:rsidRDefault="00510D13" w:rsidP="00510D13">
      <w:pPr>
        <w:spacing w:line="276" w:lineRule="auto"/>
        <w:jc w:val="both"/>
        <w:rPr>
          <w:rFonts w:ascii="Bradesco Sans" w:hAnsi="Bradesco Sans" w:cs="Calibri"/>
          <w:color w:val="000000"/>
          <w:sz w:val="22"/>
          <w:szCs w:val="22"/>
        </w:rPr>
      </w:pPr>
    </w:p>
    <w:p w14:paraId="58EEA45D" w14:textId="221A27B4" w:rsidR="00510D13" w:rsidRPr="00510D13" w:rsidRDefault="00510D1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510D13">
        <w:rPr>
          <w:rFonts w:ascii="Bradesco Sans" w:hAnsi="Bradesco Sans" w:cs="Calibri"/>
          <w:color w:val="000000"/>
          <w:sz w:val="22"/>
          <w:szCs w:val="22"/>
        </w:rPr>
        <w:t>Nome completo: Pedro Paulo Farme d’</w:t>
      </w:r>
      <w:proofErr w:type="spellStart"/>
      <w:r w:rsidRPr="00510D13">
        <w:rPr>
          <w:rFonts w:ascii="Bradesco Sans" w:hAnsi="Bradesco Sans" w:cs="Calibri"/>
          <w:color w:val="000000"/>
          <w:sz w:val="22"/>
          <w:szCs w:val="22"/>
        </w:rPr>
        <w:t>Amoed</w:t>
      </w:r>
      <w:proofErr w:type="spellEnd"/>
      <w:r w:rsidRPr="00510D13">
        <w:rPr>
          <w:rFonts w:ascii="Bradesco Sans" w:hAnsi="Bradesco Sans" w:cs="Calibri"/>
          <w:color w:val="000000"/>
          <w:sz w:val="22"/>
          <w:szCs w:val="22"/>
        </w:rPr>
        <w:t xml:space="preserve"> Fernandes de Oliveira</w:t>
      </w:r>
    </w:p>
    <w:p w14:paraId="562463B1" w14:textId="3B0674DC"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CPF: 060.883.727-02 </w:t>
      </w:r>
    </w:p>
    <w:p w14:paraId="4D116A52" w14:textId="01BDE89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3028B0A5" w14:textId="6D902245"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pedro.oliveira@simplificpavarini.com.br</w:t>
      </w:r>
    </w:p>
    <w:p w14:paraId="240D7027" w14:textId="77777777" w:rsidR="00510D13" w:rsidRPr="00510D13" w:rsidRDefault="00510D13" w:rsidP="00510D13">
      <w:pPr>
        <w:spacing w:line="276" w:lineRule="auto"/>
        <w:jc w:val="both"/>
        <w:rPr>
          <w:rFonts w:ascii="Bradesco Sans" w:hAnsi="Bradesco Sans" w:cs="Calibri"/>
          <w:color w:val="000000"/>
          <w:sz w:val="22"/>
          <w:szCs w:val="22"/>
        </w:rPr>
      </w:pPr>
    </w:p>
    <w:p w14:paraId="32944336" w14:textId="6071FB88"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3) </w:t>
      </w:r>
      <w:r>
        <w:rPr>
          <w:rFonts w:ascii="Bradesco Sans" w:hAnsi="Bradesco Sans" w:cs="Calibri"/>
          <w:color w:val="000000"/>
          <w:sz w:val="22"/>
          <w:szCs w:val="22"/>
        </w:rPr>
        <w:tab/>
      </w:r>
      <w:r w:rsidRPr="00510D13">
        <w:rPr>
          <w:rFonts w:ascii="Bradesco Sans" w:hAnsi="Bradesco Sans" w:cs="Calibri"/>
          <w:color w:val="000000"/>
          <w:sz w:val="22"/>
          <w:szCs w:val="22"/>
        </w:rPr>
        <w:t>Nome completo: Giselle Gomes Costa Gonçalves</w:t>
      </w:r>
    </w:p>
    <w:p w14:paraId="7CE34D8C"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404.405.968-31</w:t>
      </w:r>
    </w:p>
    <w:p w14:paraId="3722F962"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30773929" w14:textId="69CCD82E" w:rsidR="0085031B" w:rsidRPr="0085031B" w:rsidRDefault="00510D13" w:rsidP="0085031B">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giselle.gomes@simplificpavarini.com.br</w:t>
      </w: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1"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AF22E"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9F3" w16cex:dateUtc="2022-03-16T18:13:00Z"/>
  <w16cex:commentExtensible w16cex:durableId="2602B9F4"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F22E" w16cid:durableId="2602B9F3"/>
  <w16cid:commentId w16cid:paraId="1935084F" w16cid:durableId="2602B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8F75" w14:textId="77777777" w:rsidR="009C03CE" w:rsidRDefault="009C03CE">
      <w:r>
        <w:separator/>
      </w:r>
    </w:p>
  </w:endnote>
  <w:endnote w:type="continuationSeparator" w:id="0">
    <w:p w14:paraId="75AEABA2" w14:textId="77777777" w:rsidR="009C03CE" w:rsidRDefault="009C03CE">
      <w:r>
        <w:continuationSeparator/>
      </w:r>
    </w:p>
  </w:endnote>
  <w:endnote w:type="continuationNotice" w:id="1">
    <w:p w14:paraId="6FC3560A" w14:textId="77777777" w:rsidR="009C03CE" w:rsidRDefault="009C0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9C03CE"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8B4E" w14:textId="77777777" w:rsidR="009C03CE" w:rsidRDefault="009C03CE">
      <w:r>
        <w:separator/>
      </w:r>
    </w:p>
  </w:footnote>
  <w:footnote w:type="continuationSeparator" w:id="0">
    <w:p w14:paraId="56DFAA6E" w14:textId="77777777" w:rsidR="009C03CE" w:rsidRDefault="009C03CE">
      <w:r>
        <w:continuationSeparator/>
      </w:r>
    </w:p>
  </w:footnote>
  <w:footnote w:type="continuationNotice" w:id="1">
    <w:p w14:paraId="7D982DBC" w14:textId="77777777" w:rsidR="009C03CE" w:rsidRDefault="009C0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3B0" w14:textId="362553BA" w:rsidR="00CD3BC2" w:rsidRPr="00CD3BC2" w:rsidRDefault="00CD3BC2" w:rsidP="00CD3BC2">
    <w:pPr>
      <w:pStyle w:val="Cabealho"/>
      <w:jc w:val="right"/>
      <w:rPr>
        <w:rFonts w:ascii="Verdana" w:hAnsi="Verdan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875195235">
    <w:abstractNumId w:val="5"/>
  </w:num>
  <w:num w:numId="2" w16cid:durableId="1891111979">
    <w:abstractNumId w:val="3"/>
  </w:num>
  <w:num w:numId="3" w16cid:durableId="2122525587">
    <w:abstractNumId w:val="10"/>
  </w:num>
  <w:num w:numId="4" w16cid:durableId="454296565">
    <w:abstractNumId w:val="12"/>
  </w:num>
  <w:num w:numId="5" w16cid:durableId="679893449">
    <w:abstractNumId w:val="2"/>
  </w:num>
  <w:num w:numId="6" w16cid:durableId="253638144">
    <w:abstractNumId w:val="9"/>
  </w:num>
  <w:num w:numId="7" w16cid:durableId="1306665123">
    <w:abstractNumId w:val="8"/>
  </w:num>
  <w:num w:numId="8" w16cid:durableId="46607849">
    <w:abstractNumId w:val="0"/>
  </w:num>
  <w:num w:numId="9" w16cid:durableId="2094813945">
    <w:abstractNumId w:val="7"/>
  </w:num>
  <w:num w:numId="10" w16cid:durableId="2092120142">
    <w:abstractNumId w:val="6"/>
  </w:num>
  <w:num w:numId="11" w16cid:durableId="475150159">
    <w:abstractNumId w:val="11"/>
  </w:num>
  <w:num w:numId="12" w16cid:durableId="542447457">
    <w:abstractNumId w:val="4"/>
  </w:num>
  <w:num w:numId="13" w16cid:durableId="1436250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1EA"/>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0D13"/>
    <w:rsid w:val="00512DEB"/>
    <w:rsid w:val="00516964"/>
    <w:rsid w:val="00521639"/>
    <w:rsid w:val="00521914"/>
    <w:rsid w:val="005279F5"/>
    <w:rsid w:val="00537EB5"/>
    <w:rsid w:val="00544BC1"/>
    <w:rsid w:val="00556396"/>
    <w:rsid w:val="00556897"/>
    <w:rsid w:val="00563318"/>
    <w:rsid w:val="005659E5"/>
    <w:rsid w:val="00566FA5"/>
    <w:rsid w:val="00570016"/>
    <w:rsid w:val="00595854"/>
    <w:rsid w:val="005A169B"/>
    <w:rsid w:val="005A1B88"/>
    <w:rsid w:val="005A35CD"/>
    <w:rsid w:val="005A77C8"/>
    <w:rsid w:val="005B00C8"/>
    <w:rsid w:val="005B3EF6"/>
    <w:rsid w:val="005C0019"/>
    <w:rsid w:val="005D1BFC"/>
    <w:rsid w:val="005D7927"/>
    <w:rsid w:val="005F0258"/>
    <w:rsid w:val="005F2F95"/>
    <w:rsid w:val="005F445E"/>
    <w:rsid w:val="006029E0"/>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0743"/>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936F0"/>
    <w:rsid w:val="008A42A9"/>
    <w:rsid w:val="008A571B"/>
    <w:rsid w:val="008B3D4A"/>
    <w:rsid w:val="008C4B4C"/>
    <w:rsid w:val="008C707B"/>
    <w:rsid w:val="008C764E"/>
    <w:rsid w:val="008D56F3"/>
    <w:rsid w:val="008F4242"/>
    <w:rsid w:val="008F52E6"/>
    <w:rsid w:val="0090133F"/>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03CE"/>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2A6D"/>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D51F4"/>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51335"/>
    <w:rsid w:val="00D56DC7"/>
    <w:rsid w:val="00D6424C"/>
    <w:rsid w:val="00D66FA2"/>
    <w:rsid w:val="00D6793F"/>
    <w:rsid w:val="00D755F0"/>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0A42"/>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637"/>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1759977661">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2000</Words>
  <Characters>11825</Characters>
  <Application>Microsoft Office Word</Application>
  <DocSecurity>0</DocSecurity>
  <Lines>328</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Caio Colognesi | Machado Meyer Advogados</cp:lastModifiedBy>
  <cp:revision>1</cp:revision>
  <cp:lastPrinted>2022-03-08T16:34:00Z</cp:lastPrinted>
  <dcterms:created xsi:type="dcterms:W3CDTF">2022-04-18T19:48:00Z</dcterms:created>
  <dcterms:modified xsi:type="dcterms:W3CDTF">2022-04-18T22:58:00Z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