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2979F1">
      <w:pPr>
        <w:pStyle w:val="ListaPrembulo"/>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2979F1">
      <w:pPr>
        <w:pStyle w:val="ListaPrembulo"/>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rsidP="002979F1">
      <w:pPr>
        <w:pStyle w:val="ListaPrembulo"/>
        <w:numPr>
          <w:ilvl w:val="0"/>
          <w:numId w:val="0"/>
        </w:numPr>
        <w:ind w:left="757"/>
      </w:pPr>
      <w:r w:rsidRPr="00A2620F">
        <w:t>E, como interveniente anuente,</w:t>
      </w:r>
    </w:p>
    <w:p w14:paraId="3390F784" w14:textId="77777777" w:rsidR="002979F1" w:rsidRDefault="002979F1" w:rsidP="002979F1">
      <w:pPr>
        <w:pStyle w:val="ListaPrembulo"/>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2979F1">
      <w:pPr>
        <w:pStyle w:val="aMMconsiderandos"/>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0510B1FA" w:rsidR="002979F1" w:rsidRDefault="002979F1" w:rsidP="002979F1">
      <w:pPr>
        <w:pStyle w:val="aMMconsiderandos"/>
      </w:pPr>
      <w:r>
        <w:t xml:space="preserve">Nos termos do </w:t>
      </w:r>
      <w:r w:rsidRPr="00E11D49">
        <w:t xml:space="preserve">Instrumento Particular de Escritura de Emissão da 1ª (Primeira) Emissão Pública de Debêntures Simples, Não Conversíveis em Ações, em Série Única, da Espécie com Garantia Real, com Garantia Adicional Fidejussória, para </w:t>
      </w:r>
      <w:r w:rsidRPr="00E11D49">
        <w:lastRenderedPageBreak/>
        <w:t>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6EAE98E6" w14:textId="6C886F6D" w:rsidR="002979F1" w:rsidRDefault="002979F1" w:rsidP="002979F1">
      <w:pPr>
        <w:pStyle w:val="aMMconsiderandos"/>
      </w:pPr>
      <w:r>
        <w:t xml:space="preserve">A fim de garantir o cumprimento fiel, integral e tempestivo das obrigações assumidas pela  Companhia no âmbito da Primeira Emissão, a Acionista concordou em constituir alienação fiduciária sobre as ações de emissão da Companhia e sobre os direitos à elas relacionados, por meio do </w:t>
      </w:r>
      <w:r w:rsidRPr="002979F1">
        <w:rPr>
          <w:i/>
          <w:iCs/>
        </w:rPr>
        <w:t>Contrato de Instrumento Particular de Contrato de Alienação Fiduciária de Ações e Outras Avenças</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Companha no âmbito da Primeira Emissão (“</w:t>
      </w:r>
      <w:r w:rsidRPr="002979F1">
        <w:rPr>
          <w:u w:val="single"/>
        </w:rPr>
        <w:t>Garantia Existente</w:t>
      </w:r>
      <w:r w:rsidRPr="002979F1">
        <w:t>”).</w:t>
      </w:r>
    </w:p>
    <w:p w14:paraId="3B2CAFE8" w14:textId="1B64EAAB" w:rsidR="002979F1" w:rsidRDefault="002979F1" w:rsidP="002979F1">
      <w:pPr>
        <w:pStyle w:val="aMMconsiderandos"/>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796BB87D" w:rsidR="002979F1" w:rsidRDefault="002979F1" w:rsidP="002979F1">
      <w:pPr>
        <w:pStyle w:val="aMMconsiderandos"/>
        <w:rPr>
          <w:rFonts w:eastAsia="Batang"/>
        </w:rPr>
      </w:pPr>
      <w:r>
        <w:t>Em [</w:t>
      </w:r>
      <w:r w:rsidRPr="003D5B1E">
        <w:rPr>
          <w:highlight w:val="yellow"/>
        </w:rPr>
        <w:t>=</w:t>
      </w:r>
      <w:r>
        <w:t>]</w:t>
      </w:r>
      <w:r w:rsidRPr="00A2620F">
        <w:rPr>
          <w:rFonts w:eastAsia="Batang"/>
        </w:rPr>
        <w:t xml:space="preserve">, foi celebrado o “Instrumento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2979F1">
      <w:pPr>
        <w:pStyle w:val="aMMconsiderandos"/>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77777777" w:rsidR="002979F1" w:rsidRDefault="002979F1" w:rsidP="002979F1">
      <w:pPr>
        <w:pStyle w:val="aMMconsiderandos"/>
      </w:pPr>
      <w:r>
        <w:t>Partes dos recursos líquidos captados através da Segunda Emissão, serão destinados para pagamento da integralidade das as obrigações assumidas pela Companha no âmbito da Primeira Emissão, de modo que a Garantia Existente deixará de produzir efeitos;</w:t>
      </w:r>
    </w:p>
    <w:p w14:paraId="0454D906" w14:textId="3BD68038" w:rsidR="002979F1" w:rsidRPr="002979F1" w:rsidRDefault="002979F1" w:rsidP="002979F1">
      <w:pPr>
        <w:pStyle w:val="aMMconsiderandos"/>
      </w:pPr>
      <w:r w:rsidRPr="00A2620F">
        <w:lastRenderedPageBreak/>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01355" w:rsidRPr="00D01355">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77777777" w:rsidR="002979F1" w:rsidRDefault="002979F1" w:rsidP="002979F1">
      <w:pPr>
        <w:pStyle w:val="aMMconsiderandos"/>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p>
    <w:p w14:paraId="68579567" w14:textId="7EEC6A9A" w:rsidR="002979F1" w:rsidRDefault="002979F1" w:rsidP="002979F1">
      <w:pPr>
        <w:pStyle w:val="aMMconsiderandos"/>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 (“</w:t>
      </w:r>
      <w:r w:rsidRPr="00751DD5">
        <w:rPr>
          <w:u w:val="single"/>
        </w:rPr>
        <w:t>Condição Suspensiva</w:t>
      </w:r>
      <w:r>
        <w:t>”);</w:t>
      </w:r>
    </w:p>
    <w:p w14:paraId="030B9053" w14:textId="77777777" w:rsidR="002979F1" w:rsidRDefault="002979F1" w:rsidP="002979F1">
      <w:pPr>
        <w:pStyle w:val="aMMconsiderandos"/>
      </w:pPr>
      <w:r>
        <w:t>Após a satisfação da Condição Suspensiva, a garantia que se propõe constituir por meio deste Contrato passará a ser plenamente válida, eficaz e exequível, independentemente de qualquer aditamento a este Contrato.</w:t>
      </w:r>
    </w:p>
    <w:p w14:paraId="6DAC75F3" w14:textId="13ECC63A" w:rsidR="002979F1" w:rsidRDefault="002979F1" w:rsidP="002979F1">
      <w:pPr>
        <w:pStyle w:val="aMMconsiderandos"/>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lastRenderedPageBreak/>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4EC283CA"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01355" w:rsidRPr="00D01355">
        <w:rPr>
          <w:b/>
          <w:bCs/>
          <w:u w:val="single"/>
        </w:rPr>
        <w:t>ANEXO</w:t>
      </w:r>
      <w:r w:rsidR="00D01355" w:rsidRPr="00D01355">
        <w:rPr>
          <w:u w:val="single"/>
        </w:rPr>
        <w:t xml:space="preserve"> </w:t>
      </w:r>
      <w:r w:rsidR="00D01355" w:rsidRPr="00D01355">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(incluindo quaisquer depósitos, títulos ou valores mobiliários e o direito de novas ações representativas do capital social da Companhia, bônus de subscrição, debêntures conversíveis, partes beneficiárias, certificados, títulos ou outros </w:t>
      </w:r>
      <w:r w:rsidRPr="00A2620F">
        <w:lastRenderedPageBreak/>
        <w:t>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0431CAD9" w14:textId="42D3E7D8" w:rsidR="002979F1" w:rsidRDefault="002979F1" w:rsidP="003D5B1E">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3D5B1E">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lastRenderedPageBreak/>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r w:rsidRPr="00716A33">
        <w:t xml:space="preserve"> </w:t>
      </w:r>
    </w:p>
    <w:p w14:paraId="0A9DE4E1" w14:textId="77777777" w:rsidR="00497DF6" w:rsidRDefault="00497DF6" w:rsidP="003D5B1E">
      <w:pPr>
        <w:pStyle w:val="Ttulo1"/>
      </w:pPr>
      <w:r>
        <w:t>CONDIÇÃO SUSPENSIVA</w:t>
      </w:r>
    </w:p>
    <w:p w14:paraId="66624A3A" w14:textId="0B48F4ED"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 à integral liquidação das obrigações assumidas pela Companhia no âmbito da Primeira Emissão, observado que a Acionista e a Companhia obrigam-se a, tão logo tenham sido liquidadas as obrigações da Primeira Emissão, providenciar o cancelamento da Garantia Existente, exercendo todos os atos necessários para tanto, perante cartórios de registro de títulos e documentos</w:t>
      </w:r>
      <w:r w:rsidR="009D7F78">
        <w:t xml:space="preserve"> competentes</w:t>
      </w:r>
      <w:r>
        <w:t>, bem como perante os Livros de Registro da Companhia</w:t>
      </w:r>
      <w:r w:rsidR="00B61978">
        <w:t>, mediante a competente anotação da liberação da Garantia Existente o prazo de 2 (dois) Dias Úteis contados do recebimento do termo de liberação ou termo de quitação.</w:t>
      </w:r>
    </w:p>
    <w:p w14:paraId="63C67FA4" w14:textId="77777777" w:rsidR="00B61978" w:rsidRPr="00105834" w:rsidRDefault="00B61978" w:rsidP="00105834">
      <w:pPr>
        <w:pStyle w:val="3MMSecurity"/>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08E8E47E"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 e 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 xml:space="preserve">e reconhecem que a propriedade fiduciária, </w:t>
      </w:r>
      <w:r>
        <w:rPr>
          <w:lang w:val="pt-BR"/>
        </w:rPr>
        <w:lastRenderedPageBreak/>
        <w:t>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39B842F0"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xml:space="preserve">)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Pr="00A2620F">
        <w:rPr>
          <w:color w:val="000000"/>
        </w:rPr>
        <w:t xml:space="preserve">Todos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248B50A9" w14:textId="538F524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 que venham a ser retidos ou deduzidos</w:t>
      </w:r>
      <w:r w:rsidR="00103ADA">
        <w:rPr>
          <w:lang w:val="pt-BR"/>
        </w:rPr>
        <w:t xml:space="preserve"> em razão da excussão da Garantia</w:t>
      </w:r>
      <w:r w:rsidRPr="00FC4A4D">
        <w:rPr>
          <w:lang w:val="pt-BR"/>
        </w:rPr>
        <w:t xml:space="preserve">, seja </w:t>
      </w:r>
      <w:r w:rsidRPr="00FC4A4D">
        <w:rPr>
          <w:lang w:val="pt-BR"/>
        </w:rPr>
        <w:lastRenderedPageBreak/>
        <w:t xml:space="preserve">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Caso o montante decorrente da excussão das garantias aqui previstas, líquido de quaisquer </w:t>
      </w:r>
      <w:r w:rsidR="00103ADA">
        <w:rPr>
          <w:lang w:val="pt-BR"/>
        </w:rPr>
        <w:t xml:space="preserve">despesas, custos, taxas e tributos que venham a ser retidos ou deduzidos em razão da excussão da Garantia </w:t>
      </w:r>
      <w:r w:rsidRPr="00FC4A4D">
        <w:rPr>
          <w:lang w:val="pt-BR"/>
        </w:rPr>
        <w:t>que venham a ser retidos ou deduzidos, seja inferior ao necessário para a liquidação integral das</w:t>
      </w:r>
      <w:r w:rsidRPr="00FC4A4D">
        <w:rPr>
          <w:color w:val="000000"/>
          <w:lang w:val="pt-BR"/>
        </w:rPr>
        <w:t xml:space="preserve"> Obrigações Garantidas, a Acionista permanecerá responsável pel</w:t>
      </w:r>
      <w:r w:rsidRPr="00FC4A4D">
        <w:rPr>
          <w:lang w:val="pt-BR"/>
        </w:rPr>
        <w:t>a diferença.</w:t>
      </w:r>
    </w:p>
    <w:p w14:paraId="5DC65BF6" w14:textId="6CECB538"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520931">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70D2C242" w:rsidR="002979F1" w:rsidRPr="00A2620F" w:rsidRDefault="002979F1" w:rsidP="003D5B1E">
      <w:pPr>
        <w:pStyle w:val="2MMSecurity"/>
      </w:pPr>
      <w:bookmarkStart w:id="20" w:name="_Ref90163683"/>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 xml:space="preserve">irrevogável, nos termos do artigo 684 </w:t>
      </w:r>
      <w:r w:rsidR="00103ADA">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01355" w:rsidRPr="00D01355">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cessão fiduciária, incluindo</w:t>
      </w:r>
      <w:r w:rsidR="00103ADA">
        <w:rPr>
          <w:color w:val="000000"/>
        </w:rPr>
        <w:t>, sem limitação</w:t>
      </w:r>
      <w:r w:rsidRPr="00A2620F">
        <w:rPr>
          <w:color w:val="000000"/>
        </w:rPr>
        <w:t>: (i) exercer todos os atos necessários à conservação e defesa dos Bens Alienados Fiduciariamente; (</w:t>
      </w:r>
      <w:proofErr w:type="spellStart"/>
      <w:r w:rsidRPr="00A2620F">
        <w:rPr>
          <w:color w:val="000000"/>
        </w:rPr>
        <w:t>ii</w:t>
      </w:r>
      <w:proofErr w:type="spellEnd"/>
      <w:r w:rsidRPr="00A2620F">
        <w:rPr>
          <w:color w:val="000000"/>
        </w:rPr>
        <w:t>) 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3D5B1E">
        <w:t>2.3</w:t>
      </w:r>
      <w:r w:rsidR="003D5B1E">
        <w:fldChar w:fldCharType="end"/>
      </w:r>
      <w:r w:rsidRPr="00A2620F">
        <w:t>; e (</w:t>
      </w:r>
      <w:proofErr w:type="spellStart"/>
      <w:r w:rsidRPr="00A2620F">
        <w:t>iii</w:t>
      </w:r>
      <w:proofErr w:type="spellEnd"/>
      <w:r w:rsidRPr="00A2620F">
        <w:t>) em caso de declaração</w:t>
      </w:r>
      <w:r w:rsidRPr="00A2620F">
        <w:rPr>
          <w:color w:val="000000"/>
        </w:rPr>
        <w:t xml:space="preserve"> de vencimento antecipado </w:t>
      </w:r>
      <w:r w:rsidRPr="00A2620F">
        <w:t>das Debêntures, na forma da Escritura de Emissão,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e 685</w:t>
      </w:r>
      <w:r w:rsidRPr="00A2620F">
        <w:t xml:space="preserve"> do Código Civil. Tal procuração será válida e eficaz pelo prazo de vigência deste Contrato ou enquanto subsistirem as Obrigações Garantidas</w:t>
      </w:r>
      <w:bookmarkEnd w:id="20"/>
    </w:p>
    <w:p w14:paraId="027D7A68" w14:textId="77777777" w:rsidR="002979F1" w:rsidRPr="00A2620F" w:rsidRDefault="002979F1" w:rsidP="003D5B1E">
      <w:pPr>
        <w:pStyle w:val="2MMSecurity"/>
      </w:pPr>
      <w:r w:rsidRPr="00A2620F">
        <w:lastRenderedPageBreak/>
        <w:t>Na hipótese de excussão da presente garantia, a Acionista renuncia desde já a seus direitos de sub-rogação decorrentes de eventual excussão ou execução desta garantia e não terá qualquer direito de reaver da Companhia ou do comprador dos Bens Alienados Fiduciariamente qualquer valor pago das obrigações garantidas com os valores decorrentes da alienação e transferência dos Bens Alienados Fiduciariamente, não se sub-rogando, portanto, nos direitos de crédito correspondentes às obrigações garantidas com relação à garantia aqui prevista. A Acionista reconhece, portanto, que não terá qualquer pretensão ou ação contra a Companhia ou contra os compradores dos Bens Alienados Fiduciariamente acerca da execução destes.</w:t>
      </w:r>
    </w:p>
    <w:p w14:paraId="47174A24" w14:textId="3AE6CF6C"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de voto atribuídos às ações alienadas fiduciariamente,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7"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1" w:name="_Ref89821736"/>
      <w:bookmarkStart w:id="22" w:name="_Ref449732856"/>
      <w:bookmarkEnd w:id="4"/>
      <w:bookmarkEnd w:id="5"/>
      <w:r w:rsidRPr="00A2620F">
        <w:t>OBRIGAÇÕES DA ACIONISTA</w:t>
      </w:r>
      <w:bookmarkEnd w:id="21"/>
    </w:p>
    <w:p w14:paraId="7B59E78F" w14:textId="77777777" w:rsidR="002979F1" w:rsidRPr="00A2620F" w:rsidRDefault="002979F1" w:rsidP="003D5B1E">
      <w:pPr>
        <w:pStyle w:val="2MMSecurity"/>
      </w:pPr>
      <w:bookmarkStart w:id="23" w:name="_DV_M33"/>
      <w:bookmarkStart w:id="24" w:name="_DV_M34"/>
      <w:bookmarkStart w:id="25" w:name="_DV_M35"/>
      <w:bookmarkStart w:id="26" w:name="_DV_M36"/>
      <w:bookmarkEnd w:id="23"/>
      <w:bookmarkEnd w:id="24"/>
      <w:bookmarkEnd w:id="25"/>
      <w:bookmarkEnd w:id="26"/>
      <w:r w:rsidRPr="00A2620F">
        <w:t xml:space="preserve">A Acionista se obriga a: </w:t>
      </w:r>
    </w:p>
    <w:p w14:paraId="0B3F77A1" w14:textId="1C1D8F51" w:rsidR="00103ADA" w:rsidRPr="00A2620F" w:rsidRDefault="002979F1" w:rsidP="00D80596">
      <w:pPr>
        <w:pStyle w:val="aMMSecurity"/>
      </w:pPr>
      <w:bookmarkStart w:id="27" w:name="_DV_M37"/>
      <w:bookmarkEnd w:id="27"/>
      <w:r w:rsidRPr="00A2620F">
        <w:t>não ceder, transferir, vender ou gravar com ônus 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exceto se previamente autorizado pelo</w:t>
      </w:r>
      <w:r>
        <w:t xml:space="preserve">s </w:t>
      </w:r>
      <w:r w:rsidRPr="00E11D49">
        <w:t xml:space="preserve">Debenturistas reunidos em Assembleia Geral de </w:t>
      </w:r>
      <w:r w:rsidRPr="00E11D49">
        <w:lastRenderedPageBreak/>
        <w:t>Debenturistas especialmente convocada, representados pelo</w:t>
      </w:r>
      <w:r>
        <w:t xml:space="preserve"> </w:t>
      </w:r>
      <w:r w:rsidRPr="00A2620F">
        <w:t xml:space="preserve">Agente Fiduciário;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28" w:name="_DV_M38"/>
      <w:bookmarkEnd w:id="28"/>
    </w:p>
    <w:p w14:paraId="7A751FF5" w14:textId="77777777" w:rsidR="002979F1" w:rsidRPr="00A2620F" w:rsidRDefault="002979F1" w:rsidP="003D5B1E">
      <w:pPr>
        <w:pStyle w:val="aMMSecurity"/>
      </w:pPr>
      <w:r w:rsidRPr="00A2620F">
        <w:t>cumprir todos os passos e formalidades para aperfeiçoamento da presente garantida sobre as Ações Alienadas Fiduciariamente e os Direitos das Ações Cedidos Fiduciariamente;</w:t>
      </w:r>
    </w:p>
    <w:p w14:paraId="1D23899F" w14:textId="0DAF2753"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3D5B1E">
        <w:t>9</w:t>
      </w:r>
      <w:r w:rsidR="003D5B1E">
        <w:fldChar w:fldCharType="end"/>
      </w:r>
      <w:r w:rsidRPr="00A2620F">
        <w:t xml:space="preserve"> abaixo;</w:t>
      </w:r>
    </w:p>
    <w:p w14:paraId="3B92623E" w14:textId="350FE1E1" w:rsidR="002979F1" w:rsidRPr="00A2620F" w:rsidRDefault="00D80596" w:rsidP="003D5B1E">
      <w:pPr>
        <w:pStyle w:val="aMMSecurity"/>
      </w:pPr>
      <w:bookmarkStart w:id="29" w:name="_DV_M39"/>
      <w:bookmarkEnd w:id="29"/>
      <w:r>
        <w:t>obter</w:t>
      </w:r>
      <w:r w:rsidR="002979F1" w:rsidRPr="00A2620F">
        <w:t xml:space="preserve"> </w:t>
      </w:r>
      <w:r w:rsidRPr="00512E66">
        <w:t xml:space="preserve">e manter válidas, eficazes, em perfeita ordem e em pleno vigor todas as autorizações, incluindo as societárias, regulatórias e governamentais, exigidas (i) para a validade ou exequibilidade da </w:t>
      </w:r>
      <w:r>
        <w:t>g</w:t>
      </w:r>
      <w:r w:rsidRPr="00512E66">
        <w:t>arantia</w:t>
      </w:r>
      <w:r>
        <w:t xml:space="preserve"> constituída neste Contrato</w:t>
      </w:r>
      <w:r w:rsidRPr="00512E66">
        <w:t>; (</w:t>
      </w:r>
      <w:proofErr w:type="spellStart"/>
      <w:r w:rsidRPr="00512E66">
        <w:t>ii</w:t>
      </w:r>
      <w:proofErr w:type="spellEnd"/>
      <w:r w:rsidRPr="00512E66">
        <w:t>) para o fiel, pontual e integral cumprimento das obrigações decorrentes deste Contrato; (</w:t>
      </w:r>
      <w:proofErr w:type="spellStart"/>
      <w:r w:rsidRPr="00512E66">
        <w:t>iii</w:t>
      </w:r>
      <w:proofErr w:type="spellEnd"/>
      <w:r w:rsidRPr="00512E66">
        <w:t>) à assinatura deste Contrato, e ao cumprimento de todas as obrigações aqui previstas</w:t>
      </w:r>
      <w:r w:rsidR="002979F1" w:rsidRPr="00A2620F">
        <w:t>;</w:t>
      </w:r>
    </w:p>
    <w:p w14:paraId="2EAD6B27" w14:textId="028F0A3D" w:rsidR="002979F1" w:rsidRDefault="002979F1" w:rsidP="003D5B1E">
      <w:pPr>
        <w:pStyle w:val="aMMSecurity"/>
      </w:pPr>
      <w:bookmarkStart w:id="30" w:name="_DV_M40"/>
      <w:bookmarkEnd w:id="30"/>
      <w:r w:rsidRPr="00A2620F">
        <w:t>manter a garantia ora constituída sempre existente, válida, eficaz, e em perfeita ordem e em pleno vigor, sem qualquer restrição ou condição</w:t>
      </w:r>
      <w:bookmarkStart w:id="31" w:name="_DV_M56"/>
      <w:bookmarkStart w:id="32" w:name="_DV_M57"/>
      <w:bookmarkStart w:id="33" w:name="_DV_M58"/>
      <w:bookmarkStart w:id="34" w:name="_DV_M59"/>
      <w:bookmarkEnd w:id="31"/>
      <w:bookmarkEnd w:id="32"/>
      <w:bookmarkEnd w:id="33"/>
      <w:bookmarkEnd w:id="34"/>
      <w:r w:rsidRPr="00A2620F">
        <w:t>;</w:t>
      </w:r>
    </w:p>
    <w:p w14:paraId="44887EE2" w14:textId="4C9B2D60" w:rsidR="00D80596" w:rsidRPr="00A2620F" w:rsidRDefault="00D80596" w:rsidP="003D5B1E">
      <w:pPr>
        <w:pStyle w:val="aMMSecurity"/>
      </w:pPr>
      <w:r>
        <w:t xml:space="preserve">manter </w:t>
      </w:r>
      <w:r w:rsidRPr="00D80596">
        <w:t>os Bens Alienados Fiduciariamente 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665AA2">
        <w:t xml:space="preserve"> exceto pelos ônus existentes no âmbito da Primeira Emissão,</w:t>
      </w:r>
      <w:r w:rsidRPr="00D80596">
        <w:t xml:space="preserve"> devendo comunicar imediatamente ao Agente Fiduciário a ocorrência de qualquer dos eventos mencionados neste item em relação aos Bens Alienados Fiduciariamente</w:t>
      </w:r>
      <w:r>
        <w:t>;</w:t>
      </w:r>
    </w:p>
    <w:p w14:paraId="385AE332" w14:textId="015CA162"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t xml:space="preserve">, </w:t>
      </w:r>
      <w:r w:rsidR="00EA0A7D">
        <w:t xml:space="preserve">incluindo </w:t>
      </w:r>
      <w:r w:rsidR="00665AA2">
        <w:t xml:space="preserve">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w:t>
      </w:r>
      <w:r w:rsidR="00665AA2" w:rsidRPr="00512E66">
        <w:t>(</w:t>
      </w:r>
      <w:r w:rsidR="00665AA2">
        <w:t>i</w:t>
      </w:r>
      <w:r w:rsidR="00665AA2" w:rsidRPr="00512E66">
        <w:t>) referentes ou provenientes de qualquer atraso no pagamento dos tributos e demais encargos incidentes ou devidos relativamente a qualquer das Ações e Direitos; (</w:t>
      </w:r>
      <w:proofErr w:type="spellStart"/>
      <w:r w:rsidR="00665AA2">
        <w:t>ii</w:t>
      </w:r>
      <w:proofErr w:type="spellEnd"/>
      <w:r w:rsidR="00665AA2" w:rsidRPr="00512E66">
        <w:t xml:space="preserve">) referentes ou resultantes de qualquer violação das declarações </w:t>
      </w:r>
      <w:r w:rsidR="00665AA2" w:rsidRPr="00512E66">
        <w:lastRenderedPageBreak/>
        <w:t>dadas ou obrigações assumidas neste Contrato e/ou (</w:t>
      </w:r>
      <w:proofErr w:type="spellStart"/>
      <w:r w:rsidR="00665AA2">
        <w:t>iii</w:t>
      </w:r>
      <w:proofErr w:type="spellEnd"/>
      <w:r w:rsidR="00665AA2" w:rsidRPr="00512E66">
        <w:t xml:space="preserve">) referentes à formalização e ao aperfeiçoamento da </w:t>
      </w:r>
      <w:r w:rsidR="00665AA2">
        <w:t>garantia</w:t>
      </w:r>
      <w:r w:rsidR="00665AA2" w:rsidRPr="00512E66">
        <w:t>, de acordo com este Contrato</w:t>
      </w:r>
      <w:r w:rsidRPr="00A2620F">
        <w:t>;</w:t>
      </w:r>
    </w:p>
    <w:p w14:paraId="2B09FB55" w14:textId="64BF41CE" w:rsidR="002979F1" w:rsidRDefault="002979F1" w:rsidP="003D5B1E">
      <w:pPr>
        <w:pStyle w:val="aMMSecurity"/>
      </w:pPr>
      <w:r w:rsidRPr="00A2620F">
        <w:t>fazer com que a Companhia não distribua dividendos</w:t>
      </w:r>
      <w:r w:rsidRPr="00A2620F">
        <w:rPr>
          <w:rFonts w:eastAsia="Arial Unicode MS"/>
          <w:bCs/>
          <w:w w:val="0"/>
        </w:rPr>
        <w:t>, juros sobre capital próprio e todos os demais valores de qualquer outra forma distribuídos pela Emissora</w:t>
      </w:r>
      <w:r w:rsidRPr="00A2620F">
        <w:t xml:space="preserve"> enquanto o Valor Total das Debêntures não tiver sido integralmente pago aos Debenturistas</w:t>
      </w:r>
      <w:r>
        <w:t>;</w:t>
      </w:r>
    </w:p>
    <w:p w14:paraId="184C559A" w14:textId="259DF784" w:rsidR="00665AA2" w:rsidRDefault="00665AA2" w:rsidP="003D5B1E">
      <w:pPr>
        <w:pStyle w:val="aMMSecurity"/>
      </w:pPr>
      <w:r>
        <w:t xml:space="preserve">pagar </w:t>
      </w:r>
      <w:r w:rsidRPr="00665AA2">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t>;</w:t>
      </w:r>
    </w:p>
    <w:p w14:paraId="3C64FE6B" w14:textId="4780C05C"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t>;</w:t>
      </w:r>
    </w:p>
    <w:p w14:paraId="749824E4" w14:textId="77777777" w:rsidR="008A0212" w:rsidRDefault="008A0212" w:rsidP="003D5B1E">
      <w:pPr>
        <w:pStyle w:val="aMMSecurity"/>
      </w:pPr>
      <w:r>
        <w:t>cumprir integralmente e respeitar o disposto na Escritura de Emissão e nos Contratos de Garantia, conforme aplicável;</w:t>
      </w:r>
    </w:p>
    <w:p w14:paraId="69888473" w14:textId="7759B393" w:rsidR="00630C81" w:rsidRDefault="00630C81" w:rsidP="00520931">
      <w:pPr>
        <w:pStyle w:val="aMMSecurity"/>
      </w:pPr>
      <w:r>
        <w:t xml:space="preserve">comunicar </w:t>
      </w:r>
      <w:r w:rsidRPr="00630C81">
        <w:t>ao Agente Fiduciário, no prazo máximo de 2 (dois) Dias Úteis do momento em que tenha tomado conhecimento, qualquer ato o fato que, ao seu critério, possa depreciar ou ameaçar a segurança, liquidez e certeza dos Bens Alienados Fiduciariamente</w:t>
      </w:r>
      <w:r>
        <w:t>;</w:t>
      </w:r>
    </w:p>
    <w:p w14:paraId="474B0FA7" w14:textId="5B3702B7" w:rsidR="00630C81" w:rsidRDefault="00630C81" w:rsidP="003D5B1E">
      <w:pPr>
        <w:pStyle w:val="aMMSecurity"/>
      </w:pPr>
      <w:r>
        <w:t xml:space="preserve">não praticar </w:t>
      </w:r>
      <w:r w:rsidRPr="00630C81">
        <w:t>qualquer ato ou firmar qualquer acordo ou contrato, ou tomar qualquer medida que possa impedir ou prejudicar os direitos dos Debenturistas e/ou do Agente Fiduciário previstos neste Contrato e na Escritura de Emissão</w:t>
      </w:r>
      <w:r>
        <w:t>;</w:t>
      </w:r>
    </w:p>
    <w:p w14:paraId="75A6B505" w14:textId="77285BE4" w:rsidR="002979F1" w:rsidRDefault="002979F1" w:rsidP="003D5B1E">
      <w:pPr>
        <w:pStyle w:val="aMMSecurity"/>
      </w:pPr>
      <w:r w:rsidRPr="00F71DA0">
        <w:t xml:space="preserve">cumprir todas as instruções emanadas pelo Agente Fiduciário necessárias para a excussão da presente garantia, prestar toda assistência e celebrar quaisquer documentos adicionais que venham a ser solicitados pelo Agente Fiduciário que sejam para a excussão </w:t>
      </w:r>
      <w:r>
        <w:t>dos Bens Alienados Fiduciariamente;</w:t>
      </w:r>
    </w:p>
    <w:p w14:paraId="625A2E0A" w14:textId="2C888CA9" w:rsidR="00630C81" w:rsidRDefault="00630C81" w:rsidP="003D5B1E">
      <w:pPr>
        <w:pStyle w:val="aMMSecurity"/>
      </w:pPr>
      <w:r>
        <w:t xml:space="preserve">cumprir </w:t>
      </w:r>
      <w:r w:rsidRPr="00512E66">
        <w:t>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t>;</w:t>
      </w:r>
    </w:p>
    <w:p w14:paraId="74207BE1" w14:textId="5CDDD859" w:rsidR="002979F1" w:rsidRDefault="002979F1" w:rsidP="003D5B1E">
      <w:pPr>
        <w:pStyle w:val="aMMSecurity"/>
      </w:pPr>
      <w:r>
        <w:t xml:space="preserve">fornecer </w:t>
      </w:r>
      <w:r w:rsidRPr="00F71DA0">
        <w:t xml:space="preserve">ao Agente Fiduciário, mediante solicitação </w:t>
      </w:r>
      <w:r>
        <w:t>deste</w:t>
      </w:r>
      <w:r w:rsidRPr="00F71DA0">
        <w:t xml:space="preserve">, todas as informações e comprovações que este possa razoavelmente solicitar, </w:t>
      </w:r>
      <w:r w:rsidRPr="00F71DA0">
        <w:lastRenderedPageBreak/>
        <w:t xml:space="preserve">envolvendo </w:t>
      </w:r>
      <w:r>
        <w:t>os Bens</w:t>
      </w:r>
      <w:r w:rsidRPr="00F71DA0">
        <w:t xml:space="preserve"> Alienad</w:t>
      </w:r>
      <w:r>
        <w:t>o</w:t>
      </w:r>
      <w:r w:rsidRPr="00F71DA0">
        <w:t>s Fiduciariamente, inclusive para permitir que o Agente Fiduciário (diretamente ou por meio de qualquer de seus respectivos agentes, sucessores ou cessionários) execute as disposições do presente Contrato</w:t>
      </w:r>
      <w:r>
        <w:t>;</w:t>
      </w:r>
      <w:r w:rsidR="00630C81">
        <w:t xml:space="preserve"> e</w:t>
      </w:r>
    </w:p>
    <w:p w14:paraId="3ABE0CC3" w14:textId="6E4A98FD" w:rsidR="008B3527" w:rsidRDefault="00665AA2" w:rsidP="00D963B1">
      <w:pPr>
        <w:pStyle w:val="aMMSecurity"/>
      </w:pPr>
      <w:r>
        <w:t>mediante</w:t>
      </w:r>
      <w:r w:rsidR="00D80596">
        <w:t xml:space="preserve"> solicitação por escrito do Agente Fiduciário, às suas expensas, assinar, anotar e prontamente entregar, ou fazer com que sejam assinados, anotados e entregues ao Agente Fiduciário, em até 1 (um) Dia Útil contado da solicitação, todos os </w:t>
      </w:r>
      <w:r w:rsidR="008B3527">
        <w:t xml:space="preserve">aditamentos, </w:t>
      </w:r>
      <w:r w:rsidR="00D80596">
        <w:t xml:space="preserve">contratos e/ou documentos comprobatórios e tomar todas demais medidas necessárias que Agente Fiduciário possa solicitar para </w:t>
      </w:r>
      <w:r w:rsidR="008B3527">
        <w:t>(i) aperfeiçoar, preservar, proteger e manter a validade e eficácia da garantia constituída nos termos de Contrato, bem como quaisquer direitos dos Debenturistas e Agente Fiduciário, (</w:t>
      </w:r>
      <w:proofErr w:type="spellStart"/>
      <w:r w:rsidR="008B3527">
        <w:t>ii</w:t>
      </w:r>
      <w:proofErr w:type="spellEnd"/>
      <w:r w:rsidR="008B3527">
        <w:t>) garantir o cumprimento das obrigações assumidas neste Contrato, e (</w:t>
      </w:r>
      <w:proofErr w:type="spellStart"/>
      <w:r w:rsidR="008B3527">
        <w:t>iii</w:t>
      </w:r>
      <w:proofErr w:type="spellEnd"/>
      <w:r w:rsidR="008B3527">
        <w:t>) garantir a legalidade, validade e exequibilidade deste Contrato.</w:t>
      </w:r>
    </w:p>
    <w:p w14:paraId="5C2F2A41" w14:textId="38F58081"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3D5B1E">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Default="002979F1" w:rsidP="003D5B1E">
      <w:pPr>
        <w:pStyle w:val="2MMSecurity"/>
      </w:pPr>
      <w:r w:rsidRPr="00A2620F">
        <w:t>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nos mesmos termos estabelecidos neste Contrato.</w:t>
      </w:r>
    </w:p>
    <w:p w14:paraId="703B6DFD" w14:textId="738D389D" w:rsidR="002979F1" w:rsidRPr="00A2620F" w:rsidRDefault="00B9084C" w:rsidP="003D5B1E">
      <w:pPr>
        <w:pStyle w:val="2MMSecurity"/>
        <w:rPr>
          <w:b/>
        </w:rPr>
      </w:pPr>
      <w:r>
        <w:t>A Acionista e a Companhia, às suas expensas, celebrarão os documentos e instrumentos adicionais necessários para assegurar a boa ordem, exequibilidade e eficácia plena desta Garantia, que venham a ser exigidos pelo Agente Fiduciário de tempos em tempos para permitir a proteção dos direitos ora constituídos no que diz respeito aos Bens Alienados Fiduciariamente, no todo ou em parte, ou o exercício por parte do Agente Fiduciário de quaisquer direitos, poderes e faculdades a ele atribuídos pelo presente Contrato.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 xml:space="preserve">A Companhia obriga-se a (i) não arquivar qualquer acordo de acionistas, </w:t>
      </w:r>
      <w:r w:rsidR="002979F1" w:rsidRPr="00A2620F">
        <w:lastRenderedPageBreak/>
        <w:t>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e (</w:t>
      </w:r>
      <w:proofErr w:type="spellStart"/>
      <w:r w:rsidR="002979F1" w:rsidRPr="00A2620F">
        <w:t>ii</w:t>
      </w:r>
      <w:proofErr w:type="spellEnd"/>
      <w:r w:rsidR="002979F1" w:rsidRPr="00A2620F">
        <w:t>) não reconhecer qualquer deliberação dos seus órgãos societários que viole o presente Contrato. Na hipótese de ser tomada qualquer deliberação societária com infração ao disposto no presente Contrato, tal deliberação será nula de pleno de direito, assegurado aos Debenturista o direito de tomar as medidas legais cabíveis para impedir que tal deliberação produza quaisquer efeitos, antes ou após a sua aprovação.</w:t>
      </w:r>
      <w:r w:rsidR="002979F1" w:rsidRPr="00A2620F" w:rsidDel="00503923">
        <w:t xml:space="preserve"> </w:t>
      </w:r>
    </w:p>
    <w:p w14:paraId="5A235BAA" w14:textId="69B9A5AC"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4C2461">
        <w:t xml:space="preserve"> caso</w:t>
      </w:r>
      <w:r w:rsidRPr="00A2620F">
        <w:t xml:space="preserve"> tenha ocorrido ou esteja em curso um inadimplemento total ou parcial das Debêntures ou a declaração de vencimento antecipado das Debêntures</w:t>
      </w:r>
      <w:r w:rsidRPr="00A2620F">
        <w:rPr>
          <w:rFonts w:eastAsia="SimSun"/>
        </w:rPr>
        <w:t>, na forma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250CF19E" w14:textId="77777777" w:rsidR="004C2461" w:rsidRPr="004C2461" w:rsidRDefault="004C2461" w:rsidP="004C2461">
      <w:pPr>
        <w:pStyle w:val="aMMSecurity"/>
        <w:rPr>
          <w:rFonts w:eastAsia="SimSun"/>
        </w:rPr>
      </w:pPr>
      <w:r w:rsidRPr="004C2461">
        <w:rPr>
          <w:rFonts w:eastAsia="SimSun"/>
        </w:rPr>
        <w:t xml:space="preserve">Cisão fusão, incorporação, incorporação de ações, transformação em qualquer outro tipo societário ou, ainda, qualquer outra forma de reorganização societária relevante envolvendo a Companhia, bem como </w:t>
      </w:r>
      <w:r w:rsidRPr="004C2461">
        <w:rPr>
          <w:rFonts w:eastAsia="SimSun"/>
        </w:rPr>
        <w:lastRenderedPageBreak/>
        <w:t>resgate, recompra, permuta, ou amortização de ações representativas do capital social da Companhia, quer com redução, ou não, de seu capital social;</w:t>
      </w:r>
    </w:p>
    <w:p w14:paraId="7C9E125C" w14:textId="77777777" w:rsidR="004C2461" w:rsidRPr="004C2461" w:rsidRDefault="004C2461" w:rsidP="004C2461">
      <w:pPr>
        <w:pStyle w:val="aMMSecurity"/>
        <w:rPr>
          <w:rFonts w:eastAsia="SimSun"/>
        </w:rPr>
      </w:pPr>
      <w:r w:rsidRPr="004C2461">
        <w:rPr>
          <w:rFonts w:eastAsia="SimSun"/>
        </w:rPr>
        <w:t>Realização de qualquer pagamento, pela Companhia, de dividendos ou pagamentos de juros sobre capital próprio e/ou qualquer outra maneira de transferência de recursos a ser distribuído a Acionista;</w:t>
      </w:r>
    </w:p>
    <w:p w14:paraId="57335D10" w14:textId="77777777" w:rsidR="004C2461" w:rsidRPr="004C2461" w:rsidRDefault="004C2461" w:rsidP="004C2461">
      <w:pPr>
        <w:pStyle w:val="aMMSecurity"/>
        <w:rPr>
          <w:rFonts w:eastAsia="SimSun"/>
        </w:rPr>
      </w:pPr>
      <w:r w:rsidRPr="004C2461">
        <w:rPr>
          <w:rFonts w:eastAsia="SimSun"/>
        </w:rPr>
        <w:t xml:space="preserve">Prática de qualquer ato, ou celebração de qualquer documento, para o fim de aprovar, requerer ou concordar com falência, liquidação, dissolução, extinção ou recuperação, judicial ou extrajudicial, da Companhia; </w:t>
      </w:r>
    </w:p>
    <w:p w14:paraId="68862293" w14:textId="77777777" w:rsidR="004C2461" w:rsidRPr="004C2461" w:rsidRDefault="004C2461" w:rsidP="004C2461">
      <w:pPr>
        <w:pStyle w:val="aMMSecurity"/>
        <w:rPr>
          <w:rFonts w:eastAsia="SimSun"/>
        </w:rPr>
      </w:pPr>
      <w:r w:rsidRPr="004C2461">
        <w:rPr>
          <w:rFonts w:eastAsia="SimSun"/>
        </w:rPr>
        <w:t>Redução do capital social da Companhia;</w:t>
      </w:r>
    </w:p>
    <w:p w14:paraId="7CE95397" w14:textId="77777777" w:rsidR="004C2461" w:rsidRPr="004C2461" w:rsidRDefault="004C2461" w:rsidP="004C2461">
      <w:pPr>
        <w:pStyle w:val="aMMSecurity"/>
        <w:rPr>
          <w:rFonts w:eastAsia="SimSun"/>
        </w:rPr>
      </w:pPr>
      <w:r w:rsidRPr="004C2461">
        <w:rPr>
          <w:rFonts w:eastAsia="SimSun"/>
        </w:rPr>
        <w:t>Exceto conforme permitido na Escritura de Emissão, a contratação de qualquer operação que, de qualquer forma, dê origem a novos endividamentos da Companhia;</w:t>
      </w:r>
    </w:p>
    <w:p w14:paraId="1E38C12B" w14:textId="77777777" w:rsidR="004C2461" w:rsidRPr="004C2461" w:rsidRDefault="004C2461" w:rsidP="004C2461">
      <w:pPr>
        <w:pStyle w:val="aMMSecurity"/>
        <w:rPr>
          <w:rFonts w:eastAsia="SimSun"/>
        </w:rPr>
      </w:pPr>
      <w:r w:rsidRPr="004C2461">
        <w:rPr>
          <w:rFonts w:eastAsia="SimSun"/>
        </w:rPr>
        <w:t>Criação de nova espécie ou classe de ações de emissão da Companhia, desdobramento ou grupamento de ações de emissão da Companhia;</w:t>
      </w:r>
    </w:p>
    <w:p w14:paraId="02574519" w14:textId="77777777" w:rsidR="004C2461" w:rsidRPr="004C2461" w:rsidRDefault="004C2461" w:rsidP="004C2461">
      <w:pPr>
        <w:pStyle w:val="aMMSecurity"/>
        <w:rPr>
          <w:rFonts w:eastAsia="SimSun"/>
        </w:rPr>
      </w:pPr>
      <w:r w:rsidRPr="004C2461">
        <w:rPr>
          <w:rFonts w:eastAsia="SimSun"/>
        </w:rPr>
        <w:t>Alteração de quaisquer dos direitos, preferências ou vantagens dos Bens Alienados Fiduciariamente;</w:t>
      </w:r>
    </w:p>
    <w:p w14:paraId="69028594" w14:textId="77777777" w:rsidR="004C2461" w:rsidRPr="004C2461" w:rsidRDefault="004C2461" w:rsidP="004C2461">
      <w:pPr>
        <w:pStyle w:val="aMMSecurity"/>
        <w:rPr>
          <w:rFonts w:eastAsia="SimSun"/>
        </w:rPr>
      </w:pPr>
      <w:r w:rsidRPr="004C2461">
        <w:rPr>
          <w:rFonts w:eastAsia="SimSun"/>
        </w:rPr>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20CB7322" w14:textId="77777777" w:rsidR="004C2461" w:rsidRPr="004C2461" w:rsidRDefault="004C2461" w:rsidP="004C2461">
      <w:pPr>
        <w:pStyle w:val="aMMSecurity"/>
        <w:rPr>
          <w:rFonts w:eastAsia="SimSun"/>
        </w:rPr>
      </w:pPr>
      <w:r w:rsidRPr="004C2461">
        <w:rPr>
          <w:rFonts w:eastAsia="SimSun"/>
        </w:rPr>
        <w:t xml:space="preserve">Exceto conforme permitido na Escritura de Emissão, alienação e/ou aquisição de ativos, pela Companhia, ressalvadas as hipóteses de substituição em razão de desgaste, depreciação e/ou obsolescência; </w:t>
      </w:r>
    </w:p>
    <w:p w14:paraId="380CAD34" w14:textId="2E63FD75" w:rsidR="004C2461" w:rsidRPr="004C2461" w:rsidRDefault="004C2461" w:rsidP="004C2461">
      <w:pPr>
        <w:pStyle w:val="aMMSecurity"/>
        <w:rPr>
          <w:rFonts w:eastAsia="SimSun"/>
        </w:rPr>
      </w:pPr>
      <w:r w:rsidRPr="004C2461">
        <w:rPr>
          <w:rFonts w:eastAsia="SimSun"/>
        </w:rPr>
        <w:t xml:space="preserve">Qualquer evento que cause ou possa causar um efeito adverso relevante à </w:t>
      </w:r>
      <w:r w:rsidR="00E747E6">
        <w:rPr>
          <w:rFonts w:eastAsia="SimSun"/>
        </w:rPr>
        <w:t>g</w:t>
      </w:r>
      <w:r w:rsidRPr="004C2461">
        <w:rPr>
          <w:rFonts w:eastAsia="SimSun"/>
        </w:rPr>
        <w:t>arantia objeto do presente Contrato; e</w:t>
      </w:r>
    </w:p>
    <w:p w14:paraId="792BB117" w14:textId="795BFC3E" w:rsidR="004C2461" w:rsidRDefault="004C2461" w:rsidP="004C2461">
      <w:pPr>
        <w:pStyle w:val="aMMSecurity"/>
        <w:rPr>
          <w:rFonts w:eastAsia="SimSun"/>
        </w:rPr>
      </w:pPr>
      <w:r w:rsidRPr="004C2461">
        <w:rPr>
          <w:rFonts w:eastAsia="SimSun"/>
        </w:rPr>
        <w:t xml:space="preserve">Quaisquer alterações relevantes ao estatuto social da Companhia com relação às matérias indicadas nesta Cláusula e/ou que afetem a </w:t>
      </w:r>
      <w:r w:rsidR="00E747E6" w:rsidRPr="00E747E6">
        <w:rPr>
          <w:rFonts w:eastAsia="SimSun"/>
        </w:rPr>
        <w:t>garantia objeto do presente Contrato</w:t>
      </w:r>
      <w:r>
        <w:rPr>
          <w:rFonts w:eastAsia="SimSun"/>
        </w:rPr>
        <w:t>.</w:t>
      </w:r>
    </w:p>
    <w:p w14:paraId="6DB37316" w14:textId="6C70B3F5" w:rsidR="00E747E6" w:rsidRDefault="00E747E6" w:rsidP="000B2F4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Caso tal assembleia não seja instalada ou, ainda que instalada, não haja quórum para deliberação da matéria em questão, o Agente Fiduciário deverá permanecer silente quanto ao exercício do </w:t>
      </w:r>
      <w:r w:rsidRPr="00E747E6">
        <w:rPr>
          <w:lang w:val="pt-BR"/>
        </w:rPr>
        <w:lastRenderedPageBreak/>
        <w:t>direito em tela, sendo certo que seu silêncio, nessa hipótese, não será interpretado como negligência, não podendo ser a ele imputado qualquer responsabilização decorrente da ausência de manifestação.</w:t>
      </w:r>
    </w:p>
    <w:p w14:paraId="6DCEF3B1" w14:textId="0BC1CDEF" w:rsidR="002979F1" w:rsidRPr="00172025" w:rsidRDefault="00C65CE1" w:rsidP="003D5B1E">
      <w:pPr>
        <w:pStyle w:val="2MMSecurity"/>
      </w:pPr>
      <w:r w:rsidRPr="00320D89">
        <w:t>A Companhia e/ou a Acionista deverá informar ao Agente Fiduciário, por meio de notificação na forma prevista neste Contrato, sobre a realização de assembleia geral de acionistas da Companhia para deliberar sobre qualquer das matérias elencadas acima, pelo menos 30 (trinta) 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5" w:name="_DV_M68"/>
      <w:bookmarkStart w:id="36" w:name="_DV_M71"/>
      <w:bookmarkEnd w:id="35"/>
      <w:bookmarkEnd w:id="36"/>
      <w:r w:rsidRPr="00A2620F">
        <w:t>DECLARAÇÕES E GARANTIAS</w:t>
      </w:r>
    </w:p>
    <w:p w14:paraId="47CAD5A0" w14:textId="77777777" w:rsidR="002979F1" w:rsidRPr="00A2620F" w:rsidRDefault="002979F1" w:rsidP="003D5B1E">
      <w:pPr>
        <w:pStyle w:val="2MMSecurity"/>
      </w:pPr>
      <w:bookmarkStart w:id="37" w:name="_DV_M72"/>
      <w:bookmarkStart w:id="38" w:name="_Ref89821745"/>
      <w:bookmarkStart w:id="39" w:name="_Hlk89179577"/>
      <w:bookmarkEnd w:id="37"/>
      <w:r w:rsidRPr="00A2620F">
        <w:t>A Acionista e a Companhia, conforme aplicável, declaram e garantem ao Agente Fiduciário que:</w:t>
      </w:r>
      <w:bookmarkEnd w:id="38"/>
    </w:p>
    <w:bookmarkEnd w:id="39"/>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419910D"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77777777" w:rsidR="002979F1" w:rsidRPr="003D5B1E" w:rsidRDefault="002979F1" w:rsidP="003D5B1E">
      <w:pPr>
        <w:pStyle w:val="aMMSecurity"/>
      </w:pPr>
      <w:r w:rsidRPr="003D5B1E">
        <w:t>exceto pelo cumprimento da Condição Suspensiva,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 xml:space="preserve">o presente Contrato e as obrigações dele decorrentes não implicam: (i) em inadimplemento de qualquer obrigação assumida em qualquer contrato de </w:t>
      </w:r>
      <w:r w:rsidRPr="003D5B1E">
        <w:lastRenderedPageBreak/>
        <w:t>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62C4A5E0" w:rsidR="00BF6681" w:rsidRPr="003D5B1E" w:rsidRDefault="00BF6681" w:rsidP="003D5B1E">
      <w:pPr>
        <w:pStyle w:val="aMMSecurity"/>
      </w:pPr>
      <w:r w:rsidRPr="00BF6681">
        <w:t>encontram-se adimplentes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t>;</w:t>
      </w:r>
    </w:p>
    <w:p w14:paraId="604717DB" w14:textId="77777777" w:rsidR="002979F1" w:rsidRPr="003D5B1E" w:rsidRDefault="002979F1" w:rsidP="003D5B1E">
      <w:pPr>
        <w:pStyle w:val="aMMSecurity"/>
      </w:pPr>
      <w:r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Pr="003D5B1E">
        <w:t>ii</w:t>
      </w:r>
      <w:proofErr w:type="spellEnd"/>
      <w:r w:rsidRPr="003D5B1E">
        <w:t>) criação de qualquer ônus sobre qualquer ativo ou bem da Acionista e da Companhia, ou (c) rescisão de qualquer desses contratos ou instrumentos;</w:t>
      </w:r>
    </w:p>
    <w:p w14:paraId="0125EE9B" w14:textId="77777777" w:rsidR="002979F1" w:rsidRPr="003D5B1E" w:rsidRDefault="002979F1" w:rsidP="003D5B1E">
      <w:pPr>
        <w:pStyle w:val="aMMSecurity"/>
      </w:pPr>
      <w:r w:rsidRPr="003D5B1E">
        <w:t>não está em curso qualquer Hipótese de Vencimento Antecipado (conforme definido na Escritura de Emissão);</w:t>
      </w:r>
    </w:p>
    <w:p w14:paraId="478D548D" w14:textId="7558ED68" w:rsidR="002979F1" w:rsidRPr="003D5B1E" w:rsidRDefault="002979F1" w:rsidP="003D5B1E">
      <w:pPr>
        <w:pStyle w:val="aMMSecurity"/>
      </w:pPr>
      <w:r w:rsidRPr="003D5B1E">
        <w:t>não omitiram nenhum ato ou fato relevante, de qualquer natureza, que seja de seu conhecimento e que possa resultar em uma Mudança Adversa Relevante (conforme definido na Escritura de Emissão);</w:t>
      </w:r>
    </w:p>
    <w:p w14:paraId="34E1D0B9" w14:textId="3696FE4C" w:rsidR="002979F1" w:rsidRPr="003D5B1E" w:rsidRDefault="002979F1" w:rsidP="003D5B1E">
      <w:pPr>
        <w:pStyle w:val="aMMSecurity"/>
      </w:pPr>
      <w:bookmarkStart w:id="40" w:name="_DV_M73"/>
      <w:bookmarkEnd w:id="40"/>
      <w:r w:rsidRPr="003D5B1E">
        <w:t xml:space="preserve">a Acionista é legítima titular dos Bens Alienados Fiduciariamente e os Bens Alienados Fiduciariamente não estão sujeitos a qualquer acordo que limite de qualquer forma a garantia objeto deste Contrato, encontrando-se livres e desembaraçados de quaisquer ônus, garantias, encargos ou pendências judiciais ou extrajudiciais de qualquer natureza, exceto pelos ônus criados </w:t>
      </w:r>
      <w:r w:rsidR="009603AC" w:rsidRPr="003D5B1E">
        <w:t xml:space="preserve">(i) </w:t>
      </w:r>
      <w:r w:rsidRPr="003D5B1E">
        <w:t xml:space="preserve">pela Garantia Existente, </w:t>
      </w:r>
      <w:r w:rsidR="009603AC" w:rsidRPr="003D5B1E">
        <w:t>(</w:t>
      </w:r>
      <w:proofErr w:type="spellStart"/>
      <w:r w:rsidR="009603AC" w:rsidRPr="003D5B1E">
        <w:t>ii</w:t>
      </w:r>
      <w:proofErr w:type="spellEnd"/>
      <w:r w:rsidR="009603AC" w:rsidRPr="003D5B1E">
        <w:t xml:space="preserve">) </w:t>
      </w:r>
      <w:r w:rsidRPr="003D5B1E">
        <w:t xml:space="preserve">pelo presente Contrato, e </w:t>
      </w:r>
      <w:r w:rsidR="009603AC" w:rsidRPr="003D5B1E">
        <w:t>(</w:t>
      </w:r>
      <w:proofErr w:type="spellStart"/>
      <w:r w:rsidR="009603AC" w:rsidRPr="003D5B1E">
        <w:t>iii</w:t>
      </w:r>
      <w:proofErr w:type="spellEnd"/>
      <w:r w:rsidR="009603AC" w:rsidRPr="003D5B1E">
        <w:t xml:space="preserve">) </w:t>
      </w:r>
      <w:r w:rsidRPr="003D5B1E">
        <w:t xml:space="preserve">pelo </w:t>
      </w:r>
      <w:r w:rsidRPr="00520931">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Pr="003D5B1E">
        <w:t xml:space="preserve">, celebrado entre a Acionista, o Banco Bradesco S.A, o Itaú Unibanco S.A., o </w:t>
      </w:r>
      <w:proofErr w:type="spellStart"/>
      <w:r w:rsidRPr="003D5B1E">
        <w:t>Credit</w:t>
      </w:r>
      <w:proofErr w:type="spellEnd"/>
      <w:r w:rsidRPr="003D5B1E">
        <w:t xml:space="preserve"> </w:t>
      </w:r>
      <w:proofErr w:type="spellStart"/>
      <w:r w:rsidRPr="003D5B1E">
        <w:t>Suisse</w:t>
      </w:r>
      <w:proofErr w:type="spellEnd"/>
      <w:r w:rsidRPr="003D5B1E">
        <w:t xml:space="preserve"> Próprio Fundo de Investimento Multimercado Crédito Privado Investimento no Exterior, o Banco Santander (Brasil) S.A., o Banco Votorantim S.A., o Banco Nacional de Desenvolvimento Econômico e Social – BNDES, a </w:t>
      </w:r>
      <w:proofErr w:type="spellStart"/>
      <w:r w:rsidRPr="003D5B1E">
        <w:t>Pmoel</w:t>
      </w:r>
      <w:proofErr w:type="spellEnd"/>
      <w:r w:rsidRPr="003D5B1E">
        <w:t xml:space="preserve"> Recebíveis Ltda., a TMF Administração e Gestão de Ativos Ltda., o Agente Fiduciário e a GDC </w:t>
      </w:r>
      <w:proofErr w:type="spellStart"/>
      <w:r w:rsidRPr="003D5B1E">
        <w:t>Partners</w:t>
      </w:r>
      <w:proofErr w:type="spellEnd"/>
      <w:r w:rsidRPr="003D5B1E">
        <w:t xml:space="preserve"> Serviços Fiduciários Distribuidora de Títulos e Valores Mobiliários Ltda., datado de 26 de agosto de 2019, conforme aditado de tempos em tempos</w:t>
      </w:r>
      <w:r w:rsidR="00233B9E">
        <w:t xml:space="preserve"> (“</w:t>
      </w:r>
      <w:r w:rsidR="00233B9E" w:rsidRPr="00EA0A7D">
        <w:rPr>
          <w:u w:val="single"/>
        </w:rPr>
        <w:t>Garantia Subordinada</w:t>
      </w:r>
      <w:r w:rsidR="00233B9E">
        <w:t>”)</w:t>
      </w:r>
      <w:r w:rsidR="009603AC" w:rsidRPr="003D5B1E">
        <w:t>;</w:t>
      </w:r>
      <w:r w:rsidRPr="003D5B1E">
        <w:t xml:space="preserve"> estando </w:t>
      </w:r>
      <w:r w:rsidRPr="003D5B1E">
        <w:lastRenderedPageBreak/>
        <w:t xml:space="preserve">a Acionista em dia com todas as suas obrigações legais e regulatórias relativas aos Bens Alienados Fiduciariamente; </w:t>
      </w:r>
    </w:p>
    <w:p w14:paraId="6874EC4F" w14:textId="5B2FDB12" w:rsidR="002979F1" w:rsidRPr="003D5B1E" w:rsidRDefault="002979F1" w:rsidP="003D5B1E">
      <w:pPr>
        <w:pStyle w:val="aMMSecurity"/>
      </w:pPr>
      <w:r w:rsidRPr="003D5B1E">
        <w:t xml:space="preserve">as Ações Alienadas Fiduciariamente constituem a totalidade das ações emitidas pela Companhia e em circulação, representando o capital social da Companhia, conforme </w:t>
      </w:r>
      <w:r w:rsidR="00D01355" w:rsidRPr="00BF6681">
        <w:rPr>
          <w:b/>
          <w:bCs/>
          <w:u w:val="single"/>
        </w:rPr>
        <w:fldChar w:fldCharType="begin"/>
      </w:r>
      <w:r w:rsidR="00D01355" w:rsidRPr="00BF6681">
        <w:rPr>
          <w:b/>
          <w:bCs/>
          <w:u w:val="single"/>
        </w:rPr>
        <w:instrText xml:space="preserve"> REF _Ref89820823 \r \h  \* MERGEFORMAT </w:instrText>
      </w:r>
      <w:r w:rsidR="00D01355" w:rsidRPr="00BF6681">
        <w:rPr>
          <w:b/>
          <w:bCs/>
          <w:u w:val="single"/>
        </w:rPr>
      </w:r>
      <w:r w:rsidR="00D01355" w:rsidRPr="00BF6681">
        <w:rPr>
          <w:b/>
          <w:bCs/>
          <w:u w:val="single"/>
        </w:rPr>
        <w:fldChar w:fldCharType="separate"/>
      </w:r>
      <w:r w:rsidR="00D01355" w:rsidRPr="00BF6681">
        <w:rPr>
          <w:b/>
          <w:bCs/>
          <w:u w:val="single"/>
        </w:rPr>
        <w:t>ANEXO I</w:t>
      </w:r>
      <w:r w:rsidR="00D01355" w:rsidRPr="00BF6681">
        <w:rPr>
          <w:b/>
          <w:bCs/>
          <w:u w:val="single"/>
        </w:rPr>
        <w:fldChar w:fldCharType="end"/>
      </w:r>
      <w:r w:rsidR="00D01355" w:rsidRPr="003D5B1E">
        <w:t xml:space="preserve"> </w:t>
      </w:r>
      <w:r w:rsidRPr="003D5B1E">
        <w:t>a este Contrato</w:t>
      </w:r>
      <w:r w:rsidR="00BF6681">
        <w:t>;</w:t>
      </w:r>
    </w:p>
    <w:p w14:paraId="091FE657" w14:textId="59A6743D" w:rsidR="002979F1" w:rsidRPr="003D5B1E" w:rsidRDefault="002979F1" w:rsidP="003D5B1E">
      <w:pPr>
        <w:pStyle w:val="aMMSecurity"/>
      </w:pPr>
      <w:r w:rsidRPr="003D5B1E">
        <w:t>têm total ciência dos termos e condições previstos na Escritura de Emissão, incluindo, sem limitação, as obrigações e os eventos de inadimplemento estabelecidos no referido instrumento;</w:t>
      </w:r>
    </w:p>
    <w:p w14:paraId="17372BF5" w14:textId="35372327" w:rsidR="002979F1" w:rsidRDefault="002979F1" w:rsidP="003D5B1E">
      <w:pPr>
        <w:pStyle w:val="aMMSecurity"/>
      </w:pPr>
      <w:bookmarkStart w:id="41" w:name="_DV_M74"/>
      <w:bookmarkStart w:id="42" w:name="_DV_M75"/>
      <w:bookmarkStart w:id="43" w:name="_DV_M77"/>
      <w:bookmarkEnd w:id="41"/>
      <w:bookmarkEnd w:id="42"/>
      <w:bookmarkEnd w:id="43"/>
      <w:r w:rsidRPr="003D5B1E">
        <w:t>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e cessão fiduciária ora constituídas, ou que, por si ou em conjunto com qualquer outro, tenha afetado ou possa vir a afetar  de forma negativa a presente garantia</w:t>
      </w:r>
      <w:r w:rsidR="00BF6681">
        <w:t>;</w:t>
      </w:r>
    </w:p>
    <w:p w14:paraId="69B81341" w14:textId="61C61EB3" w:rsidR="00D42AC7" w:rsidRDefault="00D42AC7" w:rsidP="00EA0A7D">
      <w:pPr>
        <w:pStyle w:val="aMMSecurity"/>
      </w:pPr>
      <w:r>
        <w:t xml:space="preserve">não há, com relação aos Bens Alienados Fiduciariamente, quaisquer bônus de subscrição, opções, subscrições, reservas de ações ou outros acordos contratuais referentes à compra de tais Bens Alienados Fiduciariamente ou de quaisquer outras ações do capital social da Companhia, e não há quaisquer outros acordos pendentes, direitos de preferência, direitos de resgate ou quaisquer outros direitos ou reinvindicações de qualquer natureza, relativos à emissão, compra, recompra, resgate, transferência, votação ou direitos de preferência em relação aos Bens Alienados Fiduciariamente, que restrinjam a </w:t>
      </w:r>
      <w:r w:rsidR="00233B9E">
        <w:t xml:space="preserve">garantia constituída no âmbito deste Contrato </w:t>
      </w:r>
      <w:r>
        <w:t>de acordo com a legislação aplicável antes da data de assinatura deste Contrato;</w:t>
      </w:r>
    </w:p>
    <w:p w14:paraId="70F7EE0E" w14:textId="0894B15E" w:rsidR="00BF6681"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xml:space="preserve">, </w:t>
      </w:r>
      <w:proofErr w:type="spellStart"/>
      <w:r w:rsidRPr="00BF6681">
        <w:rPr>
          <w:i/>
          <w:iCs/>
        </w:rPr>
        <w:t>drag-along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3A1A7BE2" w14:textId="4B650BAF" w:rsidR="00BF6681" w:rsidRDefault="00BF6681" w:rsidP="003D5B1E">
      <w:pPr>
        <w:pStyle w:val="aMMSecurity"/>
      </w:pPr>
      <w:r>
        <w:t xml:space="preserve">não há </w:t>
      </w:r>
      <w:r w:rsidRPr="00BF6681">
        <w:t xml:space="preserve">acordo de acionista da Companhia que afete o direito da Acionista de dispor sobre os Bens Alienados Fiduciariamente, ou que afete, de qualquer </w:t>
      </w:r>
      <w:r w:rsidRPr="00BF6681">
        <w:lastRenderedPageBreak/>
        <w:t>modo, a celebração deste Contrato e de seus eventuais aditamentos, o cumprimento das obrigações aqui previstas e sua eventual execução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2E082F96" w14:textId="03FAECF7" w:rsidR="00BF6681" w:rsidRDefault="00520931" w:rsidP="003D5B1E">
      <w:pPr>
        <w:pStyle w:val="aMMSecurity"/>
      </w:pPr>
      <w:r>
        <w:t>não</w:t>
      </w:r>
      <w:r w:rsidR="00BF6681">
        <w: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t>
      </w:r>
    </w:p>
    <w:p w14:paraId="3232904F" w14:textId="4D57549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0B2F4B">
        <w:t>3.4</w:t>
      </w:r>
      <w:r w:rsidR="000B2F4B">
        <w:fldChar w:fldCharType="end"/>
      </w:r>
      <w:r w:rsidR="000B2F4B">
        <w:t xml:space="preserve"> </w:t>
      </w:r>
      <w:r>
        <w:t xml:space="preserve">deste Contrato e a Acionista e a Companhia não outorgaram instrumentos de mandato ou outros documentos semelhantes, exceto em relação à Garantia Subordinada. </w:t>
      </w:r>
    </w:p>
    <w:p w14:paraId="504E40EC" w14:textId="2A55CD8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38B95F66"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p>
    <w:p w14:paraId="2143CBF7" w14:textId="3A8D92DD" w:rsidR="002979F1" w:rsidRDefault="002979F1" w:rsidP="003D5B1E">
      <w:pPr>
        <w:pStyle w:val="2MMSecurity"/>
      </w:pPr>
      <w:r w:rsidRPr="008454B9">
        <w:t xml:space="preserve">As declarações e garantias prestadas pela Acionista e pela Companhia nos termos da Cláusula </w:t>
      </w:r>
      <w:r w:rsidR="003D5B1E">
        <w:fldChar w:fldCharType="begin"/>
      </w:r>
      <w:r w:rsidR="003D5B1E">
        <w:instrText xml:space="preserve"> REF _Ref89821745 \r \h </w:instrText>
      </w:r>
      <w:r w:rsidR="003D5B1E">
        <w:fldChar w:fldCharType="separate"/>
      </w:r>
      <w:r w:rsidR="003D5B1E">
        <w:t>5.1</w:t>
      </w:r>
      <w:r w:rsidR="003D5B1E">
        <w:fldChar w:fldCharType="end"/>
      </w:r>
      <w:r w:rsidRPr="008454B9">
        <w:t xml:space="preserve"> acima deverão manter-se integralmente verdadeiras e exatas até o pagamento integral das Obrigações Garantidas, ficando os declarantes responsáveis por eventuais prejuízos que decorram da falsidade, inveracidade ou inexatidão dessas declarações.</w:t>
      </w:r>
    </w:p>
    <w:p w14:paraId="7DEBDAF9" w14:textId="0D1B9A1F" w:rsidR="002979F1" w:rsidRDefault="002979F1" w:rsidP="003D5B1E">
      <w:pPr>
        <w:pStyle w:val="2MMSecurity"/>
      </w:pPr>
      <w:r>
        <w:t xml:space="preserve">A Acionista </w:t>
      </w:r>
      <w:r w:rsidRPr="008454B9">
        <w:t>indenizará e reembolsará, o</w:t>
      </w:r>
      <w:r>
        <w:t xml:space="preserve"> Agente Fiduciário e os Debenturistas, </w:t>
      </w:r>
      <w:r w:rsidRPr="008454B9">
        <w:t>bem como seus respectivos sucessores, representantes e cessionários das Obrigações Garantidas (</w:t>
      </w:r>
      <w:r w:rsidR="009603AC">
        <w:t>“</w:t>
      </w:r>
      <w:r w:rsidRPr="009603AC">
        <w:rPr>
          <w:u w:val="single"/>
        </w:rPr>
        <w:t>Partes Indenizadas</w:t>
      </w:r>
      <w:r w:rsidR="009603AC">
        <w:t>”</w:t>
      </w:r>
      <w:r w:rsidRPr="008454B9">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w:t>
      </w:r>
      <w:r w:rsidRPr="008454B9">
        <w:lastRenderedPageBreak/>
        <w:t xml:space="preserve">garantia aqui outorgada e consequente titularidade das Ações. Tais indenizações e reembolsos serão devidos sem prejuízo do direito de declarar o vencimento antecipado </w:t>
      </w:r>
      <w:r>
        <w:t>da Oferta</w:t>
      </w:r>
      <w:r w:rsidRPr="008454B9">
        <w:t>.</w:t>
      </w:r>
    </w:p>
    <w:p w14:paraId="7D1355EA" w14:textId="77777777" w:rsidR="009603AC" w:rsidRPr="009603AC" w:rsidRDefault="009603AC" w:rsidP="003D5B1E">
      <w:pPr>
        <w:pStyle w:val="Ttulo1"/>
      </w:pPr>
      <w:r w:rsidRPr="009603AC">
        <w:t xml:space="preserve">REFORÇO DE GARANTIA </w:t>
      </w:r>
    </w:p>
    <w:p w14:paraId="03AC4B9C" w14:textId="3783CE72"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t xml:space="preserve"> ou tornar-se ineficaz, inexequível, inválida ou insuficiente, na forma prevista em lei</w:t>
      </w:r>
      <w:r w:rsidRPr="00A2620F">
        <w:t xml:space="preserve">, a Acionista e a Companhia </w:t>
      </w:r>
      <w:r w:rsidR="00E748E9">
        <w:t>ficarão</w:t>
      </w:r>
      <w:r w:rsidRPr="00A2620F">
        <w:t xml:space="preserve"> obrigada</w:t>
      </w:r>
      <w:r w:rsidR="00E748E9">
        <w:t>s</w:t>
      </w:r>
      <w:r w:rsidRPr="00A2620F">
        <w:t xml:space="preserve"> a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Acionista e pela Companhia mediante a alienação/cessão fiduciária em garantia sobre outros bens de propriedade da Acionista e/ou </w:t>
      </w:r>
      <w:r w:rsidRPr="008454B9">
        <w:t xml:space="preserve">da Companhia ou outra forma de garantia aceita pelo Agente Fiduciário, </w:t>
      </w:r>
      <w:r w:rsidR="00E748E9">
        <w:t xml:space="preserve">na condição de representante dos Debenturistas, </w:t>
      </w:r>
      <w:r w:rsidRPr="008454B9">
        <w:t xml:space="preserve">no prazo de </w:t>
      </w:r>
      <w:r w:rsidRPr="00716A33">
        <w:t>10 (dez) dias, contado da data do recebimento, pela Acionista e pela Companhia, de comunicação, por</w:t>
      </w:r>
      <w:r w:rsidRPr="00A2620F">
        <w:t xml:space="preserve"> escrito, enviada pelo Agente Fiduciário neste sentido. </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4" w:name="_DV_M79"/>
      <w:bookmarkStart w:id="45" w:name="_DV_M80"/>
      <w:bookmarkStart w:id="46" w:name="_DV_M81"/>
      <w:bookmarkEnd w:id="44"/>
      <w:bookmarkEnd w:id="45"/>
      <w:bookmarkEnd w:id="46"/>
      <w:r w:rsidRPr="009603AC">
        <w:t>DISPOSIÇÕES COMPLEMENTARES</w:t>
      </w:r>
    </w:p>
    <w:p w14:paraId="43D2FD60" w14:textId="77777777" w:rsidR="009603AC" w:rsidRPr="00A2620F" w:rsidRDefault="009603AC" w:rsidP="003D5B1E">
      <w:pPr>
        <w:pStyle w:val="2MMSecurity"/>
      </w:pPr>
      <w:bookmarkStart w:id="47" w:name="_DV_M82"/>
      <w:bookmarkStart w:id="48" w:name="_DV_M83"/>
      <w:bookmarkStart w:id="49" w:name="_DV_M84"/>
      <w:bookmarkStart w:id="50" w:name="_DV_M85"/>
      <w:bookmarkEnd w:id="47"/>
      <w:bookmarkEnd w:id="48"/>
      <w:bookmarkEnd w:id="49"/>
      <w:bookmarkEnd w:id="50"/>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1" w:name="_DV_M86"/>
      <w:bookmarkEnd w:id="51"/>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5693CD92" w:rsidR="009603AC" w:rsidRPr="003D5B1E" w:rsidRDefault="009603AC" w:rsidP="003D5B1E">
      <w:pPr>
        <w:pStyle w:val="2MMSecurity"/>
      </w:pPr>
      <w:bookmarkStart w:id="52" w:name="_DV_M87"/>
      <w:bookmarkEnd w:id="52"/>
      <w:r w:rsidRPr="00A2620F">
        <w:lastRenderedPageBreak/>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233B9E">
        <w:t>2</w:t>
      </w:r>
      <w:r w:rsidR="00233B9E" w:rsidRPr="003D5B1E">
        <w:t xml:space="preserve"> </w:t>
      </w:r>
      <w:r w:rsidRPr="003D5B1E">
        <w:t>(</w:t>
      </w:r>
      <w:r w:rsidR="00233B9E">
        <w:t>dois</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7B51EDE8" w14:textId="77777777" w:rsidR="0047145E" w:rsidRPr="00FC4A4D" w:rsidRDefault="0047145E" w:rsidP="003D5B1E">
      <w:pPr>
        <w:pStyle w:val="3MMSecurity"/>
        <w:rPr>
          <w:lang w:val="pt-BR" w:eastAsia="en-US"/>
        </w:rPr>
      </w:pPr>
      <w:r w:rsidRPr="00FC4A4D">
        <w:rPr>
          <w:lang w:val="pt-BR" w:eastAsia="en-US"/>
        </w:rPr>
        <w:t>Adicionalmente e sem prejuízo do disposto acima, a Acionista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bens aqui dados em garantia;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77777777" w:rsidR="009603AC" w:rsidRPr="00A2620F" w:rsidRDefault="009603AC" w:rsidP="003D5B1E">
      <w:pPr>
        <w:pStyle w:val="2MMSecurity"/>
      </w:pPr>
      <w:r w:rsidRPr="00A2620F">
        <w:t xml:space="preserve">Para os fins deste Contrato, as Partes poderão requerer a tutela específica das obrigações devidas na forma prevista nos artigos </w:t>
      </w:r>
      <w:r>
        <w:t xml:space="preserve">497, </w:t>
      </w:r>
      <w:r w:rsidRPr="00A2620F">
        <w:t>498,</w:t>
      </w:r>
      <w:r>
        <w:t xml:space="preserve"> 499,</w:t>
      </w:r>
      <w:r w:rsidRPr="00A2620F">
        <w:t xml:space="preserve"> </w:t>
      </w:r>
      <w:r>
        <w:t xml:space="preserve">500, </w:t>
      </w:r>
      <w:r w:rsidRPr="00A2620F">
        <w:t xml:space="preserve">501, </w:t>
      </w:r>
      <w:r>
        <w:t xml:space="preserve">536, </w:t>
      </w:r>
      <w:r w:rsidRPr="00A2620F">
        <w:t xml:space="preserve">806, </w:t>
      </w:r>
      <w:r>
        <w:t xml:space="preserve">814, </w:t>
      </w:r>
      <w:r w:rsidRPr="00A2620F">
        <w:t>815, 822 e 823 do Código de Processo Civil.</w:t>
      </w:r>
    </w:p>
    <w:p w14:paraId="3B0D5F9E" w14:textId="77777777" w:rsidR="009603AC" w:rsidRPr="00A2620F" w:rsidRDefault="009603AC" w:rsidP="003D5B1E">
      <w:pPr>
        <w:pStyle w:val="2MMSecurity"/>
      </w:pPr>
      <w:r w:rsidRPr="00A2620F">
        <w:t xml:space="preserve">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w:t>
      </w:r>
      <w:r w:rsidRPr="00A2620F">
        <w:lastRenderedPageBreak/>
        <w:t>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3"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3"/>
    </w:p>
    <w:p w14:paraId="660E4939" w14:textId="57637F5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675D88E3" w:rsidR="009603AC" w:rsidRPr="00A2620F" w:rsidRDefault="009603AC" w:rsidP="009603AC">
      <w:pPr>
        <w:spacing w:before="0" w:after="0"/>
      </w:pPr>
      <w:r w:rsidRPr="00A2620F">
        <w:t>A/C:</w:t>
      </w:r>
      <w:r>
        <w:t xml:space="preserve"> </w:t>
      </w:r>
      <w:hyperlink r:id="rId68" w:history="1">
        <w:r>
          <w:t>[</w:t>
        </w:r>
        <w:r w:rsidRPr="00ED7341">
          <w:rPr>
            <w:highlight w:val="yellow"/>
          </w:rPr>
          <w:t>=</w:t>
        </w:r>
        <w:r>
          <w:t>]</w:t>
        </w:r>
      </w:hyperlink>
    </w:p>
    <w:p w14:paraId="4708C16C" w14:textId="77777777" w:rsidR="009603AC" w:rsidRPr="00A2620F" w:rsidRDefault="009603AC" w:rsidP="009603AC">
      <w:pPr>
        <w:spacing w:before="0" w:after="0"/>
      </w:pPr>
      <w:r w:rsidRPr="00A2620F">
        <w:t>Endereço:</w:t>
      </w:r>
      <w:r w:rsidRPr="00E11D49">
        <w:t xml:space="preserve"> </w:t>
      </w:r>
      <w:hyperlink r:id="rId69" w:history="1">
        <w:r>
          <w:t>[</w:t>
        </w:r>
        <w:r w:rsidRPr="00ED7341">
          <w:rPr>
            <w:highlight w:val="yellow"/>
          </w:rPr>
          <w:t>=</w:t>
        </w:r>
        <w:r>
          <w:t>]</w:t>
        </w:r>
      </w:hyperlink>
      <w:r w:rsidRPr="00A2620F">
        <w:t xml:space="preserve"> </w:t>
      </w:r>
    </w:p>
    <w:p w14:paraId="35F12720" w14:textId="77777777" w:rsidR="009603AC" w:rsidRPr="00A2620F" w:rsidRDefault="009603AC" w:rsidP="009603AC">
      <w:pPr>
        <w:spacing w:before="0" w:after="0"/>
      </w:pPr>
      <w:r w:rsidRPr="00A2620F">
        <w:t>Tel.:</w:t>
      </w:r>
      <w:r>
        <w:t xml:space="preserve"> </w:t>
      </w:r>
      <w:hyperlink r:id="rId70" w:history="1">
        <w:r>
          <w:t>[</w:t>
        </w:r>
        <w:r w:rsidRPr="00ED7341">
          <w:rPr>
            <w:highlight w:val="yellow"/>
          </w:rPr>
          <w:t>=</w:t>
        </w:r>
        <w:r>
          <w:t>]</w:t>
        </w:r>
      </w:hyperlink>
      <w:r w:rsidRPr="00A2620F" w:rsidDel="00D371A1">
        <w:t xml:space="preserve"> </w:t>
      </w:r>
    </w:p>
    <w:p w14:paraId="7F76B6C3" w14:textId="77777777" w:rsidR="009603AC" w:rsidRPr="00A2620F" w:rsidRDefault="009603AC" w:rsidP="009603AC">
      <w:pPr>
        <w:spacing w:before="0" w:after="0"/>
      </w:pPr>
      <w:r w:rsidRPr="00A2620F">
        <w:t>E-mail:</w:t>
      </w:r>
      <w:r>
        <w:t xml:space="preserve"> </w:t>
      </w:r>
      <w:hyperlink r:id="rId71" w:history="1">
        <w:r>
          <w:t>[</w:t>
        </w:r>
        <w:r w:rsidRPr="00ED7341">
          <w:rPr>
            <w:highlight w:val="yellow"/>
          </w:rPr>
          <w:t>=</w:t>
        </w:r>
        <w:r>
          <w:t>]</w:t>
        </w:r>
      </w:hyperlink>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7D5A3B2C" w14:textId="77777777" w:rsidR="009603AC" w:rsidRPr="00D371A1" w:rsidRDefault="009603AC" w:rsidP="009603AC">
      <w:pPr>
        <w:spacing w:before="0" w:after="0"/>
        <w:rPr>
          <w:color w:val="000000"/>
        </w:rPr>
      </w:pPr>
      <w:r w:rsidRPr="00D371A1">
        <w:rPr>
          <w:color w:val="000000"/>
        </w:rPr>
        <w:t xml:space="preserve">A/C: </w:t>
      </w:r>
      <w:hyperlink r:id="rId72" w:history="1">
        <w:r w:rsidRPr="00D371A1">
          <w:t>[</w:t>
        </w:r>
        <w:r w:rsidRPr="00D371A1">
          <w:rPr>
            <w:highlight w:val="yellow"/>
          </w:rPr>
          <w:t>=</w:t>
        </w:r>
        <w:r w:rsidRPr="00D371A1">
          <w:t>]</w:t>
        </w:r>
      </w:hyperlink>
      <w:r w:rsidRPr="00D371A1">
        <w:rPr>
          <w:color w:val="000000"/>
        </w:rPr>
        <w:tab/>
      </w:r>
    </w:p>
    <w:p w14:paraId="099D0278" w14:textId="77777777" w:rsidR="009603AC" w:rsidRPr="00A2620F" w:rsidRDefault="009603AC" w:rsidP="009603AC">
      <w:pPr>
        <w:spacing w:before="0" w:after="0"/>
        <w:rPr>
          <w:color w:val="000000"/>
        </w:rPr>
      </w:pPr>
      <w:r w:rsidRPr="00A2620F">
        <w:rPr>
          <w:color w:val="000000"/>
        </w:rPr>
        <w:t xml:space="preserve">Endereço: </w:t>
      </w:r>
      <w:hyperlink r:id="rId73" w:history="1">
        <w:r>
          <w:t>[</w:t>
        </w:r>
        <w:r w:rsidRPr="00ED7341">
          <w:rPr>
            <w:highlight w:val="yellow"/>
          </w:rPr>
          <w:t>=</w:t>
        </w:r>
        <w:r>
          <w:t>]</w:t>
        </w:r>
      </w:hyperlink>
      <w:r w:rsidRPr="00A2620F">
        <w:rPr>
          <w:color w:val="000000"/>
        </w:rPr>
        <w:tab/>
      </w:r>
    </w:p>
    <w:p w14:paraId="67747641" w14:textId="77777777" w:rsidR="009603AC" w:rsidRPr="00A2620F" w:rsidRDefault="009603AC" w:rsidP="009603AC">
      <w:pPr>
        <w:spacing w:before="0" w:after="0"/>
        <w:rPr>
          <w:color w:val="000000"/>
        </w:rPr>
      </w:pPr>
      <w:r w:rsidRPr="00A2620F">
        <w:rPr>
          <w:color w:val="000000"/>
        </w:rPr>
        <w:t xml:space="preserve">Tel.: </w:t>
      </w:r>
      <w:hyperlink r:id="rId74" w:history="1">
        <w:r>
          <w:t>[</w:t>
        </w:r>
        <w:r w:rsidRPr="00ED7341">
          <w:rPr>
            <w:highlight w:val="yellow"/>
          </w:rPr>
          <w:t>=</w:t>
        </w:r>
        <w:r>
          <w:t>]</w:t>
        </w:r>
      </w:hyperlink>
      <w:r w:rsidRPr="00A2620F" w:rsidDel="00D371A1">
        <w:rPr>
          <w:color w:val="000000"/>
        </w:rPr>
        <w:t xml:space="preserve"> </w:t>
      </w:r>
      <w:r w:rsidRPr="00A2620F">
        <w:rPr>
          <w:color w:val="000000"/>
        </w:rPr>
        <w:tab/>
      </w:r>
    </w:p>
    <w:p w14:paraId="79E99272" w14:textId="77777777" w:rsidR="009603AC" w:rsidRPr="00A2620F" w:rsidRDefault="009603AC" w:rsidP="009603AC">
      <w:pPr>
        <w:spacing w:before="0" w:after="0"/>
        <w:rPr>
          <w:color w:val="000000"/>
        </w:rPr>
      </w:pPr>
      <w:r w:rsidRPr="00A2620F">
        <w:rPr>
          <w:color w:val="000000"/>
        </w:rPr>
        <w:t xml:space="preserve">E-mail: </w:t>
      </w:r>
      <w:hyperlink r:id="rId75" w:history="1">
        <w:r>
          <w:t>[</w:t>
        </w:r>
        <w:r w:rsidRPr="00ED7341">
          <w:rPr>
            <w:highlight w:val="yellow"/>
          </w:rPr>
          <w:t>=</w:t>
        </w:r>
        <w:r>
          <w:t>]</w:t>
        </w:r>
      </w:hyperlink>
      <w:r w:rsidRPr="00A2620F">
        <w:rPr>
          <w:color w:val="000000"/>
        </w:rPr>
        <w:tab/>
      </w:r>
    </w:p>
    <w:p w14:paraId="10A422C4" w14:textId="77777777" w:rsidR="009603AC" w:rsidRPr="00A2620F" w:rsidRDefault="009603AC" w:rsidP="009603AC">
      <w:pPr>
        <w:spacing w:before="0" w:after="0"/>
      </w:pPr>
    </w:p>
    <w:p w14:paraId="03D67CB8" w14:textId="77777777" w:rsidR="009603AC" w:rsidRPr="00A2620F" w:rsidRDefault="009603AC" w:rsidP="009603AC">
      <w:pPr>
        <w:spacing w:before="0" w:after="0"/>
      </w:pPr>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F1FEDB6" w:rsidR="009603AC" w:rsidRPr="00A2620F" w:rsidRDefault="009603AC" w:rsidP="009603AC">
      <w:pPr>
        <w:spacing w:before="0" w:after="0"/>
      </w:pPr>
      <w:r w:rsidRPr="00A2620F">
        <w:t>A/C:</w:t>
      </w:r>
      <w:r>
        <w:t xml:space="preserve"> </w:t>
      </w:r>
      <w:hyperlink r:id="rId76" w:history="1">
        <w:r>
          <w:t>[</w:t>
        </w:r>
        <w:r w:rsidRPr="00ED7341">
          <w:rPr>
            <w:highlight w:val="yellow"/>
          </w:rPr>
          <w:t>=</w:t>
        </w:r>
        <w:r>
          <w:t>]</w:t>
        </w:r>
      </w:hyperlink>
    </w:p>
    <w:p w14:paraId="521ADC18" w14:textId="77777777" w:rsidR="009603AC" w:rsidRPr="00A2620F" w:rsidRDefault="009603AC" w:rsidP="009603AC">
      <w:pPr>
        <w:spacing w:before="0" w:after="0"/>
      </w:pPr>
      <w:r w:rsidRPr="00A2620F">
        <w:lastRenderedPageBreak/>
        <w:t>Endereço:</w:t>
      </w:r>
      <w:r>
        <w:t xml:space="preserve"> </w:t>
      </w:r>
      <w:hyperlink r:id="rId77" w:history="1">
        <w:r>
          <w:t>[</w:t>
        </w:r>
        <w:r w:rsidRPr="00ED7341">
          <w:rPr>
            <w:highlight w:val="yellow"/>
          </w:rPr>
          <w:t>=</w:t>
        </w:r>
        <w:r>
          <w:t>]</w:t>
        </w:r>
      </w:hyperlink>
    </w:p>
    <w:p w14:paraId="6B7A5663" w14:textId="77777777" w:rsidR="009603AC" w:rsidRPr="00A2620F" w:rsidRDefault="009603AC" w:rsidP="009603AC">
      <w:pPr>
        <w:spacing w:before="0" w:after="0"/>
      </w:pPr>
      <w:r w:rsidRPr="00A2620F">
        <w:t>Tel.:</w:t>
      </w:r>
      <w:r>
        <w:t xml:space="preserve"> </w:t>
      </w:r>
      <w:hyperlink r:id="rId78" w:history="1">
        <w:r>
          <w:t>[</w:t>
        </w:r>
        <w:r w:rsidRPr="00ED7341">
          <w:rPr>
            <w:highlight w:val="yellow"/>
          </w:rPr>
          <w:t>=</w:t>
        </w:r>
        <w:r>
          <w:t>]</w:t>
        </w:r>
      </w:hyperlink>
      <w:r w:rsidRPr="00A2620F" w:rsidDel="00D371A1">
        <w:t xml:space="preserve"> </w:t>
      </w:r>
    </w:p>
    <w:p w14:paraId="4F5113B8" w14:textId="77777777" w:rsidR="009603AC" w:rsidRPr="00A2620F" w:rsidRDefault="009603AC" w:rsidP="009603AC">
      <w:pPr>
        <w:spacing w:before="0" w:after="0"/>
      </w:pPr>
      <w:r w:rsidRPr="00A2620F">
        <w:t>E-mail:</w:t>
      </w:r>
      <w:r w:rsidRPr="00A2620F" w:rsidDel="00D371A1">
        <w:t xml:space="preserve"> </w:t>
      </w:r>
      <w:hyperlink r:id="rId79" w:history="1">
        <w:r>
          <w:t>[</w:t>
        </w:r>
        <w:r w:rsidRPr="00E11D49">
          <w:rPr>
            <w:highlight w:val="yellow"/>
          </w:rPr>
          <w:t>=</w:t>
        </w:r>
        <w:r>
          <w:t>]</w:t>
        </w:r>
      </w:hyperlink>
    </w:p>
    <w:p w14:paraId="45D2862A" w14:textId="1F03FAA8"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3D5B1E" w:rsidRPr="003D5B1E">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77777777" w:rsidR="009603AC" w:rsidRPr="00A2620F" w:rsidRDefault="009603AC" w:rsidP="003D5B1E">
      <w:pPr>
        <w:pStyle w:val="Ttulo1"/>
      </w:pPr>
      <w:bookmarkStart w:id="54" w:name="_DV_M143"/>
      <w:bookmarkStart w:id="55" w:name="_Ref89821725"/>
      <w:bookmarkEnd w:id="54"/>
      <w:r w:rsidRPr="00A2620F">
        <w:t>REGISTROS E AVERBAÇÕES</w:t>
      </w:r>
      <w:bookmarkEnd w:id="55"/>
    </w:p>
    <w:p w14:paraId="6F61B27F" w14:textId="6261DA32" w:rsidR="009603AC" w:rsidRPr="00D01355" w:rsidRDefault="009603AC" w:rsidP="003D5B1E">
      <w:pPr>
        <w:pStyle w:val="2MMSecurity"/>
      </w:pPr>
      <w:bookmarkStart w:id="56" w:name="_DV_M144"/>
      <w:bookmarkStart w:id="57" w:name="_Ref89820975"/>
      <w:bookmarkEnd w:id="56"/>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 xml:space="preserve">SP, no </w:t>
      </w:r>
      <w:r w:rsidRPr="00D01355">
        <w:t xml:space="preserve">prazo de até </w:t>
      </w:r>
      <w:r w:rsidRPr="00D01355">
        <w:rPr>
          <w:color w:val="000000"/>
        </w:rPr>
        <w:t>20 (vinte)</w:t>
      </w:r>
      <w:r w:rsidRPr="00D01355">
        <w:t xml:space="preserve"> dias] da data de assinatura deste Contrato. Eventuais Aditamentos deverão ser registrados pela Acionista e pela Companhia nos mesmos Cartórios de Títulos e Documentos, no prazo de até </w:t>
      </w:r>
      <w:r w:rsidRPr="00D01355">
        <w:rPr>
          <w:color w:val="000000"/>
        </w:rPr>
        <w:t>20 (vinte)</w:t>
      </w:r>
      <w:r w:rsidRPr="00D01355">
        <w:t xml:space="preserve"> dias da respectiva data de assinatura.</w:t>
      </w:r>
      <w:bookmarkEnd w:id="57"/>
    </w:p>
    <w:p w14:paraId="18286F7F" w14:textId="77777777" w:rsidR="009603AC" w:rsidRPr="00D01355" w:rsidRDefault="009603AC" w:rsidP="003D5B1E">
      <w:pPr>
        <w:pStyle w:val="2MMSecurity"/>
      </w:pPr>
      <w:bookmarkStart w:id="58" w:name="_DV_M145"/>
      <w:bookmarkEnd w:id="58"/>
      <w:r w:rsidRPr="00D01355">
        <w:t>Correrão por conta exclusiva da Acionista e da Companhia todas e quaisquer despesas decorrentes do registro deste Contrato e eventuais aditamentos, junto às repartições e cartórios competentes.</w:t>
      </w:r>
    </w:p>
    <w:p w14:paraId="50D9EF48" w14:textId="6F4FC5BD" w:rsidR="009603AC" w:rsidRPr="00A2620F" w:rsidRDefault="009603AC" w:rsidP="003D5B1E">
      <w:pPr>
        <w:pStyle w:val="2MMSecurity"/>
        <w:rPr>
          <w:rFonts w:eastAsia="Batang"/>
        </w:rPr>
      </w:pPr>
      <w:bookmarkStart w:id="59"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59"/>
      <w:r w:rsidRPr="00A2620F">
        <w:rPr>
          <w:rFonts w:eastAsia="Batang"/>
        </w:rPr>
        <w:t xml:space="preserve"> </w:t>
      </w:r>
    </w:p>
    <w:p w14:paraId="25E14DF1" w14:textId="498612F3" w:rsidR="009603AC" w:rsidRPr="00716A33" w:rsidRDefault="009603AC" w:rsidP="003D5B1E">
      <w:pPr>
        <w:pStyle w:val="2MMSecurity"/>
        <w:rPr>
          <w:rFonts w:eastAsia="Batang"/>
        </w:rPr>
      </w:pPr>
      <w:r w:rsidRPr="00A2620F">
        <w:rPr>
          <w:rFonts w:eastAsia="Batang"/>
        </w:rPr>
        <w:lastRenderedPageBreak/>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3D5B1E">
        <w:t>9.3</w:t>
      </w:r>
      <w:r w:rsidR="003D5B1E">
        <w:fldChar w:fldCharType="end"/>
      </w:r>
      <w:r w:rsidR="003D5B1E">
        <w:t xml:space="preserve"> </w:t>
      </w:r>
      <w:r w:rsidRPr="00A2620F">
        <w:t>acima em até 2 (dois) dias úteis após sua realização.</w:t>
      </w:r>
    </w:p>
    <w:p w14:paraId="436E4A9E" w14:textId="0AD4A073" w:rsidR="009603AC" w:rsidRDefault="009603AC" w:rsidP="003D5B1E">
      <w:pPr>
        <w:pStyle w:val="2MMSecurity"/>
      </w:pPr>
      <w:r w:rsidRPr="00716A33">
        <w:t xml:space="preserve">Este 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t>
      </w:r>
      <w:r>
        <w:t>Sem prejuízo, todas as demais disposições deste Contrato que não dependam da plena eficácia de tal garantia, entram em vigor e eficácia na presente data e permanecerão, juntamente com a alienação e cessão fiduciária dos Bens Alienados Fiduciariamente, em vigor até a liquidação integral, irrevogável e irretratável das Obrigações Garantidas.</w:t>
      </w:r>
    </w:p>
    <w:p w14:paraId="1A1C188C" w14:textId="39869AC1" w:rsidR="00A627C6" w:rsidRPr="00A627C6" w:rsidRDefault="00A627C6" w:rsidP="00A627C6">
      <w:pPr>
        <w:pStyle w:val="3MMSecurity"/>
        <w:rPr>
          <w:lang w:val="pt-BR"/>
        </w:rPr>
      </w:pPr>
      <w:r w:rsidRPr="00A627C6">
        <w:rPr>
          <w:lang w:val="pt-BR"/>
        </w:rPr>
        <w:t>Ressalva</w:t>
      </w:r>
      <w:r w:rsidR="00F25B51">
        <w:rPr>
          <w:lang w:val="pt-BR"/>
        </w:rPr>
        <w:t>da</w:t>
      </w:r>
      <w:r w:rsidRPr="00A627C6">
        <w:rPr>
          <w:lang w:val="pt-BR"/>
        </w:rPr>
        <w:t xml:space="preserve"> a Condição Suspensiva, a Acionista e a Companhia declara</w:t>
      </w:r>
      <w:r>
        <w:rPr>
          <w:lang w:val="pt-BR"/>
        </w:rPr>
        <w:t>m</w:t>
      </w:r>
      <w:r w:rsidRPr="00A627C6">
        <w:rPr>
          <w:lang w:val="pt-BR"/>
        </w:rPr>
        <w:t xml:space="preserve"> que não existe qualquer outra condição suspensiva de eficácia em relação à </w:t>
      </w:r>
      <w:r w:rsidR="00F25B51">
        <w:rPr>
          <w:lang w:val="pt-BR"/>
        </w:rPr>
        <w:t>g</w:t>
      </w:r>
      <w:r w:rsidRPr="00A627C6">
        <w:rPr>
          <w:lang w:val="pt-BR"/>
        </w:rPr>
        <w:t xml:space="preserve">arantia constituída </w:t>
      </w:r>
      <w:r w:rsidR="00F25B51">
        <w:rPr>
          <w:lang w:val="pt-BR"/>
        </w:rPr>
        <w:t xml:space="preserve">por meio deste Contrato </w:t>
      </w:r>
      <w:r w:rsidRPr="00A627C6">
        <w:rPr>
          <w:lang w:val="pt-BR"/>
        </w:rPr>
        <w:t>e reconhecem que a propriedade fiduciária, o domínio resolúvel e a posse indireta sobre os Bens Alienados Fiduciariamente serão transferidas automaticamente para o Agente Fiduciário, representando e agindo exclusivamente por conta e ordem dos Debenturistas na data em que for implementada a Condição Suspensiva.</w:t>
      </w:r>
    </w:p>
    <w:p w14:paraId="77E6F799" w14:textId="3791D084" w:rsidR="009603AC" w:rsidRDefault="009603AC" w:rsidP="003D5B1E">
      <w:pPr>
        <w:pStyle w:val="2MMSecurity"/>
      </w:pPr>
      <w:bookmarkStart w:id="60"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01355" w:rsidRPr="00D01355">
        <w:t>9.1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01355" w:rsidRPr="00D01355">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0"/>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65F57756"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10 (dez) Dias Úteis contados da respectiva solicitação feita pela Acionista, em termos aceitáveis aos órgãos de registro </w:t>
      </w:r>
      <w:r w:rsidRPr="00D01355">
        <w:rPr>
          <w:lang w:eastAsia="en-US"/>
        </w:rPr>
        <w:lastRenderedPageBreak/>
        <w:t xml:space="preserve">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1" w:name="_DV_M246"/>
      <w:bookmarkStart w:id="62" w:name="_DV_M245"/>
      <w:bookmarkEnd w:id="61"/>
      <w:bookmarkEnd w:id="62"/>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3" w:name="_DV_M248"/>
      <w:bookmarkEnd w:id="63"/>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2"/>
    <w:p w14:paraId="7B1AD836" w14:textId="77777777" w:rsidR="00AB488C" w:rsidRPr="009D2C62" w:rsidRDefault="00AB488C" w:rsidP="00AA44B0">
      <w:pPr>
        <w:spacing w:line="320" w:lineRule="exact"/>
        <w:rPr>
          <w:szCs w:val="20"/>
        </w:rPr>
      </w:pPr>
    </w:p>
    <w:p w14:paraId="4FE57E10" w14:textId="1B7A5EF8"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de 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default" r:id="rId80"/>
          <w:footerReference w:type="default" r:id="rId81"/>
          <w:pgSz w:w="12240" w:h="15840"/>
          <w:pgMar w:top="1417" w:right="1701" w:bottom="1417" w:left="1701" w:header="708" w:footer="708" w:gutter="0"/>
          <w:cols w:space="708"/>
          <w:docGrid w:linePitch="360"/>
        </w:sectPr>
      </w:pPr>
    </w:p>
    <w:p w14:paraId="5E21F4C1" w14:textId="77777777"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Assinaturas 1/4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7B778DD"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0CDD9620" w14:textId="77777777" w:rsidR="00B920AD" w:rsidRDefault="00B920AD" w:rsidP="00EA0A7D">
            <w:pPr>
              <w:spacing w:after="0" w:line="320" w:lineRule="exact"/>
              <w:contextualSpacing/>
              <w:rPr>
                <w:rFonts w:cs="Arial"/>
                <w:szCs w:val="20"/>
              </w:rPr>
            </w:pPr>
            <w:r>
              <w:rPr>
                <w:rFonts w:cs="Arial"/>
                <w:szCs w:val="20"/>
              </w:rPr>
              <w:t>CPF:</w:t>
            </w:r>
          </w:p>
          <w:p w14:paraId="2BD4FFA6"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CA9019F" w14:textId="77777777" w:rsidR="00B920AD" w:rsidRDefault="00B920AD" w:rsidP="00EA0A7D">
            <w:pPr>
              <w:spacing w:after="0" w:line="320" w:lineRule="exact"/>
              <w:contextualSpacing/>
              <w:rPr>
                <w:rFonts w:cs="Arial"/>
                <w:szCs w:val="20"/>
              </w:rPr>
            </w:pPr>
            <w:r>
              <w:rPr>
                <w:rFonts w:cs="Arial"/>
                <w:szCs w:val="20"/>
              </w:rPr>
              <w:t>CPF:</w:t>
            </w:r>
          </w:p>
          <w:p w14:paraId="1AB000A3"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5D010859"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67068A48" w14:textId="77777777" w:rsidR="00B920AD" w:rsidRDefault="00B920AD" w:rsidP="00EA0A7D">
            <w:pPr>
              <w:spacing w:after="0" w:line="320" w:lineRule="exact"/>
              <w:contextualSpacing/>
              <w:rPr>
                <w:rFonts w:cs="Arial"/>
                <w:szCs w:val="20"/>
              </w:rPr>
            </w:pPr>
            <w:r>
              <w:rPr>
                <w:rFonts w:cs="Arial"/>
                <w:szCs w:val="20"/>
              </w:rPr>
              <w:t>CPF:</w:t>
            </w:r>
          </w:p>
          <w:p w14:paraId="00F3D1FD"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49A26412" w14:textId="77777777" w:rsidR="00B920AD" w:rsidRDefault="00B920AD" w:rsidP="00EA0A7D">
            <w:pPr>
              <w:spacing w:after="0" w:line="320" w:lineRule="exact"/>
              <w:contextualSpacing/>
              <w:rPr>
                <w:rFonts w:cs="Arial"/>
                <w:szCs w:val="20"/>
              </w:rPr>
            </w:pPr>
            <w:r>
              <w:rPr>
                <w:rFonts w:cs="Arial"/>
                <w:szCs w:val="20"/>
              </w:rPr>
              <w:t>CPF:</w:t>
            </w:r>
          </w:p>
          <w:p w14:paraId="75E5D553"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025FDE01"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28D64D37" w14:textId="77777777" w:rsidR="00B920AD" w:rsidRDefault="00B920AD" w:rsidP="00EA0A7D">
            <w:pPr>
              <w:spacing w:after="0" w:line="320" w:lineRule="exact"/>
              <w:contextualSpacing/>
              <w:rPr>
                <w:rFonts w:cs="Arial"/>
                <w:szCs w:val="20"/>
              </w:rPr>
            </w:pPr>
            <w:r>
              <w:rPr>
                <w:rFonts w:cs="Arial"/>
                <w:szCs w:val="20"/>
              </w:rPr>
              <w:t>CPF:</w:t>
            </w:r>
          </w:p>
          <w:p w14:paraId="405CFB04"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87EB7C4" w14:textId="77777777" w:rsidR="00B920AD" w:rsidRDefault="00B920AD" w:rsidP="00EA0A7D">
            <w:pPr>
              <w:spacing w:after="0" w:line="320" w:lineRule="exact"/>
              <w:contextualSpacing/>
              <w:rPr>
                <w:rFonts w:cs="Arial"/>
                <w:szCs w:val="20"/>
              </w:rPr>
            </w:pPr>
            <w:r>
              <w:rPr>
                <w:rFonts w:cs="Arial"/>
                <w:szCs w:val="20"/>
              </w:rPr>
              <w:t>CPF:</w:t>
            </w:r>
          </w:p>
          <w:p w14:paraId="405CB1A5"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Default="00B920AD" w:rsidP="00B920AD">
      <w:pPr>
        <w:tabs>
          <w:tab w:val="left" w:pos="709"/>
        </w:tabs>
        <w:suppressAutoHyphens/>
        <w:autoSpaceDE w:val="0"/>
        <w:autoSpaceDN w:val="0"/>
        <w:adjustRightInd w:val="0"/>
        <w:spacing w:line="320" w:lineRule="exact"/>
        <w:rPr>
          <w:rFonts w:eastAsia="Batang"/>
          <w:i/>
          <w:lang w:val="x-none"/>
        </w:rPr>
      </w:pPr>
      <w:r w:rsidRPr="00716A33">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716A33">
        <w:rPr>
          <w:rFonts w:eastAsia="Batang"/>
          <w:i/>
          <w:lang w:val="x-none"/>
        </w:rPr>
        <w:t xml:space="preserve"> do Instrumento Particular de Contrato de Alienação Fiduciária de Ações e Outras Avenças</w:t>
      </w:r>
      <w:r w:rsidRPr="00716A33">
        <w:rPr>
          <w:rFonts w:eastAsia="Batang"/>
          <w:i/>
        </w:rPr>
        <w:t>, celebrado em [=] de [=] de 2022</w:t>
      </w:r>
      <w:r w:rsidRPr="00716A33">
        <w:rPr>
          <w:rFonts w:eastAsia="Batang"/>
          <w:i/>
          <w:lang w:val="x-none"/>
        </w:rPr>
        <w:t>]</w:t>
      </w:r>
    </w:p>
    <w:p w14:paraId="2C04D006" w14:textId="77777777" w:rsidR="00B920AD" w:rsidRPr="00B920AD" w:rsidRDefault="00B920AD" w:rsidP="00B920AD">
      <w:pPr>
        <w:tabs>
          <w:tab w:val="left" w:pos="709"/>
        </w:tabs>
        <w:suppressAutoHyphens/>
        <w:autoSpaceDE w:val="0"/>
        <w:autoSpaceDN w:val="0"/>
        <w:adjustRightInd w:val="0"/>
        <w:spacing w:line="320" w:lineRule="exact"/>
        <w:rPr>
          <w:i/>
          <w:szCs w:val="20"/>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7777777" w:rsidR="00B920AD" w:rsidRPr="005A5C91" w:rsidRDefault="00B920AD" w:rsidP="00EA0A7D">
            <w:pPr>
              <w:spacing w:after="0" w:line="320" w:lineRule="exact"/>
              <w:contextualSpacing/>
              <w:rPr>
                <w:rFonts w:cs="Arial"/>
                <w:szCs w:val="20"/>
              </w:rPr>
            </w:pPr>
            <w:r>
              <w:rPr>
                <w:rFonts w:cs="Arial"/>
                <w:szCs w:val="20"/>
              </w:rPr>
              <w:t>E-mail:</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77777777" w:rsidR="00B920AD" w:rsidRPr="005A5C91" w:rsidRDefault="00B920AD" w:rsidP="00EA0A7D">
            <w:pPr>
              <w:spacing w:after="0" w:line="320" w:lineRule="exact"/>
              <w:contextualSpacing/>
              <w:rPr>
                <w:rFonts w:cs="Arial"/>
                <w:smallCaps/>
                <w:szCs w:val="20"/>
              </w:rPr>
            </w:pPr>
            <w:r>
              <w:rPr>
                <w:rFonts w:cs="Arial"/>
                <w:szCs w:val="20"/>
              </w:rPr>
              <w:t>E-mail:</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3D03D73C" w:rsidR="001144A8" w:rsidRDefault="00B920AD" w:rsidP="00517F48">
      <w:pPr>
        <w:pStyle w:val="MMSecAnexos"/>
        <w:numPr>
          <w:ilvl w:val="0"/>
          <w:numId w:val="5"/>
        </w:numPr>
      </w:pPr>
      <w:bookmarkStart w:id="64" w:name="_Ref89820823"/>
      <w:r>
        <w:lastRenderedPageBreak/>
        <w:t xml:space="preserve">- </w:t>
      </w:r>
      <w:r w:rsidR="001144A8">
        <w:rPr>
          <w:lang w:eastAsia="en-US"/>
        </w:rPr>
        <w:t>AÇÕES</w:t>
      </w:r>
      <w:bookmarkEnd w:id="64"/>
    </w:p>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65" w:name="_Ref89820854"/>
      <w:r w:rsidR="001144A8">
        <w:lastRenderedPageBreak/>
        <w:t xml:space="preserve">- </w:t>
      </w:r>
      <w:r w:rsidR="001144A8">
        <w:rPr>
          <w:lang w:eastAsia="en-US"/>
        </w:rPr>
        <w:t>OBRIGAÇÕES GARANTIDAS</w:t>
      </w:r>
      <w:bookmarkEnd w:id="65"/>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7777777"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 </w:t>
      </w:r>
      <w:r>
        <w:t>150</w:t>
      </w:r>
      <w:r w:rsidRPr="00E11D49">
        <w:t>.000.000,00 (</w:t>
      </w:r>
      <w:r>
        <w:t>cento e cinquenta</w:t>
      </w:r>
      <w:r w:rsidRPr="00E11D49">
        <w:t xml:space="preserve"> milhões de reais), na Data de Emissão (conforme definida abaixo)</w:t>
      </w:r>
      <w:r w:rsidRPr="00E11D49">
        <w:rPr>
          <w:rFonts w:cstheme="minorHAnsi"/>
        </w:rPr>
        <w:t>.</w:t>
      </w:r>
    </w:p>
    <w:p w14:paraId="29A7D49F" w14:textId="77777777"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150.000 (cento e cinquenta mil) Debêntures, em 2 (duas) séries, sendo 100.000 (cem mil) Debêntures da Primeira Série e 50.000 (cinquenta mil) Debêntures da Segunda Série</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77777777"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3D5B1E">
        <w:rPr>
          <w:highlight w:val="yellow"/>
          <w:lang w:eastAsia="ar-SA"/>
        </w:rPr>
        <w:t>=</w:t>
      </w:r>
      <w:r w:rsidRPr="00E11D49">
        <w:rPr>
          <w:lang w:eastAsia="ar-SA"/>
        </w:rPr>
        <w:t>] (“</w:t>
      </w:r>
      <w:r w:rsidRPr="00E11D49">
        <w:rPr>
          <w:u w:val="single"/>
          <w:lang w:eastAsia="ar-SA"/>
        </w:rPr>
        <w:t>Data de Vencimento da Primeira Série</w:t>
      </w:r>
      <w:r w:rsidRPr="00E11D49">
        <w:rPr>
          <w:lang w:eastAsia="ar-SA"/>
        </w:rPr>
        <w:t>”) e as Debêntures da Segunda Série terão prazo de 5 (cinco anos), vencendo-se, portanto, em [</w:t>
      </w:r>
      <w:r w:rsidRPr="003D5B1E">
        <w:rPr>
          <w:highlight w:val="yellow"/>
          <w:lang w:eastAsia="ar-SA"/>
        </w:rPr>
        <w:t>=</w:t>
      </w:r>
      <w:r w:rsidRPr="00E11D49">
        <w:rPr>
          <w:lang w:eastAsia="ar-SA"/>
        </w:rPr>
        <w:t>] (“</w:t>
      </w:r>
      <w:r w:rsidRPr="00E11D49">
        <w:rPr>
          <w:u w:val="single"/>
          <w:lang w:eastAsia="ar-SA"/>
        </w:rPr>
        <w:t>Data de Vencimento da Segunda Série</w:t>
      </w:r>
      <w:r w:rsidRPr="00E11D49">
        <w:rPr>
          <w:lang w:eastAsia="ar-SA"/>
        </w:rPr>
        <w:t>” e, em conjunto com a Data de Vencimento da Primeira Série, “</w:t>
      </w:r>
      <w:r w:rsidRPr="00E11D49">
        <w:rPr>
          <w:u w:val="single"/>
          <w:lang w:eastAsia="ar-SA"/>
        </w:rPr>
        <w:t>Data de Vencimento</w:t>
      </w:r>
      <w:r w:rsidRPr="00E11D49">
        <w:rPr>
          <w:lang w:eastAsia="ar-SA"/>
        </w:rPr>
        <w:t>”)</w:t>
      </w:r>
      <w:r w:rsidRPr="00E11D49">
        <w:t>.</w:t>
      </w:r>
    </w:p>
    <w:p w14:paraId="77B46FCB" w14:textId="77777777" w:rsidR="001144A8" w:rsidRPr="00E11D49" w:rsidRDefault="001144A8" w:rsidP="00520931">
      <w:pPr>
        <w:pStyle w:val="iMMSecurity"/>
        <w:ind w:left="709" w:hanging="709"/>
        <w:rPr>
          <w:bCs/>
        </w:rPr>
      </w:pPr>
      <w:r w:rsidRPr="00E11D49">
        <w:rPr>
          <w:b/>
          <w:lang w:eastAsia="ar-SA"/>
        </w:rPr>
        <w:t>Juros Remuneratórios</w:t>
      </w:r>
      <w:r>
        <w:rPr>
          <w:b/>
          <w:lang w:eastAsia="ar-SA"/>
        </w:rPr>
        <w:t xml:space="preserve"> das Debêntures da Primeira Série</w:t>
      </w:r>
      <w:r w:rsidRPr="00E11D49">
        <w:rPr>
          <w:b/>
          <w:lang w:eastAsia="ar-SA"/>
        </w:rPr>
        <w:t xml:space="preserve">: </w:t>
      </w:r>
      <w:r>
        <w:rPr>
          <w:b/>
          <w:lang w:eastAsia="ar-SA"/>
        </w:rPr>
        <w:t>[</w:t>
      </w:r>
      <w:r w:rsidRPr="00E11D49">
        <w:t xml:space="preserve">Sobre o Valor Nominal Unitário das Debêntures ou </w:t>
      </w:r>
      <w:r w:rsidRPr="006F115E">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w:t>
      </w:r>
      <w:r>
        <w:lastRenderedPageBreak/>
        <w:t xml:space="preserve">Série serão calculados </w:t>
      </w:r>
      <w:r w:rsidRPr="00235E97">
        <w:t xml:space="preserve">de acordo com </w:t>
      </w:r>
      <w:r>
        <w:t>a fórmula presente na Escritura de Emissão.]</w:t>
      </w:r>
    </w:p>
    <w:p w14:paraId="701B1A93" w14:textId="77777777" w:rsidR="001144A8" w:rsidRPr="00E11D49" w:rsidRDefault="001144A8" w:rsidP="00520931">
      <w:pPr>
        <w:pStyle w:val="iMMSecurity"/>
        <w:ind w:left="709" w:hanging="709"/>
        <w:rPr>
          <w:bCs/>
        </w:rPr>
      </w:pPr>
      <w:r>
        <w:rPr>
          <w:b/>
        </w:rPr>
        <w:t>Juros Remuneratórios das Debêntures da Segunda Série: [</w:t>
      </w:r>
      <w:r w:rsidRPr="00ED7341">
        <w:t xml:space="preserve">Sobre o Valor Nominal Unitário das Debêntures ou </w:t>
      </w:r>
      <w:r w:rsidRPr="006F115E">
        <w:rPr>
          <w:lang w:val="x-none"/>
        </w:rPr>
        <w:t xml:space="preserve">Valor Nominal </w:t>
      </w:r>
      <w:r w:rsidRPr="00ED7341">
        <w:t>Unitário atualizado das Debêntures, conforme aplicável,</w:t>
      </w:r>
      <w:r>
        <w:t xml:space="preserve"> </w:t>
      </w:r>
      <w:r w:rsidRPr="00235E97">
        <w:t xml:space="preserve">incidirão juros remuneratórios correspondentes à variação acumulada de 100% (cem por cento) das taxas médias diárias do DI – Depósito Interfinanceiro de um dia, “over </w:t>
      </w:r>
      <w:proofErr w:type="spellStart"/>
      <w:r w:rsidRPr="00235E97">
        <w:t>extra-grupo</w:t>
      </w:r>
      <w:proofErr w:type="spellEnd"/>
      <w:r w:rsidRPr="00235E97">
        <w:t>”, expressas na forma percentual ao ano, base 252 (duzentos e cinquenta e dois) Dias Úteis, calculadas e divulgadas diariamente pela B3 (“</w:t>
      </w:r>
      <w:r w:rsidRPr="00E11D49">
        <w:rPr>
          <w:u w:val="single"/>
        </w:rPr>
        <w:t>Taxa DI</w:t>
      </w:r>
      <w:r w:rsidRPr="00235E97">
        <w:t>”), acrescida de spread (sobretaxa) de 3,50% (três inteiros e cinquenta centésimos por cento) ao ano, base 252 (duzentos e cinquenta e dois) Dias Úteis (“</w:t>
      </w:r>
      <w:r w:rsidRPr="00E11D49">
        <w:rPr>
          <w:u w:val="single"/>
        </w:rPr>
        <w:t>Juros Remuneratórios da Segunda Série</w:t>
      </w:r>
      <w:r w:rsidRPr="00235E97">
        <w:t>”).</w:t>
      </w:r>
      <w:r>
        <w:t xml:space="preserve"> Os Juros Remuneratórios da Segunda Série serão calculados </w:t>
      </w:r>
      <w:r w:rsidRPr="00235E97">
        <w:t xml:space="preserve">de acordo com </w:t>
      </w:r>
      <w:r>
        <w:t>a fórmula presente na Escritura de Emissão.]</w:t>
      </w:r>
    </w:p>
    <w:p w14:paraId="169AAA0E" w14:textId="77777777" w:rsidR="001144A8" w:rsidRPr="00E11D49" w:rsidRDefault="001144A8" w:rsidP="00520931">
      <w:pPr>
        <w:pStyle w:val="iMMSecurity"/>
        <w:ind w:left="709" w:hanging="709"/>
        <w:rPr>
          <w:bCs/>
          <w:lang w:eastAsia="ar-SA"/>
        </w:rPr>
      </w:pPr>
      <w:r w:rsidRPr="00E11D49">
        <w:rPr>
          <w:b/>
          <w:lang w:eastAsia="ar-SA"/>
        </w:rPr>
        <w:t>Amortização Programada</w:t>
      </w:r>
      <w:r>
        <w:rPr>
          <w:b/>
          <w:lang w:eastAsia="ar-SA"/>
        </w:rPr>
        <w:t xml:space="preserve"> da Primeira Série</w:t>
      </w:r>
      <w:r w:rsidRPr="00E11D49">
        <w:rPr>
          <w:b/>
          <w:lang w:eastAsia="ar-SA"/>
        </w:rPr>
        <w:t xml:space="preserve">: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 da Primeira Série</w:t>
      </w:r>
      <w:r w:rsidRPr="00E11D49">
        <w:t xml:space="preserve">, conforme os percentuais </w:t>
      </w:r>
      <w:r>
        <w:t xml:space="preserve">e cronograma </w:t>
      </w:r>
      <w:r w:rsidRPr="00E11D49">
        <w:t>da tabela prevista na Escritura de Emissão.</w:t>
      </w:r>
    </w:p>
    <w:p w14:paraId="6B1FE96A" w14:textId="669BAAAC" w:rsidR="001144A8" w:rsidRPr="00E11D49" w:rsidRDefault="001144A8" w:rsidP="00520931">
      <w:pPr>
        <w:pStyle w:val="iMMSecurity"/>
        <w:ind w:left="709" w:hanging="709"/>
        <w:rPr>
          <w:lang w:eastAsia="ar-SA"/>
        </w:rPr>
      </w:pPr>
      <w:r w:rsidRPr="00E11D49">
        <w:rPr>
          <w:b/>
          <w:lang w:eastAsia="ar-SA"/>
        </w:rPr>
        <w:t xml:space="preserve">Amortização Programada da </w:t>
      </w:r>
      <w:r>
        <w:rPr>
          <w:b/>
          <w:lang w:eastAsia="ar-SA"/>
        </w:rPr>
        <w:t>Segunda</w:t>
      </w:r>
      <w:r w:rsidRPr="00E11D49">
        <w:rPr>
          <w:b/>
          <w:lang w:eastAsia="ar-SA"/>
        </w:rPr>
        <w:t xml:space="preserve"> Série</w:t>
      </w:r>
      <w:r w:rsidRPr="00386031">
        <w:rPr>
          <w:lang w:eastAsia="ar-SA"/>
        </w:rPr>
        <w:t>: O Valor Nominal Unitário atualizado será amortizado a partir de [</w:t>
      </w:r>
      <w:r w:rsidR="003D5B1E">
        <w:rPr>
          <w:lang w:eastAsia="ar-SA"/>
        </w:rPr>
        <w:t>(</w:t>
      </w:r>
      <w:r>
        <w:rPr>
          <w:highlight w:val="yellow"/>
          <w:lang w:eastAsia="ar-SA"/>
        </w:rPr>
        <w:t>=</w:t>
      </w:r>
      <w:r w:rsidRPr="003D5B1E">
        <w:rPr>
          <w:lang w:eastAsia="ar-SA"/>
        </w:rPr>
        <w:t>)]</w:t>
      </w:r>
      <w:r w:rsidRPr="00386031">
        <w:rPr>
          <w:lang w:eastAsia="ar-SA"/>
        </w:rPr>
        <w:t xml:space="preserve">, em 13 (treze) parcelas trimestrais, nas respectivas datas de amortização, sendo a última na Data de Vencimento da Segunda Série, conforme </w:t>
      </w:r>
      <w:r w:rsidRPr="00ED7341">
        <w:t xml:space="preserve">os percentuais </w:t>
      </w:r>
      <w:r>
        <w:t xml:space="preserve">e cronograma </w:t>
      </w:r>
      <w:r w:rsidRPr="00386031">
        <w:rPr>
          <w:lang w:eastAsia="ar-SA"/>
        </w:rPr>
        <w:t>da tabela prevista na Escritura de Emissão</w:t>
      </w:r>
      <w:r>
        <w:rPr>
          <w:lang w:eastAsia="ar-SA"/>
        </w:rPr>
        <w:t>.</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66"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66"/>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67" w:name="_Ref89820908"/>
      <w:r>
        <w:lastRenderedPageBreak/>
        <w:t xml:space="preserve">- </w:t>
      </w:r>
      <w:r>
        <w:rPr>
          <w:lang w:eastAsia="en-US"/>
        </w:rPr>
        <w:t>MODELO DE PROCURAÇÃO</w:t>
      </w:r>
      <w:bookmarkEnd w:id="67"/>
    </w:p>
    <w:p w14:paraId="4DEFD47C" w14:textId="77777777" w:rsidR="00D01355" w:rsidRDefault="00D01355" w:rsidP="00D01355">
      <w:pPr>
        <w:spacing w:after="0" w:line="320" w:lineRule="exact"/>
        <w:contextualSpacing/>
        <w:rPr>
          <w:rFonts w:cs="Arial"/>
          <w:szCs w:val="20"/>
        </w:rPr>
      </w:pPr>
    </w:p>
    <w:p w14:paraId="21A67485" w14:textId="77777777"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68"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68"/>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69"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69"/>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2A07257F" w14:textId="3122A348" w:rsidR="00D01355" w:rsidRPr="00A2620F" w:rsidRDefault="00D01355" w:rsidP="003D5B1E">
      <w:pPr>
        <w:pStyle w:val="aMMSecurity"/>
      </w:pPr>
      <w:r w:rsidRPr="00A2620F">
        <w:lastRenderedPageBreak/>
        <w:t>registrar o Contrato de Alienação Fiduciária e quaisquer de seus aditamentos, perante os Cartórios de Registros de Títulos e Documentos da sede das Partes, caso as Outorgantes não o façam;</w:t>
      </w:r>
    </w:p>
    <w:p w14:paraId="0FAA4E8F" w14:textId="77777777" w:rsidR="00D01355" w:rsidRPr="00A2620F" w:rsidRDefault="00D01355" w:rsidP="003D5B1E">
      <w:pPr>
        <w:pStyle w:val="aMMSecurity"/>
      </w:pPr>
      <w:r w:rsidRPr="00A2620F">
        <w:t>exercer todos os atos necessários à conservação e defesa dos Bens Alienados Fiduciariamente;</w:t>
      </w:r>
    </w:p>
    <w:p w14:paraId="43710E5A" w14:textId="790CF88F" w:rsidR="00D01355" w:rsidRPr="00A2620F" w:rsidRDefault="00D01355" w:rsidP="003D5B1E">
      <w:pPr>
        <w:pStyle w:val="aMMSecurity"/>
      </w:pPr>
      <w:r w:rsidRPr="00A2620F">
        <w:t xml:space="preserve"> firmar qualquer documento e praticar qualquer ato em nome das Outorgantes necessário para constituir, conservar, formalizar e validar a </w:t>
      </w:r>
      <w:proofErr w:type="gramStart"/>
      <w:r w:rsidRPr="00A2620F">
        <w:t>referidas alienação</w:t>
      </w:r>
      <w:proofErr w:type="gramEnd"/>
      <w:r w:rsidRPr="00A2620F">
        <w:t xml:space="preserve"> e cessão fiduciária e aditar o Contrato de Alienação Fiduciária para os fins de sua Cláusula </w:t>
      </w:r>
      <w:r w:rsidR="003D5B1E">
        <w:fldChar w:fldCharType="begin"/>
      </w:r>
      <w:r w:rsidR="003D5B1E">
        <w:instrText xml:space="preserve"> REF _Ref89821670 \r \h </w:instrText>
      </w:r>
      <w:r w:rsidR="003D5B1E">
        <w:fldChar w:fldCharType="separate"/>
      </w:r>
      <w:r w:rsidR="003D5B1E">
        <w:t>2.3</w:t>
      </w:r>
      <w:r w:rsidR="003D5B1E">
        <w:fldChar w:fldCharType="end"/>
      </w:r>
      <w:r w:rsidRPr="00A2620F">
        <w:t xml:space="preserve">;  </w:t>
      </w:r>
    </w:p>
    <w:p w14:paraId="3C1FF7F5" w14:textId="77777777" w:rsidR="00D01355" w:rsidRPr="00A2620F" w:rsidRDefault="00D01355" w:rsidP="003D5B1E">
      <w:pPr>
        <w:pStyle w:val="aMMSecurity"/>
      </w:pPr>
      <w:r w:rsidRPr="00A2620F">
        <w:t xml:space="preserve">em caso de declaração </w:t>
      </w:r>
      <w:r>
        <w:t>de vencimento antecipado</w:t>
      </w:r>
      <w:r w:rsidRPr="00A2620F">
        <w:t xml:space="preserve">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6C1CD081" w14:textId="77777777" w:rsidR="00D01355" w:rsidRPr="00A2620F" w:rsidRDefault="00D01355" w:rsidP="003D5B1E">
      <w:pPr>
        <w:pStyle w:val="aMMSecurity"/>
      </w:pPr>
      <w:r w:rsidRPr="00A2620F">
        <w:t>substabelecer os poderes ora conferidos, com reserva de iguais poderes, para exercício dos seus direitos e prerrogativas previstos nesta procuração e no Contrato de Alienação Fiduciária; e</w:t>
      </w:r>
    </w:p>
    <w:p w14:paraId="18E6A295" w14:textId="77777777" w:rsidR="00D01355" w:rsidRPr="00A2620F" w:rsidRDefault="00D01355" w:rsidP="003D5B1E">
      <w:pPr>
        <w:pStyle w:val="aMMSecurity"/>
      </w:pPr>
      <w:r w:rsidRPr="00A2620F">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77777777"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deverá ser irrevogável, válida e exequível até o pagamento e liberação integral das Obrigações </w:t>
      </w:r>
      <w:r w:rsidRPr="00A2620F">
        <w:rPr>
          <w:color w:val="000000"/>
        </w:rPr>
        <w:t>Garantidas</w:t>
      </w:r>
      <w:r w:rsidRPr="00A2620F">
        <w:t>.</w:t>
      </w:r>
    </w:p>
    <w:p w14:paraId="56BC4ACB" w14:textId="1491EE2B"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e 685</w:t>
      </w:r>
      <w:r w:rsidRPr="00A2620F">
        <w:t xml:space="preserve"> 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70" w:name="_Ref17296825"/>
      <w:bookmarkStart w:id="71" w:name="_Ref17241889"/>
      <w:r>
        <w:lastRenderedPageBreak/>
        <w:t xml:space="preserve">- </w:t>
      </w:r>
      <w:r w:rsidRPr="00647EB0">
        <w:rPr>
          <w:lang w:eastAsia="en-US"/>
        </w:rPr>
        <w:t>CUMPRIMENTO DE CONDIÇÃO SUSPENSIVA</w:t>
      </w:r>
      <w:bookmarkEnd w:id="70"/>
      <w:bookmarkEnd w:id="71"/>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647EB0" w:rsidRDefault="009861AE" w:rsidP="00AA44B0">
      <w:pPr>
        <w:spacing w:line="320" w:lineRule="exact"/>
        <w:rPr>
          <w:szCs w:val="20"/>
          <w:bdr w:val="none" w:sz="0" w:space="0" w:color="auto" w:frame="1"/>
          <w:lang w:val="pt-PT"/>
        </w:rPr>
      </w:pPr>
    </w:p>
    <w:p w14:paraId="4DCCBFB8" w14:textId="77777777"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14:paraId="42E3D5E7" w14:textId="33D4A8EE"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w:t>
      </w:r>
      <w:r w:rsidRPr="001144A8">
        <w:rPr>
          <w:szCs w:val="20"/>
          <w:bdr w:val="none" w:sz="0" w:space="0" w:color="auto" w:frame="1"/>
          <w:lang w:val="pt-PT"/>
        </w:rPr>
        <w:t xml:space="preserve">na Cláusula </w:t>
      </w:r>
      <w:r w:rsidR="001144A8" w:rsidRPr="001144A8">
        <w:rPr>
          <w:szCs w:val="20"/>
          <w:bdr w:val="none" w:sz="0" w:space="0" w:color="auto" w:frame="1"/>
          <w:lang w:val="pt-PT"/>
        </w:rPr>
        <w:fldChar w:fldCharType="begin"/>
      </w:r>
      <w:r w:rsidR="001144A8" w:rsidRPr="001144A8">
        <w:rPr>
          <w:szCs w:val="20"/>
          <w:bdr w:val="none" w:sz="0" w:space="0" w:color="auto" w:frame="1"/>
          <w:lang w:val="pt-PT"/>
        </w:rPr>
        <w:instrText xml:space="preserve"> REF _Ref89820468 \r \h </w:instrText>
      </w:r>
      <w:r w:rsidR="001144A8">
        <w:rPr>
          <w:szCs w:val="20"/>
          <w:bdr w:val="none" w:sz="0" w:space="0" w:color="auto" w:frame="1"/>
          <w:lang w:val="pt-PT"/>
        </w:rPr>
        <w:instrText xml:space="preserve"> \* MERGEFORMAT </w:instrText>
      </w:r>
      <w:r w:rsidR="001144A8" w:rsidRPr="001144A8">
        <w:rPr>
          <w:szCs w:val="20"/>
          <w:bdr w:val="none" w:sz="0" w:space="0" w:color="auto" w:frame="1"/>
          <w:lang w:val="pt-PT"/>
        </w:rPr>
      </w:r>
      <w:r w:rsidR="001144A8" w:rsidRPr="001144A8">
        <w:rPr>
          <w:szCs w:val="20"/>
          <w:bdr w:val="none" w:sz="0" w:space="0" w:color="auto" w:frame="1"/>
          <w:lang w:val="pt-PT"/>
        </w:rPr>
        <w:fldChar w:fldCharType="separate"/>
      </w:r>
      <w:r w:rsidR="001144A8" w:rsidRPr="001144A8">
        <w:rPr>
          <w:szCs w:val="20"/>
          <w:bdr w:val="none" w:sz="0" w:space="0" w:color="auto" w:frame="1"/>
          <w:lang w:val="pt-PT"/>
        </w:rPr>
        <w:t>9.6</w:t>
      </w:r>
      <w:r w:rsidR="001144A8" w:rsidRPr="001144A8">
        <w:rPr>
          <w:szCs w:val="20"/>
          <w:bdr w:val="none" w:sz="0" w:space="0" w:color="auto" w:frame="1"/>
          <w:lang w:val="pt-PT"/>
        </w:rPr>
        <w:fldChar w:fldCharType="end"/>
      </w:r>
      <w:r w:rsidR="001144A8" w:rsidRPr="001144A8">
        <w:rPr>
          <w:szCs w:val="20"/>
          <w:bdr w:val="none" w:sz="0" w:space="0" w:color="auto" w:frame="1"/>
          <w:lang w:val="pt-PT"/>
        </w:rPr>
        <w:t xml:space="preserve"> </w:t>
      </w:r>
      <w:r w:rsidRPr="001144A8">
        <w:rPr>
          <w:szCs w:val="20"/>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1144A8">
        <w:rPr>
          <w:szCs w:val="20"/>
          <w:bdr w:val="none" w:sz="0" w:space="0" w:color="auto" w:frame="1"/>
          <w:lang w:val="pt-PT"/>
        </w:rPr>
        <w:t>, celebrado</w:t>
      </w:r>
      <w:r w:rsidRPr="00647EB0">
        <w:rPr>
          <w:szCs w:val="20"/>
          <w:bdr w:val="none" w:sz="0" w:space="0" w:color="auto" w:frame="1"/>
          <w:lang w:val="pt-PT"/>
        </w:rPr>
        <w:t xml:space="preserve"> em </w:t>
      </w:r>
      <w:r w:rsidR="001144A8">
        <w:rPr>
          <w:szCs w:val="20"/>
          <w:bdr w:val="none" w:sz="0" w:space="0" w:color="auto" w:frame="1"/>
          <w:lang w:val="pt-PT"/>
        </w:rPr>
        <w:t>[</w:t>
      </w:r>
      <w:r w:rsidR="001144A8" w:rsidRPr="003D5B1E">
        <w:rPr>
          <w:szCs w:val="20"/>
          <w:highlight w:val="yellow"/>
          <w:bdr w:val="none" w:sz="0" w:space="0" w:color="auto" w:frame="1"/>
          <w:lang w:val="pt-PT"/>
        </w:rPr>
        <w:t>=</w:t>
      </w:r>
      <w:r w:rsidR="001144A8">
        <w:rPr>
          <w:szCs w:val="20"/>
          <w:bdr w:val="none" w:sz="0" w:space="0" w:color="auto" w:frame="1"/>
          <w:lang w:val="pt-PT"/>
        </w:rPr>
        <w:t xml:space="preserve">] </w:t>
      </w:r>
      <w:r w:rsidRPr="00647EB0">
        <w:rPr>
          <w:szCs w:val="20"/>
          <w:bdr w:val="none" w:sz="0" w:space="0" w:color="auto" w:frame="1"/>
          <w:lang w:val="pt-PT"/>
        </w:rPr>
        <w:t>de 20</w:t>
      </w:r>
      <w:r w:rsidR="001144A8">
        <w:rPr>
          <w:szCs w:val="20"/>
          <w:bdr w:val="none" w:sz="0" w:space="0" w:color="auto" w:frame="1"/>
          <w:lang w:val="pt-PT"/>
        </w:rPr>
        <w:t>22</w:t>
      </w:r>
      <w:r w:rsidRPr="00647EB0">
        <w:rPr>
          <w:szCs w:val="20"/>
          <w:bdr w:val="none" w:sz="0" w:space="0" w:color="auto" w:frame="1"/>
          <w:lang w:val="pt-PT"/>
        </w:rPr>
        <w:t xml:space="preserve">, entre a Queiroz Galvão </w:t>
      </w:r>
      <w:r w:rsidR="001144A8">
        <w:rPr>
          <w:szCs w:val="20"/>
          <w:bdr w:val="none" w:sz="0" w:space="0" w:color="auto" w:frame="1"/>
          <w:lang w:val="pt-PT"/>
        </w:rPr>
        <w:t xml:space="preserve">Desenvolvimento de Negócios </w:t>
      </w:r>
      <w:r w:rsidRPr="00647EB0">
        <w:rPr>
          <w:szCs w:val="20"/>
          <w:bdr w:val="none" w:sz="0" w:space="0" w:color="auto" w:frame="1"/>
          <w:lang w:val="pt-PT"/>
        </w:rPr>
        <w:t>S.A. (“</w:t>
      </w:r>
      <w:r w:rsidR="001144A8">
        <w:rPr>
          <w:szCs w:val="20"/>
          <w:u w:val="single"/>
          <w:bdr w:val="none" w:sz="0" w:space="0" w:color="auto" w:frame="1"/>
          <w:lang w:val="pt-PT"/>
        </w:rPr>
        <w:t>Acionista</w:t>
      </w:r>
      <w:r w:rsidRPr="00647EB0">
        <w:rPr>
          <w:szCs w:val="20"/>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72" w:name="_Hlk16007120"/>
      <w:bookmarkStart w:id="73"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74" w:name="_Hlk17331953"/>
      <w:bookmarkEnd w:id="72"/>
      <w:bookmarkEnd w:id="73"/>
      <w:r w:rsidR="001144A8">
        <w:rPr>
          <w:rFonts w:cs="Arial"/>
          <w:szCs w:val="20"/>
        </w:rPr>
        <w:t xml:space="preserve"> </w:t>
      </w:r>
      <w:bookmarkEnd w:id="74"/>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647EB0">
        <w:rPr>
          <w:szCs w:val="20"/>
          <w:bdr w:val="none" w:sz="0" w:space="0" w:color="auto" w:frame="1"/>
          <w:lang w:val="pt-PT"/>
        </w:rPr>
        <w:t xml:space="preserve">que a Condição Suspensiva foi integralmente cumprida </w:t>
      </w:r>
      <w:r w:rsidR="001144A8">
        <w:rPr>
          <w:szCs w:val="20"/>
          <w:bdr w:val="none" w:sz="0" w:space="0" w:color="auto" w:frame="1"/>
          <w:lang w:val="pt-PT"/>
        </w:rPr>
        <w:t xml:space="preserve">pela Companhia e Acionista </w:t>
      </w:r>
      <w:r w:rsidRPr="00647EB0">
        <w:rPr>
          <w:szCs w:val="20"/>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82"/>
      <w:headerReference w:type="default" r:id="rId83"/>
      <w:footerReference w:type="even" r:id="rId84"/>
      <w:footerReference w:type="default" r:id="rId85"/>
      <w:headerReference w:type="first" r:id="rId86"/>
      <w:footerReference w:type="first" r:id="rId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8E187" w14:textId="77777777" w:rsidR="00894E36" w:rsidRDefault="00894E36" w:rsidP="005D04C7">
      <w:pPr>
        <w:spacing w:before="0" w:after="0" w:line="240" w:lineRule="auto"/>
      </w:pPr>
      <w:r>
        <w:separator/>
      </w:r>
    </w:p>
  </w:endnote>
  <w:endnote w:type="continuationSeparator" w:id="0">
    <w:p w14:paraId="723D8B3D" w14:textId="77777777" w:rsidR="00894E36" w:rsidRDefault="00894E36" w:rsidP="005D04C7">
      <w:pPr>
        <w:spacing w:before="0" w:after="0" w:line="240" w:lineRule="auto"/>
      </w:pPr>
      <w:r>
        <w:continuationSeparator/>
      </w:r>
    </w:p>
  </w:endnote>
  <w:endnote w:type="continuationNotice" w:id="1">
    <w:p w14:paraId="118BE2AD" w14:textId="77777777" w:rsidR="00894E36" w:rsidRDefault="00894E36"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833434"/>
      <w:docPartObj>
        <w:docPartGallery w:val="Page Numbers (Bottom of Page)"/>
        <w:docPartUnique/>
      </w:docPartObj>
    </w:sdtPr>
    <w:sdtEndPr/>
    <w:sdtContent>
      <w:p w14:paraId="2419E6A6" w14:textId="062650C9" w:rsidR="00EA0A7D" w:rsidRDefault="00EA0A7D">
        <w:pPr>
          <w:pStyle w:val="Rodap"/>
          <w:jc w:val="right"/>
        </w:pPr>
        <w:r>
          <w:fldChar w:fldCharType="begin"/>
        </w:r>
        <w:r>
          <w:instrText>PAGE   \* MERGEFORMAT</w:instrText>
        </w:r>
        <w:r>
          <w:fldChar w:fldCharType="separate"/>
        </w:r>
        <w:r w:rsidR="00E0428E">
          <w:rPr>
            <w:noProof/>
          </w:rPr>
          <w:t>9</w:t>
        </w:r>
        <w:r>
          <w:fldChar w:fldCharType="end"/>
        </w:r>
      </w:p>
    </w:sdtContent>
  </w:sdt>
  <w:p w14:paraId="10B22887" w14:textId="77777777" w:rsidR="00EA0A7D" w:rsidRPr="005D04C7" w:rsidRDefault="00EA0A7D" w:rsidP="005D04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FCC2" w14:textId="77777777" w:rsidR="00EA0A7D" w:rsidRDefault="00EA0A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81320"/>
      <w:docPartObj>
        <w:docPartGallery w:val="Page Numbers (Bottom of Page)"/>
        <w:docPartUnique/>
      </w:docPartObj>
    </w:sdtPr>
    <w:sdtEndPr/>
    <w:sdtContent>
      <w:p w14:paraId="14CEB047" w14:textId="02F6F461" w:rsidR="00EA0A7D" w:rsidRDefault="00EA0A7D">
        <w:pPr>
          <w:pStyle w:val="Rodap"/>
          <w:jc w:val="right"/>
        </w:pPr>
        <w:r>
          <w:fldChar w:fldCharType="begin"/>
        </w:r>
        <w:r>
          <w:instrText>PAGE   \* MERGEFORMAT</w:instrText>
        </w:r>
        <w:r>
          <w:fldChar w:fldCharType="separate"/>
        </w:r>
        <w:r w:rsidR="00E0428E">
          <w:rPr>
            <w:noProof/>
          </w:rPr>
          <w:t>27</w:t>
        </w:r>
        <w:r>
          <w:fldChar w:fldCharType="end"/>
        </w:r>
      </w:p>
    </w:sdtContent>
  </w:sdt>
  <w:p w14:paraId="584D4F36" w14:textId="77777777" w:rsidR="00EA0A7D" w:rsidRPr="005D04C7" w:rsidRDefault="00EA0A7D" w:rsidP="005D04C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6E26" w14:textId="77777777" w:rsidR="00EA0A7D" w:rsidRDefault="00EA0A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7AD81" w14:textId="77777777" w:rsidR="00894E36" w:rsidRDefault="00894E36" w:rsidP="005D04C7">
      <w:pPr>
        <w:spacing w:before="0" w:after="0" w:line="240" w:lineRule="auto"/>
      </w:pPr>
      <w:r>
        <w:separator/>
      </w:r>
    </w:p>
  </w:footnote>
  <w:footnote w:type="continuationSeparator" w:id="0">
    <w:p w14:paraId="3FBFDDD3" w14:textId="77777777" w:rsidR="00894E36" w:rsidRDefault="00894E36" w:rsidP="005D04C7">
      <w:pPr>
        <w:spacing w:before="0" w:after="0" w:line="240" w:lineRule="auto"/>
      </w:pPr>
      <w:r>
        <w:continuationSeparator/>
      </w:r>
    </w:p>
  </w:footnote>
  <w:footnote w:type="continuationNotice" w:id="1">
    <w:p w14:paraId="27A3416A" w14:textId="77777777" w:rsidR="00894E36" w:rsidRDefault="00894E36"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16C46" w14:textId="57E56814" w:rsidR="00EA0A7D" w:rsidRDefault="00EA0A7D" w:rsidP="005D04C7">
    <w:pPr>
      <w:pStyle w:val="Cabealho"/>
      <w:jc w:val="right"/>
      <w:rPr>
        <w:rFonts w:ascii="Verdana" w:hAnsi="Verdana"/>
        <w:i/>
        <w:sz w:val="18"/>
        <w:lang w:val="pt-BR"/>
      </w:rPr>
    </w:pPr>
    <w:r>
      <w:rPr>
        <w:rFonts w:ascii="Verdana" w:hAnsi="Verdana"/>
        <w:i/>
        <w:sz w:val="18"/>
        <w:lang w:val="pt-BR"/>
      </w:rPr>
      <w:t>Minuta preliminar para discussão</w:t>
    </w:r>
  </w:p>
  <w:p w14:paraId="16D6A454" w14:textId="71561DDB" w:rsidR="00EA0A7D" w:rsidRPr="005D04C7" w:rsidRDefault="00EA0A7D" w:rsidP="005D04C7">
    <w:pPr>
      <w:pStyle w:val="Cabealho"/>
      <w:jc w:val="right"/>
      <w:rPr>
        <w:rFonts w:ascii="Verdana" w:hAnsi="Verdana"/>
        <w:i/>
        <w:sz w:val="18"/>
        <w:lang w:val="pt-BR"/>
      </w:rPr>
    </w:pPr>
    <w:r>
      <w:rPr>
        <w:rFonts w:ascii="Verdana" w:hAnsi="Verdana"/>
        <w:i/>
        <w:sz w:val="18"/>
        <w:lang w:val="pt-BR"/>
      </w:rPr>
      <w:t xml:space="preserve">Machado Meyer </w:t>
    </w:r>
    <w:r w:rsidR="00520931">
      <w:rPr>
        <w:rFonts w:ascii="Verdana" w:hAnsi="Verdana"/>
        <w:i/>
        <w:sz w:val="18"/>
        <w:lang w:val="pt-BR"/>
      </w:rPr>
      <w:t>13</w:t>
    </w:r>
    <w:r>
      <w:rPr>
        <w:rFonts w:ascii="Verdana" w:hAnsi="Verdana"/>
        <w:i/>
        <w:sz w:val="18"/>
        <w:lang w:val="pt-BR"/>
      </w:rPr>
      <w:t xml:space="preserve"> de dezembro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FF94" w14:textId="77777777" w:rsidR="00EA0A7D" w:rsidRDefault="00EA0A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92C9" w14:textId="77777777" w:rsidR="00EA0A7D" w:rsidRDefault="00EA0A7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4B75" w14:textId="77777777" w:rsidR="00EA0A7D" w:rsidRDefault="00EA0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6"/>
    </w:lvlOverride>
    <w:lvlOverride w:ilvl="2">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6AA7"/>
    <w:rsid w:val="000A79CB"/>
    <w:rsid w:val="000B0CE5"/>
    <w:rsid w:val="000B0D7E"/>
    <w:rsid w:val="000B2F4B"/>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01C"/>
    <w:rsid w:val="000F63F7"/>
    <w:rsid w:val="000F654C"/>
    <w:rsid w:val="000F7033"/>
    <w:rsid w:val="00100F32"/>
    <w:rsid w:val="00101447"/>
    <w:rsid w:val="001018F2"/>
    <w:rsid w:val="00101C46"/>
    <w:rsid w:val="00103ADA"/>
    <w:rsid w:val="0010581B"/>
    <w:rsid w:val="00105834"/>
    <w:rsid w:val="00107488"/>
    <w:rsid w:val="00110C4D"/>
    <w:rsid w:val="001111C3"/>
    <w:rsid w:val="00113670"/>
    <w:rsid w:val="001137E5"/>
    <w:rsid w:val="00114222"/>
    <w:rsid w:val="001144A8"/>
    <w:rsid w:val="00114DE8"/>
    <w:rsid w:val="001174E0"/>
    <w:rsid w:val="00120130"/>
    <w:rsid w:val="00120F99"/>
    <w:rsid w:val="00123801"/>
    <w:rsid w:val="00124DC9"/>
    <w:rsid w:val="00125815"/>
    <w:rsid w:val="00125D2A"/>
    <w:rsid w:val="00126722"/>
    <w:rsid w:val="0012739F"/>
    <w:rsid w:val="001313F6"/>
    <w:rsid w:val="0013370F"/>
    <w:rsid w:val="0013417A"/>
    <w:rsid w:val="00134DF1"/>
    <w:rsid w:val="00135FEC"/>
    <w:rsid w:val="00137E8B"/>
    <w:rsid w:val="001402D0"/>
    <w:rsid w:val="00143F76"/>
    <w:rsid w:val="00144C8E"/>
    <w:rsid w:val="00145417"/>
    <w:rsid w:val="00145584"/>
    <w:rsid w:val="00145EBC"/>
    <w:rsid w:val="00146020"/>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3B9E"/>
    <w:rsid w:val="002346AC"/>
    <w:rsid w:val="00234CC4"/>
    <w:rsid w:val="00235013"/>
    <w:rsid w:val="002350D8"/>
    <w:rsid w:val="002359DB"/>
    <w:rsid w:val="00235B0F"/>
    <w:rsid w:val="002360C4"/>
    <w:rsid w:val="0024032A"/>
    <w:rsid w:val="00240407"/>
    <w:rsid w:val="00240883"/>
    <w:rsid w:val="00242710"/>
    <w:rsid w:val="00242BC0"/>
    <w:rsid w:val="0024399E"/>
    <w:rsid w:val="00245D35"/>
    <w:rsid w:val="0024690D"/>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009"/>
    <w:rsid w:val="00302302"/>
    <w:rsid w:val="003024FA"/>
    <w:rsid w:val="003025BF"/>
    <w:rsid w:val="003060F5"/>
    <w:rsid w:val="003106D7"/>
    <w:rsid w:val="003114D3"/>
    <w:rsid w:val="003132F1"/>
    <w:rsid w:val="00316695"/>
    <w:rsid w:val="003169CA"/>
    <w:rsid w:val="00317ABD"/>
    <w:rsid w:val="00320C04"/>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3122"/>
    <w:rsid w:val="00343297"/>
    <w:rsid w:val="00344BCD"/>
    <w:rsid w:val="003450B1"/>
    <w:rsid w:val="00345C00"/>
    <w:rsid w:val="00347364"/>
    <w:rsid w:val="00350545"/>
    <w:rsid w:val="00350950"/>
    <w:rsid w:val="00351DD0"/>
    <w:rsid w:val="0035301F"/>
    <w:rsid w:val="00354C5E"/>
    <w:rsid w:val="0035519A"/>
    <w:rsid w:val="00356C75"/>
    <w:rsid w:val="003605F7"/>
    <w:rsid w:val="00360D2C"/>
    <w:rsid w:val="003613BE"/>
    <w:rsid w:val="00361B34"/>
    <w:rsid w:val="0036229D"/>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D5B1E"/>
    <w:rsid w:val="003D5F59"/>
    <w:rsid w:val="003E05E3"/>
    <w:rsid w:val="003E0D08"/>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145E"/>
    <w:rsid w:val="00472CA4"/>
    <w:rsid w:val="00474383"/>
    <w:rsid w:val="00474F92"/>
    <w:rsid w:val="00477136"/>
    <w:rsid w:val="00480E4E"/>
    <w:rsid w:val="0048188A"/>
    <w:rsid w:val="00482179"/>
    <w:rsid w:val="004827B9"/>
    <w:rsid w:val="004830FA"/>
    <w:rsid w:val="004862AC"/>
    <w:rsid w:val="004868C7"/>
    <w:rsid w:val="0048743B"/>
    <w:rsid w:val="004874A5"/>
    <w:rsid w:val="0048774E"/>
    <w:rsid w:val="00490080"/>
    <w:rsid w:val="00492757"/>
    <w:rsid w:val="004939CE"/>
    <w:rsid w:val="00493BCC"/>
    <w:rsid w:val="00494479"/>
    <w:rsid w:val="004944FD"/>
    <w:rsid w:val="0049564A"/>
    <w:rsid w:val="00497DF6"/>
    <w:rsid w:val="004A103D"/>
    <w:rsid w:val="004A58D9"/>
    <w:rsid w:val="004A5914"/>
    <w:rsid w:val="004A6818"/>
    <w:rsid w:val="004B03AD"/>
    <w:rsid w:val="004B0667"/>
    <w:rsid w:val="004B1B57"/>
    <w:rsid w:val="004B2C05"/>
    <w:rsid w:val="004B51B7"/>
    <w:rsid w:val="004B5CCE"/>
    <w:rsid w:val="004B6BE8"/>
    <w:rsid w:val="004C15F7"/>
    <w:rsid w:val="004C1829"/>
    <w:rsid w:val="004C2461"/>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136"/>
    <w:rsid w:val="004F7369"/>
    <w:rsid w:val="004F7503"/>
    <w:rsid w:val="0050062D"/>
    <w:rsid w:val="00502007"/>
    <w:rsid w:val="00503A48"/>
    <w:rsid w:val="00506DA0"/>
    <w:rsid w:val="00507B9E"/>
    <w:rsid w:val="005108A2"/>
    <w:rsid w:val="005117EE"/>
    <w:rsid w:val="00512B26"/>
    <w:rsid w:val="00514608"/>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43D88"/>
    <w:rsid w:val="005503EC"/>
    <w:rsid w:val="00550F43"/>
    <w:rsid w:val="00551C6B"/>
    <w:rsid w:val="00552523"/>
    <w:rsid w:val="00554345"/>
    <w:rsid w:val="0055461C"/>
    <w:rsid w:val="00557297"/>
    <w:rsid w:val="0055732E"/>
    <w:rsid w:val="00557974"/>
    <w:rsid w:val="00560134"/>
    <w:rsid w:val="00562068"/>
    <w:rsid w:val="005628D5"/>
    <w:rsid w:val="00564A10"/>
    <w:rsid w:val="00566002"/>
    <w:rsid w:val="00566C26"/>
    <w:rsid w:val="0056789D"/>
    <w:rsid w:val="00574146"/>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02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0C81"/>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65AA2"/>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1A98"/>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386"/>
    <w:rsid w:val="00742A4F"/>
    <w:rsid w:val="007441DF"/>
    <w:rsid w:val="00744A73"/>
    <w:rsid w:val="00745E17"/>
    <w:rsid w:val="00746903"/>
    <w:rsid w:val="00750A78"/>
    <w:rsid w:val="00750D6C"/>
    <w:rsid w:val="007522B4"/>
    <w:rsid w:val="0075254B"/>
    <w:rsid w:val="00753474"/>
    <w:rsid w:val="00753F66"/>
    <w:rsid w:val="007548C1"/>
    <w:rsid w:val="00755135"/>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92B"/>
    <w:rsid w:val="0078422F"/>
    <w:rsid w:val="00786923"/>
    <w:rsid w:val="0079114E"/>
    <w:rsid w:val="00792CED"/>
    <w:rsid w:val="0079634B"/>
    <w:rsid w:val="007964B0"/>
    <w:rsid w:val="007A1050"/>
    <w:rsid w:val="007A2469"/>
    <w:rsid w:val="007A2BC7"/>
    <w:rsid w:val="007A3518"/>
    <w:rsid w:val="007A3E98"/>
    <w:rsid w:val="007A4069"/>
    <w:rsid w:val="007A4A2D"/>
    <w:rsid w:val="007A4F1D"/>
    <w:rsid w:val="007A5911"/>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4E36"/>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FA9"/>
    <w:rsid w:val="008F01B9"/>
    <w:rsid w:val="008F0381"/>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96A"/>
    <w:rsid w:val="0091390E"/>
    <w:rsid w:val="0091512C"/>
    <w:rsid w:val="00921FFF"/>
    <w:rsid w:val="009224E5"/>
    <w:rsid w:val="009227D1"/>
    <w:rsid w:val="00923C8A"/>
    <w:rsid w:val="00925F3C"/>
    <w:rsid w:val="0092614E"/>
    <w:rsid w:val="00926467"/>
    <w:rsid w:val="009267C5"/>
    <w:rsid w:val="00926B22"/>
    <w:rsid w:val="00927425"/>
    <w:rsid w:val="009279F0"/>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00A"/>
    <w:rsid w:val="00A87DA5"/>
    <w:rsid w:val="00A9009F"/>
    <w:rsid w:val="00A90628"/>
    <w:rsid w:val="00A91CC7"/>
    <w:rsid w:val="00A92080"/>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DB5"/>
    <w:rsid w:val="00AE0F4F"/>
    <w:rsid w:val="00AE1FF1"/>
    <w:rsid w:val="00AE2830"/>
    <w:rsid w:val="00AE3356"/>
    <w:rsid w:val="00AE4071"/>
    <w:rsid w:val="00AE5220"/>
    <w:rsid w:val="00AE7A7A"/>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381B"/>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70D5A"/>
    <w:rsid w:val="00B71066"/>
    <w:rsid w:val="00B729B5"/>
    <w:rsid w:val="00B72DE1"/>
    <w:rsid w:val="00B74603"/>
    <w:rsid w:val="00B77219"/>
    <w:rsid w:val="00B81646"/>
    <w:rsid w:val="00B81A5E"/>
    <w:rsid w:val="00B81E22"/>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6681"/>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4D2E"/>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657"/>
    <w:rsid w:val="00C648D8"/>
    <w:rsid w:val="00C64A14"/>
    <w:rsid w:val="00C65CE1"/>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1355"/>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AC7"/>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0E03"/>
    <w:rsid w:val="00DF1567"/>
    <w:rsid w:val="00DF2DDB"/>
    <w:rsid w:val="00DF4079"/>
    <w:rsid w:val="00DF4BFE"/>
    <w:rsid w:val="00DF667F"/>
    <w:rsid w:val="00DF7B8D"/>
    <w:rsid w:val="00E0428E"/>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7E6"/>
    <w:rsid w:val="00E748E9"/>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42A"/>
    <w:rsid w:val="00E96C91"/>
    <w:rsid w:val="00E97905"/>
    <w:rsid w:val="00EA0A7D"/>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5B51"/>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0BFD"/>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085"/>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A47EF"/>
    <w:rsid w:val="00FB0610"/>
    <w:rsid w:val="00FB1040"/>
    <w:rsid w:val="00FB1B1A"/>
    <w:rsid w:val="00FB1DF7"/>
    <w:rsid w:val="00FB3484"/>
    <w:rsid w:val="00FB3D69"/>
    <w:rsid w:val="00FB4103"/>
    <w:rsid w:val="00FB5159"/>
    <w:rsid w:val="00FB5717"/>
    <w:rsid w:val="00FB697A"/>
    <w:rsid w:val="00FC1576"/>
    <w:rsid w:val="00FC1A81"/>
    <w:rsid w:val="00FC1D0C"/>
    <w:rsid w:val="00FC2070"/>
    <w:rsid w:val="00FC3C21"/>
    <w:rsid w:val="00FC4A4D"/>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AF563"/>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settings" Target="settings.xml" Id="rId63" /><Relationship Type="http://schemas.openxmlformats.org/officeDocument/2006/relationships/hyperlink" Target="mailto:marcelo.stachow@concessionariatamoios.com.br" TargetMode="External" Id="rId68" /><Relationship Type="http://schemas.openxmlformats.org/officeDocument/2006/relationships/hyperlink" Target="mailto:marcelo.stachow@concessionariatamoios.com.br" TargetMode="External" Id="rId76" /><Relationship Type="http://schemas.openxmlformats.org/officeDocument/2006/relationships/footer" Target="footer2.xml" Id="rId84" /><Relationship Type="http://schemas.openxmlformats.org/officeDocument/2006/relationships/theme" Target="theme/theme1.xml" Id="rId89" /><Relationship Type="http://schemas.openxmlformats.org/officeDocument/2006/relationships/customXml" Target="../customXml/item7.xml" Id="rId7" /><Relationship Type="http://schemas.openxmlformats.org/officeDocument/2006/relationships/hyperlink" Target="mailto:marcelo.stachow@concessionariatamoios.com.br" TargetMode="Externa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endnotes" Target="endnotes.xml" Id="rId66" /><Relationship Type="http://schemas.openxmlformats.org/officeDocument/2006/relationships/hyperlink" Target="mailto:marcelo.stachow@concessionariatamoios.com.br" TargetMode="External" Id="rId74" /><Relationship Type="http://schemas.openxmlformats.org/officeDocument/2006/relationships/hyperlink" Target="mailto:marcelo.stachow@concessionariatamoios.com.br" TargetMode="External" Id="rId79" /><Relationship Type="http://schemas.openxmlformats.org/officeDocument/2006/relationships/footer" Target="footer4.xml" Id="rId87" /><Relationship Type="http://schemas.openxmlformats.org/officeDocument/2006/relationships/customXml" Target="../customXml/item5.xml" Id="rId5" /><Relationship Type="http://schemas.openxmlformats.org/officeDocument/2006/relationships/numbering" Target="numbering.xml" Id="rId61" /><Relationship Type="http://schemas.openxmlformats.org/officeDocument/2006/relationships/header" Target="header2.xml" Id="rId82" /><Relationship Type="http://schemas.openxmlformats.org/officeDocument/2006/relationships/customXml" Target="../customXml/item19.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webSettings" Target="webSettings.xml" Id="rId64" /><Relationship Type="http://schemas.openxmlformats.org/officeDocument/2006/relationships/hyperlink" Target="mailto:marcelo.stachow@concessionariatamoios.com.br" TargetMode="External" Id="rId69" /><Relationship Type="http://schemas.openxmlformats.org/officeDocument/2006/relationships/hyperlink" Target="mailto:marcelo.stachow@concessionariatamoios.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marcelo.stachow@concessionariatamoios.com.br" TargetMode="External" Id="rId72" /><Relationship Type="http://schemas.openxmlformats.org/officeDocument/2006/relationships/header" Target="header1.xml" Id="rId80" /><Relationship Type="http://schemas.openxmlformats.org/officeDocument/2006/relationships/footer" Target="footer3.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hyperlink" Target="http://legislacao.planalto.gov.br/legisla/legislacao.nsf/Viw_Identificacao/lei%208.987-1995?OpenDocument" TargetMode="Externa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styles" Target="styles.xml" Id="rId62" /><Relationship Type="http://schemas.openxmlformats.org/officeDocument/2006/relationships/hyperlink" Target="mailto:marcelo.stachow@concessionariatamoios.com.br" TargetMode="External" Id="rId70" /><Relationship Type="http://schemas.openxmlformats.org/officeDocument/2006/relationships/hyperlink" Target="mailto:marcelo.stachow@concessionariatamoios.com.br" TargetMode="External" Id="rId75" /><Relationship Type="http://schemas.openxmlformats.org/officeDocument/2006/relationships/header" Target="header3.xml" Id="rId83" /><Relationship Type="http://schemas.openxmlformats.org/officeDocument/2006/relationships/fontTable" Target="fontTable.xml" Id="rId88"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footnotes" Target="footnotes.xml" Id="rId65" /><Relationship Type="http://schemas.openxmlformats.org/officeDocument/2006/relationships/hyperlink" Target="mailto:marcelo.stachow@concessionariatamoios.com.br" TargetMode="External" Id="rId73" /><Relationship Type="http://schemas.openxmlformats.org/officeDocument/2006/relationships/hyperlink" Target="mailto:marcelo.stachow@concessionariatamoios.com.br" TargetMode="External" Id="rId78" /><Relationship Type="http://schemas.openxmlformats.org/officeDocument/2006/relationships/footer" Target="footer1.xml" Id="rId81" /><Relationship Type="http://schemas.openxmlformats.org/officeDocument/2006/relationships/header" Target="header4.xml" Id="rId86" /><Relationship Type="http://schemas.openxmlformats.org/officeDocument/2006/relationships/customXml" Target="/customXML/item3d.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d.xml>��< ? x m l   v e r s i o n = " 1 . 0 "   e n c o d i n g = " u t f - 1 6 " ? >  
 < p r o p e r t i e s   x m l n s = " h t t p : / / w w w . i m a n a g e . c o m / w o r k / x m l s c h e m a " >  
     < d o c u m e n t i d > T E X T ! 5 5 9 0 0 9 3 3 . 3 < / d o c u m e n t i d >  
     < s e n d e r i d > E O C < / s e n d e r i d >  
     < s e n d e r e m a i l > E O L I V E I R A @ M A C H A D O M E Y E R . C O M . B R < / s e n d e r e m a i l >  
     < l a s t m o d i f i e d > 2 0 2 1 - 1 2 - 1 3 T 1 6 : 5 9 : 0 0 . 0 0 0 0 0 0 0 - 0 3 : 0 0 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10.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1.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2.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14.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15.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6.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17.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8.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9.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2.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2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1.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2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3.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25.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26.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27.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8.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9.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2.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33.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4.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5.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36.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38.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9.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40.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41.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42.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3.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44.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45.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7.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48.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9.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5.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50.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51.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52.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3.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5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5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7.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58.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7.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8.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9.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10695</Words>
  <Characters>62141</Characters>
  <Application>Microsoft Office Word</Application>
  <DocSecurity>4</DocSecurity>
  <Lines>1129</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2019-04-26T22:42:00Z</cp:lastPrinted>
  <dcterms:created xsi:type="dcterms:W3CDTF">2021-12-13T19:59:00Z</dcterms:created>
  <dcterms:modified xsi:type="dcterms:W3CDTF">2021-12-13T19:59:00Z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