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3B2CAFE8" w14:textId="1681AB2A"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 xml:space="preserve">realizada em </w:t>
      </w:r>
      <w:r w:rsidR="006C04E7">
        <w:rPr>
          <w:rFonts w:eastAsia="Batang"/>
        </w:rPr>
        <w:t xml:space="preserve">25 de abril de 2022,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xml:space="preserve">”, </w:t>
      </w:r>
      <w:r w:rsidRPr="00A2620F">
        <w:rPr>
          <w:rFonts w:eastAsia="Batang"/>
        </w:rPr>
        <w:lastRenderedPageBreak/>
        <w:t>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5899A634" w:rsidR="002979F1" w:rsidRDefault="002979F1" w:rsidP="006071DC">
      <w:pPr>
        <w:pStyle w:val="aMMconsiderandos"/>
        <w:ind w:left="0" w:firstLine="0"/>
        <w:rPr>
          <w:rFonts w:eastAsia="Batang"/>
        </w:rPr>
      </w:pPr>
      <w:r>
        <w:t xml:space="preserve">Em </w:t>
      </w:r>
      <w:r w:rsidR="003E2A78">
        <w:t>4 de maio</w:t>
      </w:r>
      <w:r w:rsidR="006C04E7">
        <w:t xml:space="preserve"> </w:t>
      </w:r>
      <w:r w:rsidR="00B311D0">
        <w:t>de 2022</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0454D906" w14:textId="4D4524D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3F7E35">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1A62D98C" w:rsidR="002979F1" w:rsidRDefault="002979F1" w:rsidP="006071DC">
      <w:pPr>
        <w:pStyle w:val="aMMconsiderandos"/>
        <w:ind w:left="0" w:firstLine="0"/>
      </w:pPr>
      <w:r>
        <w:t xml:space="preserve">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 </w:t>
      </w:r>
      <w:r w:rsidR="00B311D0">
        <w:t>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D9666E">
      <w:pPr>
        <w:pStyle w:val="2MMSecurity"/>
        <w:ind w:left="0"/>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w:t>
      </w:r>
      <w:r w:rsidRPr="002979F1">
        <w:lastRenderedPageBreak/>
        <w:t>quando utilizados em qualquer certificado ou documento celebrado ou formalizado de acordo com os termos deste Contrato.</w:t>
      </w:r>
    </w:p>
    <w:p w14:paraId="44F6F46D" w14:textId="77777777" w:rsidR="002979F1" w:rsidRPr="002979F1" w:rsidRDefault="002979F1" w:rsidP="00D9666E">
      <w:pPr>
        <w:pStyle w:val="2MMSecurity"/>
        <w:ind w:left="0"/>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D9666E">
      <w:pPr>
        <w:pStyle w:val="2MMSecurity"/>
        <w:ind w:left="0"/>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446483CC"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3F7E35">
        <w:rPr>
          <w:b/>
          <w:bCs/>
          <w:u w:val="single"/>
        </w:rPr>
        <w:t>ANEXO</w:t>
      </w:r>
      <w:r w:rsidR="003F7E35" w:rsidRPr="003F7E35">
        <w:rPr>
          <w:u w:val="single"/>
        </w:rPr>
        <w:t xml:space="preserve"> </w:t>
      </w:r>
      <w:r w:rsidR="003F7E35">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 xml:space="preserve">da </w:t>
      </w:r>
      <w:r w:rsidRPr="00A2620F">
        <w:rPr>
          <w:bCs/>
        </w:rPr>
        <w:lastRenderedPageBreak/>
        <w:t>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xml:space="preserve">”); e (ii) quaisquer lucros, dividendos, juros sobre capital próprio, rendas, distribuições e bônus e quaisquer outros valores creditados, pagos, distribuídos ou por outra forma entregues, ou a serem creditados, pagos, distribuídos ou por outra forma entregues, </w:t>
      </w:r>
      <w:r w:rsidRPr="00A2620F">
        <w:lastRenderedPageBreak/>
        <w:t>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109D7467"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3F7E35">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8D8D040" w:rsidR="002979F1" w:rsidRDefault="00B311D0" w:rsidP="003D5B1E">
      <w:pPr>
        <w:pStyle w:val="2MMSecurity"/>
        <w:rPr>
          <w:color w:val="000000"/>
        </w:rPr>
      </w:pPr>
      <w:r>
        <w:t>No</w:t>
      </w:r>
      <w:r w:rsidR="00103ADA">
        <w:t xml:space="preserve"> vencimento final das Debêntures sem que as Obrigações Garantidas tenham sido integralmente quitadas ou</w:t>
      </w:r>
      <w:r w:rsidR="002979F1" w:rsidRPr="00A2620F">
        <w:t xml:space="preserve"> na declaração do </w:t>
      </w:r>
      <w:r w:rsidR="002979F1" w:rsidRPr="00A2620F">
        <w:rPr>
          <w:color w:val="000000"/>
        </w:rPr>
        <w:t xml:space="preserve">vencimento antecipado </w:t>
      </w:r>
      <w:r w:rsidR="002979F1" w:rsidRPr="00A2620F">
        <w:t xml:space="preserve">das Debêntures, na forma da Escritura de Emissão, </w:t>
      </w:r>
      <w:r w:rsidR="00103ADA">
        <w:t xml:space="preserve">independentemente de qualquer formalidade, </w:t>
      </w:r>
      <w:r w:rsidR="002979F1" w:rsidRPr="00A2620F">
        <w:t>consolidar-se-á em favor dos Debenturistas a propriedade plena das Ações Alienadas Fiduciariamente e dos Direitos das Ações Cedid</w:t>
      </w:r>
      <w:r w:rsidR="002979F1">
        <w:t>os</w:t>
      </w:r>
      <w:r w:rsidR="002979F1"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w:t>
      </w:r>
      <w:r w:rsidR="002979F1" w:rsidRPr="00A2620F">
        <w:lastRenderedPageBreak/>
        <w:t xml:space="preserve">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002979F1" w:rsidRPr="00A2620F">
        <w:t>quaisquer outros direitos, garantias e prerrogativas cabíveis; (ii) </w:t>
      </w:r>
      <w:r w:rsidR="00103ADA">
        <w:rPr>
          <w:color w:val="000000"/>
        </w:rPr>
        <w:t>alienar</w:t>
      </w:r>
      <w:r w:rsidR="002979F1" w:rsidRPr="00A2620F">
        <w:rPr>
          <w:color w:val="000000"/>
        </w:rPr>
        <w:t xml:space="preserve">, judicial ou extrajudicialmente, </w:t>
      </w:r>
      <w:r w:rsidR="002979F1"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rsidR="002979F1">
        <w:t>o</w:t>
      </w:r>
      <w:r w:rsidR="002979F1" w:rsidRPr="00A2620F">
        <w:t>s Fiduciariamente, cobrar e receber os recursos decorrentes da venda ou resgate dos Direitos das Ações Cedid</w:t>
      </w:r>
      <w:r w:rsidR="002979F1">
        <w:t>o</w:t>
      </w:r>
      <w:r w:rsidR="002979F1" w:rsidRPr="00A2620F">
        <w:t>s Fiduciariamente e, obrigatoriamente, utilizar-se de todos os recursos decorrentes da alienação dos Direitos das Ações Cedid</w:t>
      </w:r>
      <w:r w:rsidR="002979F1">
        <w:t>o</w:t>
      </w:r>
      <w:r w:rsidR="002979F1" w:rsidRPr="00A2620F">
        <w:t>s Fiduciariamente para o pagamento, parcial ou total, das Obrigações Garantidas, até o limite das mesmas, sem prejuízo do exercício, pelo Agente Fiduciário, de quaisquer outros direitos, garantias e prerrogativas cabíveis.</w:t>
      </w:r>
      <w:r w:rsidR="00F85724">
        <w:t xml:space="preserve"> </w:t>
      </w:r>
      <w:r w:rsidR="00D9666E">
        <w:t xml:space="preserve">No </w:t>
      </w:r>
      <w:r w:rsidR="00F85724">
        <w:t xml:space="preserve">vencimento final </w:t>
      </w:r>
      <w:r w:rsidR="00E576F9">
        <w:t>d</w:t>
      </w:r>
      <w:r w:rsidR="00F85724">
        <w:t>as Debêntures sem que as Obrigações Garantidas tenham sido integralmente quitadas ou</w:t>
      </w:r>
      <w:r w:rsidR="00F85724" w:rsidRPr="00A2620F">
        <w:t xml:space="preserve"> </w:t>
      </w:r>
      <w:r w:rsidR="00D9666E">
        <w:t xml:space="preserve">em caso de </w:t>
      </w:r>
      <w:r w:rsidR="00F85724" w:rsidRPr="00A2620F">
        <w:t xml:space="preserve">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002979F1"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w:t>
      </w:r>
      <w:r w:rsidRPr="00FC4A4D">
        <w:rPr>
          <w:lang w:val="pt-BR"/>
        </w:rPr>
        <w:lastRenderedPageBreak/>
        <w:t xml:space="preserve">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75FCE4C7"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3F7E35">
        <w:t>3</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2F110450"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3F7E35">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3F7E35">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lastRenderedPageBreak/>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270D3D23" w:rsidR="002979F1" w:rsidRPr="004D64F2"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57BD0813" w:rsidR="007A2121" w:rsidRPr="004D64F2" w:rsidRDefault="00B311D0" w:rsidP="00435137">
      <w:pPr>
        <w:pStyle w:val="2MMSecurity"/>
        <w:ind w:left="0"/>
        <w:rPr>
          <w:sz w:val="21"/>
          <w:szCs w:val="21"/>
        </w:rPr>
      </w:pPr>
      <w:r>
        <w:t>No</w:t>
      </w:r>
      <w:r w:rsidR="004D64F2" w:rsidRPr="00435137">
        <w:t xml:space="preserve">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71794816"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w:t>
      </w:r>
      <w:r w:rsidRPr="00A2620F">
        <w:lastRenderedPageBreak/>
        <w:t xml:space="preserve">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EC6C48">
        <w:t xml:space="preserve"> </w:t>
      </w:r>
      <w:r w:rsidR="004E34C6">
        <w:t>(i) pelos ônus existentes no âmbito da Garantia Subordinada;</w:t>
      </w:r>
      <w:r w:rsidR="00C1436A" w:rsidRPr="00C1436A">
        <w:t xml:space="preserve"> </w:t>
      </w:r>
      <w:r w:rsidR="00B27621">
        <w:t>ou</w:t>
      </w:r>
      <w:r w:rsidR="00C1436A" w:rsidRPr="00C1436A">
        <w:t xml:space="preserve"> (i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200D76D7"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3F7E35">
        <w:t>9</w:t>
      </w:r>
      <w:r w:rsidR="003D5B1E">
        <w:fldChar w:fldCharType="end"/>
      </w:r>
      <w:r w:rsidRPr="00A2620F">
        <w:t xml:space="preserve"> abaixo;</w:t>
      </w:r>
    </w:p>
    <w:p w14:paraId="3B92623E" w14:textId="28B27080"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33FA4750"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 xml:space="preserve">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w:t>
      </w:r>
      <w:r w:rsidR="00665AA2" w:rsidRPr="00295207">
        <w:lastRenderedPageBreak/>
        <w:t>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6C9148E9"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D9666E">
        <w:t xml:space="preserve"> </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 xml:space="preserve">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w:t>
      </w:r>
      <w:r w:rsidRPr="00512E66">
        <w:lastRenderedPageBreak/>
        <w:t>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4998EFB7"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3F7E35">
        <w:t>4</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xml:space="preserve">) não arquivar qualquer acordo de acionistas, acordo de voto ou outros acordos que </w:t>
      </w:r>
      <w:r w:rsidR="002979F1" w:rsidRPr="00A2620F">
        <w:lastRenderedPageBreak/>
        <w:t>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lastRenderedPageBreak/>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38"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38"/>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w:t>
      </w:r>
      <w:r w:rsidRPr="00320D89">
        <w:lastRenderedPageBreak/>
        <w:t xml:space="preserve">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9" w:name="_DV_M68"/>
      <w:bookmarkStart w:id="40" w:name="_DV_M71"/>
      <w:bookmarkEnd w:id="39"/>
      <w:bookmarkEnd w:id="40"/>
      <w:r w:rsidRPr="00A2620F">
        <w:t>DECLARAÇÕES E GARANTIAS</w:t>
      </w:r>
    </w:p>
    <w:p w14:paraId="47CAD5A0" w14:textId="77777777" w:rsidR="002979F1" w:rsidRPr="00A2620F" w:rsidRDefault="002979F1" w:rsidP="003D5B1E">
      <w:pPr>
        <w:pStyle w:val="2MMSecurity"/>
      </w:pPr>
      <w:bookmarkStart w:id="41" w:name="_DV_M72"/>
      <w:bookmarkStart w:id="42" w:name="_Ref89821745"/>
      <w:bookmarkStart w:id="43" w:name="_Hlk89179577"/>
      <w:bookmarkEnd w:id="41"/>
      <w:r w:rsidRPr="00A2620F">
        <w:t>A Acionista e a Companhia, conforme aplicável, declaram e garantem ao Agente Fiduciário que:</w:t>
      </w:r>
      <w:bookmarkEnd w:id="42"/>
    </w:p>
    <w:bookmarkEnd w:id="43"/>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2DC6FC0E"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170E2B3" w:rsidR="002979F1" w:rsidRPr="003D5B1E" w:rsidRDefault="002979F1" w:rsidP="003D5B1E">
      <w:pPr>
        <w:pStyle w:val="aMMSecurity"/>
      </w:pPr>
      <w:r w:rsidRPr="003D5B1E">
        <w:t xml:space="preserve">exceto </w:t>
      </w:r>
      <w:r w:rsidR="00DF5887">
        <w:t xml:space="preserve">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 xml:space="preserve">o presente Contrato e as obrigações dele decorrentes não implicam: (i) em inadimplemento de qualquer obrigação assumida em qualquer contrato de que seja parte; (ii) o descumprimento de qualquer norma jurídica legal ou </w:t>
      </w:r>
      <w:r w:rsidRPr="003D5B1E">
        <w:lastRenderedPageBreak/>
        <w:t>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62B5ACDD" w:rsidR="002979F1" w:rsidRPr="003D5B1E" w:rsidRDefault="00206A6D" w:rsidP="003D5B1E">
      <w:pPr>
        <w:pStyle w:val="aMMSecurity"/>
      </w:pPr>
      <w:r>
        <w:t xml:space="preserve">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760CABCD" w:rsidR="002979F1" w:rsidRPr="00805552" w:rsidRDefault="002979F1" w:rsidP="003D5B1E">
      <w:pPr>
        <w:pStyle w:val="aMMSecurity"/>
      </w:pPr>
      <w:bookmarkStart w:id="44" w:name="_DV_M73"/>
      <w:bookmarkEnd w:id="44"/>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3F7E35">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pelo presente Contrato, </w:t>
      </w:r>
      <w:r w:rsidR="009603AC" w:rsidRPr="00805552">
        <w:t xml:space="preserve">(ii) </w:t>
      </w:r>
      <w:r w:rsidRPr="00805552">
        <w:t xml:space="preserve">pelo </w:t>
      </w:r>
      <w:r w:rsidR="00C24C5A" w:rsidRPr="00805552">
        <w:t>“</w:t>
      </w:r>
      <w:r w:rsidRPr="00805552">
        <w:rPr>
          <w:i/>
          <w:iCs/>
        </w:rPr>
        <w:t xml:space="preserve">Instrumento Particular de Constituição de Garantia – Alienação Fiduciária de Ações da Concessionária Rodovia dos Tamoios S.A. Sob Condição Suspensiva, Cessão Fiduciária do Produto da Excussão de Garantias </w:t>
      </w:r>
      <w:r w:rsidRPr="00805552">
        <w:rPr>
          <w:i/>
          <w:iCs/>
        </w:rPr>
        <w:lastRenderedPageBreak/>
        <w:t>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w:t>
      </w:r>
      <w:r w:rsidR="00621BFA">
        <w:t>ii</w:t>
      </w:r>
      <w:r w:rsidR="002D1570">
        <w:t>)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5" w:name="_DV_M74"/>
      <w:bookmarkStart w:id="46" w:name="_DV_M75"/>
      <w:bookmarkStart w:id="47" w:name="_DV_M77"/>
      <w:bookmarkEnd w:id="45"/>
      <w:bookmarkEnd w:id="46"/>
      <w:bookmarkEnd w:id="47"/>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 xml:space="preserve">Ações Alienadas Fiduciariamente foram devidamente subscritas ou adquiridas pela Acionista e foram devidamente registradas em seu nome no Livro de Registro da Companhia. Nenhuma Ação Alienada Fiduciariamente foi </w:t>
      </w:r>
      <w:r w:rsidR="004A6818">
        <w:lastRenderedPageBreak/>
        <w:t>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173C1194"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3F7E35">
        <w:t>3.4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w:t>
      </w:r>
      <w:r w:rsidR="0014756C">
        <w:t>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 xml:space="preserve">possam ser incorridos por referidas </w:t>
      </w:r>
      <w:r w:rsidRPr="00154477">
        <w:lastRenderedPageBreak/>
        <w:t>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8" w:name="_DV_M79"/>
      <w:bookmarkStart w:id="49" w:name="_DV_M80"/>
      <w:bookmarkStart w:id="50" w:name="_DV_M81"/>
      <w:bookmarkEnd w:id="48"/>
      <w:bookmarkEnd w:id="49"/>
      <w:bookmarkEnd w:id="50"/>
      <w:r w:rsidRPr="009603AC">
        <w:t>DISPOSIÇÕES COMPLEMENTARES</w:t>
      </w:r>
    </w:p>
    <w:p w14:paraId="43D2FD60" w14:textId="77777777" w:rsidR="009603AC" w:rsidRPr="00A2620F" w:rsidRDefault="009603AC" w:rsidP="003D5B1E">
      <w:pPr>
        <w:pStyle w:val="2MMSecurity"/>
      </w:pPr>
      <w:bookmarkStart w:id="51" w:name="_DV_M82"/>
      <w:bookmarkStart w:id="52" w:name="_DV_M83"/>
      <w:bookmarkStart w:id="53" w:name="_DV_M84"/>
      <w:bookmarkStart w:id="54" w:name="_DV_M85"/>
      <w:bookmarkEnd w:id="51"/>
      <w:bookmarkEnd w:id="52"/>
      <w:bookmarkEnd w:id="53"/>
      <w:bookmarkEnd w:id="54"/>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5" w:name="_DV_M86"/>
      <w:bookmarkEnd w:id="55"/>
      <w:r w:rsidRPr="00A2620F">
        <w:lastRenderedPageBreak/>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6" w:name="_DV_M87"/>
      <w:bookmarkEnd w:id="56"/>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lastRenderedPageBreak/>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042471B8" w:rsidR="0047145E" w:rsidRPr="00D01355" w:rsidRDefault="0047145E" w:rsidP="003D5B1E">
      <w:pPr>
        <w:pStyle w:val="2MMSecurity"/>
        <w:rPr>
          <w:lang w:eastAsia="en-US"/>
        </w:rPr>
      </w:pPr>
      <w:r w:rsidRPr="00D01355">
        <w:rPr>
          <w:lang w:eastAsia="en-US"/>
        </w:rPr>
        <w:t xml:space="preserve">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003F72B4">
        <w:rPr>
          <w:lang w:eastAsia="en-US"/>
        </w:rPr>
        <w:t>28 de abril de 2022</w:t>
      </w:r>
      <w:r w:rsidRPr="00D01355">
        <w:rPr>
          <w:lang w:eastAsia="en-US"/>
        </w:rPr>
        <w:t xml:space="preserve">, com código de controle </w:t>
      </w:r>
      <w:r w:rsidR="003F72B4" w:rsidRPr="003F72B4">
        <w:rPr>
          <w:lang w:eastAsia="en-US"/>
        </w:rPr>
        <w:t>DFB5.3DBE.11F5.AE06</w:t>
      </w:r>
      <w:r w:rsidRPr="00D01355">
        <w:rPr>
          <w:lang w:eastAsia="en-US"/>
        </w:rPr>
        <w:t xml:space="preserve">, válida até </w:t>
      </w:r>
      <w:r w:rsidR="003F72B4">
        <w:rPr>
          <w:lang w:eastAsia="en-US"/>
        </w:rPr>
        <w:t>25 de outubro de 2022</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7"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7"/>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4B1DEC50"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lastRenderedPageBreak/>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55FFA149"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58"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58"/>
    <w:p w14:paraId="45D2862A" w14:textId="6CCC7070"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3F7E35">
        <w:t>8.1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59" w:name="_DV_M143"/>
      <w:bookmarkStart w:id="60" w:name="_Ref89821725"/>
      <w:bookmarkEnd w:id="59"/>
      <w:r w:rsidRPr="00A2620F">
        <w:t>REGISTROS E AVERBAÇÕES</w:t>
      </w:r>
      <w:bookmarkEnd w:id="60"/>
      <w:r w:rsidR="006071DC">
        <w:t xml:space="preserve"> </w:t>
      </w:r>
    </w:p>
    <w:p w14:paraId="6F61B27F" w14:textId="54FA4B1D" w:rsidR="009603AC" w:rsidRPr="00D01355" w:rsidRDefault="009603AC" w:rsidP="003D5B1E">
      <w:pPr>
        <w:pStyle w:val="2MMSecurity"/>
      </w:pPr>
      <w:bookmarkStart w:id="61" w:name="_DV_M144"/>
      <w:bookmarkStart w:id="62" w:name="_Ref89820975"/>
      <w:bookmarkEnd w:id="61"/>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2"/>
    </w:p>
    <w:p w14:paraId="18286F7F" w14:textId="77777777" w:rsidR="009603AC" w:rsidRPr="00D01355" w:rsidRDefault="009603AC" w:rsidP="003D5B1E">
      <w:pPr>
        <w:pStyle w:val="2MMSecurity"/>
      </w:pPr>
      <w:bookmarkStart w:id="63" w:name="_DV_M145"/>
      <w:bookmarkEnd w:id="63"/>
      <w:r w:rsidRPr="00D01355">
        <w:t>Correrão por conta exclusiva da Acionista e da Companhia todas e quaisquer despesas decorrentes do registro deste Contrato e eventuais aditamentos, junto às repartições e cartórios competentes.</w:t>
      </w:r>
    </w:p>
    <w:p w14:paraId="50D9EF48" w14:textId="21BFB69F" w:rsidR="009603AC" w:rsidRPr="00A2620F" w:rsidRDefault="009603AC" w:rsidP="003D5B1E">
      <w:pPr>
        <w:pStyle w:val="2MMSecurity"/>
        <w:rPr>
          <w:rFonts w:eastAsia="Batang"/>
        </w:rPr>
      </w:pPr>
      <w:bookmarkStart w:id="64" w:name="_Ref89821779"/>
      <w:r w:rsidRPr="00D01355">
        <w:rPr>
          <w:rFonts w:eastAsia="Batang"/>
        </w:rPr>
        <w:lastRenderedPageBreak/>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sidR="00620B4C">
        <w:rPr>
          <w:i/>
        </w:rPr>
        <w:t>6</w:t>
      </w:r>
      <w:r w:rsidRPr="003E2A78">
        <w:rPr>
          <w:i/>
        </w:rPr>
        <w:t xml:space="preserve"> de </w:t>
      </w:r>
      <w:r w:rsidR="00967C30">
        <w:rPr>
          <w:i/>
        </w:rPr>
        <w:t>maio</w:t>
      </w:r>
      <w:r w:rsidRPr="00A2620F">
        <w:rPr>
          <w:i/>
        </w:rPr>
        <w:t xml:space="preserve"> de 20</w:t>
      </w:r>
      <w:r>
        <w:rPr>
          <w:i/>
        </w:rPr>
        <w:t>2</w:t>
      </w:r>
      <w:r w:rsidR="003E2A78">
        <w:rPr>
          <w:i/>
        </w:rPr>
        <w:t>2</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4"/>
      <w:r w:rsidRPr="00A2620F">
        <w:rPr>
          <w:rFonts w:eastAsia="Batang"/>
        </w:rPr>
        <w:t xml:space="preserve"> </w:t>
      </w:r>
    </w:p>
    <w:p w14:paraId="25E14DF1" w14:textId="4B9F97AE"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3F7E35">
        <w:t>9.3</w:t>
      </w:r>
      <w:r w:rsidR="003D5B1E">
        <w:fldChar w:fldCharType="end"/>
      </w:r>
      <w:r w:rsidR="003D5B1E">
        <w:t xml:space="preserve"> </w:t>
      </w:r>
      <w:r w:rsidRPr="00A2620F">
        <w:t>acima em até 2 (dois) dias úteis após sua realização.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5" w:name="_DV_M246"/>
      <w:bookmarkStart w:id="66" w:name="_DV_M245"/>
      <w:bookmarkEnd w:id="65"/>
      <w:bookmarkEnd w:id="66"/>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lastRenderedPageBreak/>
        <w:t>Será competente o foro da Comarca de São Paulo, Estado de São Paulo, com exclusão de qualquer outro, por mais privilegiado que seja, para a resolução de qualquer disputa relativa a este Contrato.</w:t>
      </w:r>
    </w:p>
    <w:p w14:paraId="619206EE" w14:textId="481AE996" w:rsidR="00B920AD" w:rsidRPr="003D5B1E" w:rsidRDefault="00B920AD" w:rsidP="003D5B1E">
      <w:pPr>
        <w:pStyle w:val="2MMSecurity"/>
        <w:rPr>
          <w:rFonts w:eastAsia="Arial Unicode MS"/>
        </w:rPr>
      </w:pPr>
      <w:bookmarkStart w:id="67" w:name="_DV_M248"/>
      <w:bookmarkEnd w:id="67"/>
      <w:r w:rsidRPr="003E2A78">
        <w:rPr>
          <w:u w:val="single"/>
        </w:rPr>
        <w:t>As</w:t>
      </w:r>
      <w:r w:rsidR="003E2A78" w:rsidRPr="003E2A78">
        <w:rPr>
          <w:u w:val="single"/>
        </w:rPr>
        <w:t>sinatura Eletrônica</w:t>
      </w:r>
      <w:r w:rsidR="003E2A78">
        <w:t>.</w:t>
      </w:r>
      <w:r w:rsidRPr="003D5B1E">
        <w:rPr>
          <w:rFonts w:eastAsia="Arial Unicode MS"/>
        </w:rPr>
        <w:t xml:space="preserve"> </w:t>
      </w:r>
      <w:r w:rsidR="003E2A78">
        <w:rPr>
          <w:rFonts w:eastAsia="Arial Unicode MS"/>
        </w:rPr>
        <w:t>E</w:t>
      </w:r>
      <w:r w:rsidR="003E2A78" w:rsidRPr="003E2A78">
        <w:t>st</w:t>
      </w:r>
      <w:r w:rsidR="003E2A78">
        <w:t xml:space="preserve">e Contrato </w:t>
      </w:r>
      <w:r w:rsidR="003E2A78" w:rsidRPr="003E2A78">
        <w:t>poderá ser assinad</w:t>
      </w:r>
      <w:r w:rsidR="00F701C2">
        <w:t>o</w:t>
      </w:r>
      <w:r w:rsidR="003E2A78" w:rsidRPr="003E2A78">
        <w:t xml:space="preserve">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r w:rsidR="003E2A78">
        <w:t>Este Contrato</w:t>
      </w:r>
      <w:r w:rsidR="003E2A78" w:rsidRPr="003E2A78">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Pr="003D5B1E">
        <w:t>.</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39E67D31" w:rsidR="00AB488C" w:rsidRPr="009D2C62" w:rsidRDefault="00BF0CDE" w:rsidP="00AA44B0">
      <w:pPr>
        <w:spacing w:line="320" w:lineRule="exact"/>
        <w:jc w:val="center"/>
        <w:rPr>
          <w:szCs w:val="20"/>
        </w:rPr>
      </w:pPr>
      <w:r w:rsidRPr="009D2C62">
        <w:rPr>
          <w:szCs w:val="20"/>
        </w:rPr>
        <w:t>São Paulo</w:t>
      </w:r>
      <w:r w:rsidRPr="006F7574">
        <w:rPr>
          <w:szCs w:val="20"/>
        </w:rPr>
        <w:t xml:space="preserve">, </w:t>
      </w:r>
      <w:r w:rsidR="00620B4C">
        <w:rPr>
          <w:szCs w:val="20"/>
        </w:rPr>
        <w:t>6</w:t>
      </w:r>
      <w:r w:rsidR="00967C30">
        <w:rPr>
          <w:szCs w:val="20"/>
        </w:rPr>
        <w:t xml:space="preserve"> de maio</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508CFF15"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620B4C">
        <w:rPr>
          <w:i/>
        </w:rPr>
        <w:t>6</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682CE259"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620B4C">
        <w:rPr>
          <w:i/>
        </w:rPr>
        <w:t>6</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68040FA6"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620B4C">
        <w:rPr>
          <w:i/>
        </w:rPr>
        <w:t>6</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6D7A6C8A"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620B4C">
        <w:rPr>
          <w:i/>
        </w:rPr>
        <w:t>6</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68" w:name="_Ref89820823"/>
      <w:r>
        <w:lastRenderedPageBreak/>
        <w:t xml:space="preserve">- </w:t>
      </w:r>
      <w:r w:rsidR="001144A8">
        <w:rPr>
          <w:lang w:eastAsia="en-US"/>
        </w:rPr>
        <w:t>AÇÕES</w:t>
      </w:r>
      <w:bookmarkEnd w:id="68"/>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69" w:name="_Ref89820854"/>
      <w:r w:rsidR="001144A8">
        <w:lastRenderedPageBreak/>
        <w:t xml:space="preserve">- </w:t>
      </w:r>
      <w:r w:rsidR="001144A8">
        <w:rPr>
          <w:lang w:eastAsia="en-US"/>
        </w:rPr>
        <w:t>OBRIGAÇÕES GARANTIDAS</w:t>
      </w:r>
      <w:bookmarkEnd w:id="69"/>
    </w:p>
    <w:p w14:paraId="282C2F27" w14:textId="77777777" w:rsidR="001144A8" w:rsidRDefault="001144A8" w:rsidP="001144A8">
      <w:pPr>
        <w:spacing w:after="0" w:line="320" w:lineRule="exact"/>
        <w:contextualSpacing/>
        <w:rPr>
          <w:rFonts w:cs="Arial"/>
          <w:szCs w:val="20"/>
        </w:rPr>
      </w:pPr>
    </w:p>
    <w:p w14:paraId="45A4E1E1" w14:textId="77777777" w:rsidR="008A199E" w:rsidRPr="00934933" w:rsidRDefault="008A199E" w:rsidP="008A199E">
      <w:pPr>
        <w:autoSpaceDE w:val="0"/>
        <w:autoSpaceDN w:val="0"/>
        <w:adjustRightInd w:val="0"/>
        <w:spacing w:line="320" w:lineRule="exact"/>
        <w:rPr>
          <w:bCs/>
        </w:rPr>
      </w:pPr>
      <w:bookmarkStart w:id="70" w:name="_Hlk89879185"/>
      <w:r w:rsidRPr="00934933">
        <w:rPr>
          <w:bCs/>
        </w:rPr>
        <w:t xml:space="preserve">Instrumento Particular de Escritura de Emissão da 2ª (Segunda) Emissão Pública de Debêntures Simples, não Conversíveis em Ações, em </w:t>
      </w:r>
      <w:r>
        <w:rPr>
          <w:bCs/>
        </w:rPr>
        <w:t>Série Única</w:t>
      </w:r>
      <w:r w:rsidRPr="00934933">
        <w:rPr>
          <w:bCs/>
        </w:rPr>
        <w:t>, da Espécie Quirografária, a ser Convolada em Espécie com Garantia Real, para Distribuição Pública com Esforços Restritos da Concessionária Rodovia dos Tamoios S.A</w:t>
      </w:r>
      <w:bookmarkEnd w:id="70"/>
      <w:r w:rsidRPr="00934933">
        <w:rPr>
          <w:bCs/>
        </w:rPr>
        <w:t>.</w:t>
      </w:r>
    </w:p>
    <w:p w14:paraId="617A57B8" w14:textId="77777777" w:rsidR="008A199E" w:rsidRPr="00934933"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bookmarkStart w:id="71" w:name="_Hlk100843789"/>
      <w:r w:rsidRPr="00934933">
        <w:rPr>
          <w:b/>
        </w:rPr>
        <w:t xml:space="preserve">Emissora: </w:t>
      </w:r>
      <w:r w:rsidRPr="00934933">
        <w:rPr>
          <w:bCs/>
        </w:rPr>
        <w:t>Concessionária Rodovia dos Tamoios S.A.</w:t>
      </w:r>
    </w:p>
    <w:p w14:paraId="2D8405A9" w14:textId="77777777" w:rsidR="008A199E" w:rsidRPr="00934933"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3CD9F9BD" w14:textId="77777777" w:rsidR="008A199E" w:rsidRPr="006C04E7"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Cs/>
        </w:rPr>
      </w:pPr>
      <w:r w:rsidRPr="00934933">
        <w:rPr>
          <w:b/>
          <w:lang w:eastAsia="ar-SA"/>
        </w:rPr>
        <w:t>Quantidade/</w:t>
      </w:r>
      <w:r w:rsidRPr="006C04E7">
        <w:rPr>
          <w:b/>
          <w:lang w:eastAsia="ar-SA"/>
        </w:rPr>
        <w:t xml:space="preserve">Valor Nominal Unitário: </w:t>
      </w:r>
      <w:r w:rsidRPr="006C04E7">
        <w:rPr>
          <w:bCs/>
          <w:lang w:eastAsia="ar-SA"/>
        </w:rPr>
        <w:t>Foram emitidas 100.000 (cem mil) Debêntures</w:t>
      </w:r>
      <w:r w:rsidRPr="006C04E7">
        <w:rPr>
          <w:bCs/>
        </w:rPr>
        <w:t>.</w:t>
      </w:r>
    </w:p>
    <w:p w14:paraId="114E9D3B" w14:textId="6D7576D4" w:rsidR="008A199E" w:rsidRPr="006C04E7"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r w:rsidRPr="006C04E7">
        <w:rPr>
          <w:b/>
          <w:lang w:eastAsia="ar-SA"/>
        </w:rPr>
        <w:t>Data de Emissão</w:t>
      </w:r>
      <w:r w:rsidRPr="006C04E7">
        <w:rPr>
          <w:bCs/>
          <w:lang w:eastAsia="ar-SA"/>
        </w:rPr>
        <w:t xml:space="preserve">: Para todos os fins e feitos, a data de emissão das Debêntures é o dia </w:t>
      </w:r>
      <w:r w:rsidR="006C04E7" w:rsidRPr="006C04E7">
        <w:rPr>
          <w:bCs/>
          <w:lang w:eastAsia="ar-SA"/>
        </w:rPr>
        <w:t>25 de abril de 2022</w:t>
      </w:r>
      <w:r w:rsidRPr="006C04E7">
        <w:rPr>
          <w:bCs/>
          <w:lang w:eastAsia="ar-SA"/>
        </w:rPr>
        <w:t xml:space="preserve"> </w:t>
      </w:r>
      <w:r w:rsidRPr="006C04E7">
        <w:rPr>
          <w:bCs/>
        </w:rPr>
        <w:t>("</w:t>
      </w:r>
      <w:r w:rsidRPr="006C04E7">
        <w:rPr>
          <w:bCs/>
          <w:u w:val="single"/>
        </w:rPr>
        <w:t>Data de Emissão</w:t>
      </w:r>
      <w:r w:rsidRPr="006C04E7">
        <w:rPr>
          <w:bCs/>
        </w:rPr>
        <w:t>").</w:t>
      </w:r>
    </w:p>
    <w:p w14:paraId="0FF2A48C" w14:textId="529DF0B6" w:rsidR="008A199E" w:rsidRPr="006C04E7" w:rsidRDefault="008A199E" w:rsidP="008A199E">
      <w:pPr>
        <w:widowControl w:val="0"/>
        <w:numPr>
          <w:ilvl w:val="0"/>
          <w:numId w:val="10"/>
        </w:numPr>
        <w:autoSpaceDE w:val="0"/>
        <w:autoSpaceDN w:val="0"/>
        <w:adjustRightInd w:val="0"/>
        <w:spacing w:line="320" w:lineRule="exact"/>
        <w:ind w:left="567" w:hanging="567"/>
        <w:contextualSpacing/>
        <w:rPr>
          <w:b/>
        </w:rPr>
      </w:pPr>
      <w:r w:rsidRPr="006C04E7">
        <w:rPr>
          <w:b/>
          <w:lang w:eastAsia="ar-SA"/>
        </w:rPr>
        <w:t xml:space="preserve">Prazo e Data de Vencimento: </w:t>
      </w:r>
      <w:r w:rsidRPr="006C04E7">
        <w:rPr>
          <w:bCs/>
          <w:lang w:eastAsia="ar-SA"/>
        </w:rPr>
        <w:t>Sem prejuízo dos pagamentos em decorrência do vencimento antecipado ou do Resgate Antecipado Facultativo Total das Debêntures, conforme o caso, as Debêntures terão prazo de 10 (dez) anos</w:t>
      </w:r>
      <w:r w:rsidR="006C04E7" w:rsidRPr="006C04E7">
        <w:rPr>
          <w:bCs/>
          <w:lang w:eastAsia="ar-SA"/>
        </w:rPr>
        <w:t xml:space="preserve"> e 20 (vinte) dias</w:t>
      </w:r>
      <w:r w:rsidRPr="006C04E7">
        <w:rPr>
          <w:bCs/>
          <w:lang w:eastAsia="ar-SA"/>
        </w:rPr>
        <w:t xml:space="preserve">, vencendo-se, portanto, em 15 de </w:t>
      </w:r>
      <w:r w:rsidRPr="002B65EF">
        <w:rPr>
          <w:bCs/>
          <w:lang w:eastAsia="ar-SA"/>
        </w:rPr>
        <w:t>maio</w:t>
      </w:r>
      <w:r w:rsidRPr="006C04E7">
        <w:rPr>
          <w:bCs/>
          <w:lang w:eastAsia="ar-SA"/>
        </w:rPr>
        <w:t xml:space="preserve"> de 2032 (“</w:t>
      </w:r>
      <w:r w:rsidRPr="006C04E7">
        <w:rPr>
          <w:bCs/>
          <w:u w:val="single"/>
          <w:lang w:eastAsia="ar-SA"/>
        </w:rPr>
        <w:t>Data de Vencimento</w:t>
      </w:r>
      <w:r w:rsidRPr="006C04E7">
        <w:rPr>
          <w:bCs/>
          <w:lang w:eastAsia="ar-SA"/>
        </w:rPr>
        <w:t>”)</w:t>
      </w:r>
      <w:r w:rsidRPr="006C04E7">
        <w:rPr>
          <w:bCs/>
        </w:rPr>
        <w:t>.</w:t>
      </w:r>
    </w:p>
    <w:p w14:paraId="6A9F469B" w14:textId="75A99F1D" w:rsidR="008A199E" w:rsidRPr="006C04E7" w:rsidRDefault="008A199E" w:rsidP="008A199E">
      <w:pPr>
        <w:widowControl w:val="0"/>
        <w:numPr>
          <w:ilvl w:val="0"/>
          <w:numId w:val="10"/>
        </w:numPr>
        <w:tabs>
          <w:tab w:val="num" w:pos="1208"/>
        </w:tabs>
        <w:autoSpaceDE w:val="0"/>
        <w:autoSpaceDN w:val="0"/>
        <w:adjustRightInd w:val="0"/>
        <w:spacing w:line="320" w:lineRule="exact"/>
        <w:ind w:left="567" w:hanging="567"/>
        <w:contextualSpacing/>
        <w:rPr>
          <w:bCs/>
        </w:rPr>
      </w:pPr>
      <w:r w:rsidRPr="006C04E7">
        <w:rPr>
          <w:b/>
          <w:lang w:eastAsia="ar-SA"/>
        </w:rPr>
        <w:t xml:space="preserve">Juros Remuneratórios das Debêntures: </w:t>
      </w:r>
      <w:r w:rsidRPr="006C04E7">
        <w:rPr>
          <w:bCs/>
          <w:lang w:eastAsia="ar-SA"/>
        </w:rPr>
        <w:t xml:space="preserve">Sobre o Valor Nominal Unitário Atualizado das Debêntures incidirão juros remuneratórios prefixados, a serem definidos de acordo com o Procedimento de </w:t>
      </w:r>
      <w:r w:rsidRPr="006C04E7">
        <w:rPr>
          <w:bCs/>
          <w:i/>
          <w:iCs/>
          <w:lang w:eastAsia="ar-SA"/>
        </w:rPr>
        <w:t>Bookbuilding</w:t>
      </w:r>
      <w:r w:rsidRPr="006C04E7">
        <w:rPr>
          <w:bCs/>
          <w:lang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6C04E7">
        <w:rPr>
          <w:bCs/>
          <w:i/>
          <w:iCs/>
          <w:lang w:eastAsia="ar-SA"/>
        </w:rPr>
        <w:t>Bookbuilding</w:t>
      </w:r>
      <w:r w:rsidRPr="006C04E7">
        <w:rPr>
          <w:bCs/>
          <w:lang w:eastAsia="ar-SA"/>
        </w:rPr>
        <w:t xml:space="preserve">, acrescida exponencialmente de um spread equivalente a 2,10% (dois inteiros e dez centésimos por cento) ao ano, base 252 (duzentos e cinquenta e dois) Dias Úteis; ou (ii) 6,75% (seis inteiros e setenta e cinco centésimos por cento) ao ano, base 252 (duzentos e cinquenta e dois) Dias Úteis </w:t>
      </w:r>
      <w:r w:rsidRPr="006C04E7">
        <w:rPr>
          <w:rFonts w:cs="Calibri"/>
          <w:lang w:eastAsia="x-none"/>
        </w:rPr>
        <w:t>("</w:t>
      </w:r>
      <w:r w:rsidRPr="006C04E7">
        <w:rPr>
          <w:rFonts w:cs="Calibri"/>
          <w:u w:val="single"/>
          <w:lang w:eastAsia="x-none"/>
        </w:rPr>
        <w:t>Juros Remuneratórios</w:t>
      </w:r>
      <w:r w:rsidRPr="006C04E7">
        <w:rPr>
          <w:rFonts w:cs="Calibri"/>
          <w:lang w:eastAsia="x-none"/>
        </w:rPr>
        <w:t>"). Os Juros Remuneratórios serão calculados de acordo com a fórmula presente na Escritura de Emissão.</w:t>
      </w:r>
    </w:p>
    <w:p w14:paraId="7B64878A" w14:textId="01523F68" w:rsidR="008A199E" w:rsidRPr="00934933" w:rsidRDefault="008A199E" w:rsidP="008A199E">
      <w:pPr>
        <w:widowControl w:val="0"/>
        <w:numPr>
          <w:ilvl w:val="0"/>
          <w:numId w:val="10"/>
        </w:numPr>
        <w:autoSpaceDE w:val="0"/>
        <w:autoSpaceDN w:val="0"/>
        <w:adjustRightInd w:val="0"/>
        <w:spacing w:line="320" w:lineRule="exact"/>
        <w:ind w:left="567" w:hanging="567"/>
        <w:contextualSpacing/>
        <w:rPr>
          <w:bCs/>
          <w:lang w:eastAsia="ar-SA"/>
        </w:rPr>
      </w:pPr>
      <w:r w:rsidRPr="006C04E7">
        <w:rPr>
          <w:b/>
          <w:lang w:eastAsia="ar-SA"/>
        </w:rPr>
        <w:t xml:space="preserve">Amortização Programada: </w:t>
      </w:r>
      <w:r w:rsidRPr="006C04E7">
        <w:rPr>
          <w:bCs/>
          <w:lang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Pr="002B65EF">
        <w:rPr>
          <w:bCs/>
          <w:lang w:eastAsia="ar-SA"/>
        </w:rPr>
        <w:t>novembro</w:t>
      </w:r>
      <w:r w:rsidRPr="006C04E7">
        <w:rPr>
          <w:bCs/>
          <w:lang w:eastAsia="ar-SA"/>
        </w:rPr>
        <w:t xml:space="preserve"> de 2024 (inclusive), em 16 (dezesseis) parcelas semestrais, nas respectivas datas de amortização</w:t>
      </w:r>
      <w:r w:rsidRPr="005C4FD3">
        <w:rPr>
          <w:bCs/>
          <w:lang w:eastAsia="ar-SA"/>
        </w:rPr>
        <w:t>, sendo a última na Data de Vencimento</w:t>
      </w:r>
      <w:r w:rsidRPr="00934933">
        <w:t xml:space="preserve">, conforme os percentuais e cronograma da tabela </w:t>
      </w:r>
      <w:r w:rsidRPr="00934933">
        <w:lastRenderedPageBreak/>
        <w:t>prevista na Escritura de Emissão.</w:t>
      </w:r>
    </w:p>
    <w:p w14:paraId="5AB0B42A" w14:textId="77777777" w:rsidR="008A199E" w:rsidRPr="00CD584C" w:rsidRDefault="008A199E" w:rsidP="008A199E">
      <w:pPr>
        <w:widowControl w:val="0"/>
        <w:numPr>
          <w:ilvl w:val="0"/>
          <w:numId w:val="10"/>
        </w:numPr>
        <w:tabs>
          <w:tab w:val="num" w:pos="2722"/>
        </w:tabs>
        <w:autoSpaceDE w:val="0"/>
        <w:autoSpaceDN w:val="0"/>
        <w:adjustRightInd w:val="0"/>
        <w:spacing w:line="320" w:lineRule="exact"/>
        <w:ind w:left="567" w:hanging="567"/>
        <w:contextualSpacing/>
      </w:pPr>
      <w:r w:rsidRPr="00934933">
        <w:rPr>
          <w:b/>
          <w:lang w:eastAsia="ar-SA"/>
        </w:rPr>
        <w:t>Encargos Moratórios</w:t>
      </w:r>
      <w:r w:rsidRPr="00934933">
        <w:rPr>
          <w:bCs/>
        </w:rPr>
        <w:t xml:space="preserve">: </w:t>
      </w:r>
      <w:bookmarkStart w:id="72" w:name="_Ref264227481"/>
      <w:r w:rsidRPr="00934933">
        <w:rPr>
          <w:bCs/>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rPr>
          <w:bCs/>
        </w:rPr>
        <w:t>% (dois por cento) sobre o valor devido e não pago</w:t>
      </w:r>
      <w:r w:rsidRPr="00934933">
        <w:rPr>
          <w:rFonts w:eastAsia="Arial Unicode MS"/>
          <w:w w:val="0"/>
        </w:rPr>
        <w:t xml:space="preserve"> (“</w:t>
      </w:r>
      <w:r w:rsidRPr="00934933">
        <w:rPr>
          <w:rFonts w:eastAsia="Arial Unicode MS"/>
          <w:bCs/>
          <w:w w:val="0"/>
          <w:u w:val="single"/>
        </w:rPr>
        <w:t>Encargos Moratórios</w:t>
      </w:r>
      <w:r w:rsidRPr="00934933">
        <w:rPr>
          <w:rFonts w:eastAsia="Arial Unicode MS"/>
          <w:w w:val="0"/>
        </w:rPr>
        <w:t>”).</w:t>
      </w:r>
      <w:bookmarkEnd w:id="72"/>
    </w:p>
    <w:bookmarkEnd w:id="71"/>
    <w:p w14:paraId="47FC92FD" w14:textId="77777777" w:rsidR="008A199E" w:rsidRPr="00CD584C" w:rsidRDefault="008A199E" w:rsidP="008A199E">
      <w:pPr>
        <w:spacing w:line="300" w:lineRule="atLeast"/>
        <w:ind w:left="708"/>
      </w:pPr>
    </w:p>
    <w:p w14:paraId="26DA94B5" w14:textId="3F9FC4AF" w:rsidR="001144A8" w:rsidRPr="00647EB0" w:rsidRDefault="008A199E" w:rsidP="008A199E">
      <w:pPr>
        <w:spacing w:line="300" w:lineRule="atLeast"/>
        <w:rPr>
          <w:rFonts w:cs="Arial"/>
          <w:i/>
          <w:szCs w:val="20"/>
        </w:rPr>
      </w:pPr>
      <w:r w:rsidRPr="00934933">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r w:rsidR="001144A8" w:rsidRPr="00E11D49">
        <w:rPr>
          <w:bCs/>
        </w:rPr>
        <w:t>.</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3" w:name="_Ref89820908"/>
      <w:r>
        <w:lastRenderedPageBreak/>
        <w:t xml:space="preserve">- </w:t>
      </w:r>
      <w:r>
        <w:rPr>
          <w:lang w:eastAsia="en-US"/>
        </w:rPr>
        <w:t>MODELO DE PROCURAÇÃO</w:t>
      </w:r>
      <w:bookmarkEnd w:id="73"/>
    </w:p>
    <w:p w14:paraId="4DEFD47C" w14:textId="77777777" w:rsidR="00D01355" w:rsidRDefault="00D01355" w:rsidP="00D01355">
      <w:pPr>
        <w:spacing w:after="0" w:line="320" w:lineRule="exact"/>
        <w:contextualSpacing/>
        <w:rPr>
          <w:rFonts w:cs="Arial"/>
          <w:szCs w:val="20"/>
        </w:rPr>
      </w:pPr>
    </w:p>
    <w:p w14:paraId="21A67485" w14:textId="613E3467"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4"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4"/>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5"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5"/>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 xml:space="preserve">Instrumento Particular de Contrato de Alienação </w:t>
      </w:r>
      <w:r w:rsidRPr="006F7574">
        <w:t>Fiduciária de Ações e Outras Avenças</w:t>
      </w:r>
      <w:r w:rsidRPr="006F7574">
        <w:rPr>
          <w:rFonts w:eastAsia="Arial Unicode MS"/>
        </w:rPr>
        <w:t xml:space="preserve"> celebrado entre as Outorgantes e o Outorgado, em </w:t>
      </w:r>
      <w:r w:rsidR="00620B4C">
        <w:rPr>
          <w:rFonts w:eastAsia="Arial Unicode MS"/>
        </w:rPr>
        <w:t>6</w:t>
      </w:r>
      <w:r w:rsidR="00967C30">
        <w:rPr>
          <w:rFonts w:eastAsia="Arial Unicode MS"/>
        </w:rPr>
        <w:t xml:space="preserve"> de maio</w:t>
      </w:r>
      <w:r w:rsidRPr="006F7574">
        <w:rPr>
          <w:rFonts w:eastAsia="Arial Unicode MS"/>
        </w:rPr>
        <w:t xml:space="preserve"> de 2022 (conforme alterado, prorrogado, complementado ou modificado de tempos</w:t>
      </w:r>
      <w:r w:rsidRPr="00A2620F">
        <w:rPr>
          <w:rFonts w:eastAsia="Arial Unicode MS"/>
        </w:rPr>
        <w:t xml:space="preserve">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3315B9B1" w14:textId="19D0F33F" w:rsidR="008A199E" w:rsidRDefault="008A199E" w:rsidP="008A199E">
      <w:pPr>
        <w:pStyle w:val="MMSecAnexos"/>
        <w:numPr>
          <w:ilvl w:val="0"/>
          <w:numId w:val="5"/>
        </w:numPr>
      </w:pPr>
      <w:r>
        <w:lastRenderedPageBreak/>
        <w:t xml:space="preserve"> - </w:t>
      </w:r>
      <w:r>
        <w:rPr>
          <w:lang w:eastAsia="en-US"/>
        </w:rPr>
        <w:t>CERTIDÃO</w:t>
      </w:r>
    </w:p>
    <w:p w14:paraId="0727ECBA" w14:textId="7F4EC704" w:rsidR="001144A8" w:rsidRDefault="001144A8" w:rsidP="005D04C7">
      <w:pPr>
        <w:spacing w:before="0" w:after="160" w:line="320" w:lineRule="exact"/>
        <w:jc w:val="center"/>
        <w:rPr>
          <w:b/>
        </w:rPr>
      </w:pPr>
    </w:p>
    <w:p w14:paraId="0C35E363" w14:textId="14348892" w:rsidR="003F72B4" w:rsidRPr="003F72B4" w:rsidRDefault="003F72B4" w:rsidP="003F72B4">
      <w:pPr>
        <w:jc w:val="center"/>
      </w:pPr>
      <w:r w:rsidRPr="003F72B4">
        <w:rPr>
          <w:noProof/>
        </w:rPr>
        <w:drawing>
          <wp:inline distT="0" distB="0" distL="0" distR="0" wp14:anchorId="3E681085" wp14:editId="061331FD">
            <wp:extent cx="5612130" cy="638238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612130" cy="6382385"/>
                    </a:xfrm>
                    <a:prstGeom prst="rect">
                      <a:avLst/>
                    </a:prstGeom>
                  </pic:spPr>
                </pic:pic>
              </a:graphicData>
            </a:graphic>
          </wp:inline>
        </w:drawing>
      </w:r>
    </w:p>
    <w:sectPr w:rsidR="003F72B4" w:rsidRPr="003F72B4" w:rsidSect="009D2C62">
      <w:headerReference w:type="even" r:id="rId75"/>
      <w:headerReference w:type="default" r:id="rId76"/>
      <w:footerReference w:type="even" r:id="rId77"/>
      <w:footerReference w:type="default" r:id="rId78"/>
      <w:headerReference w:type="first" r:id="rId79"/>
      <w:footerReference w:type="first" r:id="rId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C469" w14:textId="77777777" w:rsidR="006D3B34" w:rsidRDefault="006D3B34" w:rsidP="005D04C7">
      <w:pPr>
        <w:spacing w:before="0" w:after="0" w:line="240" w:lineRule="auto"/>
      </w:pPr>
      <w:r>
        <w:separator/>
      </w:r>
    </w:p>
  </w:endnote>
  <w:endnote w:type="continuationSeparator" w:id="0">
    <w:p w14:paraId="1552D735" w14:textId="77777777" w:rsidR="006D3B34" w:rsidRDefault="006D3B34" w:rsidP="005D04C7">
      <w:pPr>
        <w:spacing w:before="0" w:after="0" w:line="240" w:lineRule="auto"/>
      </w:pPr>
      <w:r>
        <w:continuationSeparator/>
      </w:r>
    </w:p>
  </w:endnote>
  <w:endnote w:type="continuationNotice" w:id="1">
    <w:p w14:paraId="54CA07E1" w14:textId="77777777" w:rsidR="006D3B34" w:rsidRDefault="006D3B34"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3A0E" w14:textId="77777777" w:rsidR="006D3B34" w:rsidRDefault="006D3B34" w:rsidP="005D04C7">
      <w:pPr>
        <w:spacing w:before="0" w:after="0" w:line="240" w:lineRule="auto"/>
      </w:pPr>
      <w:r>
        <w:separator/>
      </w:r>
    </w:p>
  </w:footnote>
  <w:footnote w:type="continuationSeparator" w:id="0">
    <w:p w14:paraId="7257B738" w14:textId="77777777" w:rsidR="006D3B34" w:rsidRDefault="006D3B34" w:rsidP="005D04C7">
      <w:pPr>
        <w:spacing w:before="0" w:after="0" w:line="240" w:lineRule="auto"/>
      </w:pPr>
      <w:r>
        <w:continuationSeparator/>
      </w:r>
    </w:p>
  </w:footnote>
  <w:footnote w:type="continuationNotice" w:id="1">
    <w:p w14:paraId="2F03E344" w14:textId="77777777" w:rsidR="006D3B34" w:rsidRDefault="006D3B34"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1391"/>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576C3"/>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5AF0"/>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168A"/>
    <w:rsid w:val="00293134"/>
    <w:rsid w:val="00293183"/>
    <w:rsid w:val="00293A46"/>
    <w:rsid w:val="00293B12"/>
    <w:rsid w:val="00294B3D"/>
    <w:rsid w:val="00295207"/>
    <w:rsid w:val="002952F9"/>
    <w:rsid w:val="002953AC"/>
    <w:rsid w:val="002965ED"/>
    <w:rsid w:val="0029722E"/>
    <w:rsid w:val="002972F4"/>
    <w:rsid w:val="002979F1"/>
    <w:rsid w:val="002A20B9"/>
    <w:rsid w:val="002A2C7B"/>
    <w:rsid w:val="002A3AA1"/>
    <w:rsid w:val="002A548F"/>
    <w:rsid w:val="002A5838"/>
    <w:rsid w:val="002A6C64"/>
    <w:rsid w:val="002A70D7"/>
    <w:rsid w:val="002B20BD"/>
    <w:rsid w:val="002B3A5F"/>
    <w:rsid w:val="002B54E2"/>
    <w:rsid w:val="002B5D13"/>
    <w:rsid w:val="002B65EF"/>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7A5"/>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2A78"/>
    <w:rsid w:val="003E5557"/>
    <w:rsid w:val="003E56D6"/>
    <w:rsid w:val="003E5A41"/>
    <w:rsid w:val="003E74A1"/>
    <w:rsid w:val="003F0F9F"/>
    <w:rsid w:val="003F4005"/>
    <w:rsid w:val="003F4FF6"/>
    <w:rsid w:val="003F6831"/>
    <w:rsid w:val="003F72B4"/>
    <w:rsid w:val="003F7E35"/>
    <w:rsid w:val="00402793"/>
    <w:rsid w:val="00403808"/>
    <w:rsid w:val="00405214"/>
    <w:rsid w:val="004068EE"/>
    <w:rsid w:val="00407142"/>
    <w:rsid w:val="00410805"/>
    <w:rsid w:val="00410E43"/>
    <w:rsid w:val="00411D53"/>
    <w:rsid w:val="00412104"/>
    <w:rsid w:val="0041430F"/>
    <w:rsid w:val="004149C0"/>
    <w:rsid w:val="00415BF7"/>
    <w:rsid w:val="00417BB6"/>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99E"/>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5BB4"/>
    <w:rsid w:val="00457D34"/>
    <w:rsid w:val="0046279A"/>
    <w:rsid w:val="00463295"/>
    <w:rsid w:val="004649B1"/>
    <w:rsid w:val="00465462"/>
    <w:rsid w:val="00465852"/>
    <w:rsid w:val="00466F38"/>
    <w:rsid w:val="00470EE8"/>
    <w:rsid w:val="0047145E"/>
    <w:rsid w:val="0047288A"/>
    <w:rsid w:val="00472CA4"/>
    <w:rsid w:val="00474383"/>
    <w:rsid w:val="00474F92"/>
    <w:rsid w:val="00476D8F"/>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2EC8"/>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131"/>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0B4C"/>
    <w:rsid w:val="00621BFA"/>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6B8F"/>
    <w:rsid w:val="00697B8D"/>
    <w:rsid w:val="00697BBA"/>
    <w:rsid w:val="006A0454"/>
    <w:rsid w:val="006A1993"/>
    <w:rsid w:val="006A22D0"/>
    <w:rsid w:val="006A30A0"/>
    <w:rsid w:val="006A3601"/>
    <w:rsid w:val="006A394A"/>
    <w:rsid w:val="006A605C"/>
    <w:rsid w:val="006A62FA"/>
    <w:rsid w:val="006A6571"/>
    <w:rsid w:val="006A6684"/>
    <w:rsid w:val="006A685C"/>
    <w:rsid w:val="006A77AE"/>
    <w:rsid w:val="006A79D1"/>
    <w:rsid w:val="006B0F49"/>
    <w:rsid w:val="006B1995"/>
    <w:rsid w:val="006B40DC"/>
    <w:rsid w:val="006B65F4"/>
    <w:rsid w:val="006B72F0"/>
    <w:rsid w:val="006C04E7"/>
    <w:rsid w:val="006C103A"/>
    <w:rsid w:val="006C29C0"/>
    <w:rsid w:val="006C2A67"/>
    <w:rsid w:val="006C6DEE"/>
    <w:rsid w:val="006D0344"/>
    <w:rsid w:val="006D153A"/>
    <w:rsid w:val="006D2878"/>
    <w:rsid w:val="006D2AB2"/>
    <w:rsid w:val="006D2E4F"/>
    <w:rsid w:val="006D318A"/>
    <w:rsid w:val="006D36A9"/>
    <w:rsid w:val="006D3B34"/>
    <w:rsid w:val="006D47A3"/>
    <w:rsid w:val="006D4825"/>
    <w:rsid w:val="006D4B86"/>
    <w:rsid w:val="006D52C1"/>
    <w:rsid w:val="006D604C"/>
    <w:rsid w:val="006D689F"/>
    <w:rsid w:val="006D7275"/>
    <w:rsid w:val="006D75D4"/>
    <w:rsid w:val="006E0EEA"/>
    <w:rsid w:val="006E1A98"/>
    <w:rsid w:val="006E4013"/>
    <w:rsid w:val="006E4020"/>
    <w:rsid w:val="006E4EAC"/>
    <w:rsid w:val="006E5021"/>
    <w:rsid w:val="006E6BB6"/>
    <w:rsid w:val="006E6C05"/>
    <w:rsid w:val="006F02A7"/>
    <w:rsid w:val="006F1BFF"/>
    <w:rsid w:val="006F2424"/>
    <w:rsid w:val="006F2F58"/>
    <w:rsid w:val="006F462B"/>
    <w:rsid w:val="006F65ED"/>
    <w:rsid w:val="006F6BAC"/>
    <w:rsid w:val="006F7250"/>
    <w:rsid w:val="006F7574"/>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132"/>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1FAA"/>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9E"/>
    <w:rsid w:val="008A19EB"/>
    <w:rsid w:val="008A1E04"/>
    <w:rsid w:val="008A2112"/>
    <w:rsid w:val="008A21AC"/>
    <w:rsid w:val="008A2E14"/>
    <w:rsid w:val="008A59C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01"/>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67C30"/>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375C"/>
    <w:rsid w:val="009C5548"/>
    <w:rsid w:val="009C6950"/>
    <w:rsid w:val="009C6C35"/>
    <w:rsid w:val="009C7037"/>
    <w:rsid w:val="009C7598"/>
    <w:rsid w:val="009C778C"/>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174FA"/>
    <w:rsid w:val="00B20B48"/>
    <w:rsid w:val="00B2381B"/>
    <w:rsid w:val="00B2586D"/>
    <w:rsid w:val="00B265D3"/>
    <w:rsid w:val="00B266EA"/>
    <w:rsid w:val="00B26858"/>
    <w:rsid w:val="00B26BDE"/>
    <w:rsid w:val="00B27621"/>
    <w:rsid w:val="00B30C1E"/>
    <w:rsid w:val="00B311D0"/>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253"/>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0FF1"/>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66E"/>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C6C48"/>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5FF5"/>
    <w:rsid w:val="00F27230"/>
    <w:rsid w:val="00F272A0"/>
    <w:rsid w:val="00F2767C"/>
    <w:rsid w:val="00F278FA"/>
    <w:rsid w:val="00F27941"/>
    <w:rsid w:val="00F27CDA"/>
    <w:rsid w:val="00F31007"/>
    <w:rsid w:val="00F317B4"/>
    <w:rsid w:val="00F3221D"/>
    <w:rsid w:val="00F32D29"/>
    <w:rsid w:val="00F33D6E"/>
    <w:rsid w:val="00F35FEF"/>
    <w:rsid w:val="00F360EB"/>
    <w:rsid w:val="00F368C4"/>
    <w:rsid w:val="00F407AC"/>
    <w:rsid w:val="00F410D6"/>
    <w:rsid w:val="00F41A6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1C2"/>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numbering" Target="numbering.xml"/><Relationship Id="rId74" Type="http://schemas.openxmlformats.org/officeDocument/2006/relationships/image" Target="media/image1.png"/><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webSettings" Target="webSettings.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mailto:sidney.almeida@qg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10.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11.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2.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1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4.xml><?xml version="1.0" encoding="utf-8"?>
<ds:datastoreItem xmlns:ds="http://schemas.openxmlformats.org/officeDocument/2006/customXml" ds:itemID="{FBD97A93-EB0E-4415-86F3-25F9D7A724D9}">
  <ds:schemaRefs>
    <ds:schemaRef ds:uri="http://www.imanage.com/work/xmlschema"/>
  </ds:schemaRefs>
</ds:datastoreItem>
</file>

<file path=customXml/itemProps1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16.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17.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18.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0.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2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2.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23.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24.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25.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26.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27.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28.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29.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0.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31.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32.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3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4.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35.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36.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7.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8.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39.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0.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41.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42.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4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4.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45.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46.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7.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9.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50.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51.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52.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53.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54.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55.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5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6.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7.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8.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9.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10750</Words>
  <Characters>58052</Characters>
  <Application>Microsoft Office Word</Application>
  <DocSecurity>0</DocSecurity>
  <Lines>483</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9</cp:revision>
  <cp:lastPrinted>2022-05-06T13:10:00Z</cp:lastPrinted>
  <dcterms:created xsi:type="dcterms:W3CDTF">2022-03-03T20:33:00Z</dcterms:created>
  <dcterms:modified xsi:type="dcterms:W3CDTF">2022-05-06T13:10:00Z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