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A0EB7" w14:textId="77777777" w:rsidR="00357E5F" w:rsidRDefault="00357E5F" w:rsidP="00155B60">
      <w:pPr>
        <w:pStyle w:val="Ttulo1"/>
        <w:spacing w:before="0" w:line="320" w:lineRule="exact"/>
        <w:jc w:val="center"/>
        <w:rPr>
          <w:rStyle w:val="titulo-02"/>
          <w:rFonts w:ascii="Arial" w:hAnsi="Arial" w:cs="Arial"/>
          <w:color w:val="auto"/>
          <w:sz w:val="24"/>
          <w:szCs w:val="24"/>
        </w:rPr>
      </w:pPr>
      <w:r w:rsidRPr="00357E5F">
        <w:rPr>
          <w:rStyle w:val="titulo-02"/>
          <w:rFonts w:ascii="Arial" w:hAnsi="Arial" w:cs="Arial"/>
          <w:color w:val="auto"/>
          <w:sz w:val="24"/>
          <w:szCs w:val="24"/>
        </w:rPr>
        <w:t>DIMED S.A. DISTRIBUIDORA DE MEDICAMENTOS</w:t>
      </w:r>
    </w:p>
    <w:p w14:paraId="13EBC87E" w14:textId="5CB47048" w:rsidR="00B11CBF" w:rsidRPr="002601D7" w:rsidRDefault="00B11CBF" w:rsidP="00155B60">
      <w:pPr>
        <w:pStyle w:val="Ttulo1"/>
        <w:spacing w:before="0" w:line="320" w:lineRule="exact"/>
        <w:jc w:val="center"/>
        <w:rPr>
          <w:rFonts w:ascii="Arial" w:eastAsiaTheme="minorHAnsi" w:hAnsi="Arial" w:cs="Arial"/>
          <w:b w:val="0"/>
          <w:bCs w:val="0"/>
          <w:color w:val="auto"/>
          <w:sz w:val="22"/>
          <w:szCs w:val="22"/>
        </w:rPr>
      </w:pPr>
      <w:r w:rsidRPr="002601D7">
        <w:rPr>
          <w:rFonts w:ascii="Arial" w:eastAsiaTheme="minorHAnsi" w:hAnsi="Arial" w:cs="Arial"/>
          <w:b w:val="0"/>
          <w:bCs w:val="0"/>
          <w:color w:val="auto"/>
          <w:sz w:val="22"/>
          <w:szCs w:val="22"/>
        </w:rPr>
        <w:t>CNPJ/MF n</w:t>
      </w:r>
      <w:r w:rsidRPr="002601D7">
        <w:rPr>
          <w:rFonts w:ascii="Arial" w:eastAsiaTheme="minorHAnsi" w:hAnsi="Arial" w:cs="Arial"/>
          <w:b w:val="0"/>
          <w:bCs w:val="0"/>
          <w:color w:val="auto"/>
          <w:sz w:val="22"/>
          <w:szCs w:val="22"/>
        </w:rPr>
        <w:sym w:font="Symbol" w:char="F0B0"/>
      </w:r>
      <w:r w:rsidRPr="002601D7">
        <w:rPr>
          <w:rFonts w:ascii="Arial" w:eastAsiaTheme="minorHAnsi" w:hAnsi="Arial" w:cs="Arial"/>
          <w:b w:val="0"/>
          <w:bCs w:val="0"/>
          <w:color w:val="auto"/>
          <w:sz w:val="22"/>
          <w:szCs w:val="22"/>
        </w:rPr>
        <w:t xml:space="preserve"> </w:t>
      </w:r>
      <w:r w:rsidR="00357E5F" w:rsidRPr="00357E5F">
        <w:rPr>
          <w:rFonts w:ascii="Arial" w:eastAsiaTheme="minorHAnsi" w:hAnsi="Arial" w:cs="Arial"/>
          <w:b w:val="0"/>
          <w:bCs w:val="0"/>
          <w:color w:val="auto"/>
          <w:sz w:val="22"/>
          <w:szCs w:val="22"/>
        </w:rPr>
        <w:t>92.665.611/0001-77</w:t>
      </w:r>
    </w:p>
    <w:p w14:paraId="229624A2" w14:textId="77777777" w:rsidR="00357E5F" w:rsidRPr="00A4728B" w:rsidRDefault="00B11CBF" w:rsidP="00155B60">
      <w:pPr>
        <w:spacing w:after="0" w:line="320" w:lineRule="exact"/>
        <w:jc w:val="center"/>
        <w:rPr>
          <w:sz w:val="14"/>
          <w:szCs w:val="14"/>
        </w:rPr>
      </w:pPr>
      <w:r w:rsidRPr="002601D7">
        <w:rPr>
          <w:rFonts w:ascii="Arial" w:hAnsi="Arial" w:cs="Arial"/>
        </w:rPr>
        <w:t>NIRE n</w:t>
      </w:r>
      <w:r w:rsidRPr="002601D7">
        <w:rPr>
          <w:rFonts w:ascii="Arial" w:hAnsi="Arial" w:cs="Arial"/>
        </w:rPr>
        <w:sym w:font="Symbol" w:char="F0B0"/>
      </w:r>
      <w:r w:rsidRPr="002601D7">
        <w:rPr>
          <w:rFonts w:ascii="Arial" w:hAnsi="Arial" w:cs="Arial"/>
        </w:rPr>
        <w:t xml:space="preserve"> </w:t>
      </w:r>
      <w:r w:rsidR="00357E5F" w:rsidRPr="00357E5F">
        <w:rPr>
          <w:rFonts w:ascii="Arial" w:eastAsiaTheme="minorHAnsi" w:hAnsi="Arial" w:cs="Arial"/>
        </w:rPr>
        <w:t>43.300.003.221</w:t>
      </w:r>
    </w:p>
    <w:p w14:paraId="17D6CAFF" w14:textId="77777777" w:rsidR="00B11CBF" w:rsidRPr="002601D7" w:rsidRDefault="00B11CBF" w:rsidP="00155B60">
      <w:pPr>
        <w:pStyle w:val="NormalWeb"/>
        <w:spacing w:before="0" w:beforeAutospacing="0" w:after="0" w:afterAutospacing="0" w:line="320" w:lineRule="exact"/>
        <w:jc w:val="center"/>
        <w:rPr>
          <w:rStyle w:val="titulo-02"/>
          <w:rFonts w:ascii="Arial" w:hAnsi="Arial" w:cs="Arial"/>
          <w:b/>
          <w:bCs/>
        </w:rPr>
      </w:pPr>
    </w:p>
    <w:p w14:paraId="26366537" w14:textId="378E8C40" w:rsidR="00B11CBF" w:rsidRPr="002601D7" w:rsidRDefault="00584759" w:rsidP="00155B60">
      <w:pPr>
        <w:pStyle w:val="NormalWeb"/>
        <w:spacing w:before="0" w:beforeAutospacing="0" w:after="0" w:afterAutospacing="0" w:line="320" w:lineRule="exact"/>
        <w:jc w:val="center"/>
        <w:rPr>
          <w:rStyle w:val="titulo-02"/>
          <w:rFonts w:ascii="Arial" w:hAnsi="Arial" w:cs="Arial"/>
          <w:b/>
          <w:bCs/>
        </w:rPr>
      </w:pPr>
      <w:r>
        <w:rPr>
          <w:rStyle w:val="titulo-02"/>
          <w:rFonts w:ascii="Arial" w:hAnsi="Arial" w:cs="Arial"/>
          <w:b/>
          <w:bCs/>
        </w:rPr>
        <w:t xml:space="preserve">ATA DA </w:t>
      </w:r>
      <w:r w:rsidR="001F519E">
        <w:rPr>
          <w:rStyle w:val="titulo-02"/>
          <w:rFonts w:ascii="Arial" w:hAnsi="Arial" w:cs="Arial"/>
          <w:b/>
          <w:bCs/>
        </w:rPr>
        <w:t>REUNIÃO DO CONSELHO DE ADMINISTRAÇÃO</w:t>
      </w:r>
    </w:p>
    <w:p w14:paraId="0FD5BAE3" w14:textId="460EF5C4" w:rsidR="00B36437" w:rsidRPr="002601D7" w:rsidRDefault="00B36437" w:rsidP="00155B60">
      <w:pPr>
        <w:pStyle w:val="NormalWeb"/>
        <w:tabs>
          <w:tab w:val="left" w:pos="690"/>
          <w:tab w:val="center" w:pos="4677"/>
        </w:tabs>
        <w:spacing w:before="0" w:beforeAutospacing="0" w:after="0" w:afterAutospacing="0" w:line="320" w:lineRule="exact"/>
        <w:jc w:val="center"/>
        <w:rPr>
          <w:rStyle w:val="titulo-02"/>
          <w:rFonts w:ascii="Arial" w:hAnsi="Arial" w:cs="Arial"/>
          <w:b/>
          <w:bCs/>
        </w:rPr>
      </w:pPr>
      <w:r w:rsidRPr="002601D7">
        <w:rPr>
          <w:rStyle w:val="titulo-02"/>
          <w:rFonts w:ascii="Arial" w:hAnsi="Arial" w:cs="Arial"/>
          <w:b/>
          <w:bCs/>
        </w:rPr>
        <w:t xml:space="preserve">REALIZADA EM </w:t>
      </w:r>
      <w:r w:rsidR="00F84B75">
        <w:rPr>
          <w:rStyle w:val="titulo-02"/>
          <w:rFonts w:ascii="Arial" w:hAnsi="Arial" w:cs="Arial"/>
          <w:b/>
          <w:bCs/>
        </w:rPr>
        <w:t>12</w:t>
      </w:r>
      <w:r w:rsidRPr="002601D7">
        <w:rPr>
          <w:rStyle w:val="titulo-02"/>
          <w:rFonts w:ascii="Arial" w:hAnsi="Arial" w:cs="Arial"/>
          <w:b/>
          <w:bCs/>
        </w:rPr>
        <w:t xml:space="preserve"> DE </w:t>
      </w:r>
      <w:r w:rsidR="00357E5F">
        <w:rPr>
          <w:rStyle w:val="titulo-02"/>
          <w:rFonts w:ascii="Arial" w:hAnsi="Arial" w:cs="Arial"/>
          <w:b/>
          <w:bCs/>
        </w:rPr>
        <w:t>ABRIL</w:t>
      </w:r>
      <w:r w:rsidR="005F18E9" w:rsidRPr="002601D7">
        <w:rPr>
          <w:rStyle w:val="titulo-02"/>
          <w:rFonts w:ascii="Arial" w:hAnsi="Arial" w:cs="Arial"/>
          <w:b/>
          <w:bCs/>
        </w:rPr>
        <w:t xml:space="preserve"> </w:t>
      </w:r>
      <w:r w:rsidRPr="002601D7">
        <w:rPr>
          <w:rStyle w:val="titulo-02"/>
          <w:rFonts w:ascii="Arial" w:hAnsi="Arial" w:cs="Arial"/>
          <w:b/>
          <w:bCs/>
        </w:rPr>
        <w:t xml:space="preserve">DE </w:t>
      </w:r>
      <w:r w:rsidR="00357E5F">
        <w:rPr>
          <w:rStyle w:val="titulo-02"/>
          <w:rFonts w:ascii="Arial" w:hAnsi="Arial" w:cs="Arial"/>
          <w:b/>
          <w:bCs/>
        </w:rPr>
        <w:t>2019</w:t>
      </w:r>
    </w:p>
    <w:p w14:paraId="156F4A05" w14:textId="77777777" w:rsidR="00B11CBF" w:rsidRPr="002601D7" w:rsidRDefault="00B11CBF" w:rsidP="00155B60">
      <w:pPr>
        <w:pStyle w:val="NormalWeb"/>
        <w:tabs>
          <w:tab w:val="left" w:pos="690"/>
          <w:tab w:val="center" w:pos="4677"/>
        </w:tabs>
        <w:spacing w:before="0" w:beforeAutospacing="0" w:after="0" w:afterAutospacing="0" w:line="320" w:lineRule="exact"/>
        <w:rPr>
          <w:rStyle w:val="titulo-02"/>
          <w:rFonts w:ascii="Arial" w:hAnsi="Arial" w:cs="Arial"/>
          <w:b/>
          <w:bCs/>
        </w:rPr>
      </w:pPr>
    </w:p>
    <w:p w14:paraId="69775417" w14:textId="77777777" w:rsidR="00B11CBF" w:rsidRPr="002601D7" w:rsidRDefault="00B11CBF" w:rsidP="00155B60">
      <w:pPr>
        <w:pStyle w:val="NormalWeb"/>
        <w:tabs>
          <w:tab w:val="left" w:pos="690"/>
          <w:tab w:val="center" w:pos="4677"/>
        </w:tabs>
        <w:spacing w:before="0" w:beforeAutospacing="0" w:after="0" w:afterAutospacing="0" w:line="320" w:lineRule="exact"/>
        <w:rPr>
          <w:rStyle w:val="titulo-02"/>
          <w:rFonts w:ascii="Arial" w:hAnsi="Arial" w:cs="Arial"/>
          <w:b/>
          <w:bCs/>
        </w:rPr>
      </w:pPr>
    </w:p>
    <w:p w14:paraId="740D4582" w14:textId="561015E7" w:rsidR="00B11CBF" w:rsidRDefault="00B11CBF" w:rsidP="00155B60">
      <w:pPr>
        <w:pStyle w:val="NormalWeb"/>
        <w:numPr>
          <w:ilvl w:val="0"/>
          <w:numId w:val="1"/>
        </w:numPr>
        <w:spacing w:before="0" w:beforeAutospacing="0" w:after="0" w:afterAutospacing="0" w:line="320" w:lineRule="exact"/>
        <w:ind w:left="187"/>
        <w:jc w:val="both"/>
        <w:rPr>
          <w:rFonts w:ascii="Arial" w:hAnsi="Arial" w:cs="Arial"/>
          <w:bCs/>
        </w:rPr>
      </w:pPr>
      <w:r w:rsidRPr="004910FE">
        <w:rPr>
          <w:rFonts w:ascii="Arial" w:hAnsi="Arial" w:cs="Arial"/>
          <w:b/>
          <w:bCs/>
          <w:u w:val="single"/>
        </w:rPr>
        <w:t>Data, Hora e Local</w:t>
      </w:r>
      <w:r w:rsidRPr="004910FE">
        <w:rPr>
          <w:rFonts w:ascii="Arial" w:hAnsi="Arial" w:cs="Arial"/>
          <w:b/>
          <w:bCs/>
        </w:rPr>
        <w:t xml:space="preserve">: </w:t>
      </w:r>
      <w:r w:rsidRPr="004910FE">
        <w:rPr>
          <w:rFonts w:ascii="Arial" w:hAnsi="Arial" w:cs="Arial"/>
          <w:bCs/>
        </w:rPr>
        <w:t xml:space="preserve">Aos </w:t>
      </w:r>
      <w:r w:rsidR="00F84B75">
        <w:rPr>
          <w:rFonts w:ascii="Arial" w:hAnsi="Arial" w:cs="Arial"/>
          <w:bCs/>
        </w:rPr>
        <w:t>12</w:t>
      </w:r>
      <w:r w:rsidR="00B36437" w:rsidRPr="004910FE">
        <w:rPr>
          <w:rFonts w:ascii="Arial" w:hAnsi="Arial" w:cs="Arial"/>
          <w:bCs/>
        </w:rPr>
        <w:t xml:space="preserve"> </w:t>
      </w:r>
      <w:r w:rsidRPr="004910FE">
        <w:rPr>
          <w:rFonts w:ascii="Arial" w:hAnsi="Arial" w:cs="Arial"/>
          <w:bCs/>
        </w:rPr>
        <w:t xml:space="preserve">dias do mês de </w:t>
      </w:r>
      <w:r w:rsidR="00F84B75">
        <w:rPr>
          <w:rFonts w:ascii="Arial" w:hAnsi="Arial" w:cs="Arial"/>
          <w:bCs/>
        </w:rPr>
        <w:t>abril</w:t>
      </w:r>
      <w:r w:rsidR="00B36437" w:rsidRPr="004910FE">
        <w:rPr>
          <w:rFonts w:ascii="Arial" w:hAnsi="Arial" w:cs="Arial"/>
          <w:bCs/>
        </w:rPr>
        <w:t xml:space="preserve"> </w:t>
      </w:r>
      <w:r w:rsidRPr="004910FE">
        <w:rPr>
          <w:rFonts w:ascii="Arial" w:hAnsi="Arial" w:cs="Arial"/>
          <w:bCs/>
        </w:rPr>
        <w:t>de</w:t>
      </w:r>
      <w:r w:rsidR="007872F2" w:rsidRPr="004910FE">
        <w:rPr>
          <w:rFonts w:ascii="Arial" w:hAnsi="Arial" w:cs="Arial"/>
          <w:bCs/>
        </w:rPr>
        <w:t xml:space="preserve"> 2019</w:t>
      </w:r>
      <w:r w:rsidRPr="004910FE">
        <w:rPr>
          <w:rFonts w:ascii="Arial" w:hAnsi="Arial" w:cs="Arial"/>
          <w:bCs/>
        </w:rPr>
        <w:t>, às 1</w:t>
      </w:r>
      <w:r w:rsidR="00441138" w:rsidRPr="004910FE">
        <w:rPr>
          <w:rFonts w:ascii="Arial" w:hAnsi="Arial" w:cs="Arial"/>
          <w:bCs/>
        </w:rPr>
        <w:t>1</w:t>
      </w:r>
      <w:r w:rsidRPr="004910FE">
        <w:rPr>
          <w:rFonts w:ascii="Arial" w:hAnsi="Arial" w:cs="Arial"/>
          <w:bCs/>
        </w:rPr>
        <w:t>h</w:t>
      </w:r>
      <w:r w:rsidR="00441138" w:rsidRPr="004910FE">
        <w:rPr>
          <w:rFonts w:ascii="Arial" w:hAnsi="Arial" w:cs="Arial"/>
          <w:bCs/>
        </w:rPr>
        <w:t>3</w:t>
      </w:r>
      <w:r w:rsidRPr="004910FE">
        <w:rPr>
          <w:rFonts w:ascii="Arial" w:hAnsi="Arial" w:cs="Arial"/>
          <w:bCs/>
        </w:rPr>
        <w:t>0m (horário de Brasília), na sede social</w:t>
      </w:r>
      <w:r w:rsidR="00623339" w:rsidRPr="004910FE">
        <w:rPr>
          <w:rFonts w:ascii="Arial" w:hAnsi="Arial" w:cs="Arial"/>
          <w:bCs/>
        </w:rPr>
        <w:t xml:space="preserve"> da </w:t>
      </w:r>
      <w:r w:rsidR="004910FE" w:rsidRPr="004910FE">
        <w:rPr>
          <w:rFonts w:ascii="Arial" w:hAnsi="Arial" w:cs="Arial"/>
          <w:bCs/>
        </w:rPr>
        <w:t>Dimed S.A. Distribuidora de Medicamentos</w:t>
      </w:r>
      <w:r w:rsidR="00623339" w:rsidRPr="004910FE">
        <w:rPr>
          <w:rFonts w:ascii="Arial" w:hAnsi="Arial" w:cs="Arial"/>
          <w:bCs/>
        </w:rPr>
        <w:t xml:space="preserve"> (“</w:t>
      </w:r>
      <w:r w:rsidR="00623339" w:rsidRPr="004910FE">
        <w:rPr>
          <w:rFonts w:ascii="Arial" w:hAnsi="Arial" w:cs="Arial"/>
          <w:bCs/>
          <w:u w:val="single"/>
        </w:rPr>
        <w:t>Companhia</w:t>
      </w:r>
      <w:r w:rsidR="00623339" w:rsidRPr="004910FE">
        <w:rPr>
          <w:rFonts w:ascii="Arial" w:hAnsi="Arial" w:cs="Arial"/>
          <w:bCs/>
        </w:rPr>
        <w:t>”)</w:t>
      </w:r>
      <w:r w:rsidR="00B077C8" w:rsidRPr="004910FE">
        <w:rPr>
          <w:rFonts w:ascii="Arial" w:hAnsi="Arial" w:cs="Arial"/>
          <w:bCs/>
        </w:rPr>
        <w:t>, situada</w:t>
      </w:r>
      <w:r w:rsidR="00292AC0" w:rsidRPr="004910FE">
        <w:rPr>
          <w:rFonts w:ascii="Arial" w:hAnsi="Arial" w:cs="Arial"/>
          <w:bCs/>
        </w:rPr>
        <w:t xml:space="preserve"> na </w:t>
      </w:r>
      <w:r w:rsidR="004910FE" w:rsidRPr="004910FE">
        <w:rPr>
          <w:rFonts w:ascii="Arial" w:hAnsi="Arial" w:cs="Arial"/>
          <w:bCs/>
        </w:rPr>
        <w:t>Avenida Industrial Be</w:t>
      </w:r>
      <w:r w:rsidR="004910FE">
        <w:rPr>
          <w:rFonts w:ascii="Arial" w:hAnsi="Arial" w:cs="Arial"/>
          <w:bCs/>
        </w:rPr>
        <w:t xml:space="preserve">lgraff, nº 865, CEP 92.990-000, na cidade de </w:t>
      </w:r>
      <w:r w:rsidR="004910FE" w:rsidRPr="004910FE">
        <w:rPr>
          <w:rFonts w:ascii="Arial" w:hAnsi="Arial" w:cs="Arial"/>
          <w:bCs/>
        </w:rPr>
        <w:t>Eldorado do Sul,</w:t>
      </w:r>
      <w:r w:rsidR="004910FE">
        <w:rPr>
          <w:rFonts w:ascii="Arial" w:hAnsi="Arial" w:cs="Arial"/>
          <w:bCs/>
        </w:rPr>
        <w:t xml:space="preserve"> estado do</w:t>
      </w:r>
      <w:r w:rsidR="004910FE" w:rsidRPr="004910FE">
        <w:rPr>
          <w:rFonts w:ascii="Arial" w:hAnsi="Arial" w:cs="Arial"/>
          <w:bCs/>
        </w:rPr>
        <w:t xml:space="preserve"> R</w:t>
      </w:r>
      <w:r w:rsidR="004910FE">
        <w:rPr>
          <w:rFonts w:ascii="Arial" w:hAnsi="Arial" w:cs="Arial"/>
          <w:bCs/>
        </w:rPr>
        <w:t xml:space="preserve">io Grande do </w:t>
      </w:r>
      <w:r w:rsidR="004910FE" w:rsidRPr="004910FE">
        <w:rPr>
          <w:rFonts w:ascii="Arial" w:hAnsi="Arial" w:cs="Arial"/>
          <w:bCs/>
        </w:rPr>
        <w:t>S</w:t>
      </w:r>
      <w:r w:rsidR="004910FE">
        <w:rPr>
          <w:rFonts w:ascii="Arial" w:hAnsi="Arial" w:cs="Arial"/>
          <w:bCs/>
        </w:rPr>
        <w:t>ul.</w:t>
      </w:r>
    </w:p>
    <w:p w14:paraId="66D219EF" w14:textId="77777777" w:rsidR="004910FE" w:rsidRPr="004910FE" w:rsidRDefault="004910FE" w:rsidP="00155B60">
      <w:pPr>
        <w:pStyle w:val="NormalWeb"/>
        <w:spacing w:before="0" w:beforeAutospacing="0" w:after="0" w:afterAutospacing="0" w:line="320" w:lineRule="exact"/>
        <w:jc w:val="both"/>
        <w:rPr>
          <w:rFonts w:ascii="Arial" w:hAnsi="Arial" w:cs="Arial"/>
          <w:bCs/>
        </w:rPr>
      </w:pPr>
    </w:p>
    <w:p w14:paraId="3C307AD2" w14:textId="3B58DD58" w:rsidR="00B11CBF" w:rsidRPr="002601D7" w:rsidRDefault="00B11CBF" w:rsidP="00155B60">
      <w:pPr>
        <w:pStyle w:val="NormalWeb"/>
        <w:numPr>
          <w:ilvl w:val="0"/>
          <w:numId w:val="1"/>
        </w:numPr>
        <w:spacing w:before="0" w:beforeAutospacing="0" w:after="0" w:afterAutospacing="0" w:line="320" w:lineRule="exact"/>
        <w:ind w:left="187"/>
        <w:jc w:val="both"/>
        <w:rPr>
          <w:rFonts w:ascii="Arial" w:hAnsi="Arial" w:cs="Arial"/>
          <w:b/>
          <w:bCs/>
        </w:rPr>
      </w:pPr>
      <w:r w:rsidRPr="002601D7">
        <w:rPr>
          <w:rFonts w:ascii="Arial" w:hAnsi="Arial" w:cs="Arial"/>
          <w:b/>
          <w:bCs/>
          <w:u w:val="single"/>
        </w:rPr>
        <w:t>Convocação e Presenças</w:t>
      </w:r>
      <w:r w:rsidRPr="002601D7">
        <w:rPr>
          <w:rFonts w:ascii="Arial" w:hAnsi="Arial" w:cs="Arial"/>
          <w:b/>
          <w:bCs/>
        </w:rPr>
        <w:t xml:space="preserve">: </w:t>
      </w:r>
      <w:r w:rsidR="001F519E" w:rsidRPr="001F519E">
        <w:rPr>
          <w:rFonts w:ascii="Arial" w:hAnsi="Arial" w:cs="Arial"/>
          <w:bCs/>
        </w:rPr>
        <w:t xml:space="preserve">Convocação realizada nos termos </w:t>
      </w:r>
      <w:r w:rsidR="003E732F">
        <w:rPr>
          <w:rFonts w:ascii="Arial" w:hAnsi="Arial" w:cs="Arial"/>
          <w:bCs/>
        </w:rPr>
        <w:t>da cláusula terceira</w:t>
      </w:r>
      <w:r w:rsidR="001F519E" w:rsidRPr="001F519E">
        <w:rPr>
          <w:rFonts w:ascii="Arial" w:hAnsi="Arial" w:cs="Arial"/>
          <w:bCs/>
        </w:rPr>
        <w:t xml:space="preserve"> do Acordo de Acionistas da Companhia. Presente os conselheiros </w:t>
      </w:r>
      <w:r w:rsidR="001F519E">
        <w:rPr>
          <w:rFonts w:ascii="Arial" w:hAnsi="Arial" w:cs="Arial"/>
          <w:bCs/>
        </w:rPr>
        <w:t>[</w:t>
      </w:r>
      <w:r w:rsidR="001F519E" w:rsidRPr="004910FE">
        <w:rPr>
          <w:rFonts w:ascii="Arial" w:hAnsi="Arial" w:cs="Arial"/>
          <w:bCs/>
          <w:highlight w:val="yellow"/>
        </w:rPr>
        <w:t>●</w:t>
      </w:r>
      <w:r w:rsidR="001F519E">
        <w:rPr>
          <w:rFonts w:ascii="Arial" w:hAnsi="Arial" w:cs="Arial"/>
          <w:bCs/>
        </w:rPr>
        <w:t>]</w:t>
      </w:r>
      <w:r w:rsidR="001F519E" w:rsidRPr="001F519E">
        <w:rPr>
          <w:rFonts w:ascii="Arial" w:hAnsi="Arial" w:cs="Arial"/>
          <w:bCs/>
        </w:rPr>
        <w:t>.</w:t>
      </w:r>
      <w:r w:rsidR="001F519E">
        <w:rPr>
          <w:rFonts w:ascii="Arial" w:hAnsi="Arial" w:cs="Arial"/>
          <w:bCs/>
        </w:rPr>
        <w:t xml:space="preserve"> </w:t>
      </w:r>
    </w:p>
    <w:p w14:paraId="2AE4A807" w14:textId="77777777" w:rsidR="00B11CBF" w:rsidRPr="002601D7" w:rsidRDefault="00B11CBF" w:rsidP="00155B60">
      <w:pPr>
        <w:pStyle w:val="NormalWeb"/>
        <w:spacing w:before="0" w:beforeAutospacing="0" w:after="0" w:afterAutospacing="0" w:line="320" w:lineRule="exact"/>
        <w:ind w:left="187"/>
        <w:jc w:val="both"/>
        <w:rPr>
          <w:rFonts w:ascii="Arial" w:hAnsi="Arial" w:cs="Arial"/>
          <w:b/>
          <w:bCs/>
        </w:rPr>
      </w:pPr>
    </w:p>
    <w:p w14:paraId="210ED0F0" w14:textId="26ED35D5" w:rsidR="00B11CBF" w:rsidRPr="004910FE" w:rsidRDefault="00B11CBF" w:rsidP="00155B60">
      <w:pPr>
        <w:pStyle w:val="NormalWeb"/>
        <w:numPr>
          <w:ilvl w:val="0"/>
          <w:numId w:val="1"/>
        </w:numPr>
        <w:spacing w:before="0" w:beforeAutospacing="0" w:after="0" w:afterAutospacing="0" w:line="320" w:lineRule="exact"/>
        <w:ind w:left="187"/>
        <w:jc w:val="both"/>
        <w:rPr>
          <w:rFonts w:ascii="Arial" w:hAnsi="Arial" w:cs="Arial"/>
          <w:b/>
          <w:bCs/>
          <w:u w:val="single"/>
        </w:rPr>
      </w:pPr>
      <w:r w:rsidRPr="002601D7">
        <w:rPr>
          <w:rFonts w:ascii="Arial" w:hAnsi="Arial" w:cs="Arial"/>
          <w:b/>
          <w:bCs/>
          <w:u w:val="single"/>
        </w:rPr>
        <w:t>Mesa</w:t>
      </w:r>
      <w:r w:rsidRPr="004910FE">
        <w:rPr>
          <w:rFonts w:ascii="Arial" w:hAnsi="Arial" w:cs="Arial"/>
          <w:b/>
          <w:bCs/>
          <w:u w:val="single"/>
        </w:rPr>
        <w:t xml:space="preserve">: </w:t>
      </w:r>
      <w:r w:rsidR="00DF5C9B" w:rsidRPr="004910FE">
        <w:rPr>
          <w:rFonts w:ascii="Arial" w:hAnsi="Arial" w:cs="Arial"/>
          <w:bCs/>
        </w:rPr>
        <w:t>[</w:t>
      </w:r>
      <w:r w:rsidR="00DF5C9B" w:rsidRPr="004910FE">
        <w:rPr>
          <w:rFonts w:ascii="Arial" w:hAnsi="Arial" w:cs="Arial"/>
          <w:bCs/>
          <w:highlight w:val="yellow"/>
        </w:rPr>
        <w:t>●</w:t>
      </w:r>
      <w:r w:rsidR="00DF5C9B" w:rsidRPr="004910FE">
        <w:rPr>
          <w:rFonts w:ascii="Arial" w:hAnsi="Arial" w:cs="Arial"/>
          <w:bCs/>
        </w:rPr>
        <w:t>]</w:t>
      </w:r>
      <w:r w:rsidR="00CD611C" w:rsidRPr="004910FE">
        <w:rPr>
          <w:rFonts w:ascii="Arial" w:hAnsi="Arial" w:cs="Arial"/>
          <w:b/>
          <w:bCs/>
          <w:u w:val="single"/>
        </w:rPr>
        <w:t xml:space="preserve"> </w:t>
      </w:r>
      <w:r w:rsidRPr="004910FE">
        <w:rPr>
          <w:rFonts w:ascii="Arial" w:hAnsi="Arial" w:cs="Arial"/>
          <w:b/>
          <w:bCs/>
          <w:u w:val="single"/>
        </w:rPr>
        <w:t xml:space="preserve">– Presidente e </w:t>
      </w:r>
      <w:r w:rsidR="00DF5C9B" w:rsidRPr="004910FE">
        <w:rPr>
          <w:rFonts w:ascii="Arial" w:hAnsi="Arial" w:cs="Arial"/>
          <w:bCs/>
        </w:rPr>
        <w:t>[</w:t>
      </w:r>
      <w:r w:rsidR="00DF5C9B" w:rsidRPr="004910FE">
        <w:rPr>
          <w:rFonts w:ascii="Arial" w:hAnsi="Arial" w:cs="Arial"/>
          <w:bCs/>
          <w:highlight w:val="yellow"/>
        </w:rPr>
        <w:t>●</w:t>
      </w:r>
      <w:r w:rsidR="00DF5C9B" w:rsidRPr="004910FE">
        <w:rPr>
          <w:rFonts w:ascii="Arial" w:hAnsi="Arial" w:cs="Arial"/>
          <w:bCs/>
        </w:rPr>
        <w:t>]</w:t>
      </w:r>
      <w:r w:rsidRPr="004910FE">
        <w:rPr>
          <w:rFonts w:ascii="Arial" w:hAnsi="Arial" w:cs="Arial"/>
          <w:b/>
          <w:bCs/>
          <w:u w:val="single"/>
        </w:rPr>
        <w:t xml:space="preserve"> – Secretário.</w:t>
      </w:r>
    </w:p>
    <w:p w14:paraId="50724A19" w14:textId="17DB5B5B" w:rsidR="00B11CBF" w:rsidRPr="004910FE" w:rsidRDefault="00B11CBF" w:rsidP="00155B60">
      <w:pPr>
        <w:pStyle w:val="NormalWeb"/>
        <w:spacing w:before="0" w:beforeAutospacing="0" w:after="0" w:afterAutospacing="0" w:line="320" w:lineRule="exact"/>
        <w:ind w:left="187"/>
        <w:jc w:val="both"/>
        <w:rPr>
          <w:rFonts w:ascii="Arial" w:hAnsi="Arial" w:cs="Arial"/>
          <w:b/>
          <w:bCs/>
          <w:u w:val="single"/>
        </w:rPr>
      </w:pPr>
    </w:p>
    <w:p w14:paraId="285353D4" w14:textId="0A9F9B4A" w:rsidR="00623339" w:rsidRPr="008F2988" w:rsidRDefault="00B11CBF" w:rsidP="00155B60">
      <w:pPr>
        <w:pStyle w:val="NormalWeb"/>
        <w:numPr>
          <w:ilvl w:val="0"/>
          <w:numId w:val="1"/>
        </w:numPr>
        <w:spacing w:before="0" w:beforeAutospacing="0" w:after="0" w:afterAutospacing="0" w:line="320" w:lineRule="exact"/>
        <w:ind w:left="187"/>
        <w:jc w:val="both"/>
        <w:rPr>
          <w:rFonts w:ascii="Arial" w:hAnsi="Arial" w:cs="Arial"/>
          <w:b/>
          <w:bCs/>
          <w:u w:val="single"/>
        </w:rPr>
      </w:pPr>
      <w:r w:rsidRPr="008F2988">
        <w:rPr>
          <w:rFonts w:ascii="Arial" w:hAnsi="Arial" w:cs="Arial"/>
          <w:b/>
          <w:bCs/>
          <w:u w:val="single"/>
        </w:rPr>
        <w:t>Ordem do Dia</w:t>
      </w:r>
      <w:r w:rsidR="00950FE0" w:rsidRPr="008F2988">
        <w:rPr>
          <w:rFonts w:ascii="Arial" w:hAnsi="Arial" w:cs="Arial"/>
          <w:b/>
          <w:bCs/>
          <w:u w:val="single"/>
        </w:rPr>
        <w:t>:</w:t>
      </w:r>
      <w:r w:rsidR="00950FE0" w:rsidRPr="008F2988">
        <w:rPr>
          <w:rFonts w:ascii="Arial" w:hAnsi="Arial" w:cs="Arial"/>
          <w:bCs/>
        </w:rPr>
        <w:t xml:space="preserve"> apreciar e deliberar sobre a </w:t>
      </w:r>
      <w:r w:rsidR="00950FE0" w:rsidRPr="008F2988">
        <w:rPr>
          <w:rFonts w:ascii="Arial" w:hAnsi="Arial" w:cs="Arial"/>
          <w:b/>
          <w:bCs/>
        </w:rPr>
        <w:t>(</w:t>
      </w:r>
      <w:r w:rsidR="00B836DC" w:rsidRPr="008F2988">
        <w:rPr>
          <w:rFonts w:ascii="Arial" w:hAnsi="Arial" w:cs="Arial"/>
          <w:b/>
          <w:bCs/>
        </w:rPr>
        <w:t>i</w:t>
      </w:r>
      <w:r w:rsidR="00950FE0" w:rsidRPr="008F2988">
        <w:rPr>
          <w:rFonts w:ascii="Arial" w:hAnsi="Arial" w:cs="Arial"/>
          <w:b/>
          <w:bCs/>
        </w:rPr>
        <w:t>)</w:t>
      </w:r>
      <w:r w:rsidR="00950FE0" w:rsidRPr="008F2988">
        <w:rPr>
          <w:rFonts w:ascii="Arial" w:hAnsi="Arial" w:cs="Arial"/>
          <w:bCs/>
        </w:rPr>
        <w:t xml:space="preserve"> a realização da 3ª (Terceira) emissão de debêntures simples, não conversíveis em ações da Companhia, </w:t>
      </w:r>
      <w:r w:rsidR="00DA32D3" w:rsidRPr="008F2988">
        <w:rPr>
          <w:rFonts w:ascii="Arial" w:hAnsi="Arial" w:cs="Arial"/>
          <w:bCs/>
        </w:rPr>
        <w:t xml:space="preserve">em </w:t>
      </w:r>
      <w:r w:rsidR="00F84B75">
        <w:rPr>
          <w:rFonts w:ascii="Arial" w:hAnsi="Arial" w:cs="Arial"/>
          <w:bCs/>
        </w:rPr>
        <w:t xml:space="preserve">até </w:t>
      </w:r>
      <w:r w:rsidR="00DA32D3" w:rsidRPr="008F2988">
        <w:rPr>
          <w:rFonts w:ascii="Arial" w:hAnsi="Arial" w:cs="Arial"/>
          <w:bCs/>
        </w:rPr>
        <w:t xml:space="preserve">duas séries, </w:t>
      </w:r>
      <w:r w:rsidR="00BF424F">
        <w:rPr>
          <w:rFonts w:ascii="Arial" w:hAnsi="Arial" w:cs="Arial"/>
          <w:bCs/>
        </w:rPr>
        <w:t xml:space="preserve">no valor total de </w:t>
      </w:r>
      <w:r w:rsidR="00920DB8">
        <w:rPr>
          <w:rFonts w:ascii="Arial" w:hAnsi="Arial" w:cs="Arial"/>
          <w:bCs/>
        </w:rPr>
        <w:t xml:space="preserve">até </w:t>
      </w:r>
      <w:r w:rsidR="00BF424F">
        <w:rPr>
          <w:rFonts w:ascii="Arial" w:hAnsi="Arial" w:cs="Arial"/>
          <w:bCs/>
        </w:rPr>
        <w:t xml:space="preserve">R$ </w:t>
      </w:r>
      <w:r w:rsidR="00805AB3" w:rsidRPr="00BF424F">
        <w:rPr>
          <w:rFonts w:ascii="Arial" w:hAnsi="Arial" w:cs="Arial"/>
          <w:bCs/>
        </w:rPr>
        <w:t>185.000.000,00 (cento e oitenta e cinco milhões de reais</w:t>
      </w:r>
      <w:r w:rsidR="00950FE0" w:rsidRPr="008F2988">
        <w:rPr>
          <w:rFonts w:ascii="Arial" w:hAnsi="Arial" w:cs="Arial"/>
          <w:bCs/>
        </w:rPr>
        <w:t xml:space="preserve"> (“</w:t>
      </w:r>
      <w:r w:rsidR="00950FE0" w:rsidRPr="008F2988">
        <w:rPr>
          <w:rFonts w:ascii="Arial" w:hAnsi="Arial" w:cs="Arial"/>
          <w:bCs/>
          <w:u w:val="single"/>
        </w:rPr>
        <w:t>Emissão</w:t>
      </w:r>
      <w:r w:rsidR="00950FE0" w:rsidRPr="008F2988">
        <w:rPr>
          <w:rFonts w:ascii="Arial" w:hAnsi="Arial" w:cs="Arial"/>
          <w:bCs/>
        </w:rPr>
        <w:t>” e “</w:t>
      </w:r>
      <w:r w:rsidR="00950FE0" w:rsidRPr="008F2988">
        <w:rPr>
          <w:rFonts w:ascii="Arial" w:hAnsi="Arial" w:cs="Arial"/>
          <w:bCs/>
          <w:u w:val="single"/>
        </w:rPr>
        <w:t>Debêntures”</w:t>
      </w:r>
      <w:r w:rsidR="00950FE0" w:rsidRPr="008F2988">
        <w:rPr>
          <w:rFonts w:ascii="Arial" w:hAnsi="Arial" w:cs="Arial"/>
          <w:bCs/>
        </w:rPr>
        <w:t xml:space="preserve">, respectivamente), as quais serão objeto de distribuição pública, com esforços restritos de </w:t>
      </w:r>
      <w:r w:rsidR="001D203F" w:rsidRPr="008F2988">
        <w:rPr>
          <w:rFonts w:ascii="Arial" w:hAnsi="Arial" w:cs="Arial"/>
          <w:bCs/>
        </w:rPr>
        <w:t>distribuição (“</w:t>
      </w:r>
      <w:r w:rsidR="001D203F" w:rsidRPr="008F2988">
        <w:rPr>
          <w:rFonts w:ascii="Arial" w:hAnsi="Arial" w:cs="Arial"/>
          <w:bCs/>
          <w:u w:val="single"/>
        </w:rPr>
        <w:t>Oferta</w:t>
      </w:r>
      <w:r w:rsidR="001D203F" w:rsidRPr="008F2988">
        <w:rPr>
          <w:rFonts w:ascii="Arial" w:hAnsi="Arial" w:cs="Arial"/>
          <w:bCs/>
        </w:rPr>
        <w:t xml:space="preserve"> </w:t>
      </w:r>
      <w:r w:rsidR="001D203F" w:rsidRPr="008F2988">
        <w:rPr>
          <w:rFonts w:ascii="Arial" w:hAnsi="Arial" w:cs="Arial"/>
          <w:bCs/>
          <w:u w:val="single"/>
        </w:rPr>
        <w:t>Restrita</w:t>
      </w:r>
      <w:r w:rsidR="001D203F" w:rsidRPr="008F2988">
        <w:rPr>
          <w:rFonts w:ascii="Arial" w:hAnsi="Arial" w:cs="Arial"/>
          <w:bCs/>
        </w:rPr>
        <w:t>”), nos termos da Instrução da Comissão de Valores Mobiliários (“</w:t>
      </w:r>
      <w:r w:rsidR="001D203F" w:rsidRPr="008F2988">
        <w:rPr>
          <w:rFonts w:ascii="Arial" w:hAnsi="Arial" w:cs="Arial"/>
          <w:bCs/>
          <w:u w:val="single"/>
        </w:rPr>
        <w:t>CVM</w:t>
      </w:r>
      <w:r w:rsidR="001D203F" w:rsidRPr="008F2988">
        <w:rPr>
          <w:rFonts w:ascii="Arial" w:hAnsi="Arial" w:cs="Arial"/>
          <w:bCs/>
        </w:rPr>
        <w:t>”) nº 476, de 16 de janeiro de 2009, conforme alterada (“</w:t>
      </w:r>
      <w:r w:rsidR="001D203F" w:rsidRPr="008F2988">
        <w:rPr>
          <w:rFonts w:ascii="Arial" w:hAnsi="Arial" w:cs="Arial"/>
          <w:bCs/>
          <w:u w:val="single"/>
        </w:rPr>
        <w:t>Instrução CVM 476</w:t>
      </w:r>
      <w:r w:rsidR="001D203F" w:rsidRPr="008F2988">
        <w:rPr>
          <w:rFonts w:ascii="Arial" w:hAnsi="Arial" w:cs="Arial"/>
          <w:bCs/>
        </w:rPr>
        <w:t>”)</w:t>
      </w:r>
      <w:r w:rsidR="00B836DC" w:rsidRPr="008F2988">
        <w:rPr>
          <w:rFonts w:ascii="Arial" w:hAnsi="Arial" w:cs="Arial"/>
          <w:bCs/>
        </w:rPr>
        <w:t xml:space="preserve">, </w:t>
      </w:r>
      <w:r w:rsidR="00B836DC" w:rsidRPr="008F2988">
        <w:rPr>
          <w:rFonts w:ascii="Arial" w:hAnsi="Arial" w:cs="Arial"/>
          <w:b/>
          <w:bCs/>
        </w:rPr>
        <w:t>(ii)</w:t>
      </w:r>
      <w:r w:rsidR="001D203F" w:rsidRPr="008F2988">
        <w:rPr>
          <w:rFonts w:ascii="Arial" w:hAnsi="Arial" w:cs="Arial"/>
          <w:bCs/>
        </w:rPr>
        <w:t xml:space="preserve"> </w:t>
      </w:r>
      <w:r w:rsidR="00B836DC" w:rsidRPr="008F2988">
        <w:rPr>
          <w:rFonts w:ascii="Arial" w:hAnsi="Arial" w:cs="Arial"/>
          <w:bCs/>
        </w:rPr>
        <w:t xml:space="preserve">a autorização para a Diretoria da Companhia, de forma direta ou indireta, por meio de procuradores, e nos termos do seu Estatuto Social, a praticar todos e quaisquer atos necessários ou convenientes à formalização da Emissão e da Oferta, incluindo, mas não se limitando, </w:t>
      </w:r>
      <w:r w:rsidR="00B836DC" w:rsidRPr="008F2988">
        <w:rPr>
          <w:rFonts w:ascii="Arial" w:hAnsi="Arial" w:cs="Arial"/>
          <w:bCs/>
          <w:i/>
        </w:rPr>
        <w:t>(a)</w:t>
      </w:r>
      <w:r w:rsidR="00B836DC" w:rsidRPr="008F2988">
        <w:rPr>
          <w:rFonts w:ascii="Arial" w:hAnsi="Arial" w:cs="Arial"/>
          <w:bCs/>
        </w:rPr>
        <w:t xml:space="preserve"> discussão, negociação e definição dos termos das Debêntures bem como a celebração, pela Companhia da Escritura</w:t>
      </w:r>
      <w:r w:rsidR="00D454F7">
        <w:rPr>
          <w:rFonts w:ascii="Arial" w:hAnsi="Arial" w:cs="Arial"/>
          <w:bCs/>
        </w:rPr>
        <w:t xml:space="preserve"> de Emissão</w:t>
      </w:r>
      <w:r w:rsidR="00B836DC" w:rsidRPr="008F2988">
        <w:rPr>
          <w:rFonts w:ascii="Arial" w:hAnsi="Arial" w:cs="Arial"/>
          <w:bCs/>
        </w:rPr>
        <w:t xml:space="preserve"> </w:t>
      </w:r>
      <w:r w:rsidR="00D454F7">
        <w:rPr>
          <w:rFonts w:ascii="Arial" w:hAnsi="Arial" w:cs="Arial"/>
          <w:bCs/>
        </w:rPr>
        <w:t>(conforme abaixo definido), do contrato de d</w:t>
      </w:r>
      <w:r w:rsidR="00B836DC" w:rsidRPr="008F2988">
        <w:rPr>
          <w:rFonts w:ascii="Arial" w:hAnsi="Arial" w:cs="Arial"/>
          <w:bCs/>
        </w:rPr>
        <w:t xml:space="preserve">istribuição, seus eventuais aditamentos e demais documentos relacionados às Debêntures; </w:t>
      </w:r>
      <w:r w:rsidR="00B836DC" w:rsidRPr="008F2988">
        <w:rPr>
          <w:rFonts w:ascii="Arial" w:hAnsi="Arial" w:cs="Arial"/>
          <w:bCs/>
          <w:i/>
        </w:rPr>
        <w:t>(b)</w:t>
      </w:r>
      <w:r w:rsidR="00B836DC" w:rsidRPr="008F2988">
        <w:rPr>
          <w:rFonts w:ascii="Arial" w:hAnsi="Arial" w:cs="Arial"/>
          <w:bCs/>
        </w:rPr>
        <w:t xml:space="preserve"> a contratação do</w:t>
      </w:r>
      <w:r w:rsidR="00CF5235" w:rsidRPr="008F2988">
        <w:rPr>
          <w:rFonts w:ascii="Arial" w:hAnsi="Arial" w:cs="Arial"/>
          <w:bCs/>
        </w:rPr>
        <w:t xml:space="preserve"> c</w:t>
      </w:r>
      <w:r w:rsidR="00B836DC" w:rsidRPr="008F2988">
        <w:rPr>
          <w:rFonts w:ascii="Arial" w:hAnsi="Arial" w:cs="Arial"/>
          <w:bCs/>
        </w:rPr>
        <w:t xml:space="preserve">oordenador </w:t>
      </w:r>
      <w:r w:rsidR="00CF5235" w:rsidRPr="008F2988">
        <w:rPr>
          <w:rFonts w:ascii="Arial" w:hAnsi="Arial" w:cs="Arial"/>
          <w:bCs/>
        </w:rPr>
        <w:t>líder</w:t>
      </w:r>
      <w:r w:rsidR="00B836DC" w:rsidRPr="008F2988">
        <w:rPr>
          <w:rFonts w:ascii="Arial" w:hAnsi="Arial" w:cs="Arial"/>
          <w:bCs/>
        </w:rPr>
        <w:t xml:space="preserve"> para a realização da Oferta</w:t>
      </w:r>
      <w:r w:rsidR="00CF5235" w:rsidRPr="008F2988">
        <w:rPr>
          <w:rFonts w:ascii="Arial" w:hAnsi="Arial" w:cs="Arial"/>
          <w:bCs/>
        </w:rPr>
        <w:t xml:space="preserve"> Restrita</w:t>
      </w:r>
      <w:r w:rsidR="00B836DC" w:rsidRPr="008F2988">
        <w:rPr>
          <w:rFonts w:ascii="Arial" w:hAnsi="Arial" w:cs="Arial"/>
          <w:bCs/>
        </w:rPr>
        <w:t xml:space="preserve">; </w:t>
      </w:r>
      <w:r w:rsidR="00B836DC" w:rsidRPr="008F2988">
        <w:rPr>
          <w:rFonts w:ascii="Arial" w:hAnsi="Arial" w:cs="Arial"/>
          <w:bCs/>
          <w:i/>
        </w:rPr>
        <w:t>(c)</w:t>
      </w:r>
      <w:r w:rsidR="00B836DC" w:rsidRPr="008F2988">
        <w:rPr>
          <w:rFonts w:ascii="Arial" w:hAnsi="Arial" w:cs="Arial"/>
          <w:bCs/>
        </w:rPr>
        <w:t xml:space="preserve"> a contratação dos prestadores de serviços da Emissão, incluindo, mas não se limitando ao escriturador, banco liquidante, agente fiduciário e assessor lega</w:t>
      </w:r>
      <w:r w:rsidR="00F45FAA">
        <w:rPr>
          <w:rFonts w:ascii="Arial" w:hAnsi="Arial" w:cs="Arial"/>
          <w:bCs/>
        </w:rPr>
        <w:t>l</w:t>
      </w:r>
      <w:r w:rsidR="00B836DC" w:rsidRPr="008F2988">
        <w:rPr>
          <w:rFonts w:ascii="Arial" w:hAnsi="Arial" w:cs="Arial"/>
          <w:bCs/>
        </w:rPr>
        <w:t xml:space="preserve">, podendo, para tanto, negociar e assinar os respectivos contratos e fixar seus honorários; e </w:t>
      </w:r>
      <w:r w:rsidR="00B836DC" w:rsidRPr="008F2988">
        <w:rPr>
          <w:rFonts w:ascii="Arial" w:hAnsi="Arial" w:cs="Arial"/>
          <w:bCs/>
          <w:i/>
        </w:rPr>
        <w:t>(d)</w:t>
      </w:r>
      <w:r w:rsidR="00B836DC" w:rsidRPr="008F2988">
        <w:rPr>
          <w:rFonts w:ascii="Arial" w:hAnsi="Arial" w:cs="Arial"/>
          <w:bCs/>
        </w:rPr>
        <w:t xml:space="preserve"> </w:t>
      </w:r>
      <w:r w:rsidR="00483B53" w:rsidRPr="00483B53">
        <w:rPr>
          <w:rFonts w:ascii="Arial" w:hAnsi="Arial" w:cs="Arial"/>
          <w:bCs/>
        </w:rPr>
        <w:t>independentemente de nova deliberação pelo</w:t>
      </w:r>
      <w:r w:rsidR="00483B53">
        <w:rPr>
          <w:rFonts w:ascii="Arial" w:hAnsi="Arial" w:cs="Arial"/>
          <w:bCs/>
        </w:rPr>
        <w:t>s</w:t>
      </w:r>
      <w:r w:rsidR="00483B53" w:rsidRPr="00483B53">
        <w:rPr>
          <w:rFonts w:ascii="Arial" w:hAnsi="Arial" w:cs="Arial"/>
          <w:bCs/>
        </w:rPr>
        <w:t xml:space="preserve"> acionista</w:t>
      </w:r>
      <w:r w:rsidR="00483B53">
        <w:rPr>
          <w:rFonts w:ascii="Arial" w:hAnsi="Arial" w:cs="Arial"/>
          <w:bCs/>
        </w:rPr>
        <w:t>s</w:t>
      </w:r>
      <w:r w:rsidR="00483B53" w:rsidRPr="00483B53">
        <w:rPr>
          <w:rFonts w:ascii="Arial" w:hAnsi="Arial" w:cs="Arial"/>
          <w:bCs/>
        </w:rPr>
        <w:t xml:space="preserve"> da Companhia ou de qualquer reunião de Diretoria, em decorrência do resultado do Procedimento de </w:t>
      </w:r>
      <w:r w:rsidR="00483B53" w:rsidRPr="00483B53">
        <w:rPr>
          <w:rFonts w:ascii="Arial" w:hAnsi="Arial" w:cs="Arial"/>
          <w:bCs/>
          <w:i/>
        </w:rPr>
        <w:t>Bookbuilding</w:t>
      </w:r>
      <w:r w:rsidR="00483B53" w:rsidRPr="00483B53">
        <w:rPr>
          <w:rFonts w:ascii="Arial" w:hAnsi="Arial" w:cs="Arial"/>
          <w:bCs/>
        </w:rPr>
        <w:t xml:space="preserve"> (conforme definido abaixo), </w:t>
      </w:r>
      <w:r w:rsidR="00920DB8">
        <w:rPr>
          <w:rFonts w:ascii="Arial" w:hAnsi="Arial" w:cs="Arial"/>
          <w:bCs/>
        </w:rPr>
        <w:t xml:space="preserve">definir a existência das séries, </w:t>
      </w:r>
      <w:r w:rsidR="00483B53" w:rsidRPr="00483B53">
        <w:rPr>
          <w:rFonts w:ascii="Arial" w:hAnsi="Arial" w:cs="Arial"/>
          <w:bCs/>
        </w:rPr>
        <w:t xml:space="preserve">fixar </w:t>
      </w:r>
      <w:r w:rsidR="00AC33AE" w:rsidRPr="00AC33AE">
        <w:rPr>
          <w:rFonts w:ascii="Arial" w:hAnsi="Arial" w:cs="Arial"/>
          <w:bCs/>
        </w:rPr>
        <w:t xml:space="preserve"> quantidade de Debêntures a</w:t>
      </w:r>
      <w:r w:rsidR="00AC33AE">
        <w:rPr>
          <w:rFonts w:ascii="Arial" w:hAnsi="Arial" w:cs="Arial"/>
          <w:bCs/>
        </w:rPr>
        <w:t xml:space="preserve">locada em cada uma das séries, </w:t>
      </w:r>
      <w:r w:rsidR="00AC33AE" w:rsidRPr="00AC33AE">
        <w:rPr>
          <w:rFonts w:ascii="Arial" w:hAnsi="Arial" w:cs="Arial"/>
          <w:bCs/>
        </w:rPr>
        <w:t xml:space="preserve">o volume da oferta, bem como da alocação das Debêntures entre </w:t>
      </w:r>
      <w:r w:rsidR="00AC33AE" w:rsidRPr="00FE4BB6">
        <w:rPr>
          <w:rFonts w:ascii="Arial" w:hAnsi="Arial" w:cs="Arial"/>
          <w:bCs/>
        </w:rPr>
        <w:t xml:space="preserve">os </w:t>
      </w:r>
      <w:r w:rsidR="00AC33AE" w:rsidRPr="003B53A3">
        <w:rPr>
          <w:rFonts w:ascii="Arial" w:hAnsi="Arial" w:cs="Arial"/>
          <w:bCs/>
        </w:rPr>
        <w:t>Investidores Profissionais</w:t>
      </w:r>
      <w:r w:rsidR="00483B53" w:rsidRPr="003B53A3">
        <w:rPr>
          <w:rFonts w:ascii="Arial" w:hAnsi="Arial" w:cs="Arial"/>
          <w:bCs/>
        </w:rPr>
        <w:t xml:space="preserve"> (conforme definido abaixo)</w:t>
      </w:r>
      <w:r w:rsidR="00483B53">
        <w:rPr>
          <w:rFonts w:ascii="Arial" w:hAnsi="Arial" w:cs="Arial"/>
          <w:bCs/>
        </w:rPr>
        <w:t xml:space="preserve"> e;</w:t>
      </w:r>
      <w:r w:rsidR="00483B53" w:rsidRPr="00483B53">
        <w:rPr>
          <w:rFonts w:ascii="Arial" w:hAnsi="Arial" w:cs="Arial"/>
          <w:bCs/>
        </w:rPr>
        <w:t xml:space="preserve"> </w:t>
      </w:r>
      <w:r w:rsidR="00483B53" w:rsidRPr="00483B53">
        <w:rPr>
          <w:rFonts w:ascii="Arial" w:hAnsi="Arial" w:cs="Arial"/>
          <w:bCs/>
          <w:i/>
        </w:rPr>
        <w:t>(e)</w:t>
      </w:r>
      <w:r w:rsidR="00483B53">
        <w:rPr>
          <w:rFonts w:ascii="Arial" w:hAnsi="Arial" w:cs="Arial"/>
          <w:bCs/>
        </w:rPr>
        <w:t xml:space="preserve"> a </w:t>
      </w:r>
      <w:r w:rsidR="00B836DC" w:rsidRPr="008F2988">
        <w:rPr>
          <w:rFonts w:ascii="Arial" w:hAnsi="Arial" w:cs="Arial"/>
          <w:bCs/>
        </w:rPr>
        <w:t xml:space="preserve">celebração de todos os demais documentos e eventuais aditamentos no âmbito da Emissão; </w:t>
      </w:r>
      <w:r w:rsidR="00B836DC" w:rsidRPr="008F2988">
        <w:rPr>
          <w:rFonts w:ascii="Arial" w:hAnsi="Arial" w:cs="Arial"/>
          <w:b/>
          <w:bCs/>
        </w:rPr>
        <w:t>(</w:t>
      </w:r>
      <w:proofErr w:type="spellStart"/>
      <w:r w:rsidR="00B836DC" w:rsidRPr="008F2988">
        <w:rPr>
          <w:rFonts w:ascii="Arial" w:hAnsi="Arial" w:cs="Arial"/>
          <w:b/>
          <w:bCs/>
        </w:rPr>
        <w:t>iii</w:t>
      </w:r>
      <w:proofErr w:type="spellEnd"/>
      <w:r w:rsidR="00B836DC" w:rsidRPr="008F2988">
        <w:rPr>
          <w:rFonts w:ascii="Arial" w:hAnsi="Arial" w:cs="Arial"/>
          <w:b/>
          <w:bCs/>
        </w:rPr>
        <w:t>)</w:t>
      </w:r>
      <w:r w:rsidR="00B836DC" w:rsidRPr="008F2988">
        <w:rPr>
          <w:rFonts w:ascii="Arial" w:hAnsi="Arial" w:cs="Arial"/>
          <w:bCs/>
        </w:rPr>
        <w:t xml:space="preserve"> a autorização para a Diretoria </w:t>
      </w:r>
      <w:r w:rsidR="00B836DC" w:rsidRPr="008F2988">
        <w:rPr>
          <w:rFonts w:ascii="Arial" w:hAnsi="Arial" w:cs="Arial"/>
          <w:bCs/>
        </w:rPr>
        <w:lastRenderedPageBreak/>
        <w:t>da Companhia realizar a publicação e o registro dos documentos de natureza societária ou outros relativos à Oferta Restrita perante os órgãos competentes e/ou perante a ANBIMA – Associação Brasileira das Entidades dos Mercados Financeiro e de Capitais (“</w:t>
      </w:r>
      <w:r w:rsidR="00B836DC" w:rsidRPr="008F2988">
        <w:rPr>
          <w:rFonts w:ascii="Arial" w:hAnsi="Arial" w:cs="Arial"/>
          <w:bCs/>
          <w:u w:val="single"/>
        </w:rPr>
        <w:t>ANBIMA</w:t>
      </w:r>
      <w:r w:rsidR="00B836DC" w:rsidRPr="008F2988">
        <w:rPr>
          <w:rFonts w:ascii="Arial" w:hAnsi="Arial" w:cs="Arial"/>
          <w:bCs/>
        </w:rPr>
        <w:t xml:space="preserve">”), se for o caso, inclusive realizando o respectivo pagamento de eventuais taxas que se fizerem necessárias; e </w:t>
      </w:r>
      <w:r w:rsidR="00B836DC" w:rsidRPr="008F2988">
        <w:rPr>
          <w:rFonts w:ascii="Arial" w:hAnsi="Arial" w:cs="Arial"/>
          <w:b/>
          <w:bCs/>
        </w:rPr>
        <w:t>(</w:t>
      </w:r>
      <w:proofErr w:type="spellStart"/>
      <w:r w:rsidR="00B836DC" w:rsidRPr="008F2988">
        <w:rPr>
          <w:rFonts w:ascii="Arial" w:hAnsi="Arial" w:cs="Arial"/>
          <w:b/>
          <w:bCs/>
        </w:rPr>
        <w:t>iv</w:t>
      </w:r>
      <w:proofErr w:type="spellEnd"/>
      <w:r w:rsidR="00B836DC" w:rsidRPr="008F2988">
        <w:rPr>
          <w:rFonts w:ascii="Arial" w:hAnsi="Arial" w:cs="Arial"/>
          <w:b/>
          <w:bCs/>
        </w:rPr>
        <w:t>)</w:t>
      </w:r>
      <w:r w:rsidR="00B836DC" w:rsidRPr="008F2988">
        <w:rPr>
          <w:rFonts w:ascii="Arial" w:hAnsi="Arial" w:cs="Arial"/>
          <w:bCs/>
        </w:rPr>
        <w:t xml:space="preserve"> a ratificação de todos os atos praticados pela Diretoria da Companhia no âmbito da Emissão e da Oferta Restrita.</w:t>
      </w:r>
    </w:p>
    <w:p w14:paraId="4670363A" w14:textId="77777777" w:rsidR="008F2988" w:rsidRPr="008F2988" w:rsidRDefault="008F2988" w:rsidP="00155B60">
      <w:pPr>
        <w:pStyle w:val="NormalWeb"/>
        <w:spacing w:before="0" w:beforeAutospacing="0" w:after="0" w:afterAutospacing="0" w:line="320" w:lineRule="exact"/>
        <w:ind w:left="187"/>
        <w:jc w:val="both"/>
        <w:rPr>
          <w:rFonts w:ascii="Arial" w:hAnsi="Arial" w:cs="Arial"/>
          <w:b/>
          <w:bCs/>
          <w:u w:val="single"/>
        </w:rPr>
      </w:pPr>
    </w:p>
    <w:p w14:paraId="1FC3BAB1" w14:textId="2D343FA7" w:rsidR="00B11CBF" w:rsidRPr="002601D7" w:rsidRDefault="00B11CBF" w:rsidP="00155B60">
      <w:pPr>
        <w:pStyle w:val="NormalWeb"/>
        <w:numPr>
          <w:ilvl w:val="0"/>
          <w:numId w:val="1"/>
        </w:numPr>
        <w:spacing w:before="0" w:beforeAutospacing="0" w:after="0" w:afterAutospacing="0" w:line="320" w:lineRule="exact"/>
        <w:ind w:left="187"/>
        <w:jc w:val="both"/>
        <w:rPr>
          <w:rFonts w:ascii="Arial" w:hAnsi="Arial" w:cs="Arial"/>
          <w:b/>
          <w:bCs/>
          <w:u w:val="single"/>
        </w:rPr>
      </w:pPr>
      <w:r w:rsidRPr="002601D7">
        <w:rPr>
          <w:rFonts w:ascii="Arial" w:hAnsi="Arial" w:cs="Arial"/>
          <w:b/>
          <w:bCs/>
          <w:u w:val="single"/>
        </w:rPr>
        <w:t>Deliberações</w:t>
      </w:r>
      <w:r w:rsidRPr="002601D7">
        <w:rPr>
          <w:rFonts w:ascii="Arial" w:hAnsi="Arial" w:cs="Arial"/>
          <w:b/>
          <w:bCs/>
        </w:rPr>
        <w:t xml:space="preserve">: </w:t>
      </w:r>
      <w:r w:rsidR="00B836DC">
        <w:rPr>
          <w:rFonts w:ascii="Arial" w:hAnsi="Arial" w:cs="Arial"/>
          <w:bCs/>
        </w:rPr>
        <w:t>por unani</w:t>
      </w:r>
      <w:r w:rsidR="00B836DC" w:rsidRPr="00B836DC">
        <w:rPr>
          <w:rFonts w:ascii="Arial" w:hAnsi="Arial" w:cs="Arial"/>
          <w:bCs/>
        </w:rPr>
        <w:t>midade de votos e sem quaisquer restrições,</w:t>
      </w:r>
      <w:r w:rsidR="00B836DC">
        <w:rPr>
          <w:rFonts w:ascii="Arial" w:hAnsi="Arial" w:cs="Arial"/>
          <w:b/>
          <w:bCs/>
        </w:rPr>
        <w:t xml:space="preserve"> </w:t>
      </w:r>
      <w:r w:rsidR="00B836DC">
        <w:rPr>
          <w:rFonts w:ascii="Arial" w:hAnsi="Arial" w:cs="Arial"/>
          <w:bCs/>
        </w:rPr>
        <w:t>os C</w:t>
      </w:r>
      <w:r w:rsidR="001D203F">
        <w:rPr>
          <w:rFonts w:ascii="Arial" w:hAnsi="Arial" w:cs="Arial"/>
          <w:bCs/>
        </w:rPr>
        <w:t xml:space="preserve">onselheiros </w:t>
      </w:r>
      <w:r w:rsidR="00B836DC">
        <w:rPr>
          <w:rFonts w:ascii="Arial" w:hAnsi="Arial" w:cs="Arial"/>
          <w:bCs/>
        </w:rPr>
        <w:t>da Companhia aprovaram</w:t>
      </w:r>
      <w:r w:rsidRPr="002601D7">
        <w:rPr>
          <w:rFonts w:ascii="Arial" w:hAnsi="Arial" w:cs="Arial"/>
          <w:bCs/>
        </w:rPr>
        <w:t>:</w:t>
      </w:r>
    </w:p>
    <w:p w14:paraId="32DDE780" w14:textId="77777777" w:rsidR="00B11CBF" w:rsidRPr="002601D7" w:rsidRDefault="00B11CBF" w:rsidP="00155B60">
      <w:pPr>
        <w:pStyle w:val="NormalWeb"/>
        <w:spacing w:before="0" w:beforeAutospacing="0" w:after="0" w:afterAutospacing="0" w:line="320" w:lineRule="exact"/>
        <w:ind w:left="187"/>
        <w:jc w:val="both"/>
        <w:rPr>
          <w:rFonts w:ascii="Arial" w:eastAsia="Calibri" w:hAnsi="Arial" w:cs="Arial"/>
        </w:rPr>
      </w:pPr>
    </w:p>
    <w:p w14:paraId="3826AD21" w14:textId="28151863" w:rsidR="00413A0B" w:rsidRDefault="00B11CBF" w:rsidP="00155B60">
      <w:pPr>
        <w:pStyle w:val="NormalWeb"/>
        <w:spacing w:before="0" w:beforeAutospacing="0" w:after="0" w:afterAutospacing="0" w:line="320" w:lineRule="exact"/>
        <w:ind w:left="187"/>
        <w:jc w:val="both"/>
        <w:rPr>
          <w:rFonts w:ascii="Arial" w:eastAsia="Calibri" w:hAnsi="Arial" w:cs="Arial"/>
        </w:rPr>
      </w:pPr>
      <w:r w:rsidRPr="002601D7">
        <w:rPr>
          <w:rFonts w:ascii="Arial" w:eastAsia="Calibri" w:hAnsi="Arial" w:cs="Arial"/>
          <w:b/>
        </w:rPr>
        <w:t>5.</w:t>
      </w:r>
      <w:r w:rsidR="00413A0B">
        <w:rPr>
          <w:rFonts w:ascii="Arial" w:eastAsia="Calibri" w:hAnsi="Arial" w:cs="Arial"/>
          <w:b/>
        </w:rPr>
        <w:t xml:space="preserve"> </w:t>
      </w:r>
      <w:r w:rsidR="00C34F9B" w:rsidRPr="002601D7">
        <w:rPr>
          <w:rFonts w:ascii="Arial" w:eastAsia="Calibri" w:hAnsi="Arial" w:cs="Arial"/>
          <w:b/>
        </w:rPr>
        <w:t>(a)</w:t>
      </w:r>
      <w:r w:rsidRPr="002601D7">
        <w:rPr>
          <w:rFonts w:ascii="Arial" w:eastAsia="Calibri" w:hAnsi="Arial" w:cs="Arial"/>
          <w:b/>
        </w:rPr>
        <w:t xml:space="preserve"> </w:t>
      </w:r>
      <w:r w:rsidR="00DA32D3" w:rsidRPr="00DA32D3">
        <w:rPr>
          <w:rFonts w:ascii="Arial" w:eastAsia="Calibri" w:hAnsi="Arial" w:cs="Arial"/>
        </w:rPr>
        <w:t>A realização da Emissão e da Oferta</w:t>
      </w:r>
      <w:r w:rsidR="00DA32D3">
        <w:rPr>
          <w:rFonts w:ascii="Arial" w:eastAsia="Calibri" w:hAnsi="Arial" w:cs="Arial"/>
        </w:rPr>
        <w:t xml:space="preserve"> Restrita</w:t>
      </w:r>
      <w:r w:rsidR="00DA32D3" w:rsidRPr="00DA32D3">
        <w:rPr>
          <w:rFonts w:ascii="Arial" w:eastAsia="Calibri" w:hAnsi="Arial" w:cs="Arial"/>
        </w:rPr>
        <w:t>, com as seguintes características e condições principais, as quais serão detalhadas e reguladas por meio do "</w:t>
      </w:r>
      <w:r w:rsidR="00DA32D3" w:rsidRPr="00DA32D3">
        <w:rPr>
          <w:rFonts w:ascii="Arial" w:eastAsia="Calibri" w:hAnsi="Arial" w:cs="Arial"/>
          <w:i/>
        </w:rPr>
        <w:t>Instrumento Particular de Escritura da 3ª (Terceira) Emissão de Debêntures Simples, Não Conversíveis em Ações, da Espécie Quirografária, em Duas Séries, Para Distribuição Pública com Esforços Restritos de Distribuição, da Dimed S.A. Distribuidora de Medicamentos</w:t>
      </w:r>
      <w:r w:rsidR="00DA32D3" w:rsidRPr="00DA32D3">
        <w:rPr>
          <w:rFonts w:ascii="Arial" w:eastAsia="Calibri" w:hAnsi="Arial" w:cs="Arial"/>
        </w:rPr>
        <w:t>"</w:t>
      </w:r>
      <w:r w:rsidR="00DA32D3">
        <w:rPr>
          <w:rFonts w:ascii="Arial" w:eastAsia="Calibri" w:hAnsi="Arial" w:cs="Arial"/>
        </w:rPr>
        <w:t xml:space="preserve"> (“</w:t>
      </w:r>
      <w:r w:rsidR="00DA32D3" w:rsidRPr="00DA32D3">
        <w:rPr>
          <w:rFonts w:ascii="Arial" w:eastAsia="Calibri" w:hAnsi="Arial" w:cs="Arial"/>
          <w:u w:val="single"/>
        </w:rPr>
        <w:t>Escritura de Emissão</w:t>
      </w:r>
      <w:r w:rsidR="00DA32D3">
        <w:rPr>
          <w:rFonts w:ascii="Arial" w:eastAsia="Calibri" w:hAnsi="Arial" w:cs="Arial"/>
        </w:rPr>
        <w:t>”):</w:t>
      </w:r>
    </w:p>
    <w:p w14:paraId="34B02D55" w14:textId="2DBDE2E3" w:rsidR="00DA32D3" w:rsidRPr="00F45FAA" w:rsidRDefault="008F2988" w:rsidP="00155B60">
      <w:pPr>
        <w:pStyle w:val="NormalWeb"/>
        <w:spacing w:after="0" w:line="320" w:lineRule="exact"/>
        <w:ind w:left="187"/>
        <w:jc w:val="both"/>
        <w:rPr>
          <w:rFonts w:ascii="Arial" w:eastAsia="Calibri" w:hAnsi="Arial" w:cs="Arial"/>
        </w:rPr>
      </w:pPr>
      <w:r>
        <w:rPr>
          <w:rFonts w:ascii="Arial" w:eastAsia="Calibri" w:hAnsi="Arial" w:cs="Arial"/>
          <w:i/>
        </w:rPr>
        <w:t xml:space="preserve">(i) </w:t>
      </w:r>
      <w:r w:rsidR="00DA32D3" w:rsidRPr="00DA32D3">
        <w:rPr>
          <w:rFonts w:ascii="Arial" w:eastAsia="Calibri" w:hAnsi="Arial" w:cs="Arial"/>
          <w:i/>
        </w:rPr>
        <w:t>Destinação dos Recursos.</w:t>
      </w:r>
      <w:r w:rsidR="00DA32D3" w:rsidRPr="00DA32D3">
        <w:rPr>
          <w:rFonts w:ascii="Arial" w:eastAsia="Calibri" w:hAnsi="Arial" w:cs="Arial"/>
        </w:rPr>
        <w:t xml:space="preserve"> </w:t>
      </w:r>
      <w:r w:rsidR="00334870" w:rsidRPr="00334870">
        <w:rPr>
          <w:rFonts w:ascii="Arial" w:eastAsia="Calibri" w:hAnsi="Arial" w:cs="Arial"/>
        </w:rPr>
        <w:t xml:space="preserve">Os recursos obtidos pela </w:t>
      </w:r>
      <w:r w:rsidR="003B53A3">
        <w:rPr>
          <w:rFonts w:ascii="Arial" w:eastAsia="Calibri" w:hAnsi="Arial" w:cs="Arial"/>
        </w:rPr>
        <w:t>Companhia</w:t>
      </w:r>
      <w:r w:rsidR="00334870" w:rsidRPr="00334870">
        <w:rPr>
          <w:rFonts w:ascii="Arial" w:eastAsia="Calibri" w:hAnsi="Arial" w:cs="Arial"/>
        </w:rPr>
        <w:t xml:space="preserve"> serão destinados ao fortalecimento de seu capital de giro, alongamento de seu endividamento e resgate antecipado, total ou parcial, das debêntures da 2ª emissão de debêntures simples, não conversíveis em ações, da espécie quirografária, em série única, para distribuição pública, com esforços restritos de distribuição, da </w:t>
      </w:r>
      <w:r w:rsidR="003B53A3" w:rsidRPr="00F45FAA">
        <w:rPr>
          <w:rFonts w:ascii="Arial" w:eastAsia="Calibri" w:hAnsi="Arial" w:cs="Arial"/>
        </w:rPr>
        <w:t>Companhia</w:t>
      </w:r>
      <w:r w:rsidR="00334870" w:rsidRPr="00F45FAA">
        <w:rPr>
          <w:rFonts w:ascii="Arial" w:eastAsia="Calibri" w:hAnsi="Arial" w:cs="Arial"/>
        </w:rPr>
        <w:t xml:space="preserve">, à critério </w:t>
      </w:r>
      <w:r w:rsidR="00155B60" w:rsidRPr="00F45FAA">
        <w:rPr>
          <w:rFonts w:ascii="Arial" w:eastAsia="Calibri" w:hAnsi="Arial" w:cs="Arial"/>
        </w:rPr>
        <w:t>da Companhia</w:t>
      </w:r>
      <w:r w:rsidR="00334870" w:rsidRPr="00F45FAA">
        <w:rPr>
          <w:rFonts w:ascii="Arial" w:eastAsia="Calibri" w:hAnsi="Arial" w:cs="Arial"/>
        </w:rPr>
        <w:t>.</w:t>
      </w:r>
    </w:p>
    <w:p w14:paraId="2B5A1EC4" w14:textId="62DAA7C7" w:rsidR="00DA32D3" w:rsidRDefault="008F2988" w:rsidP="00155B60">
      <w:pPr>
        <w:pStyle w:val="NormalWeb"/>
        <w:spacing w:after="0" w:line="320" w:lineRule="exact"/>
        <w:ind w:left="187"/>
        <w:jc w:val="both"/>
        <w:rPr>
          <w:rFonts w:ascii="Arial" w:eastAsia="Calibri" w:hAnsi="Arial" w:cs="Arial"/>
        </w:rPr>
      </w:pPr>
      <w:r w:rsidRPr="00F45FAA">
        <w:rPr>
          <w:rFonts w:ascii="Arial" w:eastAsia="Calibri" w:hAnsi="Arial" w:cs="Arial"/>
          <w:i/>
        </w:rPr>
        <w:t>(</w:t>
      </w:r>
      <w:proofErr w:type="spellStart"/>
      <w:r w:rsidRPr="00F45FAA">
        <w:rPr>
          <w:rFonts w:ascii="Arial" w:eastAsia="Calibri" w:hAnsi="Arial" w:cs="Arial"/>
          <w:i/>
        </w:rPr>
        <w:t>ii</w:t>
      </w:r>
      <w:proofErr w:type="spellEnd"/>
      <w:r w:rsidRPr="00F45FAA">
        <w:rPr>
          <w:rFonts w:ascii="Arial" w:eastAsia="Calibri" w:hAnsi="Arial" w:cs="Arial"/>
          <w:i/>
        </w:rPr>
        <w:t xml:space="preserve">) </w:t>
      </w:r>
      <w:r w:rsidR="00DA32D3" w:rsidRPr="00556EB2">
        <w:rPr>
          <w:rFonts w:ascii="Arial" w:eastAsia="Calibri" w:hAnsi="Arial" w:cs="Arial"/>
          <w:i/>
        </w:rPr>
        <w:t>Colocação.</w:t>
      </w:r>
      <w:r w:rsidR="00DA32D3" w:rsidRPr="00F45FAA">
        <w:rPr>
          <w:rFonts w:ascii="Arial" w:eastAsia="Calibri" w:hAnsi="Arial" w:cs="Arial"/>
        </w:rPr>
        <w:t xml:space="preserve"> </w:t>
      </w:r>
      <w:r w:rsidR="00334870" w:rsidRPr="00F45FAA">
        <w:rPr>
          <w:rFonts w:ascii="Arial" w:eastAsia="Calibri" w:hAnsi="Arial" w:cs="Arial"/>
        </w:rPr>
        <w:t>As Debêntures serão objeto de distribuição pública com esforços restritos de distribuição, com a intermediação de instituição financeira integrante do sistema de valores mobiliários ("</w:t>
      </w:r>
      <w:r w:rsidR="00334870" w:rsidRPr="00F45FAA">
        <w:rPr>
          <w:rFonts w:ascii="Arial" w:eastAsia="Calibri" w:hAnsi="Arial" w:cs="Arial"/>
          <w:u w:val="single"/>
        </w:rPr>
        <w:t>Coordenador Líder</w:t>
      </w:r>
      <w:r w:rsidR="00334870" w:rsidRPr="00F45FAA">
        <w:rPr>
          <w:rFonts w:ascii="Arial" w:eastAsia="Calibri" w:hAnsi="Arial" w:cs="Arial"/>
        </w:rPr>
        <w:t>"), sob regime de garantia firme de colocação para o montante de R$1</w:t>
      </w:r>
      <w:r w:rsidR="00F45FAA">
        <w:rPr>
          <w:rFonts w:ascii="Arial" w:eastAsia="Calibri" w:hAnsi="Arial" w:cs="Arial"/>
        </w:rPr>
        <w:t>0</w:t>
      </w:r>
      <w:r w:rsidR="00334870" w:rsidRPr="00F45FAA">
        <w:rPr>
          <w:rFonts w:ascii="Arial" w:eastAsia="Calibri" w:hAnsi="Arial" w:cs="Arial"/>
        </w:rPr>
        <w:t>0.000.000,00 (ce</w:t>
      </w:r>
      <w:r w:rsidR="00F45FAA">
        <w:rPr>
          <w:rFonts w:ascii="Arial" w:eastAsia="Calibri" w:hAnsi="Arial" w:cs="Arial"/>
        </w:rPr>
        <w:t>m</w:t>
      </w:r>
      <w:r w:rsidR="00334870" w:rsidRPr="00F45FAA">
        <w:rPr>
          <w:rFonts w:ascii="Arial" w:eastAsia="Calibri" w:hAnsi="Arial" w:cs="Arial"/>
        </w:rPr>
        <w:t xml:space="preserve"> milhões de reais) e de melhores esforços para o montante de R$</w:t>
      </w:r>
      <w:r w:rsidR="00F45FAA">
        <w:rPr>
          <w:rFonts w:ascii="Arial" w:eastAsia="Calibri" w:hAnsi="Arial" w:cs="Arial"/>
        </w:rPr>
        <w:t>8</w:t>
      </w:r>
      <w:r w:rsidR="00F45FAA" w:rsidRPr="00F45FAA">
        <w:rPr>
          <w:rFonts w:ascii="Arial" w:eastAsia="Calibri" w:hAnsi="Arial" w:cs="Arial"/>
        </w:rPr>
        <w:t>5</w:t>
      </w:r>
      <w:r w:rsidR="00334870" w:rsidRPr="00F45FAA">
        <w:rPr>
          <w:rFonts w:ascii="Arial" w:eastAsia="Calibri" w:hAnsi="Arial" w:cs="Arial"/>
        </w:rPr>
        <w:t>.000.000,00 (</w:t>
      </w:r>
      <w:r w:rsidR="00F45FAA">
        <w:rPr>
          <w:rFonts w:ascii="Arial" w:eastAsia="Calibri" w:hAnsi="Arial" w:cs="Arial"/>
        </w:rPr>
        <w:t>oitenta</w:t>
      </w:r>
      <w:r w:rsidR="00F45FAA" w:rsidRPr="00F45FAA">
        <w:rPr>
          <w:rFonts w:ascii="Arial" w:eastAsia="Calibri" w:hAnsi="Arial" w:cs="Arial"/>
        </w:rPr>
        <w:t xml:space="preserve"> </w:t>
      </w:r>
      <w:r w:rsidR="00334870" w:rsidRPr="00F45FAA">
        <w:rPr>
          <w:rFonts w:ascii="Arial" w:eastAsia="Calibri" w:hAnsi="Arial" w:cs="Arial"/>
        </w:rPr>
        <w:t>e cinco milhões de reais), com a intermediação do Coordenador Líder. A garantia firme poderá ser exercida em qualquer uma das séries, a exclusivo critério do Coordenador Líder.</w:t>
      </w:r>
    </w:p>
    <w:p w14:paraId="35C4307F" w14:textId="2736A0E4" w:rsidR="00483B53" w:rsidRPr="00DA32D3" w:rsidRDefault="00483B53" w:rsidP="00155B60">
      <w:pPr>
        <w:pStyle w:val="NormalWeb"/>
        <w:spacing w:after="0" w:line="320" w:lineRule="exact"/>
        <w:ind w:left="187"/>
        <w:jc w:val="both"/>
        <w:rPr>
          <w:rFonts w:ascii="Arial" w:eastAsia="Calibri" w:hAnsi="Arial" w:cs="Arial"/>
        </w:rPr>
      </w:pPr>
      <w:r w:rsidRPr="00483B53">
        <w:rPr>
          <w:rFonts w:ascii="Arial" w:eastAsia="Calibri" w:hAnsi="Arial" w:cs="Arial"/>
          <w:i/>
        </w:rPr>
        <w:t>(</w:t>
      </w:r>
      <w:proofErr w:type="spellStart"/>
      <w:r w:rsidRPr="00483B53">
        <w:rPr>
          <w:rFonts w:ascii="Arial" w:eastAsia="Calibri" w:hAnsi="Arial" w:cs="Arial"/>
          <w:i/>
        </w:rPr>
        <w:t>iii</w:t>
      </w:r>
      <w:proofErr w:type="spellEnd"/>
      <w:r w:rsidRPr="00483B53">
        <w:rPr>
          <w:rFonts w:ascii="Arial" w:eastAsia="Calibri" w:hAnsi="Arial" w:cs="Arial"/>
          <w:i/>
        </w:rPr>
        <w:t>)</w:t>
      </w:r>
      <w:r w:rsidRPr="00483B53">
        <w:rPr>
          <w:rFonts w:ascii="Arial" w:eastAsia="Calibri" w:hAnsi="Arial" w:cs="Arial"/>
        </w:rPr>
        <w:tab/>
      </w:r>
      <w:r w:rsidRPr="00483B53">
        <w:rPr>
          <w:rFonts w:ascii="Arial" w:eastAsia="Calibri" w:hAnsi="Arial" w:cs="Arial"/>
          <w:i/>
        </w:rPr>
        <w:t>Coleta de Intenções de Investimento.</w:t>
      </w:r>
      <w:r w:rsidRPr="00483B53">
        <w:rPr>
          <w:rFonts w:ascii="Arial" w:eastAsia="Calibri" w:hAnsi="Arial" w:cs="Arial"/>
        </w:rPr>
        <w:t xml:space="preserve"> </w:t>
      </w:r>
      <w:r w:rsidR="00AC33AE" w:rsidRPr="00AC33AE">
        <w:rPr>
          <w:rFonts w:ascii="Arial" w:eastAsia="Calibri" w:hAnsi="Arial" w:cs="Arial"/>
        </w:rPr>
        <w:t xml:space="preserve">Será adotado o procedimento de coleta de intenções de investimento dos potenciais investidores, organizado pelo </w:t>
      </w:r>
      <w:r w:rsidR="00AC33AE" w:rsidRPr="003B53A3">
        <w:rPr>
          <w:rFonts w:ascii="Arial" w:eastAsia="Calibri" w:hAnsi="Arial" w:cs="Arial"/>
        </w:rPr>
        <w:t>Coordenador Líder</w:t>
      </w:r>
      <w:r w:rsidR="00AC33AE" w:rsidRPr="00AC33AE">
        <w:rPr>
          <w:rFonts w:ascii="Arial" w:eastAsia="Calibri" w:hAnsi="Arial" w:cs="Arial"/>
        </w:rPr>
        <w:t xml:space="preserve">, sem recebimento de reservas antecipadas, sem lotes mínimos ou máximos, para a definição, com a </w:t>
      </w:r>
      <w:r w:rsidR="00AC33AE">
        <w:rPr>
          <w:rFonts w:ascii="Arial" w:eastAsia="Calibri" w:hAnsi="Arial" w:cs="Arial"/>
        </w:rPr>
        <w:t>Companhia</w:t>
      </w:r>
      <w:r w:rsidR="00AC33AE" w:rsidRPr="00AC33AE">
        <w:rPr>
          <w:rFonts w:ascii="Arial" w:eastAsia="Calibri" w:hAnsi="Arial" w:cs="Arial"/>
        </w:rPr>
        <w:t xml:space="preserve">, </w:t>
      </w:r>
      <w:r w:rsidR="00FE4A40" w:rsidRPr="00556EB2">
        <w:rPr>
          <w:rFonts w:ascii="Arial" w:eastAsia="Calibri" w:hAnsi="Arial" w:cs="Arial"/>
        </w:rPr>
        <w:t>da existência das séries</w:t>
      </w:r>
      <w:r w:rsidR="00FE4A40">
        <w:rPr>
          <w:rFonts w:ascii="Arial" w:eastAsia="Calibri" w:hAnsi="Arial" w:cs="Arial"/>
        </w:rPr>
        <w:t xml:space="preserve">, </w:t>
      </w:r>
      <w:r w:rsidR="00AC33AE" w:rsidRPr="00AC33AE">
        <w:rPr>
          <w:rFonts w:ascii="Arial" w:eastAsia="Calibri" w:hAnsi="Arial" w:cs="Arial"/>
        </w:rPr>
        <w:t>da quantidade de Debêntures alocada em cada uma das séries, do volume da oferta, bem como da alocação das Debêntures entre os Investidores Profissionais</w:t>
      </w:r>
      <w:r w:rsidR="00A72264">
        <w:rPr>
          <w:rFonts w:ascii="Arial" w:eastAsia="Calibri" w:hAnsi="Arial" w:cs="Arial"/>
        </w:rPr>
        <w:t xml:space="preserve"> (conforme definido</w:t>
      </w:r>
      <w:r w:rsidR="00A72264" w:rsidRPr="00A72264">
        <w:rPr>
          <w:rFonts w:ascii="Arial" w:eastAsia="Calibri" w:hAnsi="Arial" w:cs="Arial"/>
        </w:rPr>
        <w:t xml:space="preserve"> </w:t>
      </w:r>
      <w:r w:rsidR="00A72264">
        <w:rPr>
          <w:rFonts w:ascii="Arial" w:eastAsia="Calibri" w:hAnsi="Arial" w:cs="Arial"/>
        </w:rPr>
        <w:t>abaixo)</w:t>
      </w:r>
      <w:r w:rsidR="00AC33AE" w:rsidRPr="00AC33AE">
        <w:rPr>
          <w:rFonts w:ascii="Arial" w:eastAsia="Calibri" w:hAnsi="Arial" w:cs="Arial"/>
        </w:rPr>
        <w:t xml:space="preserve"> (“</w:t>
      </w:r>
      <w:r w:rsidR="00AC33AE" w:rsidRPr="00AC33AE">
        <w:rPr>
          <w:rFonts w:ascii="Arial" w:eastAsia="Calibri" w:hAnsi="Arial" w:cs="Arial"/>
          <w:u w:val="single"/>
        </w:rPr>
        <w:t xml:space="preserve">Procedimento de </w:t>
      </w:r>
      <w:r w:rsidR="00AC33AE" w:rsidRPr="00AC33AE">
        <w:rPr>
          <w:rFonts w:ascii="Arial" w:eastAsia="Calibri" w:hAnsi="Arial" w:cs="Arial"/>
          <w:i/>
          <w:u w:val="single"/>
        </w:rPr>
        <w:t>Bookbuilding</w:t>
      </w:r>
      <w:r w:rsidR="00AC33AE" w:rsidRPr="00AC33AE">
        <w:rPr>
          <w:rFonts w:ascii="Arial" w:eastAsia="Calibri" w:hAnsi="Arial" w:cs="Arial"/>
        </w:rPr>
        <w:t xml:space="preserve">”), sendo que o resultado do Procedimento de </w:t>
      </w:r>
      <w:r w:rsidR="00AC33AE" w:rsidRPr="00AC33AE">
        <w:rPr>
          <w:rFonts w:ascii="Arial" w:eastAsia="Calibri" w:hAnsi="Arial" w:cs="Arial"/>
          <w:i/>
        </w:rPr>
        <w:t>Bookbuilding</w:t>
      </w:r>
      <w:r w:rsidR="00AC33AE" w:rsidRPr="00AC33AE">
        <w:rPr>
          <w:rFonts w:ascii="Arial" w:eastAsia="Calibri" w:hAnsi="Arial" w:cs="Arial"/>
        </w:rPr>
        <w:t xml:space="preserve"> deverá ser ratificado por meio de aditamento </w:t>
      </w:r>
      <w:r w:rsidR="00AC33AE">
        <w:rPr>
          <w:rFonts w:ascii="Arial" w:eastAsia="Calibri" w:hAnsi="Arial" w:cs="Arial"/>
        </w:rPr>
        <w:t>da</w:t>
      </w:r>
      <w:r w:rsidR="00AC33AE" w:rsidRPr="00AC33AE">
        <w:rPr>
          <w:rFonts w:ascii="Arial" w:eastAsia="Calibri" w:hAnsi="Arial" w:cs="Arial"/>
        </w:rPr>
        <w:t xml:space="preserve"> Escritura</w:t>
      </w:r>
      <w:r w:rsidR="00AC33AE">
        <w:rPr>
          <w:rFonts w:ascii="Arial" w:eastAsia="Calibri" w:hAnsi="Arial" w:cs="Arial"/>
        </w:rPr>
        <w:t xml:space="preserve"> de Emissão</w:t>
      </w:r>
      <w:r w:rsidR="00AC33AE" w:rsidRPr="00AC33AE">
        <w:rPr>
          <w:rFonts w:ascii="Arial" w:eastAsia="Calibri" w:hAnsi="Arial" w:cs="Arial"/>
        </w:rPr>
        <w:t xml:space="preserve">, a ser celebrado anteriormente à Data de </w:t>
      </w:r>
      <w:r w:rsidR="00AC33AE" w:rsidRPr="00AC33AE">
        <w:rPr>
          <w:rFonts w:ascii="Arial" w:eastAsia="Calibri" w:hAnsi="Arial" w:cs="Arial"/>
        </w:rPr>
        <w:lastRenderedPageBreak/>
        <w:t>Integralização</w:t>
      </w:r>
      <w:r w:rsidR="00155B60">
        <w:rPr>
          <w:rFonts w:ascii="Arial" w:eastAsia="Calibri" w:hAnsi="Arial" w:cs="Arial"/>
        </w:rPr>
        <w:t xml:space="preserve"> (conforme definido abaixo)</w:t>
      </w:r>
      <w:r w:rsidR="00AC33AE" w:rsidRPr="00AC33AE">
        <w:rPr>
          <w:rFonts w:ascii="Arial" w:eastAsia="Calibri" w:hAnsi="Arial" w:cs="Arial"/>
        </w:rPr>
        <w:t xml:space="preserve">, sem </w:t>
      </w:r>
      <w:r w:rsidR="00AC33AE">
        <w:rPr>
          <w:rFonts w:ascii="Arial" w:eastAsia="Calibri" w:hAnsi="Arial" w:cs="Arial"/>
        </w:rPr>
        <w:t>a necessidade de realização de assembleia geral de debenturistas</w:t>
      </w:r>
      <w:r w:rsidR="00AC33AE" w:rsidRPr="00AC33AE">
        <w:rPr>
          <w:rFonts w:ascii="Arial" w:eastAsia="Calibri" w:hAnsi="Arial" w:cs="Arial"/>
        </w:rPr>
        <w:t xml:space="preserve"> ou de aprovação societária adicional da </w:t>
      </w:r>
      <w:r w:rsidR="00AC33AE">
        <w:rPr>
          <w:rFonts w:ascii="Arial" w:eastAsia="Calibri" w:hAnsi="Arial" w:cs="Arial"/>
        </w:rPr>
        <w:t>Companhia.</w:t>
      </w:r>
    </w:p>
    <w:p w14:paraId="2E43B549" w14:textId="16872B77" w:rsidR="00DA32D3" w:rsidRPr="00DA32D3" w:rsidRDefault="00D454F7" w:rsidP="00155B60">
      <w:pPr>
        <w:pStyle w:val="NormalWeb"/>
        <w:spacing w:after="0" w:line="320" w:lineRule="exact"/>
        <w:ind w:left="187"/>
        <w:jc w:val="both"/>
        <w:rPr>
          <w:rFonts w:ascii="Arial" w:eastAsia="Calibri" w:hAnsi="Arial" w:cs="Arial"/>
        </w:rPr>
      </w:pPr>
      <w:r>
        <w:rPr>
          <w:rFonts w:ascii="Arial" w:eastAsia="Calibri" w:hAnsi="Arial" w:cs="Arial"/>
          <w:i/>
        </w:rPr>
        <w:t>(</w:t>
      </w:r>
      <w:proofErr w:type="spellStart"/>
      <w:r>
        <w:rPr>
          <w:rFonts w:ascii="Arial" w:eastAsia="Calibri" w:hAnsi="Arial" w:cs="Arial"/>
          <w:i/>
        </w:rPr>
        <w:t>iv</w:t>
      </w:r>
      <w:proofErr w:type="spellEnd"/>
      <w:r w:rsidR="00DA32D3" w:rsidRPr="00934203">
        <w:rPr>
          <w:rFonts w:ascii="Arial" w:eastAsia="Calibri" w:hAnsi="Arial" w:cs="Arial"/>
          <w:i/>
        </w:rPr>
        <w:t>)</w:t>
      </w:r>
      <w:r w:rsidR="008F2988">
        <w:rPr>
          <w:rFonts w:ascii="Arial" w:eastAsia="Calibri" w:hAnsi="Arial" w:cs="Arial"/>
          <w:i/>
        </w:rPr>
        <w:t xml:space="preserve"> </w:t>
      </w:r>
      <w:r w:rsidR="00CC63BD">
        <w:rPr>
          <w:rFonts w:ascii="Arial" w:eastAsia="Calibri" w:hAnsi="Arial" w:cs="Arial"/>
          <w:i/>
        </w:rPr>
        <w:t>Prazo e forma de Subscrição e Integralização</w:t>
      </w:r>
      <w:r w:rsidR="004F4579">
        <w:rPr>
          <w:rFonts w:ascii="Arial" w:eastAsia="Calibri" w:hAnsi="Arial" w:cs="Arial"/>
          <w:i/>
        </w:rPr>
        <w:t xml:space="preserve"> e Preço de Integralização</w:t>
      </w:r>
      <w:r w:rsidR="00DA32D3" w:rsidRPr="00556EB2">
        <w:rPr>
          <w:rFonts w:ascii="Arial" w:eastAsia="Calibri" w:hAnsi="Arial" w:cs="Arial"/>
        </w:rPr>
        <w:t>.</w:t>
      </w:r>
      <w:r w:rsidR="00DA32D3" w:rsidRPr="00DA32D3">
        <w:rPr>
          <w:rFonts w:ascii="Arial" w:eastAsia="Calibri" w:hAnsi="Arial" w:cs="Arial"/>
        </w:rPr>
        <w:t xml:space="preserve"> </w:t>
      </w:r>
      <w:r w:rsidR="00F45FAA" w:rsidRPr="00556EB2">
        <w:rPr>
          <w:rFonts w:ascii="Arial" w:eastAsia="Calibri" w:hAnsi="Arial" w:cs="Arial"/>
        </w:rPr>
        <w:t>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da respetiva série (“</w:t>
      </w:r>
      <w:r w:rsidR="00F45FAA" w:rsidRPr="00556EB2">
        <w:rPr>
          <w:rFonts w:ascii="Arial" w:eastAsia="Calibri" w:hAnsi="Arial" w:cs="Arial"/>
          <w:u w:val="single"/>
        </w:rPr>
        <w:t>Data da Primeira Integralização</w:t>
      </w:r>
      <w:r w:rsidR="00F45FAA" w:rsidRPr="00556EB2">
        <w:rPr>
          <w:rFonts w:ascii="Arial" w:eastAsia="Calibri" w:hAnsi="Arial" w:cs="Arial"/>
        </w:rPr>
        <w:t xml:space="preserve">”), ou nas datas de integralização posteriores à Data da Primeira Integralização, pelo Valor Nominal Unitário acrescido da Remuneração da respectiva série, calculada pro rata </w:t>
      </w:r>
      <w:proofErr w:type="spellStart"/>
      <w:r w:rsidR="00F45FAA" w:rsidRPr="00556EB2">
        <w:rPr>
          <w:rFonts w:ascii="Arial" w:eastAsia="Calibri" w:hAnsi="Arial" w:cs="Arial"/>
        </w:rPr>
        <w:t>temporis</w:t>
      </w:r>
      <w:proofErr w:type="spellEnd"/>
      <w:r w:rsidR="00F45FAA" w:rsidRPr="00556EB2">
        <w:rPr>
          <w:rFonts w:ascii="Arial" w:eastAsia="Calibri" w:hAnsi="Arial" w:cs="Arial"/>
        </w:rPr>
        <w:t xml:space="preserve"> desde a primeira Data da Primeira Integralização até a data da efetiva integralização conforme o caso, de acordo com as normas de liquidação aplicáveis à B3 (“</w:t>
      </w:r>
      <w:r w:rsidR="00F45FAA" w:rsidRPr="00556EB2">
        <w:rPr>
          <w:rFonts w:ascii="Arial" w:eastAsia="Calibri" w:hAnsi="Arial" w:cs="Arial"/>
          <w:u w:val="single"/>
        </w:rPr>
        <w:t>Data de Integralização das Debêntures da 1ª Série</w:t>
      </w:r>
      <w:r w:rsidR="00F45FAA" w:rsidRPr="00556EB2">
        <w:rPr>
          <w:rFonts w:ascii="Arial" w:eastAsia="Calibri" w:hAnsi="Arial" w:cs="Arial"/>
        </w:rPr>
        <w:t>” ou “</w:t>
      </w:r>
      <w:r w:rsidR="00F45FAA" w:rsidRPr="00556EB2">
        <w:rPr>
          <w:rFonts w:ascii="Arial" w:eastAsia="Calibri" w:hAnsi="Arial" w:cs="Arial"/>
          <w:u w:val="single"/>
        </w:rPr>
        <w:t>Data de Integralização das Debêntures da 2ª Série</w:t>
      </w:r>
      <w:r w:rsidR="00F45FAA" w:rsidRPr="00556EB2">
        <w:rPr>
          <w:rFonts w:ascii="Arial" w:eastAsia="Calibri" w:hAnsi="Arial" w:cs="Arial"/>
        </w:rPr>
        <w:t>”, conforme o caso, ou, quando se referir à subscrição e integralização das Debê</w:t>
      </w:r>
      <w:bookmarkStart w:id="0" w:name="_GoBack"/>
      <w:bookmarkEnd w:id="0"/>
      <w:r w:rsidR="00F45FAA" w:rsidRPr="00556EB2">
        <w:rPr>
          <w:rFonts w:ascii="Arial" w:eastAsia="Calibri" w:hAnsi="Arial" w:cs="Arial"/>
        </w:rPr>
        <w:t>ntures de qualquer uma das séries, “</w:t>
      </w:r>
      <w:r w:rsidR="00F45FAA" w:rsidRPr="00556EB2">
        <w:rPr>
          <w:rFonts w:ascii="Arial" w:eastAsia="Calibri" w:hAnsi="Arial" w:cs="Arial"/>
          <w:u w:val="single"/>
        </w:rPr>
        <w:t>Data de Integralização</w:t>
      </w:r>
      <w:r w:rsidR="00F45FAA" w:rsidRPr="00556EB2">
        <w:rPr>
          <w:rFonts w:ascii="Arial" w:eastAsia="Calibri" w:hAnsi="Arial" w:cs="Arial"/>
        </w:rPr>
        <w:t>”).</w:t>
      </w:r>
      <w:r w:rsidR="004F4579" w:rsidRPr="004F4579">
        <w:rPr>
          <w:rFonts w:ascii="Arial" w:eastAsia="Calibri" w:hAnsi="Arial" w:cs="Arial"/>
        </w:rPr>
        <w:t>.</w:t>
      </w:r>
      <w:r w:rsidR="00DC36F1">
        <w:rPr>
          <w:rFonts w:ascii="Arial" w:eastAsia="Calibri" w:hAnsi="Arial" w:cs="Arial"/>
        </w:rPr>
        <w:t xml:space="preserve"> </w:t>
      </w:r>
      <w:r w:rsidR="00DC36F1" w:rsidRPr="00DC36F1">
        <w:rPr>
          <w:rFonts w:ascii="Arial" w:eastAsia="Calibri" w:hAnsi="Arial" w:cs="Arial"/>
        </w:rPr>
        <w:t>As Debêntures poderão ser colocadas com ágio ou deságio, a ser definido, se for o caso, no ato de integralização das Debêntures, desde que seja aplicado a totalidade das Debêntures.</w:t>
      </w:r>
    </w:p>
    <w:p w14:paraId="768E8955" w14:textId="37C14D45" w:rsidR="00DA32D3" w:rsidRPr="00DA32D3" w:rsidRDefault="00DA32D3" w:rsidP="00155B60">
      <w:pPr>
        <w:pStyle w:val="NormalWeb"/>
        <w:spacing w:after="0" w:line="320" w:lineRule="exact"/>
        <w:ind w:left="187"/>
        <w:jc w:val="both"/>
        <w:rPr>
          <w:rFonts w:ascii="Arial" w:eastAsia="Calibri" w:hAnsi="Arial" w:cs="Arial"/>
        </w:rPr>
      </w:pPr>
      <w:r w:rsidRPr="00934203">
        <w:rPr>
          <w:rFonts w:ascii="Arial" w:eastAsia="Calibri" w:hAnsi="Arial" w:cs="Arial"/>
          <w:i/>
        </w:rPr>
        <w:t>(</w:t>
      </w:r>
      <w:r w:rsidR="008F2988">
        <w:rPr>
          <w:rFonts w:ascii="Arial" w:eastAsia="Calibri" w:hAnsi="Arial" w:cs="Arial"/>
          <w:i/>
        </w:rPr>
        <w:t xml:space="preserve">v) </w:t>
      </w:r>
      <w:r w:rsidRPr="00934203">
        <w:rPr>
          <w:rFonts w:ascii="Arial" w:eastAsia="Calibri" w:hAnsi="Arial" w:cs="Arial"/>
          <w:i/>
        </w:rPr>
        <w:t>Negociação</w:t>
      </w:r>
      <w:r w:rsidRPr="00613686">
        <w:rPr>
          <w:rFonts w:ascii="Arial" w:eastAsia="Calibri" w:hAnsi="Arial" w:cs="Arial"/>
          <w:i/>
        </w:rPr>
        <w:t>.</w:t>
      </w:r>
      <w:r w:rsidRPr="00DA32D3">
        <w:rPr>
          <w:rFonts w:ascii="Arial" w:eastAsia="Calibri" w:hAnsi="Arial" w:cs="Arial"/>
        </w:rPr>
        <w:t xml:space="preserve"> </w:t>
      </w:r>
      <w:r w:rsidR="00CC63BD" w:rsidRPr="00CC63BD">
        <w:rPr>
          <w:rFonts w:ascii="Arial" w:eastAsia="Calibri" w:hAnsi="Arial" w:cs="Arial"/>
        </w:rPr>
        <w:t>As Debêntures serão</w:t>
      </w:r>
      <w:r w:rsidR="00CC63BD">
        <w:rPr>
          <w:rFonts w:ascii="Arial" w:eastAsia="Calibri" w:hAnsi="Arial" w:cs="Arial"/>
        </w:rPr>
        <w:t xml:space="preserve"> depositadas para (a</w:t>
      </w:r>
      <w:r w:rsidR="00CC63BD" w:rsidRPr="00CC63BD">
        <w:rPr>
          <w:rFonts w:ascii="Arial" w:eastAsia="Calibri" w:hAnsi="Arial" w:cs="Arial"/>
        </w:rPr>
        <w:t>) distribuição no mercado primário por meio do MDA – Módulo de Distribuição de Ativos, administrado e operacionalizado pela B3</w:t>
      </w:r>
      <w:r w:rsidR="00CC63BD">
        <w:rPr>
          <w:rFonts w:ascii="Arial" w:eastAsia="Calibri" w:hAnsi="Arial" w:cs="Arial"/>
        </w:rPr>
        <w:t>; (b</w:t>
      </w:r>
      <w:r w:rsidR="00CC63BD" w:rsidRPr="00CC63BD">
        <w:rPr>
          <w:rFonts w:ascii="Arial" w:eastAsia="Calibri" w:hAnsi="Arial" w:cs="Arial"/>
        </w:rPr>
        <w:t>) negociação no mercado secundário por meio do CETIP21 – Títulos e Valores Mobiliários (“</w:t>
      </w:r>
      <w:r w:rsidR="00CC63BD" w:rsidRPr="00CC63BD">
        <w:rPr>
          <w:rFonts w:ascii="Arial" w:eastAsia="Calibri" w:hAnsi="Arial" w:cs="Arial"/>
          <w:u w:val="single"/>
        </w:rPr>
        <w:t>CETIP21</w:t>
      </w:r>
      <w:r w:rsidR="00CC63BD" w:rsidRPr="00CC63BD">
        <w:rPr>
          <w:rFonts w:ascii="Arial" w:eastAsia="Calibri" w:hAnsi="Arial" w:cs="Arial"/>
        </w:rPr>
        <w:t>”), administrado e operacionalizado pela B3, sendo a distribuição e as negociações liquidadas financeiramente e as Debêntures custodiadas eletronicamente na B3</w:t>
      </w:r>
      <w:r w:rsidR="00CC63BD">
        <w:rPr>
          <w:rFonts w:ascii="Arial" w:eastAsia="Calibri" w:hAnsi="Arial" w:cs="Arial"/>
        </w:rPr>
        <w:t xml:space="preserve">. </w:t>
      </w:r>
      <w:r w:rsidR="00CC63BD" w:rsidRPr="00CC63BD">
        <w:rPr>
          <w:rFonts w:ascii="Arial" w:eastAsia="Calibri" w:hAnsi="Arial" w:cs="Arial"/>
        </w:rPr>
        <w:t>2.4.2.</w:t>
      </w:r>
      <w:r w:rsidR="00CC63BD" w:rsidRPr="00CC63BD">
        <w:rPr>
          <w:rFonts w:ascii="Arial" w:eastAsia="Calibri" w:hAnsi="Arial" w:cs="Arial"/>
        </w:rPr>
        <w:tab/>
        <w:t>Não obstante, as Debêntures somente poderão ser negociadas entre investidores qualificados, conforme definido no artigo 9º-B da Instrução da CVM n.º 539, de 13 de novem</w:t>
      </w:r>
      <w:r w:rsidR="00CC63BD">
        <w:rPr>
          <w:rFonts w:ascii="Arial" w:eastAsia="Calibri" w:hAnsi="Arial" w:cs="Arial"/>
        </w:rPr>
        <w:t xml:space="preserve">bro de 2013, conforme alterada, </w:t>
      </w:r>
      <w:r w:rsidR="00CC63BD" w:rsidRPr="00CC63BD">
        <w:rPr>
          <w:rFonts w:ascii="Arial" w:eastAsia="Calibri" w:hAnsi="Arial" w:cs="Arial"/>
        </w:rPr>
        <w:t>depois de decorridos 90 (noventa) dias de cada subscrição o</w:t>
      </w:r>
      <w:r w:rsidR="00CC63BD">
        <w:rPr>
          <w:rFonts w:ascii="Arial" w:eastAsia="Calibri" w:hAnsi="Arial" w:cs="Arial"/>
        </w:rPr>
        <w:t>u aquisição pelos Investidores P</w:t>
      </w:r>
      <w:r w:rsidR="00CC63BD" w:rsidRPr="00CC63BD">
        <w:rPr>
          <w:rFonts w:ascii="Arial" w:eastAsia="Calibri" w:hAnsi="Arial" w:cs="Arial"/>
        </w:rPr>
        <w:t xml:space="preserve">rofissionais, conforme disposto nos artigos 13 e 15 da Instrução CVM 476, observadas as exceções aplicáveis estabelecidas no inciso II de referido artigo 13 e no parágrafo primeiro de referido artigo 15, e desde que a </w:t>
      </w:r>
      <w:r w:rsidR="00CC63BD">
        <w:rPr>
          <w:rFonts w:ascii="Arial" w:eastAsia="Calibri" w:hAnsi="Arial" w:cs="Arial"/>
        </w:rPr>
        <w:t>Companhia</w:t>
      </w:r>
      <w:r w:rsidR="00CC63BD" w:rsidRPr="00CC63BD">
        <w:rPr>
          <w:rFonts w:ascii="Arial" w:eastAsia="Calibri" w:hAnsi="Arial" w:cs="Arial"/>
        </w:rPr>
        <w:t xml:space="preserve"> esteja em dia com as obrigações definidas no artigo 17 da Instrução CVM 476, sendo que a negociação das Debêntures deverá sempre respeitar as disposições legais e regulamentares aplicáveis.</w:t>
      </w:r>
    </w:p>
    <w:p w14:paraId="4CD9B923" w14:textId="665CABB7" w:rsidR="00DA32D3" w:rsidRPr="00DA32D3" w:rsidRDefault="00613686" w:rsidP="00155B60">
      <w:pPr>
        <w:pStyle w:val="NormalWeb"/>
        <w:spacing w:after="0" w:line="320" w:lineRule="exact"/>
        <w:ind w:left="187"/>
        <w:jc w:val="both"/>
        <w:rPr>
          <w:rFonts w:ascii="Arial" w:eastAsia="Calibri" w:hAnsi="Arial" w:cs="Arial"/>
        </w:rPr>
      </w:pPr>
      <w:r w:rsidRPr="00934203">
        <w:rPr>
          <w:rFonts w:ascii="Arial" w:eastAsia="Calibri" w:hAnsi="Arial" w:cs="Arial"/>
          <w:i/>
        </w:rPr>
        <w:t>(v</w:t>
      </w:r>
      <w:r w:rsidR="00D454F7">
        <w:rPr>
          <w:rFonts w:ascii="Arial" w:eastAsia="Calibri" w:hAnsi="Arial" w:cs="Arial"/>
          <w:i/>
        </w:rPr>
        <w:t>i</w:t>
      </w:r>
      <w:r w:rsidR="008F2988">
        <w:rPr>
          <w:rFonts w:ascii="Arial" w:eastAsia="Calibri" w:hAnsi="Arial" w:cs="Arial"/>
          <w:i/>
        </w:rPr>
        <w:t xml:space="preserve">) </w:t>
      </w:r>
      <w:r w:rsidR="00DA32D3" w:rsidRPr="00613686">
        <w:rPr>
          <w:rFonts w:ascii="Arial" w:eastAsia="Calibri" w:hAnsi="Arial" w:cs="Arial"/>
          <w:i/>
        </w:rPr>
        <w:t>Número da Emissão.</w:t>
      </w:r>
      <w:r w:rsidR="00DA32D3" w:rsidRPr="00DA32D3">
        <w:rPr>
          <w:rFonts w:ascii="Arial" w:eastAsia="Calibri" w:hAnsi="Arial" w:cs="Arial"/>
        </w:rPr>
        <w:t xml:space="preserve"> </w:t>
      </w:r>
      <w:r w:rsidRPr="00613686">
        <w:rPr>
          <w:rFonts w:ascii="Arial" w:eastAsia="Calibri" w:hAnsi="Arial" w:cs="Arial"/>
        </w:rPr>
        <w:t xml:space="preserve">As Debêntures representam a 3ª (terceira) emissão de Debêntures da </w:t>
      </w:r>
      <w:r>
        <w:rPr>
          <w:rFonts w:ascii="Arial" w:eastAsia="Calibri" w:hAnsi="Arial" w:cs="Arial"/>
        </w:rPr>
        <w:t>Companhia</w:t>
      </w:r>
      <w:r w:rsidRPr="00613686">
        <w:rPr>
          <w:rFonts w:ascii="Arial" w:eastAsia="Calibri" w:hAnsi="Arial" w:cs="Arial"/>
        </w:rPr>
        <w:t xml:space="preserve"> para distribuição pública.</w:t>
      </w:r>
    </w:p>
    <w:p w14:paraId="5335F76E" w14:textId="3E44DDB7" w:rsidR="00DA32D3" w:rsidRPr="00DA32D3" w:rsidRDefault="00613686" w:rsidP="00155B60">
      <w:pPr>
        <w:pStyle w:val="NormalWeb"/>
        <w:spacing w:after="0" w:line="320" w:lineRule="exact"/>
        <w:ind w:left="187"/>
        <w:jc w:val="both"/>
        <w:rPr>
          <w:rFonts w:ascii="Arial" w:eastAsia="Calibri" w:hAnsi="Arial" w:cs="Arial"/>
        </w:rPr>
      </w:pPr>
      <w:r w:rsidRPr="00934203">
        <w:rPr>
          <w:rFonts w:ascii="Arial" w:eastAsia="Calibri" w:hAnsi="Arial" w:cs="Arial"/>
          <w:i/>
        </w:rPr>
        <w:t>(</w:t>
      </w:r>
      <w:proofErr w:type="spellStart"/>
      <w:r w:rsidRPr="00934203">
        <w:rPr>
          <w:rFonts w:ascii="Arial" w:eastAsia="Calibri" w:hAnsi="Arial" w:cs="Arial"/>
          <w:i/>
        </w:rPr>
        <w:t>v</w:t>
      </w:r>
      <w:r w:rsidR="00D454F7">
        <w:rPr>
          <w:rFonts w:ascii="Arial" w:eastAsia="Calibri" w:hAnsi="Arial" w:cs="Arial"/>
          <w:i/>
        </w:rPr>
        <w:t>i</w:t>
      </w:r>
      <w:r w:rsidRPr="00934203">
        <w:rPr>
          <w:rFonts w:ascii="Arial" w:eastAsia="Calibri" w:hAnsi="Arial" w:cs="Arial"/>
          <w:i/>
        </w:rPr>
        <w:t>i</w:t>
      </w:r>
      <w:proofErr w:type="spellEnd"/>
      <w:r w:rsidR="008F2988">
        <w:rPr>
          <w:rFonts w:ascii="Arial" w:eastAsia="Calibri" w:hAnsi="Arial" w:cs="Arial"/>
          <w:i/>
        </w:rPr>
        <w:t xml:space="preserve">) </w:t>
      </w:r>
      <w:r w:rsidR="00DA32D3" w:rsidRPr="000F247C">
        <w:rPr>
          <w:rFonts w:ascii="Arial" w:eastAsia="Calibri" w:hAnsi="Arial" w:cs="Arial"/>
          <w:i/>
        </w:rPr>
        <w:t>Quantidade.</w:t>
      </w:r>
      <w:r w:rsidR="00DA32D3" w:rsidRPr="00DA32D3">
        <w:rPr>
          <w:rFonts w:ascii="Arial" w:eastAsia="Calibri" w:hAnsi="Arial" w:cs="Arial"/>
        </w:rPr>
        <w:t xml:space="preserve"> </w:t>
      </w:r>
      <w:r w:rsidR="003D1E7C" w:rsidRPr="003D1E7C">
        <w:rPr>
          <w:rFonts w:ascii="Arial" w:eastAsia="Calibri" w:hAnsi="Arial" w:cs="Arial"/>
        </w:rPr>
        <w:t>Serão emitidas</w:t>
      </w:r>
      <w:r w:rsidR="00F84B75">
        <w:rPr>
          <w:rFonts w:ascii="Arial" w:eastAsia="Calibri" w:hAnsi="Arial" w:cs="Arial"/>
        </w:rPr>
        <w:t xml:space="preserve"> até</w:t>
      </w:r>
      <w:r w:rsidR="003D1E7C" w:rsidRPr="003D1E7C">
        <w:rPr>
          <w:rFonts w:ascii="Arial" w:eastAsia="Calibri" w:hAnsi="Arial" w:cs="Arial"/>
        </w:rPr>
        <w:t xml:space="preserve"> 185.000 (cento e oitenta e cinco mil) Debêntures, sen</w:t>
      </w:r>
      <w:r w:rsidR="00D454F7">
        <w:rPr>
          <w:rFonts w:ascii="Arial" w:eastAsia="Calibri" w:hAnsi="Arial" w:cs="Arial"/>
        </w:rPr>
        <w:t xml:space="preserve">do o valor total da Emissão de </w:t>
      </w:r>
      <w:r w:rsidR="00F84B75">
        <w:rPr>
          <w:rFonts w:ascii="Arial" w:eastAsia="Calibri" w:hAnsi="Arial" w:cs="Arial"/>
        </w:rPr>
        <w:t xml:space="preserve">até </w:t>
      </w:r>
      <w:r w:rsidR="003D1E7C" w:rsidRPr="003D1E7C">
        <w:rPr>
          <w:rFonts w:ascii="Arial" w:eastAsia="Calibri" w:hAnsi="Arial" w:cs="Arial"/>
        </w:rPr>
        <w:t xml:space="preserve">R$185.000.000,00 (cento e </w:t>
      </w:r>
      <w:r w:rsidR="003D1E7C" w:rsidRPr="003D1E7C">
        <w:rPr>
          <w:rFonts w:ascii="Arial" w:eastAsia="Calibri" w:hAnsi="Arial" w:cs="Arial"/>
        </w:rPr>
        <w:lastRenderedPageBreak/>
        <w:t>o</w:t>
      </w:r>
      <w:r w:rsidR="00D454F7">
        <w:rPr>
          <w:rFonts w:ascii="Arial" w:eastAsia="Calibri" w:hAnsi="Arial" w:cs="Arial"/>
        </w:rPr>
        <w:t>itenta e cinco milhões de reais)</w:t>
      </w:r>
      <w:r w:rsidR="003D1E7C" w:rsidRPr="003D1E7C">
        <w:rPr>
          <w:rFonts w:ascii="Arial" w:eastAsia="Calibri" w:hAnsi="Arial" w:cs="Arial"/>
        </w:rPr>
        <w:t>, na Data de Emissão, observada a possibilidade de Distribuição Parcial (“</w:t>
      </w:r>
      <w:r w:rsidR="003D1E7C" w:rsidRPr="003D1E7C">
        <w:rPr>
          <w:rFonts w:ascii="Arial" w:eastAsia="Calibri" w:hAnsi="Arial" w:cs="Arial"/>
          <w:u w:val="single"/>
        </w:rPr>
        <w:t>Valor Total da Emissão</w:t>
      </w:r>
      <w:r w:rsidR="003D1E7C" w:rsidRPr="003D1E7C">
        <w:rPr>
          <w:rFonts w:ascii="Arial" w:eastAsia="Calibri" w:hAnsi="Arial" w:cs="Arial"/>
        </w:rPr>
        <w:t>”).</w:t>
      </w:r>
    </w:p>
    <w:p w14:paraId="438A8CE6" w14:textId="198A10D8" w:rsidR="00DA32D3" w:rsidRPr="00DA32D3" w:rsidRDefault="007D55EE" w:rsidP="00155B60">
      <w:pPr>
        <w:pStyle w:val="NormalWeb"/>
        <w:spacing w:after="0" w:line="320" w:lineRule="exact"/>
        <w:ind w:left="187"/>
        <w:jc w:val="both"/>
        <w:rPr>
          <w:rFonts w:ascii="Arial" w:eastAsia="Calibri" w:hAnsi="Arial" w:cs="Arial"/>
        </w:rPr>
      </w:pPr>
      <w:r>
        <w:rPr>
          <w:rFonts w:ascii="Arial" w:eastAsia="Calibri" w:hAnsi="Arial" w:cs="Arial"/>
          <w:i/>
        </w:rPr>
        <w:t>(</w:t>
      </w:r>
      <w:proofErr w:type="spellStart"/>
      <w:r>
        <w:rPr>
          <w:rFonts w:ascii="Arial" w:eastAsia="Calibri" w:hAnsi="Arial" w:cs="Arial"/>
          <w:i/>
        </w:rPr>
        <w:t>viii</w:t>
      </w:r>
      <w:proofErr w:type="spellEnd"/>
      <w:r w:rsidR="008F2988">
        <w:rPr>
          <w:rFonts w:ascii="Arial" w:eastAsia="Calibri" w:hAnsi="Arial" w:cs="Arial"/>
          <w:i/>
        </w:rPr>
        <w:t xml:space="preserve">) </w:t>
      </w:r>
      <w:r w:rsidR="00DA32D3" w:rsidRPr="000F247C">
        <w:rPr>
          <w:rFonts w:ascii="Arial" w:eastAsia="Calibri" w:hAnsi="Arial" w:cs="Arial"/>
          <w:i/>
        </w:rPr>
        <w:t>Valor Nominal.</w:t>
      </w:r>
      <w:r w:rsidR="00DA32D3" w:rsidRPr="00DA32D3">
        <w:rPr>
          <w:rFonts w:ascii="Arial" w:eastAsia="Calibri" w:hAnsi="Arial" w:cs="Arial"/>
        </w:rPr>
        <w:t xml:space="preserve"> As </w:t>
      </w:r>
      <w:r w:rsidR="00D50D91">
        <w:rPr>
          <w:rFonts w:ascii="Arial" w:eastAsia="Calibri" w:hAnsi="Arial" w:cs="Arial"/>
        </w:rPr>
        <w:t>Debêntures</w:t>
      </w:r>
      <w:r w:rsidR="00DA32D3" w:rsidRPr="00DA32D3">
        <w:rPr>
          <w:rFonts w:ascii="Arial" w:eastAsia="Calibri" w:hAnsi="Arial" w:cs="Arial"/>
        </w:rPr>
        <w:t xml:space="preserve"> ter</w:t>
      </w:r>
      <w:r w:rsidR="00D50D91">
        <w:rPr>
          <w:rFonts w:ascii="Arial" w:eastAsia="Calibri" w:hAnsi="Arial" w:cs="Arial"/>
        </w:rPr>
        <w:t>ão valor nominal unitário de R$1</w:t>
      </w:r>
      <w:r w:rsidR="00DA32D3" w:rsidRPr="00DA32D3">
        <w:rPr>
          <w:rFonts w:ascii="Arial" w:eastAsia="Calibri" w:hAnsi="Arial" w:cs="Arial"/>
        </w:rPr>
        <w:t>.000,00 (mil reais), na Data de Emissão (“</w:t>
      </w:r>
      <w:r w:rsidR="00DA32D3" w:rsidRPr="007D55EE">
        <w:rPr>
          <w:rFonts w:ascii="Arial" w:eastAsia="Calibri" w:hAnsi="Arial" w:cs="Arial"/>
          <w:u w:val="single"/>
        </w:rPr>
        <w:t>Valor Nominal Unitário</w:t>
      </w:r>
      <w:r w:rsidR="00DA32D3" w:rsidRPr="00DA32D3">
        <w:rPr>
          <w:rFonts w:ascii="Arial" w:eastAsia="Calibri" w:hAnsi="Arial" w:cs="Arial"/>
        </w:rPr>
        <w:t>”), observado o disposto no artigo 4°, inciso II, da Instrução CVM 476.</w:t>
      </w:r>
    </w:p>
    <w:p w14:paraId="43F54A34" w14:textId="7E625315" w:rsidR="00DA32D3" w:rsidRPr="00DA32D3" w:rsidRDefault="00DA32D3" w:rsidP="00155B60">
      <w:pPr>
        <w:pStyle w:val="NormalWeb"/>
        <w:spacing w:after="0" w:line="320" w:lineRule="exact"/>
        <w:ind w:left="187"/>
        <w:jc w:val="both"/>
        <w:rPr>
          <w:rFonts w:ascii="Arial" w:eastAsia="Calibri" w:hAnsi="Arial" w:cs="Arial"/>
        </w:rPr>
      </w:pPr>
      <w:r w:rsidRPr="00934203">
        <w:rPr>
          <w:rFonts w:ascii="Arial" w:eastAsia="Calibri" w:hAnsi="Arial" w:cs="Arial"/>
          <w:i/>
        </w:rPr>
        <w:t>(</w:t>
      </w:r>
      <w:proofErr w:type="spellStart"/>
      <w:r w:rsidR="007D55EE">
        <w:rPr>
          <w:rFonts w:ascii="Arial" w:eastAsia="Calibri" w:hAnsi="Arial" w:cs="Arial"/>
          <w:i/>
        </w:rPr>
        <w:t>ix</w:t>
      </w:r>
      <w:proofErr w:type="spellEnd"/>
      <w:r w:rsidR="008F2988">
        <w:rPr>
          <w:rFonts w:ascii="Arial" w:eastAsia="Calibri" w:hAnsi="Arial" w:cs="Arial"/>
          <w:i/>
        </w:rPr>
        <w:t xml:space="preserve">) </w:t>
      </w:r>
      <w:r w:rsidRPr="000F247C">
        <w:rPr>
          <w:rFonts w:ascii="Arial" w:eastAsia="Calibri" w:hAnsi="Arial" w:cs="Arial"/>
          <w:i/>
        </w:rPr>
        <w:t>Séries.</w:t>
      </w:r>
      <w:r w:rsidRPr="00DA32D3">
        <w:rPr>
          <w:rFonts w:ascii="Arial" w:eastAsia="Calibri" w:hAnsi="Arial" w:cs="Arial"/>
        </w:rPr>
        <w:t xml:space="preserve"> </w:t>
      </w:r>
      <w:r w:rsidR="003D1E7C" w:rsidRPr="003D1E7C">
        <w:rPr>
          <w:rFonts w:ascii="Arial" w:eastAsia="Calibri" w:hAnsi="Arial" w:cs="Arial"/>
        </w:rPr>
        <w:t xml:space="preserve">A Emissão será realizada em </w:t>
      </w:r>
      <w:r w:rsidR="00920DB8">
        <w:rPr>
          <w:rFonts w:ascii="Arial" w:eastAsia="Calibri" w:hAnsi="Arial" w:cs="Arial"/>
        </w:rPr>
        <w:t xml:space="preserve">até </w:t>
      </w:r>
      <w:r w:rsidR="003D1E7C" w:rsidRPr="003D1E7C">
        <w:rPr>
          <w:rFonts w:ascii="Arial" w:eastAsia="Calibri" w:hAnsi="Arial" w:cs="Arial"/>
        </w:rPr>
        <w:t>duas séries, no sistema de vasos comunicantes (“</w:t>
      </w:r>
      <w:r w:rsidR="003D1E7C" w:rsidRPr="003D1E7C">
        <w:rPr>
          <w:rFonts w:ascii="Arial" w:eastAsia="Calibri" w:hAnsi="Arial" w:cs="Arial"/>
          <w:u w:val="single"/>
        </w:rPr>
        <w:t>Sistema de Vasos Comunicantes</w:t>
      </w:r>
      <w:r w:rsidR="003D1E7C" w:rsidRPr="003D1E7C">
        <w:rPr>
          <w:rFonts w:ascii="Arial" w:eastAsia="Calibri" w:hAnsi="Arial" w:cs="Arial"/>
        </w:rPr>
        <w:t xml:space="preserve">”), sendo que a existência de cada série e a quantidade de Debêntures a ser alocada em cada série será definida conforme a demanda verificada em Procedimento de </w:t>
      </w:r>
      <w:r w:rsidR="003D1E7C" w:rsidRPr="00556EB2">
        <w:rPr>
          <w:rFonts w:ascii="Arial" w:eastAsia="Calibri" w:hAnsi="Arial" w:cs="Arial"/>
          <w:i/>
        </w:rPr>
        <w:t>Bookbui</w:t>
      </w:r>
      <w:r w:rsidR="0076690F" w:rsidRPr="00556EB2">
        <w:rPr>
          <w:rFonts w:ascii="Arial" w:eastAsia="Calibri" w:hAnsi="Arial" w:cs="Arial"/>
          <w:i/>
        </w:rPr>
        <w:t>lding</w:t>
      </w:r>
      <w:r w:rsidR="003D1E7C" w:rsidRPr="003D1E7C">
        <w:rPr>
          <w:rFonts w:ascii="Arial" w:eastAsia="Calibri" w:hAnsi="Arial" w:cs="Arial"/>
        </w:rPr>
        <w:t>, observado que o somatório das Debêntures não poderá exceder o total de 185.000 (cento e oitenta e cinco mil) Debêntures.</w:t>
      </w:r>
      <w:r w:rsidR="00745FED">
        <w:rPr>
          <w:rFonts w:ascii="Arial" w:eastAsia="Calibri" w:hAnsi="Arial" w:cs="Arial"/>
        </w:rPr>
        <w:t xml:space="preserve"> </w:t>
      </w:r>
      <w:r w:rsidR="003D1E7C" w:rsidRPr="003D1E7C">
        <w:rPr>
          <w:rFonts w:ascii="Arial" w:eastAsia="Calibri" w:hAnsi="Arial" w:cs="Arial"/>
        </w:rPr>
        <w:t>De acordo com o Sistema de Vasos Comunicantes, a quantidade de Debêntures emitida na primeira série (“</w:t>
      </w:r>
      <w:r w:rsidR="003D1E7C" w:rsidRPr="003D1E7C">
        <w:rPr>
          <w:rFonts w:ascii="Arial" w:eastAsia="Calibri" w:hAnsi="Arial" w:cs="Arial"/>
          <w:u w:val="single"/>
        </w:rPr>
        <w:t xml:space="preserve">Debêntures da </w:t>
      </w:r>
      <w:r w:rsidR="003D1E7C">
        <w:rPr>
          <w:rFonts w:ascii="Arial" w:eastAsia="Calibri" w:hAnsi="Arial" w:cs="Arial"/>
          <w:u w:val="single"/>
        </w:rPr>
        <w:t>1ª</w:t>
      </w:r>
      <w:r w:rsidR="003D1E7C" w:rsidRPr="003D1E7C">
        <w:rPr>
          <w:rFonts w:ascii="Arial" w:eastAsia="Calibri" w:hAnsi="Arial" w:cs="Arial"/>
          <w:u w:val="single"/>
        </w:rPr>
        <w:t xml:space="preserve"> Série</w:t>
      </w:r>
      <w:r w:rsidR="003D1E7C" w:rsidRPr="003D1E7C">
        <w:rPr>
          <w:rFonts w:ascii="Arial" w:eastAsia="Calibri" w:hAnsi="Arial" w:cs="Arial"/>
        </w:rPr>
        <w:t>”) e/ou na segunda série (“</w:t>
      </w:r>
      <w:r w:rsidR="003D1E7C" w:rsidRPr="003D1E7C">
        <w:rPr>
          <w:rFonts w:ascii="Arial" w:eastAsia="Calibri" w:hAnsi="Arial" w:cs="Arial"/>
          <w:u w:val="single"/>
        </w:rPr>
        <w:t xml:space="preserve">Debêntures da </w:t>
      </w:r>
      <w:r w:rsidR="003D1E7C">
        <w:rPr>
          <w:rFonts w:ascii="Arial" w:eastAsia="Calibri" w:hAnsi="Arial" w:cs="Arial"/>
          <w:u w:val="single"/>
        </w:rPr>
        <w:t>2ª</w:t>
      </w:r>
      <w:r w:rsidR="003D1E7C" w:rsidRPr="003D1E7C">
        <w:rPr>
          <w:rFonts w:ascii="Arial" w:eastAsia="Calibri" w:hAnsi="Arial" w:cs="Arial"/>
          <w:u w:val="single"/>
        </w:rPr>
        <w:t xml:space="preserve"> Série</w:t>
      </w:r>
      <w:r w:rsidR="003D1E7C" w:rsidRPr="003D1E7C">
        <w:rPr>
          <w:rFonts w:ascii="Arial" w:eastAsia="Calibri" w:hAnsi="Arial" w:cs="Arial"/>
        </w:rPr>
        <w:t>” e, em conjunto com as Debêntures da 1ª Série, “</w:t>
      </w:r>
      <w:r w:rsidR="003D1E7C" w:rsidRPr="00745FED">
        <w:rPr>
          <w:rFonts w:ascii="Arial" w:eastAsia="Calibri" w:hAnsi="Arial" w:cs="Arial"/>
          <w:u w:val="single"/>
        </w:rPr>
        <w:t>Debêntures</w:t>
      </w:r>
      <w:r w:rsidR="003D1E7C" w:rsidRPr="003D1E7C">
        <w:rPr>
          <w:rFonts w:ascii="Arial" w:eastAsia="Calibri" w:hAnsi="Arial" w:cs="Arial"/>
        </w:rPr>
        <w:t xml:space="preserve">”) observará a demanda verificada no Procedimento de </w:t>
      </w:r>
      <w:r w:rsidR="003D1E7C" w:rsidRPr="00556EB2">
        <w:rPr>
          <w:rFonts w:ascii="Arial" w:eastAsia="Calibri" w:hAnsi="Arial" w:cs="Arial"/>
          <w:i/>
        </w:rPr>
        <w:t>Bookbuilding</w:t>
      </w:r>
      <w:r w:rsidR="003D1E7C" w:rsidRPr="003D1E7C">
        <w:rPr>
          <w:rFonts w:ascii="Arial" w:eastAsia="Calibri" w:hAnsi="Arial" w:cs="Arial"/>
        </w:rPr>
        <w:t xml:space="preserve"> (conforme abaixo definido), sendo certo que a quantidade de Debêntures emitida em cada uma das séries deverá ser abatida da quantidade total de Debêntures.</w:t>
      </w:r>
    </w:p>
    <w:p w14:paraId="2AE6295C" w14:textId="1B84EA24" w:rsidR="00DA32D3" w:rsidRPr="00DA32D3" w:rsidRDefault="00574DB3" w:rsidP="00155B60">
      <w:pPr>
        <w:pStyle w:val="NormalWeb"/>
        <w:spacing w:after="0" w:line="320" w:lineRule="exact"/>
        <w:ind w:left="187"/>
        <w:jc w:val="both"/>
        <w:rPr>
          <w:rFonts w:ascii="Arial" w:eastAsia="Calibri" w:hAnsi="Arial" w:cs="Arial"/>
        </w:rPr>
      </w:pPr>
      <w:r w:rsidRPr="00934203">
        <w:rPr>
          <w:rFonts w:ascii="Arial" w:eastAsia="Calibri" w:hAnsi="Arial" w:cs="Arial"/>
          <w:i/>
        </w:rPr>
        <w:t>(x</w:t>
      </w:r>
      <w:r w:rsidR="00DA32D3" w:rsidRPr="00934203">
        <w:rPr>
          <w:rFonts w:ascii="Arial" w:eastAsia="Calibri" w:hAnsi="Arial" w:cs="Arial"/>
          <w:i/>
        </w:rPr>
        <w:t>)</w:t>
      </w:r>
      <w:r w:rsidR="008F2988">
        <w:rPr>
          <w:rFonts w:ascii="Arial" w:eastAsia="Calibri" w:hAnsi="Arial" w:cs="Arial"/>
        </w:rPr>
        <w:t xml:space="preserve"> </w:t>
      </w:r>
      <w:r w:rsidR="00DA32D3" w:rsidRPr="000F247C">
        <w:rPr>
          <w:rFonts w:ascii="Arial" w:eastAsia="Calibri" w:hAnsi="Arial" w:cs="Arial"/>
          <w:i/>
        </w:rPr>
        <w:t>Conversibilidade.</w:t>
      </w:r>
      <w:r w:rsidR="00DA32D3" w:rsidRPr="00DA32D3">
        <w:rPr>
          <w:rFonts w:ascii="Arial" w:eastAsia="Calibri" w:hAnsi="Arial" w:cs="Arial"/>
        </w:rPr>
        <w:t xml:space="preserve"> As </w:t>
      </w:r>
      <w:r w:rsidR="00D50D91">
        <w:rPr>
          <w:rFonts w:ascii="Arial" w:eastAsia="Calibri" w:hAnsi="Arial" w:cs="Arial"/>
        </w:rPr>
        <w:t>Debêntures</w:t>
      </w:r>
      <w:r w:rsidR="00DA32D3" w:rsidRPr="00DA32D3">
        <w:rPr>
          <w:rFonts w:ascii="Arial" w:eastAsia="Calibri" w:hAnsi="Arial" w:cs="Arial"/>
        </w:rPr>
        <w:t xml:space="preserve"> não serão conversíveis em ações de emissão da Companhia. </w:t>
      </w:r>
    </w:p>
    <w:p w14:paraId="14C9DF60" w14:textId="5517251E" w:rsidR="00DA32D3" w:rsidRPr="000F247C" w:rsidRDefault="00574DB3" w:rsidP="00155B60">
      <w:pPr>
        <w:pStyle w:val="NormalWeb"/>
        <w:spacing w:after="0" w:line="320" w:lineRule="exact"/>
        <w:ind w:left="187"/>
        <w:jc w:val="both"/>
        <w:rPr>
          <w:rFonts w:ascii="Arial" w:eastAsia="Calibri" w:hAnsi="Arial" w:cs="Arial"/>
        </w:rPr>
      </w:pPr>
      <w:r w:rsidRPr="00934203">
        <w:rPr>
          <w:rFonts w:ascii="Arial" w:eastAsia="Calibri" w:hAnsi="Arial" w:cs="Arial"/>
          <w:i/>
        </w:rPr>
        <w:t>(x</w:t>
      </w:r>
      <w:r w:rsidR="00D454F7">
        <w:rPr>
          <w:rFonts w:ascii="Arial" w:eastAsia="Calibri" w:hAnsi="Arial" w:cs="Arial"/>
          <w:i/>
        </w:rPr>
        <w:t>i</w:t>
      </w:r>
      <w:r w:rsidR="008F2988">
        <w:rPr>
          <w:rFonts w:ascii="Arial" w:eastAsia="Calibri" w:hAnsi="Arial" w:cs="Arial"/>
          <w:i/>
        </w:rPr>
        <w:t xml:space="preserve">) </w:t>
      </w:r>
      <w:r w:rsidR="00DA32D3" w:rsidRPr="000F247C">
        <w:rPr>
          <w:rFonts w:ascii="Arial" w:eastAsia="Calibri" w:hAnsi="Arial" w:cs="Arial"/>
          <w:i/>
        </w:rPr>
        <w:t xml:space="preserve">Comprovação de Titularidade. </w:t>
      </w:r>
      <w:r w:rsidR="000F247C" w:rsidRPr="000F247C">
        <w:rPr>
          <w:rFonts w:ascii="Arial" w:eastAsia="Calibri" w:hAnsi="Arial" w:cs="Arial"/>
        </w:rPr>
        <w:t xml:space="preserve">A </w:t>
      </w:r>
      <w:r w:rsidR="000F247C">
        <w:rPr>
          <w:rFonts w:ascii="Arial" w:eastAsia="Calibri" w:hAnsi="Arial" w:cs="Arial"/>
        </w:rPr>
        <w:t>Companhia</w:t>
      </w:r>
      <w:r w:rsidR="000F247C" w:rsidRPr="000F247C">
        <w:rPr>
          <w:rFonts w:ascii="Arial" w:eastAsia="Calibri" w:hAnsi="Arial" w:cs="Arial"/>
        </w:rPr>
        <w:t xml:space="preserve"> não emitirá certificados de Debêntures. Para todos os fins de direito, a titularidade das Debêntures será comprovada pelo extrato da conta de depósito das Debêntures emitido pelo </w:t>
      </w:r>
      <w:r w:rsidR="00CF5235" w:rsidRPr="00CF5235">
        <w:rPr>
          <w:rFonts w:ascii="Arial" w:eastAsia="Calibri" w:hAnsi="Arial" w:cs="Arial"/>
        </w:rPr>
        <w:t>e</w:t>
      </w:r>
      <w:r w:rsidR="000F247C" w:rsidRPr="00CF5235">
        <w:rPr>
          <w:rFonts w:ascii="Arial" w:eastAsia="Calibri" w:hAnsi="Arial" w:cs="Arial"/>
        </w:rPr>
        <w:t>scriturador.</w:t>
      </w:r>
      <w:r w:rsidR="000F247C" w:rsidRPr="000F247C">
        <w:rPr>
          <w:rFonts w:ascii="Arial" w:eastAsia="Calibri" w:hAnsi="Arial" w:cs="Arial"/>
        </w:rPr>
        <w:t xml:space="preserve"> Adicionalmente, para as Debêntures custodiadas eletronicamente na B3, será reconhecido como comprovante de titularidade o extrato expedido pela B3 em nome do Debenturista.</w:t>
      </w:r>
    </w:p>
    <w:p w14:paraId="380A6FD7" w14:textId="73F7D905" w:rsidR="00DA32D3" w:rsidRPr="00DA32D3" w:rsidRDefault="00574DB3" w:rsidP="00155B60">
      <w:pPr>
        <w:pStyle w:val="NormalWeb"/>
        <w:spacing w:after="0" w:line="320" w:lineRule="exact"/>
        <w:ind w:left="187"/>
        <w:jc w:val="both"/>
        <w:rPr>
          <w:rFonts w:ascii="Arial" w:eastAsia="Calibri" w:hAnsi="Arial" w:cs="Arial"/>
        </w:rPr>
      </w:pPr>
      <w:r w:rsidRPr="00934203">
        <w:rPr>
          <w:rFonts w:ascii="Arial" w:eastAsia="Calibri" w:hAnsi="Arial" w:cs="Arial"/>
          <w:i/>
        </w:rPr>
        <w:t>(</w:t>
      </w:r>
      <w:proofErr w:type="spellStart"/>
      <w:r w:rsidRPr="00934203">
        <w:rPr>
          <w:rFonts w:ascii="Arial" w:eastAsia="Calibri" w:hAnsi="Arial" w:cs="Arial"/>
          <w:i/>
        </w:rPr>
        <w:t>xii</w:t>
      </w:r>
      <w:proofErr w:type="spellEnd"/>
      <w:r w:rsidR="008F2988">
        <w:rPr>
          <w:rFonts w:ascii="Arial" w:eastAsia="Calibri" w:hAnsi="Arial" w:cs="Arial"/>
          <w:i/>
        </w:rPr>
        <w:t xml:space="preserve">) </w:t>
      </w:r>
      <w:r w:rsidR="00DA32D3" w:rsidRPr="000F247C">
        <w:rPr>
          <w:rFonts w:ascii="Arial" w:eastAsia="Calibri" w:hAnsi="Arial" w:cs="Arial"/>
          <w:i/>
        </w:rPr>
        <w:t>Espécie.</w:t>
      </w:r>
      <w:r w:rsidR="00DA32D3" w:rsidRPr="00DA32D3">
        <w:rPr>
          <w:rFonts w:ascii="Arial" w:eastAsia="Calibri" w:hAnsi="Arial" w:cs="Arial"/>
        </w:rPr>
        <w:t xml:space="preserve"> </w:t>
      </w:r>
      <w:r w:rsidR="003D1E7C" w:rsidRPr="003D1E7C">
        <w:rPr>
          <w:rFonts w:ascii="Arial" w:eastAsia="Calibri" w:hAnsi="Arial" w:cs="Arial"/>
        </w:rPr>
        <w:t>As Debêntures serão da espécie quirografária, nos termos do artigo 58 da Lei das Sociedades por Ações, sem garantia real e sem preferência.</w:t>
      </w:r>
    </w:p>
    <w:p w14:paraId="2EE458FA" w14:textId="6871DD1D" w:rsidR="00DA32D3" w:rsidRPr="00DA32D3" w:rsidRDefault="00574DB3" w:rsidP="00155B60">
      <w:pPr>
        <w:pStyle w:val="NormalWeb"/>
        <w:spacing w:after="0" w:line="320" w:lineRule="exact"/>
        <w:ind w:left="187"/>
        <w:jc w:val="both"/>
        <w:rPr>
          <w:rFonts w:ascii="Arial" w:eastAsia="Calibri" w:hAnsi="Arial" w:cs="Arial"/>
        </w:rPr>
      </w:pPr>
      <w:r w:rsidRPr="00934203">
        <w:rPr>
          <w:rFonts w:ascii="Arial" w:eastAsia="Calibri" w:hAnsi="Arial" w:cs="Arial"/>
          <w:i/>
        </w:rPr>
        <w:t>(</w:t>
      </w:r>
      <w:proofErr w:type="spellStart"/>
      <w:r w:rsidRPr="00934203">
        <w:rPr>
          <w:rFonts w:ascii="Arial" w:eastAsia="Calibri" w:hAnsi="Arial" w:cs="Arial"/>
          <w:i/>
        </w:rPr>
        <w:t>xi</w:t>
      </w:r>
      <w:r w:rsidR="007D55EE">
        <w:rPr>
          <w:rFonts w:ascii="Arial" w:eastAsia="Calibri" w:hAnsi="Arial" w:cs="Arial"/>
          <w:i/>
        </w:rPr>
        <w:t>ii</w:t>
      </w:r>
      <w:proofErr w:type="spellEnd"/>
      <w:r w:rsidR="008F2988">
        <w:rPr>
          <w:rFonts w:ascii="Arial" w:eastAsia="Calibri" w:hAnsi="Arial" w:cs="Arial"/>
          <w:i/>
        </w:rPr>
        <w:t xml:space="preserve">) </w:t>
      </w:r>
      <w:r w:rsidR="00DA32D3" w:rsidRPr="000F247C">
        <w:rPr>
          <w:rFonts w:ascii="Arial" w:eastAsia="Calibri" w:hAnsi="Arial" w:cs="Arial"/>
          <w:i/>
        </w:rPr>
        <w:t>Data de Emissão.</w:t>
      </w:r>
      <w:r w:rsidR="00DA32D3" w:rsidRPr="00DA32D3">
        <w:rPr>
          <w:rFonts w:ascii="Arial" w:eastAsia="Calibri" w:hAnsi="Arial" w:cs="Arial"/>
        </w:rPr>
        <w:t xml:space="preserve"> Para todos os efeitos legais, a data de emissão das </w:t>
      </w:r>
      <w:r w:rsidR="00D50D91">
        <w:rPr>
          <w:rFonts w:ascii="Arial" w:eastAsia="Calibri" w:hAnsi="Arial" w:cs="Arial"/>
        </w:rPr>
        <w:t>Debêntures</w:t>
      </w:r>
      <w:r w:rsidR="00DA32D3" w:rsidRPr="00DA32D3">
        <w:rPr>
          <w:rFonts w:ascii="Arial" w:eastAsia="Calibri" w:hAnsi="Arial" w:cs="Arial"/>
        </w:rPr>
        <w:t xml:space="preserve"> será definida </w:t>
      </w:r>
      <w:r w:rsidR="000F247C">
        <w:rPr>
          <w:rFonts w:ascii="Arial" w:eastAsia="Calibri" w:hAnsi="Arial" w:cs="Arial"/>
        </w:rPr>
        <w:t>na Escritura</w:t>
      </w:r>
      <w:r w:rsidR="00DA32D3" w:rsidRPr="00DA32D3">
        <w:rPr>
          <w:rFonts w:ascii="Arial" w:eastAsia="Calibri" w:hAnsi="Arial" w:cs="Arial"/>
        </w:rPr>
        <w:t xml:space="preserve"> de Emissão (“</w:t>
      </w:r>
      <w:r w:rsidR="00DA32D3" w:rsidRPr="000F247C">
        <w:rPr>
          <w:rFonts w:ascii="Arial" w:eastAsia="Calibri" w:hAnsi="Arial" w:cs="Arial"/>
          <w:u w:val="single"/>
        </w:rPr>
        <w:t>Data de Emissão</w:t>
      </w:r>
      <w:r w:rsidR="00DA32D3" w:rsidRPr="00DA32D3">
        <w:rPr>
          <w:rFonts w:ascii="Arial" w:eastAsia="Calibri" w:hAnsi="Arial" w:cs="Arial"/>
        </w:rPr>
        <w:t xml:space="preserve">”). </w:t>
      </w:r>
    </w:p>
    <w:p w14:paraId="013DFC34" w14:textId="2F43840A" w:rsidR="00DA32D3" w:rsidRPr="00DA32D3" w:rsidRDefault="00DA32D3" w:rsidP="00155B60">
      <w:pPr>
        <w:pStyle w:val="NormalWeb"/>
        <w:spacing w:after="0" w:line="320" w:lineRule="exact"/>
        <w:ind w:left="187"/>
        <w:jc w:val="both"/>
        <w:rPr>
          <w:rFonts w:ascii="Arial" w:eastAsia="Calibri" w:hAnsi="Arial" w:cs="Arial"/>
        </w:rPr>
      </w:pPr>
      <w:r w:rsidRPr="00934203">
        <w:rPr>
          <w:rFonts w:ascii="Arial" w:eastAsia="Calibri" w:hAnsi="Arial" w:cs="Arial"/>
          <w:i/>
        </w:rPr>
        <w:t>(x</w:t>
      </w:r>
      <w:r w:rsidR="00574DB3" w:rsidRPr="00934203">
        <w:rPr>
          <w:rFonts w:ascii="Arial" w:eastAsia="Calibri" w:hAnsi="Arial" w:cs="Arial"/>
          <w:i/>
        </w:rPr>
        <w:t>i</w:t>
      </w:r>
      <w:r w:rsidR="008F2988">
        <w:rPr>
          <w:rFonts w:ascii="Arial" w:eastAsia="Calibri" w:hAnsi="Arial" w:cs="Arial"/>
          <w:i/>
        </w:rPr>
        <w:t xml:space="preserve">v) </w:t>
      </w:r>
      <w:r w:rsidRPr="00574DB3">
        <w:rPr>
          <w:rFonts w:ascii="Arial" w:eastAsia="Calibri" w:hAnsi="Arial" w:cs="Arial"/>
          <w:i/>
        </w:rPr>
        <w:t>Prazo e Data de Vencimento.</w:t>
      </w:r>
      <w:r w:rsidRPr="00DA32D3">
        <w:rPr>
          <w:rFonts w:ascii="Arial" w:eastAsia="Calibri" w:hAnsi="Arial" w:cs="Arial"/>
        </w:rPr>
        <w:t xml:space="preserve"> </w:t>
      </w:r>
      <w:r w:rsidR="003D1E7C" w:rsidRPr="003D1E7C">
        <w:rPr>
          <w:rFonts w:ascii="Arial" w:eastAsia="Calibri" w:hAnsi="Arial" w:cs="Arial"/>
        </w:rPr>
        <w:t>Ressalvadas as hipóteses de vencimento antecipado, resgate antecipado da totalidade das Debên</w:t>
      </w:r>
      <w:r w:rsidR="003D1E7C">
        <w:rPr>
          <w:rFonts w:ascii="Arial" w:eastAsia="Calibri" w:hAnsi="Arial" w:cs="Arial"/>
        </w:rPr>
        <w:t>tures, nos termos previstos n</w:t>
      </w:r>
      <w:r w:rsidR="003D1E7C" w:rsidRPr="003D1E7C">
        <w:rPr>
          <w:rFonts w:ascii="Arial" w:eastAsia="Calibri" w:hAnsi="Arial" w:cs="Arial"/>
        </w:rPr>
        <w:t>a Escritura de Emissão: (i) as Debêntures da 1ª Série terão prazo de vigência de 60 (sessenta) meses contados da Data de Emissão (“</w:t>
      </w:r>
      <w:r w:rsidR="003D1E7C" w:rsidRPr="003D1E7C">
        <w:rPr>
          <w:rFonts w:ascii="Arial" w:eastAsia="Calibri" w:hAnsi="Arial" w:cs="Arial"/>
          <w:u w:val="single"/>
        </w:rPr>
        <w:t>Data de Vencimento da 1ª Série</w:t>
      </w:r>
      <w:r w:rsidR="003D1E7C" w:rsidRPr="003D1E7C">
        <w:rPr>
          <w:rFonts w:ascii="Arial" w:eastAsia="Calibri" w:hAnsi="Arial" w:cs="Arial"/>
        </w:rPr>
        <w:t>”); e (</w:t>
      </w:r>
      <w:proofErr w:type="spellStart"/>
      <w:r w:rsidR="003D1E7C" w:rsidRPr="003D1E7C">
        <w:rPr>
          <w:rFonts w:ascii="Arial" w:eastAsia="Calibri" w:hAnsi="Arial" w:cs="Arial"/>
        </w:rPr>
        <w:t>ii</w:t>
      </w:r>
      <w:proofErr w:type="spellEnd"/>
      <w:r w:rsidR="003D1E7C" w:rsidRPr="003D1E7C">
        <w:rPr>
          <w:rFonts w:ascii="Arial" w:eastAsia="Calibri" w:hAnsi="Arial" w:cs="Arial"/>
        </w:rPr>
        <w:t>) as Debêntures da 2ª Série terão prazo de vigência de 61 (sessenta e um) meses contados da Data de Emissão</w:t>
      </w:r>
      <w:r w:rsidR="003D1E7C">
        <w:rPr>
          <w:rFonts w:ascii="Arial" w:eastAsia="Calibri" w:hAnsi="Arial" w:cs="Arial"/>
        </w:rPr>
        <w:t xml:space="preserve"> (</w:t>
      </w:r>
      <w:r w:rsidR="003D1E7C" w:rsidRPr="003D1E7C">
        <w:rPr>
          <w:rFonts w:ascii="Arial" w:eastAsia="Calibri" w:hAnsi="Arial" w:cs="Arial"/>
        </w:rPr>
        <w:t>“</w:t>
      </w:r>
      <w:r w:rsidR="003D1E7C" w:rsidRPr="003D1E7C">
        <w:rPr>
          <w:rFonts w:ascii="Arial" w:eastAsia="Calibri" w:hAnsi="Arial" w:cs="Arial"/>
          <w:u w:val="single"/>
        </w:rPr>
        <w:t>Data de Vencimento</w:t>
      </w:r>
      <w:r w:rsidR="003D1E7C" w:rsidRPr="003D1E7C">
        <w:rPr>
          <w:rFonts w:ascii="Arial" w:eastAsia="Calibri" w:hAnsi="Arial" w:cs="Arial"/>
        </w:rPr>
        <w:t xml:space="preserve"> da 2ª Série” e, em conjunto com a Data de Vencimento da 1ª Série, “</w:t>
      </w:r>
      <w:r w:rsidR="003D1E7C" w:rsidRPr="003D1E7C">
        <w:rPr>
          <w:rFonts w:ascii="Arial" w:eastAsia="Calibri" w:hAnsi="Arial" w:cs="Arial"/>
          <w:u w:val="single"/>
        </w:rPr>
        <w:t>Data de Vencimento</w:t>
      </w:r>
      <w:r w:rsidR="003D1E7C" w:rsidRPr="003D1E7C">
        <w:rPr>
          <w:rFonts w:ascii="Arial" w:eastAsia="Calibri" w:hAnsi="Arial" w:cs="Arial"/>
        </w:rPr>
        <w:t>”)</w:t>
      </w:r>
      <w:r w:rsidR="00F45FAA">
        <w:rPr>
          <w:rFonts w:ascii="Arial" w:eastAsia="Calibri" w:hAnsi="Arial" w:cs="Arial"/>
        </w:rPr>
        <w:t>.</w:t>
      </w:r>
    </w:p>
    <w:p w14:paraId="3A6B072E" w14:textId="42B02B02" w:rsidR="00DA32D3" w:rsidRPr="00DA32D3" w:rsidRDefault="00574DB3" w:rsidP="00155B60">
      <w:pPr>
        <w:pStyle w:val="NormalWeb"/>
        <w:spacing w:after="0" w:line="320" w:lineRule="exact"/>
        <w:ind w:left="187"/>
        <w:jc w:val="both"/>
        <w:rPr>
          <w:rFonts w:ascii="Arial" w:eastAsia="Calibri" w:hAnsi="Arial" w:cs="Arial"/>
        </w:rPr>
      </w:pPr>
      <w:r w:rsidRPr="00934203">
        <w:rPr>
          <w:rFonts w:ascii="Arial" w:eastAsia="Calibri" w:hAnsi="Arial" w:cs="Arial"/>
          <w:i/>
        </w:rPr>
        <w:lastRenderedPageBreak/>
        <w:t>(</w:t>
      </w:r>
      <w:proofErr w:type="spellStart"/>
      <w:r w:rsidRPr="00934203">
        <w:rPr>
          <w:rFonts w:ascii="Arial" w:eastAsia="Calibri" w:hAnsi="Arial" w:cs="Arial"/>
          <w:i/>
        </w:rPr>
        <w:t>xv</w:t>
      </w:r>
      <w:proofErr w:type="spellEnd"/>
      <w:r w:rsidR="00DA32D3" w:rsidRPr="00934203">
        <w:rPr>
          <w:rFonts w:ascii="Arial" w:eastAsia="Calibri" w:hAnsi="Arial" w:cs="Arial"/>
          <w:i/>
        </w:rPr>
        <w:t>)</w:t>
      </w:r>
      <w:r w:rsidR="00DA32D3" w:rsidRPr="00934203">
        <w:rPr>
          <w:rFonts w:ascii="Arial" w:eastAsia="Calibri" w:hAnsi="Arial" w:cs="Arial"/>
          <w:i/>
        </w:rPr>
        <w:tab/>
      </w:r>
      <w:r w:rsidR="003D1E7C">
        <w:rPr>
          <w:rFonts w:ascii="Arial" w:eastAsia="Calibri" w:hAnsi="Arial" w:cs="Arial"/>
          <w:i/>
        </w:rPr>
        <w:t>Amortização</w:t>
      </w:r>
      <w:r w:rsidR="00DA32D3" w:rsidRPr="00574DB3">
        <w:rPr>
          <w:rFonts w:ascii="Arial" w:eastAsia="Calibri" w:hAnsi="Arial" w:cs="Arial"/>
          <w:i/>
        </w:rPr>
        <w:t>.</w:t>
      </w:r>
      <w:r w:rsidR="00DA32D3" w:rsidRPr="00DA32D3">
        <w:rPr>
          <w:rFonts w:ascii="Arial" w:eastAsia="Calibri" w:hAnsi="Arial" w:cs="Arial"/>
        </w:rPr>
        <w:t xml:space="preserve"> </w:t>
      </w:r>
      <w:r w:rsidR="003D1E7C" w:rsidRPr="003D1E7C">
        <w:rPr>
          <w:rFonts w:ascii="Arial" w:eastAsia="Calibri" w:hAnsi="Arial" w:cs="Arial"/>
        </w:rPr>
        <w:t>Sem prejuízo dos pagamentos em decorrência de vencimento antecipado das obrigações decorrentes das Debêntures da 1ª Série e das Debêntures da 2ª Série, Resgate Antecipado Facultativo ou Oferta Facultativa de Resgate Antecipado, nos termos previstos na Escritura de Emissão, o Valor Nominal Unitário das Debêntures da 1ª Série e das Debêntures da 2ª Série será pago se</w:t>
      </w:r>
      <w:r w:rsidR="003D1E7C">
        <w:rPr>
          <w:rFonts w:ascii="Arial" w:eastAsia="Calibri" w:hAnsi="Arial" w:cs="Arial"/>
        </w:rPr>
        <w:t>mestralmente, a contar do 24º (</w:t>
      </w:r>
      <w:r w:rsidR="003D1E7C" w:rsidRPr="003D1E7C">
        <w:rPr>
          <w:rFonts w:ascii="Arial" w:eastAsia="Calibri" w:hAnsi="Arial" w:cs="Arial"/>
        </w:rPr>
        <w:t>vigésimo quarto) mês da Data de Emissão, inclusive</w:t>
      </w:r>
      <w:r w:rsidR="00F45FAA">
        <w:rPr>
          <w:rFonts w:ascii="Arial" w:eastAsia="Calibri" w:hAnsi="Arial" w:cs="Arial"/>
        </w:rPr>
        <w:t>, nos termos da Escritura de Emissão</w:t>
      </w:r>
      <w:r w:rsidR="003D1E7C" w:rsidRPr="003D1E7C">
        <w:rPr>
          <w:rFonts w:ascii="Arial" w:eastAsia="Calibri" w:hAnsi="Arial" w:cs="Arial"/>
        </w:rPr>
        <w:t>.</w:t>
      </w:r>
    </w:p>
    <w:p w14:paraId="74690DDE" w14:textId="08EC9D61" w:rsidR="00574DB3" w:rsidRDefault="00574DB3" w:rsidP="00155B60">
      <w:pPr>
        <w:pStyle w:val="NormalWeb"/>
        <w:spacing w:after="0" w:line="320" w:lineRule="exact"/>
        <w:ind w:left="187"/>
        <w:jc w:val="both"/>
        <w:rPr>
          <w:rFonts w:ascii="Arial" w:eastAsia="Calibri" w:hAnsi="Arial" w:cs="Arial"/>
        </w:rPr>
      </w:pPr>
      <w:r w:rsidRPr="00934203">
        <w:rPr>
          <w:rFonts w:ascii="Arial" w:eastAsia="Calibri" w:hAnsi="Arial" w:cs="Arial"/>
          <w:i/>
        </w:rPr>
        <w:t>(</w:t>
      </w:r>
      <w:proofErr w:type="spellStart"/>
      <w:r w:rsidRPr="00934203">
        <w:rPr>
          <w:rFonts w:ascii="Arial" w:eastAsia="Calibri" w:hAnsi="Arial" w:cs="Arial"/>
          <w:i/>
        </w:rPr>
        <w:t>xvi</w:t>
      </w:r>
      <w:proofErr w:type="spellEnd"/>
      <w:r w:rsidR="008F2988">
        <w:rPr>
          <w:rFonts w:ascii="Arial" w:eastAsia="Calibri" w:hAnsi="Arial" w:cs="Arial"/>
          <w:i/>
        </w:rPr>
        <w:t xml:space="preserve">) </w:t>
      </w:r>
      <w:r w:rsidR="005B2B63">
        <w:rPr>
          <w:rFonts w:ascii="Arial" w:eastAsia="Calibri" w:hAnsi="Arial" w:cs="Arial"/>
          <w:i/>
        </w:rPr>
        <w:t>Atualização</w:t>
      </w:r>
      <w:r>
        <w:rPr>
          <w:rFonts w:ascii="Arial" w:eastAsia="Calibri" w:hAnsi="Arial" w:cs="Arial"/>
          <w:i/>
        </w:rPr>
        <w:t xml:space="preserve"> das Debêntures</w:t>
      </w:r>
      <w:r w:rsidR="00DA32D3" w:rsidRPr="00DA32D3">
        <w:rPr>
          <w:rFonts w:ascii="Arial" w:eastAsia="Calibri" w:hAnsi="Arial" w:cs="Arial"/>
        </w:rPr>
        <w:t xml:space="preserve">. </w:t>
      </w:r>
      <w:r w:rsidR="005B2B63">
        <w:rPr>
          <w:rFonts w:ascii="Arial" w:eastAsia="Calibri" w:hAnsi="Arial" w:cs="Arial"/>
        </w:rPr>
        <w:t xml:space="preserve">O </w:t>
      </w:r>
      <w:r w:rsidR="005B2B63" w:rsidRPr="00574DB3">
        <w:rPr>
          <w:rFonts w:ascii="Arial" w:eastAsia="Calibri" w:hAnsi="Arial" w:cs="Arial"/>
        </w:rPr>
        <w:t>Valor Nominal Unitário das Debêntures não será atualizado monetariamente</w:t>
      </w:r>
      <w:r w:rsidR="00F45FAA">
        <w:rPr>
          <w:rFonts w:ascii="Arial" w:eastAsia="Calibri" w:hAnsi="Arial" w:cs="Arial"/>
        </w:rPr>
        <w:t>.</w:t>
      </w:r>
    </w:p>
    <w:p w14:paraId="262486E4" w14:textId="34A478F7" w:rsidR="00574DB3" w:rsidRDefault="00934203" w:rsidP="00155B60">
      <w:pPr>
        <w:pStyle w:val="NormalWeb"/>
        <w:spacing w:after="0" w:line="320" w:lineRule="exact"/>
        <w:ind w:left="187"/>
        <w:jc w:val="both"/>
        <w:rPr>
          <w:rFonts w:ascii="Arial" w:eastAsia="Calibri" w:hAnsi="Arial" w:cs="Arial"/>
        </w:rPr>
      </w:pPr>
      <w:r>
        <w:rPr>
          <w:rFonts w:ascii="Arial" w:eastAsia="Calibri" w:hAnsi="Arial" w:cs="Arial"/>
          <w:i/>
        </w:rPr>
        <w:t>(</w:t>
      </w:r>
      <w:proofErr w:type="spellStart"/>
      <w:r>
        <w:rPr>
          <w:rFonts w:ascii="Arial" w:eastAsia="Calibri" w:hAnsi="Arial" w:cs="Arial"/>
          <w:i/>
        </w:rPr>
        <w:t>xvii</w:t>
      </w:r>
      <w:proofErr w:type="spellEnd"/>
      <w:r>
        <w:rPr>
          <w:rFonts w:ascii="Arial" w:eastAsia="Calibri" w:hAnsi="Arial" w:cs="Arial"/>
          <w:i/>
        </w:rPr>
        <w:t xml:space="preserve">) </w:t>
      </w:r>
      <w:r w:rsidR="00574DB3" w:rsidRPr="00574DB3">
        <w:rPr>
          <w:rFonts w:ascii="Arial" w:eastAsia="Calibri" w:hAnsi="Arial" w:cs="Arial"/>
          <w:i/>
        </w:rPr>
        <w:t>Remuneração</w:t>
      </w:r>
      <w:r>
        <w:rPr>
          <w:rFonts w:ascii="Arial" w:eastAsia="Calibri" w:hAnsi="Arial" w:cs="Arial"/>
          <w:i/>
        </w:rPr>
        <w:t xml:space="preserve"> das Debêntures da</w:t>
      </w:r>
      <w:r w:rsidR="005B2B63">
        <w:rPr>
          <w:rFonts w:ascii="Arial" w:eastAsia="Calibri" w:hAnsi="Arial" w:cs="Arial"/>
          <w:i/>
        </w:rPr>
        <w:t xml:space="preserve"> 1ª Série e das Debêntures da</w:t>
      </w:r>
      <w:r>
        <w:rPr>
          <w:rFonts w:ascii="Arial" w:eastAsia="Calibri" w:hAnsi="Arial" w:cs="Arial"/>
          <w:i/>
        </w:rPr>
        <w:t xml:space="preserve"> 2</w:t>
      </w:r>
      <w:r w:rsidR="00574DB3">
        <w:rPr>
          <w:rFonts w:ascii="Arial" w:eastAsia="Calibri" w:hAnsi="Arial" w:cs="Arial"/>
          <w:i/>
        </w:rPr>
        <w:t>ª Série</w:t>
      </w:r>
      <w:r w:rsidR="00574DB3" w:rsidRPr="00DA32D3">
        <w:rPr>
          <w:rFonts w:ascii="Arial" w:eastAsia="Calibri" w:hAnsi="Arial" w:cs="Arial"/>
        </w:rPr>
        <w:t>.</w:t>
      </w:r>
      <w:r w:rsidR="005B2B63">
        <w:rPr>
          <w:rFonts w:ascii="Arial" w:eastAsia="Calibri" w:hAnsi="Arial" w:cs="Arial"/>
        </w:rPr>
        <w:t xml:space="preserve"> </w:t>
      </w:r>
      <w:r w:rsidR="005B2B63" w:rsidRPr="005B2B63">
        <w:rPr>
          <w:rFonts w:ascii="Arial" w:eastAsia="Calibri" w:hAnsi="Arial" w:cs="Arial"/>
        </w:rPr>
        <w:t>Sobre o Valor Nominal Unitário ou o saldo do Valor Nominal Unitário das Debêntures da 1ª Série e das Debêntures da 2ª Série, conforme o caso, incidirão juros remuneratórios correspondentes a 109% (cento e nove por cento) para as Debêntures da 1ª Série e 109,01% (cento e nove inteiros e um décimo por cento) para as Debêntures da 2ª Série, da variação acumulada das taxas médias diárias dos Depósitos Interfinanceiros - DI de um dia, over extra grupo, expressas na forma percentual ao ano, base 252 (duzentos e cinquenta e dois) Dias Úteis (“</w:t>
      </w:r>
      <w:r w:rsidR="005B2B63" w:rsidRPr="005B2B63">
        <w:rPr>
          <w:rFonts w:ascii="Arial" w:eastAsia="Calibri" w:hAnsi="Arial" w:cs="Arial"/>
          <w:u w:val="single"/>
        </w:rPr>
        <w:t>Taxa DI</w:t>
      </w:r>
      <w:r w:rsidR="005B2B63" w:rsidRPr="005B2B63">
        <w:rPr>
          <w:rFonts w:ascii="Arial" w:eastAsia="Calibri" w:hAnsi="Arial" w:cs="Arial"/>
        </w:rPr>
        <w:t>”), calculadas e divulgadas diariamente pela B3, no Informativo Diário disponível em sua página na Internet (http://www.cetip.com.br)</w:t>
      </w:r>
      <w:r w:rsidR="005B2B63">
        <w:rPr>
          <w:rFonts w:ascii="Arial" w:eastAsia="Calibri" w:hAnsi="Arial" w:cs="Arial"/>
        </w:rPr>
        <w:t>.</w:t>
      </w:r>
    </w:p>
    <w:p w14:paraId="23A35A98" w14:textId="03C13795" w:rsidR="00DA32D3" w:rsidRPr="00DA32D3" w:rsidRDefault="00934203" w:rsidP="00155B60">
      <w:pPr>
        <w:pStyle w:val="NormalWeb"/>
        <w:spacing w:after="0" w:line="320" w:lineRule="exact"/>
        <w:ind w:left="187"/>
        <w:jc w:val="both"/>
        <w:rPr>
          <w:rFonts w:ascii="Arial" w:eastAsia="Calibri" w:hAnsi="Arial" w:cs="Arial"/>
        </w:rPr>
      </w:pPr>
      <w:r>
        <w:rPr>
          <w:rFonts w:ascii="Arial" w:eastAsia="Calibri" w:hAnsi="Arial" w:cs="Arial"/>
          <w:i/>
        </w:rPr>
        <w:t>(</w:t>
      </w:r>
      <w:proofErr w:type="spellStart"/>
      <w:r>
        <w:rPr>
          <w:rFonts w:ascii="Arial" w:eastAsia="Calibri" w:hAnsi="Arial" w:cs="Arial"/>
          <w:i/>
        </w:rPr>
        <w:t>xvii</w:t>
      </w:r>
      <w:r w:rsidR="00D454F7">
        <w:rPr>
          <w:rFonts w:ascii="Arial" w:eastAsia="Calibri" w:hAnsi="Arial" w:cs="Arial"/>
          <w:i/>
        </w:rPr>
        <w:t>i</w:t>
      </w:r>
      <w:proofErr w:type="spellEnd"/>
      <w:r w:rsidR="008F2988">
        <w:rPr>
          <w:rFonts w:ascii="Arial" w:eastAsia="Calibri" w:hAnsi="Arial" w:cs="Arial"/>
          <w:i/>
        </w:rPr>
        <w:t xml:space="preserve">) </w:t>
      </w:r>
      <w:r w:rsidR="00DA32D3" w:rsidRPr="00934203">
        <w:rPr>
          <w:rFonts w:ascii="Arial" w:eastAsia="Calibri" w:hAnsi="Arial" w:cs="Arial"/>
          <w:i/>
        </w:rPr>
        <w:t>Resgate Antecipado Facultativo.</w:t>
      </w:r>
      <w:r w:rsidR="00DA32D3" w:rsidRPr="00DA32D3">
        <w:rPr>
          <w:rFonts w:ascii="Arial" w:eastAsia="Calibri" w:hAnsi="Arial" w:cs="Arial"/>
        </w:rPr>
        <w:t xml:space="preserve"> </w:t>
      </w:r>
      <w:r w:rsidRPr="00934203">
        <w:rPr>
          <w:rFonts w:ascii="Arial" w:eastAsia="Calibri" w:hAnsi="Arial" w:cs="Arial"/>
        </w:rPr>
        <w:t xml:space="preserve">A </w:t>
      </w:r>
      <w:r w:rsidR="00CF5235">
        <w:rPr>
          <w:rFonts w:ascii="Arial" w:eastAsia="Calibri" w:hAnsi="Arial" w:cs="Arial"/>
        </w:rPr>
        <w:t>Companhia</w:t>
      </w:r>
      <w:r w:rsidRPr="00934203">
        <w:rPr>
          <w:rFonts w:ascii="Arial" w:eastAsia="Calibri" w:hAnsi="Arial" w:cs="Arial"/>
        </w:rPr>
        <w:t xml:space="preserve"> poderá, a qualquer tempo, a partir do </w:t>
      </w:r>
      <w:r w:rsidRPr="005B2B63">
        <w:rPr>
          <w:rFonts w:ascii="Arial" w:eastAsia="Calibri" w:hAnsi="Arial" w:cs="Arial"/>
        </w:rPr>
        <w:t>18º (décimo oitavo) mês contado da Data de Emissão,</w:t>
      </w:r>
      <w:r w:rsidRPr="00934203">
        <w:rPr>
          <w:rFonts w:ascii="Arial" w:eastAsia="Calibri" w:hAnsi="Arial" w:cs="Arial"/>
        </w:rPr>
        <w:t xml:space="preserve"> a seu exclusivo critério, realizar o resgate antecipado da totalidade das Debêntures (“</w:t>
      </w:r>
      <w:r w:rsidRPr="00934203">
        <w:rPr>
          <w:rFonts w:ascii="Arial" w:eastAsia="Calibri" w:hAnsi="Arial" w:cs="Arial"/>
          <w:u w:val="single"/>
        </w:rPr>
        <w:t>Resgate Antecipado Facultativo</w:t>
      </w:r>
      <w:r w:rsidRPr="00934203">
        <w:rPr>
          <w:rFonts w:ascii="Arial" w:eastAsia="Calibri" w:hAnsi="Arial" w:cs="Arial"/>
        </w:rPr>
        <w:t>”), me</w:t>
      </w:r>
      <w:r>
        <w:rPr>
          <w:rFonts w:ascii="Arial" w:eastAsia="Calibri" w:hAnsi="Arial" w:cs="Arial"/>
        </w:rPr>
        <w:t>diante envio de comunicado aos d</w:t>
      </w:r>
      <w:r w:rsidRPr="00934203">
        <w:rPr>
          <w:rFonts w:ascii="Arial" w:eastAsia="Calibri" w:hAnsi="Arial" w:cs="Arial"/>
        </w:rPr>
        <w:t xml:space="preserve">ebenturistas com cópia ao </w:t>
      </w:r>
      <w:r>
        <w:rPr>
          <w:rFonts w:ascii="Arial" w:eastAsia="Calibri" w:hAnsi="Arial" w:cs="Arial"/>
        </w:rPr>
        <w:t>a</w:t>
      </w:r>
      <w:r w:rsidRPr="00934203">
        <w:rPr>
          <w:rFonts w:ascii="Arial" w:eastAsia="Calibri" w:hAnsi="Arial" w:cs="Arial"/>
        </w:rPr>
        <w:t xml:space="preserve">gente </w:t>
      </w:r>
      <w:r>
        <w:rPr>
          <w:rFonts w:ascii="Arial" w:eastAsia="Calibri" w:hAnsi="Arial" w:cs="Arial"/>
        </w:rPr>
        <w:t>f</w:t>
      </w:r>
      <w:r w:rsidRPr="00934203">
        <w:rPr>
          <w:rFonts w:ascii="Arial" w:eastAsia="Calibri" w:hAnsi="Arial" w:cs="Arial"/>
        </w:rPr>
        <w:t>iduciário, ao</w:t>
      </w:r>
      <w:r>
        <w:rPr>
          <w:rFonts w:ascii="Arial" w:eastAsia="Calibri" w:hAnsi="Arial" w:cs="Arial"/>
        </w:rPr>
        <w:t xml:space="preserve"> e</w:t>
      </w:r>
      <w:r w:rsidRPr="00934203">
        <w:rPr>
          <w:rFonts w:ascii="Arial" w:eastAsia="Calibri" w:hAnsi="Arial" w:cs="Arial"/>
        </w:rPr>
        <w:t>scriturador e à B3 o</w:t>
      </w:r>
      <w:r>
        <w:rPr>
          <w:rFonts w:ascii="Arial" w:eastAsia="Calibri" w:hAnsi="Arial" w:cs="Arial"/>
        </w:rPr>
        <w:t>u publicação de comunicado aos d</w:t>
      </w:r>
      <w:r w:rsidRPr="00934203">
        <w:rPr>
          <w:rFonts w:ascii="Arial" w:eastAsia="Calibri" w:hAnsi="Arial" w:cs="Arial"/>
        </w:rPr>
        <w:t>ebenturistas nos termos da Escritura de Emissão, com no mínimo 5 (cinco) Dias Úteis de antecedência, informando: (i) a data para realização do Resgate Antecipado Facultativo, que de</w:t>
      </w:r>
      <w:r>
        <w:rPr>
          <w:rFonts w:ascii="Arial" w:eastAsia="Calibri" w:hAnsi="Arial" w:cs="Arial"/>
        </w:rPr>
        <w:t>verá, obrigatoriamente, ser um dia ú</w:t>
      </w:r>
      <w:r w:rsidRPr="00934203">
        <w:rPr>
          <w:rFonts w:ascii="Arial" w:eastAsia="Calibri" w:hAnsi="Arial" w:cs="Arial"/>
        </w:rPr>
        <w:t xml:space="preserve">til; (ii) menção ao valor do pagamento devido aos </w:t>
      </w:r>
      <w:r>
        <w:rPr>
          <w:rFonts w:ascii="Arial" w:eastAsia="Calibri" w:hAnsi="Arial" w:cs="Arial"/>
        </w:rPr>
        <w:t>d</w:t>
      </w:r>
      <w:r w:rsidRPr="00934203">
        <w:rPr>
          <w:rFonts w:ascii="Arial" w:eastAsia="Calibri" w:hAnsi="Arial" w:cs="Arial"/>
        </w:rPr>
        <w:t>ebenturistas, observado o Prêmio de Resgate Antecipado, conforme definido na Escritura de Emissão; e (</w:t>
      </w:r>
      <w:proofErr w:type="spellStart"/>
      <w:r w:rsidRPr="00934203">
        <w:rPr>
          <w:rFonts w:ascii="Arial" w:eastAsia="Calibri" w:hAnsi="Arial" w:cs="Arial"/>
        </w:rPr>
        <w:t>iii</w:t>
      </w:r>
      <w:proofErr w:type="spellEnd"/>
      <w:r w:rsidRPr="00934203">
        <w:rPr>
          <w:rFonts w:ascii="Arial" w:eastAsia="Calibri" w:hAnsi="Arial" w:cs="Arial"/>
        </w:rPr>
        <w:t xml:space="preserve">) qualquer outra informação relevante aos </w:t>
      </w:r>
      <w:r>
        <w:rPr>
          <w:rFonts w:ascii="Arial" w:eastAsia="Calibri" w:hAnsi="Arial" w:cs="Arial"/>
        </w:rPr>
        <w:t>d</w:t>
      </w:r>
      <w:r w:rsidRPr="00934203">
        <w:rPr>
          <w:rFonts w:ascii="Arial" w:eastAsia="Calibri" w:hAnsi="Arial" w:cs="Arial"/>
        </w:rPr>
        <w:t>ebenturistas.</w:t>
      </w:r>
    </w:p>
    <w:p w14:paraId="767E52F6" w14:textId="267DFCE9" w:rsidR="00DA32D3" w:rsidRPr="00DA32D3" w:rsidRDefault="00DA32D3" w:rsidP="00155B60">
      <w:pPr>
        <w:pStyle w:val="NormalWeb"/>
        <w:spacing w:after="0" w:line="320" w:lineRule="exact"/>
        <w:ind w:left="187"/>
        <w:jc w:val="both"/>
        <w:rPr>
          <w:rFonts w:ascii="Arial" w:eastAsia="Calibri" w:hAnsi="Arial" w:cs="Arial"/>
        </w:rPr>
      </w:pPr>
      <w:r w:rsidRPr="00934203">
        <w:rPr>
          <w:rFonts w:ascii="Arial" w:eastAsia="Calibri" w:hAnsi="Arial" w:cs="Arial"/>
          <w:i/>
        </w:rPr>
        <w:t>(</w:t>
      </w:r>
      <w:proofErr w:type="spellStart"/>
      <w:r w:rsidRPr="00934203">
        <w:rPr>
          <w:rFonts w:ascii="Arial" w:eastAsia="Calibri" w:hAnsi="Arial" w:cs="Arial"/>
          <w:i/>
        </w:rPr>
        <w:t>x</w:t>
      </w:r>
      <w:r w:rsidR="00D454F7">
        <w:rPr>
          <w:rFonts w:ascii="Arial" w:eastAsia="Calibri" w:hAnsi="Arial" w:cs="Arial"/>
          <w:i/>
        </w:rPr>
        <w:t>ix</w:t>
      </w:r>
      <w:proofErr w:type="spellEnd"/>
      <w:r w:rsidR="008F2988">
        <w:rPr>
          <w:rFonts w:ascii="Arial" w:eastAsia="Calibri" w:hAnsi="Arial" w:cs="Arial"/>
          <w:i/>
        </w:rPr>
        <w:t xml:space="preserve">) </w:t>
      </w:r>
      <w:r w:rsidRPr="00934203">
        <w:rPr>
          <w:rFonts w:ascii="Arial" w:eastAsia="Calibri" w:hAnsi="Arial" w:cs="Arial"/>
          <w:i/>
        </w:rPr>
        <w:t>Aquisição Facultativa.</w:t>
      </w:r>
      <w:r w:rsidRPr="00DA32D3">
        <w:rPr>
          <w:rFonts w:ascii="Arial" w:eastAsia="Calibri" w:hAnsi="Arial" w:cs="Arial"/>
        </w:rPr>
        <w:t xml:space="preserve"> </w:t>
      </w:r>
      <w:r w:rsidR="00934203" w:rsidRPr="00934203">
        <w:rPr>
          <w:rFonts w:ascii="Arial" w:eastAsia="Calibri" w:hAnsi="Arial" w:cs="Arial"/>
        </w:rPr>
        <w:t xml:space="preserve">A </w:t>
      </w:r>
      <w:r w:rsidR="00934203">
        <w:rPr>
          <w:rFonts w:ascii="Arial" w:eastAsia="Calibri" w:hAnsi="Arial" w:cs="Arial"/>
        </w:rPr>
        <w:t>Companhia</w:t>
      </w:r>
      <w:r w:rsidR="00934203" w:rsidRPr="00934203">
        <w:rPr>
          <w:rFonts w:ascii="Arial" w:eastAsia="Calibri" w:hAnsi="Arial" w:cs="Arial"/>
        </w:rPr>
        <w:t xml:space="preserve"> poderá, a qualquer tempo, observando as restrições impostas pela Instrução CVM 476 e demais disposições aplicáveis, adquirir Debêntures, observado o disposto no parágrafo 3º do artigo 55 da Lei das Sociedades por Ações e, ainda, condic</w:t>
      </w:r>
      <w:r w:rsidR="00934203">
        <w:rPr>
          <w:rFonts w:ascii="Arial" w:eastAsia="Calibri" w:hAnsi="Arial" w:cs="Arial"/>
        </w:rPr>
        <w:t>ionado ao aceite do respectivo d</w:t>
      </w:r>
      <w:r w:rsidR="00934203" w:rsidRPr="00934203">
        <w:rPr>
          <w:rFonts w:ascii="Arial" w:eastAsia="Calibri" w:hAnsi="Arial" w:cs="Arial"/>
        </w:rPr>
        <w:t xml:space="preserve">ebenturista vendedor. As Debêntures adquiridas pela </w:t>
      </w:r>
      <w:r w:rsidR="00934203">
        <w:rPr>
          <w:rFonts w:ascii="Arial" w:eastAsia="Calibri" w:hAnsi="Arial" w:cs="Arial"/>
        </w:rPr>
        <w:t>Companhia</w:t>
      </w:r>
      <w:r w:rsidR="00934203" w:rsidRPr="00934203">
        <w:rPr>
          <w:rFonts w:ascii="Arial" w:eastAsia="Calibri" w:hAnsi="Arial" w:cs="Arial"/>
        </w:rPr>
        <w:t xml:space="preserve"> poderão ser: (i) canceladas, devendo o cancelamento ser objeto de ato deliberativo da </w:t>
      </w:r>
      <w:r w:rsidR="00934203">
        <w:rPr>
          <w:rFonts w:ascii="Arial" w:eastAsia="Calibri" w:hAnsi="Arial" w:cs="Arial"/>
        </w:rPr>
        <w:t>Companhia</w:t>
      </w:r>
      <w:r w:rsidR="00934203" w:rsidRPr="00934203">
        <w:rPr>
          <w:rFonts w:ascii="Arial" w:eastAsia="Calibri" w:hAnsi="Arial" w:cs="Arial"/>
        </w:rPr>
        <w:t xml:space="preserve">; (ii) permanecer na tesouraria da </w:t>
      </w:r>
      <w:r w:rsidR="00934203">
        <w:rPr>
          <w:rFonts w:ascii="Arial" w:eastAsia="Calibri" w:hAnsi="Arial" w:cs="Arial"/>
        </w:rPr>
        <w:t>Companhia</w:t>
      </w:r>
      <w:r w:rsidR="00934203" w:rsidRPr="00934203">
        <w:rPr>
          <w:rFonts w:ascii="Arial" w:eastAsia="Calibri" w:hAnsi="Arial" w:cs="Arial"/>
        </w:rPr>
        <w:t>; ou (</w:t>
      </w:r>
      <w:proofErr w:type="spellStart"/>
      <w:r w:rsidR="00934203" w:rsidRPr="00934203">
        <w:rPr>
          <w:rFonts w:ascii="Arial" w:eastAsia="Calibri" w:hAnsi="Arial" w:cs="Arial"/>
        </w:rPr>
        <w:t>iii</w:t>
      </w:r>
      <w:proofErr w:type="spellEnd"/>
      <w:r w:rsidR="00934203" w:rsidRPr="00934203">
        <w:rPr>
          <w:rFonts w:ascii="Arial" w:eastAsia="Calibri" w:hAnsi="Arial" w:cs="Arial"/>
        </w:rPr>
        <w:t xml:space="preserve">) ser novamente colocadas no mercado, observadas as restrições impostas pela Instrução CVM 476. As Debêntures adquiridas pela </w:t>
      </w:r>
      <w:r w:rsidR="00934203">
        <w:rPr>
          <w:rFonts w:ascii="Arial" w:eastAsia="Calibri" w:hAnsi="Arial" w:cs="Arial"/>
        </w:rPr>
        <w:t>Companhia</w:t>
      </w:r>
      <w:r w:rsidR="00934203" w:rsidRPr="00934203">
        <w:rPr>
          <w:rFonts w:ascii="Arial" w:eastAsia="Calibri" w:hAnsi="Arial" w:cs="Arial"/>
        </w:rPr>
        <w:t xml:space="preserve"> para permanência em tesouraria, se e </w:t>
      </w:r>
      <w:r w:rsidR="00934203" w:rsidRPr="00934203">
        <w:rPr>
          <w:rFonts w:ascii="Arial" w:eastAsia="Calibri" w:hAnsi="Arial" w:cs="Arial"/>
        </w:rPr>
        <w:lastRenderedPageBreak/>
        <w:t>quando recolocadas no mercado, farão jus à Remuneração das demais Debêntures.</w:t>
      </w:r>
    </w:p>
    <w:p w14:paraId="1002E368" w14:textId="0FF58309" w:rsidR="00DA32D3" w:rsidRPr="00DA32D3" w:rsidRDefault="00D454F7" w:rsidP="00155B60">
      <w:pPr>
        <w:pStyle w:val="NormalWeb"/>
        <w:spacing w:before="0" w:beforeAutospacing="0" w:after="0" w:afterAutospacing="0" w:line="320" w:lineRule="exact"/>
        <w:ind w:left="187"/>
        <w:jc w:val="both"/>
        <w:rPr>
          <w:rFonts w:ascii="Arial" w:eastAsia="Calibri" w:hAnsi="Arial" w:cs="Arial"/>
        </w:rPr>
      </w:pPr>
      <w:r>
        <w:rPr>
          <w:rFonts w:ascii="Arial" w:eastAsia="Calibri" w:hAnsi="Arial" w:cs="Arial"/>
          <w:i/>
        </w:rPr>
        <w:t>(</w:t>
      </w:r>
      <w:proofErr w:type="spellStart"/>
      <w:r>
        <w:rPr>
          <w:rFonts w:ascii="Arial" w:eastAsia="Calibri" w:hAnsi="Arial" w:cs="Arial"/>
          <w:i/>
        </w:rPr>
        <w:t>x</w:t>
      </w:r>
      <w:r w:rsidR="00934203" w:rsidRPr="00934203">
        <w:rPr>
          <w:rFonts w:ascii="Arial" w:eastAsia="Calibri" w:hAnsi="Arial" w:cs="Arial"/>
          <w:i/>
        </w:rPr>
        <w:t>x</w:t>
      </w:r>
      <w:proofErr w:type="spellEnd"/>
      <w:r w:rsidR="008F2988">
        <w:rPr>
          <w:rFonts w:ascii="Arial" w:eastAsia="Calibri" w:hAnsi="Arial" w:cs="Arial"/>
          <w:i/>
        </w:rPr>
        <w:t xml:space="preserve">) </w:t>
      </w:r>
      <w:r w:rsidR="00DA32D3" w:rsidRPr="00934203">
        <w:rPr>
          <w:rFonts w:ascii="Arial" w:eastAsia="Calibri" w:hAnsi="Arial" w:cs="Arial"/>
          <w:i/>
        </w:rPr>
        <w:t xml:space="preserve">Eventos de Inadimplemento e Vencimento Antecipado. </w:t>
      </w:r>
      <w:r w:rsidR="00DA32D3" w:rsidRPr="00DA32D3">
        <w:rPr>
          <w:rFonts w:ascii="Arial" w:eastAsia="Calibri" w:hAnsi="Arial" w:cs="Arial"/>
        </w:rPr>
        <w:t xml:space="preserve">Os eventos de inadimplemento das </w:t>
      </w:r>
      <w:r w:rsidR="000F247C">
        <w:rPr>
          <w:rFonts w:ascii="Arial" w:eastAsia="Calibri" w:hAnsi="Arial" w:cs="Arial"/>
        </w:rPr>
        <w:t>Debêntures</w:t>
      </w:r>
      <w:r w:rsidR="00DA32D3" w:rsidRPr="00DA32D3">
        <w:rPr>
          <w:rFonts w:ascii="Arial" w:eastAsia="Calibri" w:hAnsi="Arial" w:cs="Arial"/>
        </w:rPr>
        <w:t xml:space="preserve"> serão definidos </w:t>
      </w:r>
      <w:r w:rsidR="000F247C">
        <w:rPr>
          <w:rFonts w:ascii="Arial" w:eastAsia="Calibri" w:hAnsi="Arial" w:cs="Arial"/>
        </w:rPr>
        <w:t>na Escritura</w:t>
      </w:r>
      <w:r w:rsidR="00DA32D3" w:rsidRPr="00DA32D3">
        <w:rPr>
          <w:rFonts w:ascii="Arial" w:eastAsia="Calibri" w:hAnsi="Arial" w:cs="Arial"/>
        </w:rPr>
        <w:t xml:space="preserve"> de Emissão e poderão ocasionar o vencimento antecipado das </w:t>
      </w:r>
      <w:r w:rsidR="000F247C">
        <w:rPr>
          <w:rFonts w:ascii="Arial" w:eastAsia="Calibri" w:hAnsi="Arial" w:cs="Arial"/>
        </w:rPr>
        <w:t xml:space="preserve">Debêntures. </w:t>
      </w:r>
    </w:p>
    <w:p w14:paraId="66A4BC8D" w14:textId="6F2C21FD" w:rsidR="00953FB6" w:rsidRPr="00953FB6" w:rsidRDefault="005C216A" w:rsidP="00155B60">
      <w:pPr>
        <w:pStyle w:val="NormalWeb"/>
        <w:spacing w:after="0" w:line="320" w:lineRule="exact"/>
        <w:ind w:left="187"/>
        <w:jc w:val="both"/>
        <w:rPr>
          <w:rFonts w:ascii="Arial" w:eastAsia="Calibri" w:hAnsi="Arial" w:cs="Arial"/>
        </w:rPr>
      </w:pPr>
      <w:r w:rsidRPr="002601D7">
        <w:rPr>
          <w:rFonts w:ascii="Arial" w:eastAsia="Calibri" w:hAnsi="Arial" w:cs="Arial"/>
          <w:b/>
        </w:rPr>
        <w:t>5.</w:t>
      </w:r>
      <w:r w:rsidR="00CD611C">
        <w:rPr>
          <w:rFonts w:ascii="Arial" w:eastAsia="Calibri" w:hAnsi="Arial" w:cs="Arial"/>
          <w:b/>
        </w:rPr>
        <w:t xml:space="preserve"> (b</w:t>
      </w:r>
      <w:r w:rsidRPr="002601D7">
        <w:rPr>
          <w:rFonts w:ascii="Arial" w:eastAsia="Calibri" w:hAnsi="Arial" w:cs="Arial"/>
          <w:b/>
        </w:rPr>
        <w:t>)</w:t>
      </w:r>
      <w:r w:rsidRPr="00953FB6">
        <w:rPr>
          <w:rFonts w:ascii="Arial" w:eastAsia="Calibri" w:hAnsi="Arial" w:cs="Arial"/>
        </w:rPr>
        <w:t xml:space="preserve"> </w:t>
      </w:r>
      <w:r w:rsidR="00953FB6" w:rsidRPr="00953FB6">
        <w:rPr>
          <w:rFonts w:ascii="Arial" w:eastAsia="Calibri" w:hAnsi="Arial" w:cs="Arial"/>
        </w:rPr>
        <w:t>A autorização à diretoria da Companhia para</w:t>
      </w:r>
      <w:r w:rsidR="00953FB6">
        <w:rPr>
          <w:rFonts w:ascii="Arial" w:eastAsia="Calibri" w:hAnsi="Arial" w:cs="Arial"/>
          <w:b/>
        </w:rPr>
        <w:t xml:space="preserve"> </w:t>
      </w:r>
      <w:r w:rsidR="00953FB6" w:rsidRPr="00953FB6">
        <w:rPr>
          <w:rFonts w:ascii="Arial" w:eastAsia="Calibri" w:hAnsi="Arial" w:cs="Arial"/>
          <w:i/>
        </w:rPr>
        <w:t>(i)</w:t>
      </w:r>
      <w:r w:rsidR="00953FB6" w:rsidRPr="00953FB6">
        <w:rPr>
          <w:rFonts w:ascii="Arial" w:eastAsia="Calibri" w:hAnsi="Arial" w:cs="Arial"/>
        </w:rPr>
        <w:t xml:space="preserve"> celebrar todos os documentos e seus eventuais aditamentos e praticar todos os atos necessários à realização da Emissão e da Oferta</w:t>
      </w:r>
      <w:r w:rsidR="00953FB6">
        <w:rPr>
          <w:rFonts w:ascii="Arial" w:eastAsia="Calibri" w:hAnsi="Arial" w:cs="Arial"/>
        </w:rPr>
        <w:t xml:space="preserve"> Restrita</w:t>
      </w:r>
      <w:r w:rsidR="00953FB6" w:rsidRPr="00953FB6">
        <w:rPr>
          <w:rFonts w:ascii="Arial" w:eastAsia="Calibri" w:hAnsi="Arial" w:cs="Arial"/>
        </w:rPr>
        <w:t xml:space="preserve">, incluindo a celebração </w:t>
      </w:r>
      <w:r w:rsidR="00953FB6">
        <w:rPr>
          <w:rFonts w:ascii="Arial" w:eastAsia="Calibri" w:hAnsi="Arial" w:cs="Arial"/>
        </w:rPr>
        <w:t>da Escritura</w:t>
      </w:r>
      <w:r w:rsidR="00953FB6" w:rsidRPr="00953FB6">
        <w:rPr>
          <w:rFonts w:ascii="Arial" w:eastAsia="Calibri" w:hAnsi="Arial" w:cs="Arial"/>
        </w:rPr>
        <w:t xml:space="preserve"> de Emissão, do </w:t>
      </w:r>
      <w:r w:rsidR="00D454F7">
        <w:rPr>
          <w:rFonts w:ascii="Arial" w:eastAsia="Calibri" w:hAnsi="Arial" w:cs="Arial"/>
        </w:rPr>
        <w:t>c</w:t>
      </w:r>
      <w:r w:rsidR="00953FB6" w:rsidRPr="00953FB6">
        <w:rPr>
          <w:rFonts w:ascii="Arial" w:eastAsia="Calibri" w:hAnsi="Arial" w:cs="Arial"/>
        </w:rPr>
        <w:t xml:space="preserve">ontrato de </w:t>
      </w:r>
      <w:r w:rsidR="00D454F7">
        <w:rPr>
          <w:rFonts w:ascii="Arial" w:eastAsia="Calibri" w:hAnsi="Arial" w:cs="Arial"/>
        </w:rPr>
        <w:t>d</w:t>
      </w:r>
      <w:r w:rsidR="00953FB6" w:rsidRPr="00953FB6">
        <w:rPr>
          <w:rFonts w:ascii="Arial" w:eastAsia="Calibri" w:hAnsi="Arial" w:cs="Arial"/>
        </w:rPr>
        <w:t xml:space="preserve">istribuição e de quaisquer outros instrumentos ou documentos relacionados às </w:t>
      </w:r>
      <w:r w:rsidR="00953FB6">
        <w:rPr>
          <w:rFonts w:ascii="Arial" w:eastAsia="Calibri" w:hAnsi="Arial" w:cs="Arial"/>
        </w:rPr>
        <w:t>Debêntures</w:t>
      </w:r>
      <w:r w:rsidR="00953FB6" w:rsidRPr="00953FB6">
        <w:rPr>
          <w:rFonts w:ascii="Arial" w:eastAsia="Calibri" w:hAnsi="Arial" w:cs="Arial"/>
        </w:rPr>
        <w:t xml:space="preserve"> e os eventuais respectivos aditamentos</w:t>
      </w:r>
      <w:r w:rsidR="00953FB6">
        <w:rPr>
          <w:rFonts w:ascii="Arial" w:eastAsia="Calibri" w:hAnsi="Arial" w:cs="Arial"/>
        </w:rPr>
        <w:t xml:space="preserve"> e</w:t>
      </w:r>
      <w:r w:rsidR="00953FB6" w:rsidRPr="00953FB6">
        <w:rPr>
          <w:rFonts w:ascii="Arial" w:eastAsia="Calibri" w:hAnsi="Arial" w:cs="Arial"/>
        </w:rPr>
        <w:t xml:space="preserve">; </w:t>
      </w:r>
      <w:r w:rsidR="00953FB6" w:rsidRPr="00953FB6">
        <w:rPr>
          <w:rFonts w:ascii="Arial" w:eastAsia="Calibri" w:hAnsi="Arial" w:cs="Arial"/>
          <w:i/>
        </w:rPr>
        <w:t>(ii)</w:t>
      </w:r>
      <w:r w:rsidR="00953FB6" w:rsidRPr="00953FB6">
        <w:rPr>
          <w:rFonts w:ascii="Arial" w:eastAsia="Calibri" w:hAnsi="Arial" w:cs="Arial"/>
        </w:rPr>
        <w:t xml:space="preserve"> contratar </w:t>
      </w:r>
      <w:r w:rsidR="00953FB6" w:rsidRPr="00953FB6">
        <w:rPr>
          <w:rFonts w:ascii="Arial" w:eastAsia="Calibri" w:hAnsi="Arial" w:cs="Arial"/>
          <w:i/>
        </w:rPr>
        <w:t>(ii).(a)</w:t>
      </w:r>
      <w:r w:rsidR="00953FB6" w:rsidRPr="00953FB6">
        <w:rPr>
          <w:rFonts w:ascii="Arial" w:eastAsia="Calibri" w:hAnsi="Arial" w:cs="Arial"/>
        </w:rPr>
        <w:t xml:space="preserve"> o</w:t>
      </w:r>
      <w:r w:rsidR="00953FB6">
        <w:rPr>
          <w:rFonts w:ascii="Arial" w:eastAsia="Calibri" w:hAnsi="Arial" w:cs="Arial"/>
        </w:rPr>
        <w:t xml:space="preserve"> </w:t>
      </w:r>
      <w:r w:rsidR="00953FB6" w:rsidRPr="00953FB6">
        <w:rPr>
          <w:rFonts w:ascii="Arial" w:eastAsia="Calibri" w:hAnsi="Arial" w:cs="Arial"/>
        </w:rPr>
        <w:t>Coordenador</w:t>
      </w:r>
      <w:r w:rsidR="00CF5235">
        <w:rPr>
          <w:rFonts w:ascii="Arial" w:eastAsia="Calibri" w:hAnsi="Arial" w:cs="Arial"/>
        </w:rPr>
        <w:t xml:space="preserve"> Líder</w:t>
      </w:r>
      <w:r w:rsidR="00953FB6" w:rsidRPr="00953FB6">
        <w:rPr>
          <w:rFonts w:ascii="Arial" w:eastAsia="Calibri" w:hAnsi="Arial" w:cs="Arial"/>
        </w:rPr>
        <w:t xml:space="preserve"> </w:t>
      </w:r>
      <w:r w:rsidR="00953FB6" w:rsidRPr="00953FB6">
        <w:rPr>
          <w:rFonts w:ascii="Arial" w:eastAsia="Calibri" w:hAnsi="Arial" w:cs="Arial"/>
          <w:i/>
        </w:rPr>
        <w:t>(ii).(b</w:t>
      </w:r>
      <w:r w:rsidR="00953FB6" w:rsidRPr="00953FB6">
        <w:rPr>
          <w:rFonts w:ascii="Arial" w:eastAsia="Calibri" w:hAnsi="Arial" w:cs="Arial"/>
        </w:rPr>
        <w:t>) os demais prestadores de serviços para a Emissão e a Oferta</w:t>
      </w:r>
      <w:r w:rsidR="00953FB6">
        <w:rPr>
          <w:rFonts w:ascii="Arial" w:eastAsia="Calibri" w:hAnsi="Arial" w:cs="Arial"/>
        </w:rPr>
        <w:t xml:space="preserve"> Restrita, incluindo o a</w:t>
      </w:r>
      <w:r w:rsidR="00953FB6" w:rsidRPr="00953FB6">
        <w:rPr>
          <w:rFonts w:ascii="Arial" w:eastAsia="Calibri" w:hAnsi="Arial" w:cs="Arial"/>
        </w:rPr>
        <w:t>gente</w:t>
      </w:r>
      <w:r w:rsidR="00953FB6">
        <w:rPr>
          <w:rFonts w:ascii="Arial" w:eastAsia="Calibri" w:hAnsi="Arial" w:cs="Arial"/>
        </w:rPr>
        <w:t xml:space="preserve"> fiduciário</w:t>
      </w:r>
      <w:r w:rsidR="00953FB6" w:rsidRPr="00953FB6">
        <w:rPr>
          <w:rFonts w:ascii="Arial" w:eastAsia="Calibri" w:hAnsi="Arial" w:cs="Arial"/>
        </w:rPr>
        <w:t xml:space="preserve"> e os assessores legais, podendo, para tanto, negociar e assinar os respectivos contratos e fixar-lhes os honorários. </w:t>
      </w:r>
    </w:p>
    <w:p w14:paraId="05D5B34D" w14:textId="77777777" w:rsidR="00953FB6" w:rsidRDefault="00953FB6" w:rsidP="00155B60">
      <w:pPr>
        <w:pStyle w:val="NormalWeb"/>
        <w:spacing w:after="0" w:line="320" w:lineRule="exact"/>
        <w:ind w:left="187"/>
        <w:jc w:val="both"/>
        <w:rPr>
          <w:rFonts w:ascii="Arial" w:eastAsia="Calibri" w:hAnsi="Arial" w:cs="Arial"/>
        </w:rPr>
      </w:pPr>
      <w:r w:rsidRPr="002601D7">
        <w:rPr>
          <w:rFonts w:ascii="Arial" w:eastAsia="Calibri" w:hAnsi="Arial" w:cs="Arial"/>
          <w:b/>
        </w:rPr>
        <w:t>5.</w:t>
      </w:r>
      <w:r>
        <w:rPr>
          <w:rFonts w:ascii="Arial" w:eastAsia="Calibri" w:hAnsi="Arial" w:cs="Arial"/>
          <w:b/>
        </w:rPr>
        <w:t xml:space="preserve"> (c</w:t>
      </w:r>
      <w:r w:rsidRPr="002601D7">
        <w:rPr>
          <w:rFonts w:ascii="Arial" w:eastAsia="Calibri" w:hAnsi="Arial" w:cs="Arial"/>
          <w:b/>
        </w:rPr>
        <w:t>)</w:t>
      </w:r>
      <w:r>
        <w:rPr>
          <w:rFonts w:ascii="Arial" w:eastAsia="Calibri" w:hAnsi="Arial" w:cs="Arial"/>
        </w:rPr>
        <w:t xml:space="preserve"> </w:t>
      </w:r>
      <w:r w:rsidRPr="00953FB6">
        <w:rPr>
          <w:rFonts w:ascii="Arial" w:eastAsia="Calibri" w:hAnsi="Arial" w:cs="Arial"/>
        </w:rPr>
        <w:t xml:space="preserve">A ratificação de todos os atos já praticados relacionados às deliberações acima. </w:t>
      </w:r>
    </w:p>
    <w:p w14:paraId="103E55F8" w14:textId="77777777" w:rsidR="00C11597" w:rsidRDefault="00B11CBF" w:rsidP="00155B60">
      <w:pPr>
        <w:pStyle w:val="NormalWeb"/>
        <w:spacing w:after="0" w:line="320" w:lineRule="exact"/>
        <w:ind w:left="187"/>
        <w:jc w:val="both"/>
        <w:rPr>
          <w:rFonts w:ascii="Arial" w:eastAsia="Calibri" w:hAnsi="Arial" w:cs="Arial"/>
        </w:rPr>
      </w:pPr>
      <w:r w:rsidRPr="002601D7">
        <w:rPr>
          <w:rFonts w:ascii="Arial" w:hAnsi="Arial" w:cs="Arial"/>
          <w:b/>
          <w:bCs/>
          <w:u w:val="single"/>
        </w:rPr>
        <w:t>Encerramento</w:t>
      </w:r>
      <w:r w:rsidRPr="002601D7">
        <w:rPr>
          <w:rFonts w:ascii="Arial" w:hAnsi="Arial" w:cs="Arial"/>
          <w:b/>
          <w:bCs/>
        </w:rPr>
        <w:t xml:space="preserve">: </w:t>
      </w:r>
      <w:r w:rsidRPr="002601D7">
        <w:rPr>
          <w:rFonts w:ascii="Arial" w:hAnsi="Arial" w:cs="Arial"/>
          <w:bCs/>
        </w:rPr>
        <w:t xml:space="preserve">Nada mais havendo a tratar, o Senhor Presidente </w:t>
      </w:r>
      <w:r w:rsidRPr="002601D7">
        <w:rPr>
          <w:rFonts w:ascii="Arial" w:eastAsia="Calibri" w:hAnsi="Arial" w:cs="Arial"/>
        </w:rPr>
        <w:t xml:space="preserve">ofereceu a palavra a quem dela quisesse fazer uso e como ninguém se manifestou, declarou suspensos os trabalhos pelo tempo necessário à lavratura desta ata, que após lida e aprovada pela totalidade dos </w:t>
      </w:r>
      <w:r w:rsidR="00953FB6">
        <w:rPr>
          <w:rFonts w:ascii="Arial" w:eastAsia="Calibri" w:hAnsi="Arial" w:cs="Arial"/>
        </w:rPr>
        <w:t>Conselheiros</w:t>
      </w:r>
      <w:r w:rsidRPr="002601D7">
        <w:rPr>
          <w:rFonts w:ascii="Arial" w:eastAsia="Calibri" w:hAnsi="Arial" w:cs="Arial"/>
        </w:rPr>
        <w:t xml:space="preserve">, foi assinada por mim Secretário, pelo Presidente e pelos </w:t>
      </w:r>
      <w:r w:rsidR="00953FB6">
        <w:rPr>
          <w:rFonts w:ascii="Arial" w:eastAsia="Calibri" w:hAnsi="Arial" w:cs="Arial"/>
        </w:rPr>
        <w:t>Conselheiros</w:t>
      </w:r>
      <w:r w:rsidRPr="002601D7">
        <w:rPr>
          <w:rFonts w:ascii="Arial" w:eastAsia="Calibri" w:hAnsi="Arial" w:cs="Arial"/>
        </w:rPr>
        <w:t xml:space="preserve"> presentes: </w:t>
      </w:r>
      <w:r w:rsidR="00294F20">
        <w:rPr>
          <w:rFonts w:ascii="Arial" w:eastAsia="Calibri" w:hAnsi="Arial" w:cs="Arial"/>
        </w:rPr>
        <w:t>[</w:t>
      </w:r>
      <w:r w:rsidR="00294F20" w:rsidRPr="00953FB6">
        <w:rPr>
          <w:rFonts w:ascii="Arial" w:eastAsia="Calibri" w:hAnsi="Arial" w:cs="Arial"/>
          <w:highlight w:val="yellow"/>
        </w:rPr>
        <w:t>●</w:t>
      </w:r>
      <w:r w:rsidR="00294F20">
        <w:rPr>
          <w:rFonts w:ascii="Arial" w:eastAsia="Calibri" w:hAnsi="Arial" w:cs="Arial"/>
        </w:rPr>
        <w:t>]</w:t>
      </w:r>
      <w:r w:rsidRPr="002601D7">
        <w:rPr>
          <w:rFonts w:ascii="Arial" w:eastAsia="Calibri" w:hAnsi="Arial" w:cs="Arial"/>
        </w:rPr>
        <w:t>.</w:t>
      </w:r>
    </w:p>
    <w:p w14:paraId="36EB0CC7" w14:textId="585EB15D" w:rsidR="0029508B" w:rsidRPr="002601D7" w:rsidRDefault="00D01223" w:rsidP="00155B60">
      <w:pPr>
        <w:pStyle w:val="NormalWeb"/>
        <w:spacing w:after="0" w:line="320" w:lineRule="exact"/>
        <w:ind w:left="187"/>
        <w:jc w:val="center"/>
        <w:rPr>
          <w:rFonts w:ascii="Arial" w:hAnsi="Arial" w:cs="Arial"/>
        </w:rPr>
      </w:pPr>
      <w:r>
        <w:rPr>
          <w:rFonts w:ascii="Arial" w:hAnsi="Arial" w:cs="Arial"/>
        </w:rPr>
        <w:t>Eldorado do Sul</w:t>
      </w:r>
      <w:r w:rsidR="006705E3" w:rsidRPr="002601D7">
        <w:rPr>
          <w:rFonts w:ascii="Arial" w:hAnsi="Arial" w:cs="Arial"/>
        </w:rPr>
        <w:t xml:space="preserve"> (</w:t>
      </w:r>
      <w:r>
        <w:rPr>
          <w:rFonts w:ascii="Arial" w:hAnsi="Arial" w:cs="Arial"/>
        </w:rPr>
        <w:t>RS</w:t>
      </w:r>
      <w:r w:rsidR="006705E3" w:rsidRPr="002601D7">
        <w:rPr>
          <w:rFonts w:ascii="Arial" w:hAnsi="Arial" w:cs="Arial"/>
        </w:rPr>
        <w:t>)</w:t>
      </w:r>
      <w:r w:rsidR="0029508B" w:rsidRPr="002601D7">
        <w:rPr>
          <w:rFonts w:ascii="Arial" w:hAnsi="Arial" w:cs="Arial"/>
        </w:rPr>
        <w:t xml:space="preserve">, </w:t>
      </w:r>
      <w:r w:rsidR="00FE798B">
        <w:rPr>
          <w:rFonts w:ascii="Arial" w:hAnsi="Arial" w:cs="Arial"/>
        </w:rPr>
        <w:t>12</w:t>
      </w:r>
      <w:r w:rsidR="00FE798B" w:rsidRPr="002601D7">
        <w:rPr>
          <w:rFonts w:ascii="Arial" w:hAnsi="Arial" w:cs="Arial"/>
        </w:rPr>
        <w:t xml:space="preserve"> </w:t>
      </w:r>
      <w:r w:rsidR="00022152" w:rsidRPr="002601D7">
        <w:rPr>
          <w:rFonts w:ascii="Arial" w:hAnsi="Arial" w:cs="Arial"/>
        </w:rPr>
        <w:t xml:space="preserve">de </w:t>
      </w:r>
      <w:r w:rsidR="00FE798B">
        <w:rPr>
          <w:rFonts w:ascii="Arial" w:hAnsi="Arial" w:cs="Arial"/>
        </w:rPr>
        <w:t>abril</w:t>
      </w:r>
      <w:r w:rsidR="00FE798B" w:rsidRPr="002601D7">
        <w:rPr>
          <w:rFonts w:ascii="Arial" w:hAnsi="Arial" w:cs="Arial"/>
        </w:rPr>
        <w:t xml:space="preserve"> </w:t>
      </w:r>
      <w:r w:rsidR="005E4FDD" w:rsidRPr="002601D7">
        <w:rPr>
          <w:rFonts w:ascii="Arial" w:hAnsi="Arial" w:cs="Arial"/>
        </w:rPr>
        <w:t>de</w:t>
      </w:r>
      <w:r w:rsidR="0029508B" w:rsidRPr="002601D7">
        <w:rPr>
          <w:rFonts w:ascii="Arial" w:hAnsi="Arial" w:cs="Arial"/>
        </w:rPr>
        <w:t xml:space="preserve"> 201</w:t>
      </w:r>
      <w:r w:rsidR="00CD611C">
        <w:rPr>
          <w:rFonts w:ascii="Arial" w:hAnsi="Arial" w:cs="Arial"/>
        </w:rPr>
        <w:t>9</w:t>
      </w:r>
      <w:r w:rsidR="00460F87" w:rsidRPr="002601D7">
        <w:rPr>
          <w:rFonts w:ascii="Arial" w:hAnsi="Arial" w:cs="Arial"/>
        </w:rPr>
        <w:t>.</w:t>
      </w:r>
    </w:p>
    <w:p w14:paraId="7255FD0A" w14:textId="77777777" w:rsidR="00C42F52" w:rsidRDefault="00C42F52" w:rsidP="00155B60">
      <w:pPr>
        <w:pStyle w:val="NormalWeb"/>
        <w:spacing w:before="0" w:beforeAutospacing="0" w:after="0" w:afterAutospacing="0" w:line="320" w:lineRule="exact"/>
        <w:jc w:val="center"/>
        <w:rPr>
          <w:rFonts w:ascii="Arial" w:hAnsi="Arial" w:cs="Arial"/>
          <w:b/>
        </w:rPr>
      </w:pPr>
    </w:p>
    <w:p w14:paraId="6B125FF8" w14:textId="77777777" w:rsidR="00C11597" w:rsidRPr="002601D7" w:rsidRDefault="00C11597" w:rsidP="00155B60">
      <w:pPr>
        <w:pStyle w:val="NormalWeb"/>
        <w:spacing w:before="0" w:beforeAutospacing="0" w:after="0" w:afterAutospacing="0" w:line="320" w:lineRule="exact"/>
        <w:jc w:val="center"/>
        <w:rPr>
          <w:rFonts w:ascii="Arial" w:hAnsi="Arial" w:cs="Arial"/>
          <w:b/>
        </w:rPr>
      </w:pPr>
    </w:p>
    <w:tbl>
      <w:tblPr>
        <w:tblStyle w:val="TableNormal1"/>
        <w:tblW w:w="871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10"/>
        <w:gridCol w:w="293"/>
        <w:gridCol w:w="4212"/>
      </w:tblGrid>
      <w:tr w:rsidR="000B1E38" w:rsidRPr="002601D7" w14:paraId="76FD6093" w14:textId="77777777" w:rsidTr="00C11597">
        <w:trPr>
          <w:trHeight w:val="845"/>
          <w:jc w:val="center"/>
        </w:trPr>
        <w:tc>
          <w:tcPr>
            <w:tcW w:w="4210" w:type="dxa"/>
            <w:tcBorders>
              <w:top w:val="single" w:sz="4" w:space="0" w:color="000000"/>
              <w:left w:val="nil"/>
              <w:bottom w:val="nil"/>
              <w:right w:val="nil"/>
            </w:tcBorders>
            <w:tcMar>
              <w:top w:w="80" w:type="dxa"/>
              <w:left w:w="80" w:type="dxa"/>
              <w:bottom w:w="80" w:type="dxa"/>
              <w:right w:w="80" w:type="dxa"/>
            </w:tcMar>
            <w:hideMark/>
          </w:tcPr>
          <w:p w14:paraId="62A6F1A0" w14:textId="1DFAC9F3" w:rsidR="000B1E38" w:rsidRPr="002601D7" w:rsidRDefault="00CD611C" w:rsidP="00155B60">
            <w:pPr>
              <w:pStyle w:val="BodyA"/>
              <w:spacing w:line="320" w:lineRule="exact"/>
              <w:jc w:val="center"/>
              <w:rPr>
                <w:rFonts w:ascii="Arial" w:hAnsi="Arial" w:cs="Arial"/>
                <w:b/>
                <w:bCs/>
                <w:color w:val="auto"/>
                <w:lang w:val="pt-BR"/>
              </w:rPr>
            </w:pPr>
            <w:r>
              <w:rPr>
                <w:rFonts w:ascii="Arial" w:hAnsi="Arial" w:cs="Arial"/>
                <w:bCs/>
                <w:color w:val="auto"/>
                <w:lang w:val="pt-BR"/>
              </w:rPr>
              <w:t>[</w:t>
            </w:r>
            <w:r w:rsidRPr="00D01223">
              <w:rPr>
                <w:rFonts w:ascii="Arial" w:hAnsi="Arial" w:cs="Arial"/>
                <w:bCs/>
                <w:color w:val="auto"/>
                <w:highlight w:val="yellow"/>
                <w:lang w:val="pt-BR"/>
              </w:rPr>
              <w:t>●</w:t>
            </w:r>
            <w:r>
              <w:rPr>
                <w:rFonts w:ascii="Arial" w:hAnsi="Arial" w:cs="Arial"/>
                <w:bCs/>
                <w:color w:val="auto"/>
                <w:lang w:val="pt-BR"/>
              </w:rPr>
              <w:t>]</w:t>
            </w:r>
            <w:r w:rsidR="000B1E38" w:rsidRPr="002601D7">
              <w:rPr>
                <w:rFonts w:ascii="Arial" w:hAnsi="Arial" w:cs="Arial"/>
                <w:b/>
                <w:bCs/>
                <w:color w:val="auto"/>
                <w:lang w:val="pt-BR"/>
              </w:rPr>
              <w:t xml:space="preserve"> </w:t>
            </w:r>
          </w:p>
          <w:p w14:paraId="399066BC" w14:textId="77777777" w:rsidR="000B1E38" w:rsidRPr="002601D7" w:rsidRDefault="000B1E38" w:rsidP="00155B60">
            <w:pPr>
              <w:pStyle w:val="BodyA"/>
              <w:spacing w:line="320" w:lineRule="exact"/>
              <w:jc w:val="center"/>
              <w:rPr>
                <w:rFonts w:ascii="Arial" w:hAnsi="Arial" w:cs="Arial"/>
                <w:color w:val="auto"/>
                <w:lang w:val="pt-BR"/>
              </w:rPr>
            </w:pPr>
            <w:r w:rsidRPr="002601D7">
              <w:rPr>
                <w:rFonts w:ascii="Arial" w:eastAsia="Calibri" w:hAnsi="Arial" w:cs="Arial"/>
                <w:color w:val="auto"/>
                <w:lang w:val="pt-BR"/>
              </w:rPr>
              <w:t>Presidente</w:t>
            </w:r>
          </w:p>
        </w:tc>
        <w:tc>
          <w:tcPr>
            <w:tcW w:w="293" w:type="dxa"/>
            <w:tcBorders>
              <w:top w:val="nil"/>
              <w:left w:val="nil"/>
              <w:bottom w:val="nil"/>
              <w:right w:val="nil"/>
            </w:tcBorders>
            <w:tcMar>
              <w:top w:w="80" w:type="dxa"/>
              <w:left w:w="80" w:type="dxa"/>
              <w:bottom w:w="80" w:type="dxa"/>
              <w:right w:w="80" w:type="dxa"/>
            </w:tcMar>
          </w:tcPr>
          <w:p w14:paraId="73C20B71" w14:textId="77777777" w:rsidR="000B1E38" w:rsidRPr="002601D7" w:rsidRDefault="000B1E38" w:rsidP="00155B60">
            <w:pPr>
              <w:spacing w:line="320" w:lineRule="exact"/>
              <w:rPr>
                <w:rFonts w:ascii="Arial" w:hAnsi="Arial" w:cs="Arial"/>
                <w:bdr w:val="none" w:sz="0" w:space="0" w:color="auto" w:frame="1"/>
                <w:lang w:eastAsia="pt-BR"/>
              </w:rPr>
            </w:pPr>
          </w:p>
        </w:tc>
        <w:tc>
          <w:tcPr>
            <w:tcW w:w="4212" w:type="dxa"/>
            <w:tcBorders>
              <w:top w:val="single" w:sz="4" w:space="0" w:color="000000"/>
              <w:left w:val="nil"/>
              <w:bottom w:val="nil"/>
              <w:right w:val="nil"/>
            </w:tcBorders>
            <w:tcMar>
              <w:top w:w="80" w:type="dxa"/>
              <w:left w:w="80" w:type="dxa"/>
              <w:bottom w:w="80" w:type="dxa"/>
              <w:right w:w="80" w:type="dxa"/>
            </w:tcMar>
            <w:hideMark/>
          </w:tcPr>
          <w:p w14:paraId="441D178B" w14:textId="77777777" w:rsidR="00D01223" w:rsidRPr="002601D7" w:rsidRDefault="00D01223" w:rsidP="00155B60">
            <w:pPr>
              <w:pStyle w:val="BodyA"/>
              <w:spacing w:line="320" w:lineRule="exact"/>
              <w:jc w:val="center"/>
              <w:rPr>
                <w:rFonts w:ascii="Arial" w:hAnsi="Arial" w:cs="Arial"/>
                <w:b/>
                <w:bCs/>
                <w:color w:val="auto"/>
                <w:lang w:val="pt-BR"/>
              </w:rPr>
            </w:pPr>
            <w:r>
              <w:rPr>
                <w:rFonts w:ascii="Arial" w:hAnsi="Arial" w:cs="Arial"/>
                <w:bCs/>
                <w:color w:val="auto"/>
                <w:lang w:val="pt-BR"/>
              </w:rPr>
              <w:t>[</w:t>
            </w:r>
            <w:r w:rsidRPr="00D01223">
              <w:rPr>
                <w:rFonts w:ascii="Arial" w:hAnsi="Arial" w:cs="Arial"/>
                <w:bCs/>
                <w:color w:val="auto"/>
                <w:highlight w:val="yellow"/>
                <w:lang w:val="pt-BR"/>
              </w:rPr>
              <w:t>●</w:t>
            </w:r>
            <w:r>
              <w:rPr>
                <w:rFonts w:ascii="Arial" w:hAnsi="Arial" w:cs="Arial"/>
                <w:bCs/>
                <w:color w:val="auto"/>
                <w:lang w:val="pt-BR"/>
              </w:rPr>
              <w:t>]</w:t>
            </w:r>
            <w:r w:rsidRPr="002601D7">
              <w:rPr>
                <w:rFonts w:ascii="Arial" w:hAnsi="Arial" w:cs="Arial"/>
                <w:b/>
                <w:bCs/>
                <w:color w:val="auto"/>
                <w:lang w:val="pt-BR"/>
              </w:rPr>
              <w:t xml:space="preserve"> </w:t>
            </w:r>
          </w:p>
          <w:p w14:paraId="3F493830" w14:textId="77777777" w:rsidR="000B1E38" w:rsidRPr="002601D7" w:rsidRDefault="000B1E38" w:rsidP="00155B60">
            <w:pPr>
              <w:pStyle w:val="BodyA"/>
              <w:spacing w:line="320" w:lineRule="exact"/>
              <w:jc w:val="center"/>
              <w:rPr>
                <w:rFonts w:ascii="Arial" w:hAnsi="Arial" w:cs="Arial"/>
                <w:color w:val="auto"/>
                <w:lang w:val="pt-BR"/>
              </w:rPr>
            </w:pPr>
            <w:r w:rsidRPr="002601D7">
              <w:rPr>
                <w:rFonts w:ascii="Arial" w:eastAsia="Calibri" w:hAnsi="Arial" w:cs="Arial"/>
                <w:color w:val="auto"/>
                <w:lang w:val="pt-BR"/>
              </w:rPr>
              <w:t>Secretário</w:t>
            </w:r>
          </w:p>
        </w:tc>
      </w:tr>
    </w:tbl>
    <w:p w14:paraId="4C90F0CF" w14:textId="77777777" w:rsidR="00C42F52" w:rsidRPr="002601D7" w:rsidRDefault="00C42F52" w:rsidP="00155B60">
      <w:pPr>
        <w:pStyle w:val="BodyA"/>
        <w:widowControl w:val="0"/>
        <w:spacing w:line="320" w:lineRule="exact"/>
        <w:jc w:val="center"/>
        <w:rPr>
          <w:rFonts w:ascii="Arial" w:eastAsia="Calibri" w:hAnsi="Arial" w:cs="Arial"/>
          <w:color w:val="auto"/>
          <w:lang w:val="pt-BR"/>
        </w:rPr>
      </w:pPr>
    </w:p>
    <w:sectPr w:rsidR="00C42F52" w:rsidRPr="002601D7" w:rsidSect="00AC0D64">
      <w:headerReference w:type="default" r:id="rId7"/>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8A01C" w14:textId="77777777" w:rsidR="001B0507" w:rsidRDefault="001B0507" w:rsidP="00132692">
      <w:pPr>
        <w:spacing w:after="0" w:line="240" w:lineRule="auto"/>
      </w:pPr>
      <w:r>
        <w:separator/>
      </w:r>
    </w:p>
  </w:endnote>
  <w:endnote w:type="continuationSeparator" w:id="0">
    <w:p w14:paraId="13E40F2D" w14:textId="77777777" w:rsidR="001B0507" w:rsidRDefault="001B0507" w:rsidP="00132692">
      <w:pPr>
        <w:spacing w:after="0" w:line="240" w:lineRule="auto"/>
      </w:pPr>
      <w:r>
        <w:continuationSeparator/>
      </w:r>
    </w:p>
  </w:endnote>
  <w:endnote w:type="continuationNotice" w:id="1">
    <w:p w14:paraId="0344B765" w14:textId="77777777" w:rsidR="001B0507" w:rsidRDefault="001B0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4A868" w14:textId="77777777" w:rsidR="003B4589" w:rsidRDefault="003B4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D69C8" w14:textId="77777777" w:rsidR="001B0507" w:rsidRDefault="001B0507" w:rsidP="00132692">
      <w:pPr>
        <w:spacing w:after="0" w:line="240" w:lineRule="auto"/>
      </w:pPr>
      <w:r>
        <w:separator/>
      </w:r>
    </w:p>
  </w:footnote>
  <w:footnote w:type="continuationSeparator" w:id="0">
    <w:p w14:paraId="3194B3D9" w14:textId="77777777" w:rsidR="001B0507" w:rsidRDefault="001B0507" w:rsidP="00132692">
      <w:pPr>
        <w:spacing w:after="0" w:line="240" w:lineRule="auto"/>
      </w:pPr>
      <w:r>
        <w:continuationSeparator/>
      </w:r>
    </w:p>
  </w:footnote>
  <w:footnote w:type="continuationNotice" w:id="1">
    <w:p w14:paraId="782A186A" w14:textId="77777777" w:rsidR="001B0507" w:rsidRDefault="001B0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9F13" w14:textId="77777777" w:rsidR="003B4589" w:rsidRDefault="003B45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440"/>
    <w:multiLevelType w:val="hybridMultilevel"/>
    <w:tmpl w:val="0980E26E"/>
    <w:lvl w:ilvl="0" w:tplc="04160001">
      <w:start w:val="1"/>
      <w:numFmt w:val="bullet"/>
      <w:lvlText w:val=""/>
      <w:lvlJc w:val="left"/>
      <w:pPr>
        <w:ind w:left="907" w:hanging="360"/>
      </w:pPr>
      <w:rPr>
        <w:rFonts w:ascii="Symbol" w:hAnsi="Symbol" w:hint="default"/>
      </w:rPr>
    </w:lvl>
    <w:lvl w:ilvl="1" w:tplc="04160003" w:tentative="1">
      <w:start w:val="1"/>
      <w:numFmt w:val="bullet"/>
      <w:lvlText w:val="o"/>
      <w:lvlJc w:val="left"/>
      <w:pPr>
        <w:ind w:left="1627" w:hanging="360"/>
      </w:pPr>
      <w:rPr>
        <w:rFonts w:ascii="Courier New" w:hAnsi="Courier New" w:cs="Courier New" w:hint="default"/>
      </w:rPr>
    </w:lvl>
    <w:lvl w:ilvl="2" w:tplc="04160005" w:tentative="1">
      <w:start w:val="1"/>
      <w:numFmt w:val="bullet"/>
      <w:lvlText w:val=""/>
      <w:lvlJc w:val="left"/>
      <w:pPr>
        <w:ind w:left="2347" w:hanging="360"/>
      </w:pPr>
      <w:rPr>
        <w:rFonts w:ascii="Wingdings" w:hAnsi="Wingdings" w:hint="default"/>
      </w:rPr>
    </w:lvl>
    <w:lvl w:ilvl="3" w:tplc="04160001" w:tentative="1">
      <w:start w:val="1"/>
      <w:numFmt w:val="bullet"/>
      <w:lvlText w:val=""/>
      <w:lvlJc w:val="left"/>
      <w:pPr>
        <w:ind w:left="3067" w:hanging="360"/>
      </w:pPr>
      <w:rPr>
        <w:rFonts w:ascii="Symbol" w:hAnsi="Symbol" w:hint="default"/>
      </w:rPr>
    </w:lvl>
    <w:lvl w:ilvl="4" w:tplc="04160003" w:tentative="1">
      <w:start w:val="1"/>
      <w:numFmt w:val="bullet"/>
      <w:lvlText w:val="o"/>
      <w:lvlJc w:val="left"/>
      <w:pPr>
        <w:ind w:left="3787" w:hanging="360"/>
      </w:pPr>
      <w:rPr>
        <w:rFonts w:ascii="Courier New" w:hAnsi="Courier New" w:cs="Courier New" w:hint="default"/>
      </w:rPr>
    </w:lvl>
    <w:lvl w:ilvl="5" w:tplc="04160005" w:tentative="1">
      <w:start w:val="1"/>
      <w:numFmt w:val="bullet"/>
      <w:lvlText w:val=""/>
      <w:lvlJc w:val="left"/>
      <w:pPr>
        <w:ind w:left="4507" w:hanging="360"/>
      </w:pPr>
      <w:rPr>
        <w:rFonts w:ascii="Wingdings" w:hAnsi="Wingdings" w:hint="default"/>
      </w:rPr>
    </w:lvl>
    <w:lvl w:ilvl="6" w:tplc="04160001" w:tentative="1">
      <w:start w:val="1"/>
      <w:numFmt w:val="bullet"/>
      <w:lvlText w:val=""/>
      <w:lvlJc w:val="left"/>
      <w:pPr>
        <w:ind w:left="5227" w:hanging="360"/>
      </w:pPr>
      <w:rPr>
        <w:rFonts w:ascii="Symbol" w:hAnsi="Symbol" w:hint="default"/>
      </w:rPr>
    </w:lvl>
    <w:lvl w:ilvl="7" w:tplc="04160003" w:tentative="1">
      <w:start w:val="1"/>
      <w:numFmt w:val="bullet"/>
      <w:lvlText w:val="o"/>
      <w:lvlJc w:val="left"/>
      <w:pPr>
        <w:ind w:left="5947" w:hanging="360"/>
      </w:pPr>
      <w:rPr>
        <w:rFonts w:ascii="Courier New" w:hAnsi="Courier New" w:cs="Courier New" w:hint="default"/>
      </w:rPr>
    </w:lvl>
    <w:lvl w:ilvl="8" w:tplc="04160005" w:tentative="1">
      <w:start w:val="1"/>
      <w:numFmt w:val="bullet"/>
      <w:lvlText w:val=""/>
      <w:lvlJc w:val="left"/>
      <w:pPr>
        <w:ind w:left="6667" w:hanging="360"/>
      </w:pPr>
      <w:rPr>
        <w:rFonts w:ascii="Wingdings" w:hAnsi="Wingdings" w:hint="default"/>
      </w:rPr>
    </w:lvl>
  </w:abstractNum>
  <w:abstractNum w:abstractNumId="1" w15:restartNumberingAfterBreak="0">
    <w:nsid w:val="05C63F98"/>
    <w:multiLevelType w:val="hybridMultilevel"/>
    <w:tmpl w:val="FD52BC4C"/>
    <w:lvl w:ilvl="0" w:tplc="04160019">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2" w15:restartNumberingAfterBreak="0">
    <w:nsid w:val="0F1C5C2C"/>
    <w:multiLevelType w:val="hybridMultilevel"/>
    <w:tmpl w:val="0B3EAECE"/>
    <w:lvl w:ilvl="0" w:tplc="33B4FD9C">
      <w:start w:val="1"/>
      <w:numFmt w:val="lowerRoman"/>
      <w:lvlText w:val="(%1)"/>
      <w:lvlJc w:val="left"/>
      <w:pPr>
        <w:ind w:left="1942" w:hanging="720"/>
      </w:pPr>
      <w:rPr>
        <w:rFonts w:hint="default"/>
      </w:rPr>
    </w:lvl>
    <w:lvl w:ilvl="1" w:tplc="04160019" w:tentative="1">
      <w:start w:val="1"/>
      <w:numFmt w:val="lowerLetter"/>
      <w:lvlText w:val="%2."/>
      <w:lvlJc w:val="left"/>
      <w:pPr>
        <w:ind w:left="2302" w:hanging="360"/>
      </w:pPr>
    </w:lvl>
    <w:lvl w:ilvl="2" w:tplc="0416001B" w:tentative="1">
      <w:start w:val="1"/>
      <w:numFmt w:val="lowerRoman"/>
      <w:lvlText w:val="%3."/>
      <w:lvlJc w:val="right"/>
      <w:pPr>
        <w:ind w:left="3022" w:hanging="180"/>
      </w:pPr>
    </w:lvl>
    <w:lvl w:ilvl="3" w:tplc="0416000F" w:tentative="1">
      <w:start w:val="1"/>
      <w:numFmt w:val="decimal"/>
      <w:lvlText w:val="%4."/>
      <w:lvlJc w:val="left"/>
      <w:pPr>
        <w:ind w:left="3742" w:hanging="360"/>
      </w:pPr>
    </w:lvl>
    <w:lvl w:ilvl="4" w:tplc="04160019" w:tentative="1">
      <w:start w:val="1"/>
      <w:numFmt w:val="lowerLetter"/>
      <w:lvlText w:val="%5."/>
      <w:lvlJc w:val="left"/>
      <w:pPr>
        <w:ind w:left="4462" w:hanging="360"/>
      </w:pPr>
    </w:lvl>
    <w:lvl w:ilvl="5" w:tplc="0416001B" w:tentative="1">
      <w:start w:val="1"/>
      <w:numFmt w:val="lowerRoman"/>
      <w:lvlText w:val="%6."/>
      <w:lvlJc w:val="right"/>
      <w:pPr>
        <w:ind w:left="5182" w:hanging="180"/>
      </w:pPr>
    </w:lvl>
    <w:lvl w:ilvl="6" w:tplc="0416000F" w:tentative="1">
      <w:start w:val="1"/>
      <w:numFmt w:val="decimal"/>
      <w:lvlText w:val="%7."/>
      <w:lvlJc w:val="left"/>
      <w:pPr>
        <w:ind w:left="5902" w:hanging="360"/>
      </w:pPr>
    </w:lvl>
    <w:lvl w:ilvl="7" w:tplc="04160019" w:tentative="1">
      <w:start w:val="1"/>
      <w:numFmt w:val="lowerLetter"/>
      <w:lvlText w:val="%8."/>
      <w:lvlJc w:val="left"/>
      <w:pPr>
        <w:ind w:left="6622" w:hanging="360"/>
      </w:pPr>
    </w:lvl>
    <w:lvl w:ilvl="8" w:tplc="0416001B" w:tentative="1">
      <w:start w:val="1"/>
      <w:numFmt w:val="lowerRoman"/>
      <w:lvlText w:val="%9."/>
      <w:lvlJc w:val="right"/>
      <w:pPr>
        <w:ind w:left="7342" w:hanging="180"/>
      </w:pPr>
    </w:lvl>
  </w:abstractNum>
  <w:abstractNum w:abstractNumId="3" w15:restartNumberingAfterBreak="0">
    <w:nsid w:val="12B97AB8"/>
    <w:multiLevelType w:val="hybridMultilevel"/>
    <w:tmpl w:val="5CF6D120"/>
    <w:lvl w:ilvl="0" w:tplc="5F00049A">
      <w:start w:val="1"/>
      <w:numFmt w:val="lowerLetter"/>
      <w:lvlText w:val="%1)"/>
      <w:lvlJc w:val="left"/>
      <w:pPr>
        <w:ind w:left="720" w:hanging="360"/>
      </w:pPr>
      <w:rPr>
        <w:rFonts w:ascii="Arial" w:hAnsi="Arial" w:cs="Arial"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AF6692"/>
    <w:multiLevelType w:val="hybridMultilevel"/>
    <w:tmpl w:val="67E680D6"/>
    <w:lvl w:ilvl="0" w:tplc="8F74E980">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72058D5"/>
    <w:multiLevelType w:val="hybridMultilevel"/>
    <w:tmpl w:val="D21041BC"/>
    <w:lvl w:ilvl="0" w:tplc="3C726D2C">
      <w:start w:val="1"/>
      <w:numFmt w:val="decimal"/>
      <w:lvlText w:val="%1."/>
      <w:lvlJc w:val="left"/>
      <w:pPr>
        <w:ind w:left="502" w:hanging="36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6" w15:restartNumberingAfterBreak="0">
    <w:nsid w:val="180E147A"/>
    <w:multiLevelType w:val="hybridMultilevel"/>
    <w:tmpl w:val="6E32F70C"/>
    <w:lvl w:ilvl="0" w:tplc="10668BC4">
      <w:start w:val="1"/>
      <w:numFmt w:val="decimal"/>
      <w:lvlText w:val="%1."/>
      <w:lvlJc w:val="left"/>
      <w:pPr>
        <w:ind w:left="360" w:hanging="360"/>
      </w:pPr>
      <w:rPr>
        <w:rFonts w:ascii="Arial" w:eastAsia="Times New Roman" w:hAnsi="Arial" w:cs="Arial"/>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15:restartNumberingAfterBreak="0">
    <w:nsid w:val="18202E10"/>
    <w:multiLevelType w:val="hybridMultilevel"/>
    <w:tmpl w:val="3E4AF34E"/>
    <w:lvl w:ilvl="0" w:tplc="1C8EE83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83A1349"/>
    <w:multiLevelType w:val="hybridMultilevel"/>
    <w:tmpl w:val="0B2E4F00"/>
    <w:lvl w:ilvl="0" w:tplc="0956763E">
      <w:start w:val="1"/>
      <w:numFmt w:val="lowerLetter"/>
      <w:lvlText w:val="%1."/>
      <w:lvlJc w:val="left"/>
      <w:pPr>
        <w:ind w:left="720" w:hanging="360"/>
      </w:pPr>
      <w:rPr>
        <w:rFonts w:ascii="Calibri" w:eastAsia="Calibri" w:hAnsi="Calibri" w:cs="Calibri"/>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8983998"/>
    <w:multiLevelType w:val="hybridMultilevel"/>
    <w:tmpl w:val="97C61C16"/>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0" w15:restartNumberingAfterBreak="0">
    <w:nsid w:val="1F716586"/>
    <w:multiLevelType w:val="multilevel"/>
    <w:tmpl w:val="D14011E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15:restartNumberingAfterBreak="0">
    <w:nsid w:val="21BA1569"/>
    <w:multiLevelType w:val="hybridMultilevel"/>
    <w:tmpl w:val="13564458"/>
    <w:lvl w:ilvl="0" w:tplc="04160019">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2" w15:restartNumberingAfterBreak="0">
    <w:nsid w:val="2422736A"/>
    <w:multiLevelType w:val="hybridMultilevel"/>
    <w:tmpl w:val="F3688A5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5D51408"/>
    <w:multiLevelType w:val="hybridMultilevel"/>
    <w:tmpl w:val="CC1626F4"/>
    <w:lvl w:ilvl="0" w:tplc="59AEBA2C">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276639A9"/>
    <w:multiLevelType w:val="hybridMultilevel"/>
    <w:tmpl w:val="EAECE21E"/>
    <w:lvl w:ilvl="0" w:tplc="01B4CB76">
      <w:start w:val="3"/>
      <w:numFmt w:val="lowerLetter"/>
      <w:lvlText w:val="%1."/>
      <w:lvlJc w:val="left"/>
      <w:pPr>
        <w:ind w:left="1225" w:hanging="360"/>
      </w:pPr>
      <w:rPr>
        <w:rFonts w:hint="default"/>
      </w:rPr>
    </w:lvl>
    <w:lvl w:ilvl="1" w:tplc="04160019" w:tentative="1">
      <w:start w:val="1"/>
      <w:numFmt w:val="lowerLetter"/>
      <w:lvlText w:val="%2."/>
      <w:lvlJc w:val="left"/>
      <w:pPr>
        <w:ind w:left="1945" w:hanging="360"/>
      </w:pPr>
    </w:lvl>
    <w:lvl w:ilvl="2" w:tplc="0416001B" w:tentative="1">
      <w:start w:val="1"/>
      <w:numFmt w:val="lowerRoman"/>
      <w:lvlText w:val="%3."/>
      <w:lvlJc w:val="right"/>
      <w:pPr>
        <w:ind w:left="2665" w:hanging="180"/>
      </w:pPr>
    </w:lvl>
    <w:lvl w:ilvl="3" w:tplc="0416000F" w:tentative="1">
      <w:start w:val="1"/>
      <w:numFmt w:val="decimal"/>
      <w:lvlText w:val="%4."/>
      <w:lvlJc w:val="left"/>
      <w:pPr>
        <w:ind w:left="3385" w:hanging="360"/>
      </w:pPr>
    </w:lvl>
    <w:lvl w:ilvl="4" w:tplc="04160019" w:tentative="1">
      <w:start w:val="1"/>
      <w:numFmt w:val="lowerLetter"/>
      <w:lvlText w:val="%5."/>
      <w:lvlJc w:val="left"/>
      <w:pPr>
        <w:ind w:left="4105" w:hanging="360"/>
      </w:pPr>
    </w:lvl>
    <w:lvl w:ilvl="5" w:tplc="0416001B" w:tentative="1">
      <w:start w:val="1"/>
      <w:numFmt w:val="lowerRoman"/>
      <w:lvlText w:val="%6."/>
      <w:lvlJc w:val="right"/>
      <w:pPr>
        <w:ind w:left="4825" w:hanging="180"/>
      </w:pPr>
    </w:lvl>
    <w:lvl w:ilvl="6" w:tplc="0416000F" w:tentative="1">
      <w:start w:val="1"/>
      <w:numFmt w:val="decimal"/>
      <w:lvlText w:val="%7."/>
      <w:lvlJc w:val="left"/>
      <w:pPr>
        <w:ind w:left="5545" w:hanging="360"/>
      </w:pPr>
    </w:lvl>
    <w:lvl w:ilvl="7" w:tplc="04160019" w:tentative="1">
      <w:start w:val="1"/>
      <w:numFmt w:val="lowerLetter"/>
      <w:lvlText w:val="%8."/>
      <w:lvlJc w:val="left"/>
      <w:pPr>
        <w:ind w:left="6265" w:hanging="360"/>
      </w:pPr>
    </w:lvl>
    <w:lvl w:ilvl="8" w:tplc="0416001B" w:tentative="1">
      <w:start w:val="1"/>
      <w:numFmt w:val="lowerRoman"/>
      <w:lvlText w:val="%9."/>
      <w:lvlJc w:val="right"/>
      <w:pPr>
        <w:ind w:left="6985" w:hanging="180"/>
      </w:pPr>
    </w:lvl>
  </w:abstractNum>
  <w:abstractNum w:abstractNumId="15" w15:restartNumberingAfterBreak="0">
    <w:nsid w:val="289C124D"/>
    <w:multiLevelType w:val="hybridMultilevel"/>
    <w:tmpl w:val="2E943022"/>
    <w:lvl w:ilvl="0" w:tplc="DCC8A346">
      <w:start w:val="1"/>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6" w15:restartNumberingAfterBreak="0">
    <w:nsid w:val="44FF2D40"/>
    <w:multiLevelType w:val="hybridMultilevel"/>
    <w:tmpl w:val="4C64ECE6"/>
    <w:lvl w:ilvl="0" w:tplc="04160019">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7" w15:restartNumberingAfterBreak="0">
    <w:nsid w:val="460164C9"/>
    <w:multiLevelType w:val="hybridMultilevel"/>
    <w:tmpl w:val="5F047F62"/>
    <w:lvl w:ilvl="0" w:tplc="04160001">
      <w:start w:val="1"/>
      <w:numFmt w:val="bullet"/>
      <w:lvlText w:val=""/>
      <w:lvlJc w:val="left"/>
      <w:pPr>
        <w:ind w:left="1717" w:hanging="495"/>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479852AB"/>
    <w:multiLevelType w:val="hybridMultilevel"/>
    <w:tmpl w:val="36304DE6"/>
    <w:lvl w:ilvl="0" w:tplc="2BFE3BB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9730D51"/>
    <w:multiLevelType w:val="hybridMultilevel"/>
    <w:tmpl w:val="21BEE2A2"/>
    <w:lvl w:ilvl="0" w:tplc="04160019">
      <w:start w:val="1"/>
      <w:numFmt w:val="lowerLetter"/>
      <w:lvlText w:val="%1."/>
      <w:lvlJc w:val="left"/>
      <w:pPr>
        <w:ind w:left="122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062E0"/>
    <w:multiLevelType w:val="hybridMultilevel"/>
    <w:tmpl w:val="D494DD2C"/>
    <w:lvl w:ilvl="0" w:tplc="0416000D">
      <w:start w:val="1"/>
      <w:numFmt w:val="bullet"/>
      <w:lvlText w:val=""/>
      <w:lvlJc w:val="left"/>
      <w:pPr>
        <w:ind w:left="720" w:hanging="360"/>
      </w:pPr>
      <w:rPr>
        <w:rFonts w:ascii="Wingdings" w:hAnsi="Wingdings" w:hint="default"/>
      </w:rPr>
    </w:lvl>
    <w:lvl w:ilvl="1" w:tplc="0416000D">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F7054A4"/>
    <w:multiLevelType w:val="hybridMultilevel"/>
    <w:tmpl w:val="2E943022"/>
    <w:lvl w:ilvl="0" w:tplc="DCC8A346">
      <w:start w:val="1"/>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2" w15:restartNumberingAfterBreak="0">
    <w:nsid w:val="523B5548"/>
    <w:multiLevelType w:val="hybridMultilevel"/>
    <w:tmpl w:val="F69EA97A"/>
    <w:lvl w:ilvl="0" w:tplc="04160001">
      <w:start w:val="1"/>
      <w:numFmt w:val="bullet"/>
      <w:lvlText w:val=""/>
      <w:lvlJc w:val="left"/>
      <w:pPr>
        <w:ind w:left="1582" w:hanging="360"/>
      </w:pPr>
      <w:rPr>
        <w:rFonts w:ascii="Symbol" w:hAnsi="Symbol" w:hint="default"/>
      </w:rPr>
    </w:lvl>
    <w:lvl w:ilvl="1" w:tplc="04160003" w:tentative="1">
      <w:start w:val="1"/>
      <w:numFmt w:val="bullet"/>
      <w:lvlText w:val="o"/>
      <w:lvlJc w:val="left"/>
      <w:pPr>
        <w:ind w:left="2302" w:hanging="360"/>
      </w:pPr>
      <w:rPr>
        <w:rFonts w:ascii="Courier New" w:hAnsi="Courier New" w:cs="Courier New" w:hint="default"/>
      </w:rPr>
    </w:lvl>
    <w:lvl w:ilvl="2" w:tplc="04160005" w:tentative="1">
      <w:start w:val="1"/>
      <w:numFmt w:val="bullet"/>
      <w:lvlText w:val=""/>
      <w:lvlJc w:val="left"/>
      <w:pPr>
        <w:ind w:left="3022" w:hanging="360"/>
      </w:pPr>
      <w:rPr>
        <w:rFonts w:ascii="Wingdings" w:hAnsi="Wingdings" w:hint="default"/>
      </w:rPr>
    </w:lvl>
    <w:lvl w:ilvl="3" w:tplc="04160001" w:tentative="1">
      <w:start w:val="1"/>
      <w:numFmt w:val="bullet"/>
      <w:lvlText w:val=""/>
      <w:lvlJc w:val="left"/>
      <w:pPr>
        <w:ind w:left="3742" w:hanging="360"/>
      </w:pPr>
      <w:rPr>
        <w:rFonts w:ascii="Symbol" w:hAnsi="Symbol" w:hint="default"/>
      </w:rPr>
    </w:lvl>
    <w:lvl w:ilvl="4" w:tplc="04160003" w:tentative="1">
      <w:start w:val="1"/>
      <w:numFmt w:val="bullet"/>
      <w:lvlText w:val="o"/>
      <w:lvlJc w:val="left"/>
      <w:pPr>
        <w:ind w:left="4462" w:hanging="360"/>
      </w:pPr>
      <w:rPr>
        <w:rFonts w:ascii="Courier New" w:hAnsi="Courier New" w:cs="Courier New" w:hint="default"/>
      </w:rPr>
    </w:lvl>
    <w:lvl w:ilvl="5" w:tplc="04160005" w:tentative="1">
      <w:start w:val="1"/>
      <w:numFmt w:val="bullet"/>
      <w:lvlText w:val=""/>
      <w:lvlJc w:val="left"/>
      <w:pPr>
        <w:ind w:left="5182" w:hanging="360"/>
      </w:pPr>
      <w:rPr>
        <w:rFonts w:ascii="Wingdings" w:hAnsi="Wingdings" w:hint="default"/>
      </w:rPr>
    </w:lvl>
    <w:lvl w:ilvl="6" w:tplc="04160001" w:tentative="1">
      <w:start w:val="1"/>
      <w:numFmt w:val="bullet"/>
      <w:lvlText w:val=""/>
      <w:lvlJc w:val="left"/>
      <w:pPr>
        <w:ind w:left="5902" w:hanging="360"/>
      </w:pPr>
      <w:rPr>
        <w:rFonts w:ascii="Symbol" w:hAnsi="Symbol" w:hint="default"/>
      </w:rPr>
    </w:lvl>
    <w:lvl w:ilvl="7" w:tplc="04160003" w:tentative="1">
      <w:start w:val="1"/>
      <w:numFmt w:val="bullet"/>
      <w:lvlText w:val="o"/>
      <w:lvlJc w:val="left"/>
      <w:pPr>
        <w:ind w:left="6622" w:hanging="360"/>
      </w:pPr>
      <w:rPr>
        <w:rFonts w:ascii="Courier New" w:hAnsi="Courier New" w:cs="Courier New" w:hint="default"/>
      </w:rPr>
    </w:lvl>
    <w:lvl w:ilvl="8" w:tplc="04160005" w:tentative="1">
      <w:start w:val="1"/>
      <w:numFmt w:val="bullet"/>
      <w:lvlText w:val=""/>
      <w:lvlJc w:val="left"/>
      <w:pPr>
        <w:ind w:left="7342" w:hanging="360"/>
      </w:pPr>
      <w:rPr>
        <w:rFonts w:ascii="Wingdings" w:hAnsi="Wingdings" w:hint="default"/>
      </w:rPr>
    </w:lvl>
  </w:abstractNum>
  <w:abstractNum w:abstractNumId="23" w15:restartNumberingAfterBreak="0">
    <w:nsid w:val="5BC8549A"/>
    <w:multiLevelType w:val="hybridMultilevel"/>
    <w:tmpl w:val="A8C88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F296B66"/>
    <w:multiLevelType w:val="hybridMultilevel"/>
    <w:tmpl w:val="FA342712"/>
    <w:lvl w:ilvl="0" w:tplc="04160001">
      <w:start w:val="1"/>
      <w:numFmt w:val="bullet"/>
      <w:lvlText w:val=""/>
      <w:lvlJc w:val="left"/>
      <w:pPr>
        <w:ind w:left="1582" w:hanging="360"/>
      </w:pPr>
      <w:rPr>
        <w:rFonts w:ascii="Symbol" w:hAnsi="Symbol" w:hint="default"/>
      </w:rPr>
    </w:lvl>
    <w:lvl w:ilvl="1" w:tplc="04160003" w:tentative="1">
      <w:start w:val="1"/>
      <w:numFmt w:val="bullet"/>
      <w:lvlText w:val="o"/>
      <w:lvlJc w:val="left"/>
      <w:pPr>
        <w:ind w:left="2302" w:hanging="360"/>
      </w:pPr>
      <w:rPr>
        <w:rFonts w:ascii="Courier New" w:hAnsi="Courier New" w:cs="Courier New" w:hint="default"/>
      </w:rPr>
    </w:lvl>
    <w:lvl w:ilvl="2" w:tplc="04160005" w:tentative="1">
      <w:start w:val="1"/>
      <w:numFmt w:val="bullet"/>
      <w:lvlText w:val=""/>
      <w:lvlJc w:val="left"/>
      <w:pPr>
        <w:ind w:left="3022" w:hanging="360"/>
      </w:pPr>
      <w:rPr>
        <w:rFonts w:ascii="Wingdings" w:hAnsi="Wingdings" w:hint="default"/>
      </w:rPr>
    </w:lvl>
    <w:lvl w:ilvl="3" w:tplc="04160001" w:tentative="1">
      <w:start w:val="1"/>
      <w:numFmt w:val="bullet"/>
      <w:lvlText w:val=""/>
      <w:lvlJc w:val="left"/>
      <w:pPr>
        <w:ind w:left="3742" w:hanging="360"/>
      </w:pPr>
      <w:rPr>
        <w:rFonts w:ascii="Symbol" w:hAnsi="Symbol" w:hint="default"/>
      </w:rPr>
    </w:lvl>
    <w:lvl w:ilvl="4" w:tplc="04160003" w:tentative="1">
      <w:start w:val="1"/>
      <w:numFmt w:val="bullet"/>
      <w:lvlText w:val="o"/>
      <w:lvlJc w:val="left"/>
      <w:pPr>
        <w:ind w:left="4462" w:hanging="360"/>
      </w:pPr>
      <w:rPr>
        <w:rFonts w:ascii="Courier New" w:hAnsi="Courier New" w:cs="Courier New" w:hint="default"/>
      </w:rPr>
    </w:lvl>
    <w:lvl w:ilvl="5" w:tplc="04160005" w:tentative="1">
      <w:start w:val="1"/>
      <w:numFmt w:val="bullet"/>
      <w:lvlText w:val=""/>
      <w:lvlJc w:val="left"/>
      <w:pPr>
        <w:ind w:left="5182" w:hanging="360"/>
      </w:pPr>
      <w:rPr>
        <w:rFonts w:ascii="Wingdings" w:hAnsi="Wingdings" w:hint="default"/>
      </w:rPr>
    </w:lvl>
    <w:lvl w:ilvl="6" w:tplc="04160001" w:tentative="1">
      <w:start w:val="1"/>
      <w:numFmt w:val="bullet"/>
      <w:lvlText w:val=""/>
      <w:lvlJc w:val="left"/>
      <w:pPr>
        <w:ind w:left="5902" w:hanging="360"/>
      </w:pPr>
      <w:rPr>
        <w:rFonts w:ascii="Symbol" w:hAnsi="Symbol" w:hint="default"/>
      </w:rPr>
    </w:lvl>
    <w:lvl w:ilvl="7" w:tplc="04160003" w:tentative="1">
      <w:start w:val="1"/>
      <w:numFmt w:val="bullet"/>
      <w:lvlText w:val="o"/>
      <w:lvlJc w:val="left"/>
      <w:pPr>
        <w:ind w:left="6622" w:hanging="360"/>
      </w:pPr>
      <w:rPr>
        <w:rFonts w:ascii="Courier New" w:hAnsi="Courier New" w:cs="Courier New" w:hint="default"/>
      </w:rPr>
    </w:lvl>
    <w:lvl w:ilvl="8" w:tplc="04160005" w:tentative="1">
      <w:start w:val="1"/>
      <w:numFmt w:val="bullet"/>
      <w:lvlText w:val=""/>
      <w:lvlJc w:val="left"/>
      <w:pPr>
        <w:ind w:left="7342" w:hanging="360"/>
      </w:pPr>
      <w:rPr>
        <w:rFonts w:ascii="Wingdings" w:hAnsi="Wingdings" w:hint="default"/>
      </w:rPr>
    </w:lvl>
  </w:abstractNum>
  <w:abstractNum w:abstractNumId="25" w15:restartNumberingAfterBreak="0">
    <w:nsid w:val="62594115"/>
    <w:multiLevelType w:val="hybridMultilevel"/>
    <w:tmpl w:val="0012ED34"/>
    <w:lvl w:ilvl="0" w:tplc="04160001">
      <w:start w:val="1"/>
      <w:numFmt w:val="bullet"/>
      <w:lvlText w:val=""/>
      <w:lvlJc w:val="left"/>
      <w:pPr>
        <w:ind w:left="1582" w:hanging="360"/>
      </w:pPr>
      <w:rPr>
        <w:rFonts w:ascii="Symbol" w:hAnsi="Symbol" w:hint="default"/>
      </w:rPr>
    </w:lvl>
    <w:lvl w:ilvl="1" w:tplc="04160003" w:tentative="1">
      <w:start w:val="1"/>
      <w:numFmt w:val="bullet"/>
      <w:lvlText w:val="o"/>
      <w:lvlJc w:val="left"/>
      <w:pPr>
        <w:ind w:left="2302" w:hanging="360"/>
      </w:pPr>
      <w:rPr>
        <w:rFonts w:ascii="Courier New" w:hAnsi="Courier New" w:cs="Courier New" w:hint="default"/>
      </w:rPr>
    </w:lvl>
    <w:lvl w:ilvl="2" w:tplc="04160005" w:tentative="1">
      <w:start w:val="1"/>
      <w:numFmt w:val="bullet"/>
      <w:lvlText w:val=""/>
      <w:lvlJc w:val="left"/>
      <w:pPr>
        <w:ind w:left="3022" w:hanging="360"/>
      </w:pPr>
      <w:rPr>
        <w:rFonts w:ascii="Wingdings" w:hAnsi="Wingdings" w:hint="default"/>
      </w:rPr>
    </w:lvl>
    <w:lvl w:ilvl="3" w:tplc="04160001" w:tentative="1">
      <w:start w:val="1"/>
      <w:numFmt w:val="bullet"/>
      <w:lvlText w:val=""/>
      <w:lvlJc w:val="left"/>
      <w:pPr>
        <w:ind w:left="3742" w:hanging="360"/>
      </w:pPr>
      <w:rPr>
        <w:rFonts w:ascii="Symbol" w:hAnsi="Symbol" w:hint="default"/>
      </w:rPr>
    </w:lvl>
    <w:lvl w:ilvl="4" w:tplc="04160003" w:tentative="1">
      <w:start w:val="1"/>
      <w:numFmt w:val="bullet"/>
      <w:lvlText w:val="o"/>
      <w:lvlJc w:val="left"/>
      <w:pPr>
        <w:ind w:left="4462" w:hanging="360"/>
      </w:pPr>
      <w:rPr>
        <w:rFonts w:ascii="Courier New" w:hAnsi="Courier New" w:cs="Courier New" w:hint="default"/>
      </w:rPr>
    </w:lvl>
    <w:lvl w:ilvl="5" w:tplc="04160005" w:tentative="1">
      <w:start w:val="1"/>
      <w:numFmt w:val="bullet"/>
      <w:lvlText w:val=""/>
      <w:lvlJc w:val="left"/>
      <w:pPr>
        <w:ind w:left="5182" w:hanging="360"/>
      </w:pPr>
      <w:rPr>
        <w:rFonts w:ascii="Wingdings" w:hAnsi="Wingdings" w:hint="default"/>
      </w:rPr>
    </w:lvl>
    <w:lvl w:ilvl="6" w:tplc="04160001" w:tentative="1">
      <w:start w:val="1"/>
      <w:numFmt w:val="bullet"/>
      <w:lvlText w:val=""/>
      <w:lvlJc w:val="left"/>
      <w:pPr>
        <w:ind w:left="5902" w:hanging="360"/>
      </w:pPr>
      <w:rPr>
        <w:rFonts w:ascii="Symbol" w:hAnsi="Symbol" w:hint="default"/>
      </w:rPr>
    </w:lvl>
    <w:lvl w:ilvl="7" w:tplc="04160003" w:tentative="1">
      <w:start w:val="1"/>
      <w:numFmt w:val="bullet"/>
      <w:lvlText w:val="o"/>
      <w:lvlJc w:val="left"/>
      <w:pPr>
        <w:ind w:left="6622" w:hanging="360"/>
      </w:pPr>
      <w:rPr>
        <w:rFonts w:ascii="Courier New" w:hAnsi="Courier New" w:cs="Courier New" w:hint="default"/>
      </w:rPr>
    </w:lvl>
    <w:lvl w:ilvl="8" w:tplc="04160005" w:tentative="1">
      <w:start w:val="1"/>
      <w:numFmt w:val="bullet"/>
      <w:lvlText w:val=""/>
      <w:lvlJc w:val="left"/>
      <w:pPr>
        <w:ind w:left="7342" w:hanging="360"/>
      </w:pPr>
      <w:rPr>
        <w:rFonts w:ascii="Wingdings" w:hAnsi="Wingdings" w:hint="default"/>
      </w:rPr>
    </w:lvl>
  </w:abstractNum>
  <w:abstractNum w:abstractNumId="26" w15:restartNumberingAfterBreak="0">
    <w:nsid w:val="6B393421"/>
    <w:multiLevelType w:val="hybridMultilevel"/>
    <w:tmpl w:val="5E7C46D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6E631D7E"/>
    <w:multiLevelType w:val="hybridMultilevel"/>
    <w:tmpl w:val="9732CA08"/>
    <w:lvl w:ilvl="0" w:tplc="AD367B2A">
      <w:start w:val="1"/>
      <w:numFmt w:val="lowerRoman"/>
      <w:lvlText w:val="(%1)"/>
      <w:lvlJc w:val="left"/>
      <w:pPr>
        <w:ind w:left="1942" w:hanging="720"/>
      </w:pPr>
      <w:rPr>
        <w:rFonts w:hint="default"/>
      </w:rPr>
    </w:lvl>
    <w:lvl w:ilvl="1" w:tplc="04160019" w:tentative="1">
      <w:start w:val="1"/>
      <w:numFmt w:val="lowerLetter"/>
      <w:lvlText w:val="%2."/>
      <w:lvlJc w:val="left"/>
      <w:pPr>
        <w:ind w:left="2302" w:hanging="360"/>
      </w:pPr>
    </w:lvl>
    <w:lvl w:ilvl="2" w:tplc="0416001B" w:tentative="1">
      <w:start w:val="1"/>
      <w:numFmt w:val="lowerRoman"/>
      <w:lvlText w:val="%3."/>
      <w:lvlJc w:val="right"/>
      <w:pPr>
        <w:ind w:left="3022" w:hanging="180"/>
      </w:pPr>
    </w:lvl>
    <w:lvl w:ilvl="3" w:tplc="0416000F" w:tentative="1">
      <w:start w:val="1"/>
      <w:numFmt w:val="decimal"/>
      <w:lvlText w:val="%4."/>
      <w:lvlJc w:val="left"/>
      <w:pPr>
        <w:ind w:left="3742" w:hanging="360"/>
      </w:pPr>
    </w:lvl>
    <w:lvl w:ilvl="4" w:tplc="04160019" w:tentative="1">
      <w:start w:val="1"/>
      <w:numFmt w:val="lowerLetter"/>
      <w:lvlText w:val="%5."/>
      <w:lvlJc w:val="left"/>
      <w:pPr>
        <w:ind w:left="4462" w:hanging="360"/>
      </w:pPr>
    </w:lvl>
    <w:lvl w:ilvl="5" w:tplc="0416001B" w:tentative="1">
      <w:start w:val="1"/>
      <w:numFmt w:val="lowerRoman"/>
      <w:lvlText w:val="%6."/>
      <w:lvlJc w:val="right"/>
      <w:pPr>
        <w:ind w:left="5182" w:hanging="180"/>
      </w:pPr>
    </w:lvl>
    <w:lvl w:ilvl="6" w:tplc="0416000F" w:tentative="1">
      <w:start w:val="1"/>
      <w:numFmt w:val="decimal"/>
      <w:lvlText w:val="%7."/>
      <w:lvlJc w:val="left"/>
      <w:pPr>
        <w:ind w:left="5902" w:hanging="360"/>
      </w:pPr>
    </w:lvl>
    <w:lvl w:ilvl="7" w:tplc="04160019" w:tentative="1">
      <w:start w:val="1"/>
      <w:numFmt w:val="lowerLetter"/>
      <w:lvlText w:val="%8."/>
      <w:lvlJc w:val="left"/>
      <w:pPr>
        <w:ind w:left="6622" w:hanging="360"/>
      </w:pPr>
    </w:lvl>
    <w:lvl w:ilvl="8" w:tplc="0416001B" w:tentative="1">
      <w:start w:val="1"/>
      <w:numFmt w:val="lowerRoman"/>
      <w:lvlText w:val="%9."/>
      <w:lvlJc w:val="right"/>
      <w:pPr>
        <w:ind w:left="7342" w:hanging="180"/>
      </w:pPr>
    </w:lvl>
  </w:abstractNum>
  <w:abstractNum w:abstractNumId="28" w15:restartNumberingAfterBreak="0">
    <w:nsid w:val="77BC2DA5"/>
    <w:multiLevelType w:val="hybridMultilevel"/>
    <w:tmpl w:val="B87C012A"/>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BA12C2E"/>
    <w:multiLevelType w:val="hybridMultilevel"/>
    <w:tmpl w:val="01767906"/>
    <w:lvl w:ilvl="0" w:tplc="FADC8AD8">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7"/>
  </w:num>
  <w:num w:numId="7">
    <w:abstractNumId w:val="10"/>
  </w:num>
  <w:num w:numId="8">
    <w:abstractNumId w:val="25"/>
  </w:num>
  <w:num w:numId="9">
    <w:abstractNumId w:val="17"/>
  </w:num>
  <w:num w:numId="10">
    <w:abstractNumId w:val="22"/>
  </w:num>
  <w:num w:numId="11">
    <w:abstractNumId w:val="2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1"/>
  </w:num>
  <w:num w:numId="16">
    <w:abstractNumId w:val="2"/>
  </w:num>
  <w:num w:numId="17">
    <w:abstractNumId w:val="27"/>
  </w:num>
  <w:num w:numId="18">
    <w:abstractNumId w:val="16"/>
  </w:num>
  <w:num w:numId="19">
    <w:abstractNumId w:val="15"/>
  </w:num>
  <w:num w:numId="20">
    <w:abstractNumId w:val="12"/>
  </w:num>
  <w:num w:numId="21">
    <w:abstractNumId w:val="28"/>
  </w:num>
  <w:num w:numId="22">
    <w:abstractNumId w:val="20"/>
  </w:num>
  <w:num w:numId="23">
    <w:abstractNumId w:val="11"/>
  </w:num>
  <w:num w:numId="24">
    <w:abstractNumId w:val="19"/>
  </w:num>
  <w:num w:numId="25">
    <w:abstractNumId w:val="14"/>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
  </w:num>
  <w:num w:numId="29">
    <w:abstractNumId w:val="2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72"/>
    <w:rsid w:val="000012D2"/>
    <w:rsid w:val="00004835"/>
    <w:rsid w:val="00005748"/>
    <w:rsid w:val="00007954"/>
    <w:rsid w:val="00017D8D"/>
    <w:rsid w:val="00022152"/>
    <w:rsid w:val="00022E92"/>
    <w:rsid w:val="00031FAC"/>
    <w:rsid w:val="000461D0"/>
    <w:rsid w:val="0004664E"/>
    <w:rsid w:val="00046995"/>
    <w:rsid w:val="000478FC"/>
    <w:rsid w:val="000615A2"/>
    <w:rsid w:val="0006348B"/>
    <w:rsid w:val="000715ED"/>
    <w:rsid w:val="00071CEB"/>
    <w:rsid w:val="00074082"/>
    <w:rsid w:val="00077426"/>
    <w:rsid w:val="0008073E"/>
    <w:rsid w:val="00090156"/>
    <w:rsid w:val="00092D0A"/>
    <w:rsid w:val="0009711A"/>
    <w:rsid w:val="000A4581"/>
    <w:rsid w:val="000A621C"/>
    <w:rsid w:val="000A7100"/>
    <w:rsid w:val="000B1E38"/>
    <w:rsid w:val="000B656F"/>
    <w:rsid w:val="000C0027"/>
    <w:rsid w:val="000C0CD5"/>
    <w:rsid w:val="000C60D9"/>
    <w:rsid w:val="000D1F86"/>
    <w:rsid w:val="000E02A1"/>
    <w:rsid w:val="000E2127"/>
    <w:rsid w:val="000E450D"/>
    <w:rsid w:val="000F247C"/>
    <w:rsid w:val="000F5428"/>
    <w:rsid w:val="001015F7"/>
    <w:rsid w:val="00101F4E"/>
    <w:rsid w:val="00105400"/>
    <w:rsid w:val="00107027"/>
    <w:rsid w:val="00110640"/>
    <w:rsid w:val="001130C7"/>
    <w:rsid w:val="00114E08"/>
    <w:rsid w:val="00116C7C"/>
    <w:rsid w:val="00123686"/>
    <w:rsid w:val="00127316"/>
    <w:rsid w:val="00132692"/>
    <w:rsid w:val="00142CD5"/>
    <w:rsid w:val="00143694"/>
    <w:rsid w:val="00143AD9"/>
    <w:rsid w:val="00145B8C"/>
    <w:rsid w:val="00150E51"/>
    <w:rsid w:val="00155B60"/>
    <w:rsid w:val="00170DF9"/>
    <w:rsid w:val="001719B4"/>
    <w:rsid w:val="001729E6"/>
    <w:rsid w:val="00182D33"/>
    <w:rsid w:val="00185863"/>
    <w:rsid w:val="00194B67"/>
    <w:rsid w:val="00195C66"/>
    <w:rsid w:val="001969E1"/>
    <w:rsid w:val="00196D2F"/>
    <w:rsid w:val="00197542"/>
    <w:rsid w:val="001A4573"/>
    <w:rsid w:val="001A7EB9"/>
    <w:rsid w:val="001B0507"/>
    <w:rsid w:val="001B45BA"/>
    <w:rsid w:val="001C43E8"/>
    <w:rsid w:val="001D203F"/>
    <w:rsid w:val="001E2FD4"/>
    <w:rsid w:val="001F021C"/>
    <w:rsid w:val="001F1C36"/>
    <w:rsid w:val="001F278C"/>
    <w:rsid w:val="001F3079"/>
    <w:rsid w:val="001F519E"/>
    <w:rsid w:val="001F6C79"/>
    <w:rsid w:val="001F734F"/>
    <w:rsid w:val="00204E04"/>
    <w:rsid w:val="002131F1"/>
    <w:rsid w:val="002132A8"/>
    <w:rsid w:val="002136F3"/>
    <w:rsid w:val="002229CA"/>
    <w:rsid w:val="00223E57"/>
    <w:rsid w:val="00224890"/>
    <w:rsid w:val="002269E6"/>
    <w:rsid w:val="00230D44"/>
    <w:rsid w:val="00230EF4"/>
    <w:rsid w:val="002314CB"/>
    <w:rsid w:val="002348BB"/>
    <w:rsid w:val="00237946"/>
    <w:rsid w:val="00237A71"/>
    <w:rsid w:val="00247207"/>
    <w:rsid w:val="002578FA"/>
    <w:rsid w:val="002601D7"/>
    <w:rsid w:val="00266AEF"/>
    <w:rsid w:val="00276799"/>
    <w:rsid w:val="00292AC0"/>
    <w:rsid w:val="00294F20"/>
    <w:rsid w:val="0029508B"/>
    <w:rsid w:val="002A0C6C"/>
    <w:rsid w:val="002B0F09"/>
    <w:rsid w:val="002B3FB2"/>
    <w:rsid w:val="002B75E2"/>
    <w:rsid w:val="002C3E11"/>
    <w:rsid w:val="002C6362"/>
    <w:rsid w:val="002C63FC"/>
    <w:rsid w:val="002D5830"/>
    <w:rsid w:val="002E4D29"/>
    <w:rsid w:val="002F1822"/>
    <w:rsid w:val="002F4F94"/>
    <w:rsid w:val="003016F6"/>
    <w:rsid w:val="00311D1F"/>
    <w:rsid w:val="003120D6"/>
    <w:rsid w:val="003133BF"/>
    <w:rsid w:val="00313746"/>
    <w:rsid w:val="00315B43"/>
    <w:rsid w:val="00321315"/>
    <w:rsid w:val="0032371A"/>
    <w:rsid w:val="003264D5"/>
    <w:rsid w:val="00333123"/>
    <w:rsid w:val="003340E7"/>
    <w:rsid w:val="00334870"/>
    <w:rsid w:val="0034044E"/>
    <w:rsid w:val="00342407"/>
    <w:rsid w:val="00345F13"/>
    <w:rsid w:val="00354F06"/>
    <w:rsid w:val="003567EC"/>
    <w:rsid w:val="00357E5F"/>
    <w:rsid w:val="00361C06"/>
    <w:rsid w:val="00362C52"/>
    <w:rsid w:val="003703FA"/>
    <w:rsid w:val="00373398"/>
    <w:rsid w:val="0037762B"/>
    <w:rsid w:val="00383CBB"/>
    <w:rsid w:val="003912F5"/>
    <w:rsid w:val="00397F53"/>
    <w:rsid w:val="003A4515"/>
    <w:rsid w:val="003A47AA"/>
    <w:rsid w:val="003A53E7"/>
    <w:rsid w:val="003B1C1E"/>
    <w:rsid w:val="003B4589"/>
    <w:rsid w:val="003B53A3"/>
    <w:rsid w:val="003C20DF"/>
    <w:rsid w:val="003C57C0"/>
    <w:rsid w:val="003D1587"/>
    <w:rsid w:val="003D1E7C"/>
    <w:rsid w:val="003D1FFE"/>
    <w:rsid w:val="003D2749"/>
    <w:rsid w:val="003E0825"/>
    <w:rsid w:val="003E4840"/>
    <w:rsid w:val="003E732F"/>
    <w:rsid w:val="003F2372"/>
    <w:rsid w:val="004051CD"/>
    <w:rsid w:val="00407416"/>
    <w:rsid w:val="00412124"/>
    <w:rsid w:val="00413A0B"/>
    <w:rsid w:val="00415034"/>
    <w:rsid w:val="00424458"/>
    <w:rsid w:val="0043385B"/>
    <w:rsid w:val="00434B5E"/>
    <w:rsid w:val="00436D34"/>
    <w:rsid w:val="0044017F"/>
    <w:rsid w:val="00441138"/>
    <w:rsid w:val="00445815"/>
    <w:rsid w:val="00447BA0"/>
    <w:rsid w:val="00460F87"/>
    <w:rsid w:val="00462749"/>
    <w:rsid w:val="00463F1E"/>
    <w:rsid w:val="004655BF"/>
    <w:rsid w:val="004679A5"/>
    <w:rsid w:val="00470D68"/>
    <w:rsid w:val="00473518"/>
    <w:rsid w:val="00483B53"/>
    <w:rsid w:val="00484912"/>
    <w:rsid w:val="004910FE"/>
    <w:rsid w:val="004956A2"/>
    <w:rsid w:val="004B277C"/>
    <w:rsid w:val="004C3D05"/>
    <w:rsid w:val="004D1898"/>
    <w:rsid w:val="004D5D0D"/>
    <w:rsid w:val="004E0A53"/>
    <w:rsid w:val="004E4252"/>
    <w:rsid w:val="004E5A9A"/>
    <w:rsid w:val="004F11F0"/>
    <w:rsid w:val="004F1270"/>
    <w:rsid w:val="004F2456"/>
    <w:rsid w:val="004F32F9"/>
    <w:rsid w:val="004F3AD0"/>
    <w:rsid w:val="004F4579"/>
    <w:rsid w:val="004F5440"/>
    <w:rsid w:val="004F6870"/>
    <w:rsid w:val="004F79B2"/>
    <w:rsid w:val="004F7DD0"/>
    <w:rsid w:val="00507859"/>
    <w:rsid w:val="00511AE5"/>
    <w:rsid w:val="00514B14"/>
    <w:rsid w:val="00517A6F"/>
    <w:rsid w:val="005233CC"/>
    <w:rsid w:val="00524035"/>
    <w:rsid w:val="00527B82"/>
    <w:rsid w:val="00530FFC"/>
    <w:rsid w:val="00537F7F"/>
    <w:rsid w:val="00544363"/>
    <w:rsid w:val="005501FB"/>
    <w:rsid w:val="005545E7"/>
    <w:rsid w:val="00556EB2"/>
    <w:rsid w:val="00556FC0"/>
    <w:rsid w:val="00561286"/>
    <w:rsid w:val="0056234D"/>
    <w:rsid w:val="0056266F"/>
    <w:rsid w:val="00565501"/>
    <w:rsid w:val="00571495"/>
    <w:rsid w:val="005726A4"/>
    <w:rsid w:val="00574DB3"/>
    <w:rsid w:val="00584759"/>
    <w:rsid w:val="0059332C"/>
    <w:rsid w:val="005A0E24"/>
    <w:rsid w:val="005A6662"/>
    <w:rsid w:val="005A6E82"/>
    <w:rsid w:val="005B2B63"/>
    <w:rsid w:val="005C216A"/>
    <w:rsid w:val="005C2A12"/>
    <w:rsid w:val="005E4FDD"/>
    <w:rsid w:val="005F18E9"/>
    <w:rsid w:val="005F6D5D"/>
    <w:rsid w:val="006027CB"/>
    <w:rsid w:val="00607CC5"/>
    <w:rsid w:val="00613686"/>
    <w:rsid w:val="00613D4C"/>
    <w:rsid w:val="006145C1"/>
    <w:rsid w:val="00616A0E"/>
    <w:rsid w:val="00617EE0"/>
    <w:rsid w:val="006208AD"/>
    <w:rsid w:val="00623339"/>
    <w:rsid w:val="00634C7E"/>
    <w:rsid w:val="00636855"/>
    <w:rsid w:val="006519BB"/>
    <w:rsid w:val="00652279"/>
    <w:rsid w:val="00652853"/>
    <w:rsid w:val="00655731"/>
    <w:rsid w:val="006623F1"/>
    <w:rsid w:val="006658A8"/>
    <w:rsid w:val="006705E3"/>
    <w:rsid w:val="00672C8C"/>
    <w:rsid w:val="00674A87"/>
    <w:rsid w:val="00676B0B"/>
    <w:rsid w:val="00681171"/>
    <w:rsid w:val="00687757"/>
    <w:rsid w:val="00691891"/>
    <w:rsid w:val="0069429C"/>
    <w:rsid w:val="00696E4C"/>
    <w:rsid w:val="006B0741"/>
    <w:rsid w:val="006B23A8"/>
    <w:rsid w:val="006B2B33"/>
    <w:rsid w:val="006B38DD"/>
    <w:rsid w:val="006C521B"/>
    <w:rsid w:val="006D2316"/>
    <w:rsid w:val="006D44C2"/>
    <w:rsid w:val="006E06F8"/>
    <w:rsid w:val="006E257F"/>
    <w:rsid w:val="006F62D5"/>
    <w:rsid w:val="00721C9B"/>
    <w:rsid w:val="00723ACE"/>
    <w:rsid w:val="00726B9A"/>
    <w:rsid w:val="0073247F"/>
    <w:rsid w:val="007423BF"/>
    <w:rsid w:val="00745FED"/>
    <w:rsid w:val="00756284"/>
    <w:rsid w:val="0076448F"/>
    <w:rsid w:val="00765EF5"/>
    <w:rsid w:val="0076690F"/>
    <w:rsid w:val="00770DAA"/>
    <w:rsid w:val="007776A3"/>
    <w:rsid w:val="00786E7C"/>
    <w:rsid w:val="007872F2"/>
    <w:rsid w:val="00791AE6"/>
    <w:rsid w:val="00795BE0"/>
    <w:rsid w:val="00795D0F"/>
    <w:rsid w:val="007A0EF7"/>
    <w:rsid w:val="007A1049"/>
    <w:rsid w:val="007A4B35"/>
    <w:rsid w:val="007A5111"/>
    <w:rsid w:val="007B1323"/>
    <w:rsid w:val="007B14AF"/>
    <w:rsid w:val="007B2D2D"/>
    <w:rsid w:val="007B7818"/>
    <w:rsid w:val="007C036E"/>
    <w:rsid w:val="007C3CE1"/>
    <w:rsid w:val="007C53A6"/>
    <w:rsid w:val="007D0835"/>
    <w:rsid w:val="007D4890"/>
    <w:rsid w:val="007D55EE"/>
    <w:rsid w:val="007D6002"/>
    <w:rsid w:val="007F2011"/>
    <w:rsid w:val="007F3CA3"/>
    <w:rsid w:val="007F5E27"/>
    <w:rsid w:val="00805AB3"/>
    <w:rsid w:val="00814407"/>
    <w:rsid w:val="0082785C"/>
    <w:rsid w:val="0084427D"/>
    <w:rsid w:val="00845C82"/>
    <w:rsid w:val="0084666D"/>
    <w:rsid w:val="00850EF7"/>
    <w:rsid w:val="008527D3"/>
    <w:rsid w:val="0085617B"/>
    <w:rsid w:val="0085791F"/>
    <w:rsid w:val="00862BC8"/>
    <w:rsid w:val="00865B01"/>
    <w:rsid w:val="00871E51"/>
    <w:rsid w:val="00880A70"/>
    <w:rsid w:val="00880EAB"/>
    <w:rsid w:val="00893AD4"/>
    <w:rsid w:val="00894F90"/>
    <w:rsid w:val="008A4DDE"/>
    <w:rsid w:val="008C3283"/>
    <w:rsid w:val="008C5F38"/>
    <w:rsid w:val="008C7C5A"/>
    <w:rsid w:val="008D3ABA"/>
    <w:rsid w:val="008D620D"/>
    <w:rsid w:val="008E2203"/>
    <w:rsid w:val="008E40AB"/>
    <w:rsid w:val="008F0B7C"/>
    <w:rsid w:val="008F2988"/>
    <w:rsid w:val="008F33F0"/>
    <w:rsid w:val="008F34D1"/>
    <w:rsid w:val="009003D8"/>
    <w:rsid w:val="00901369"/>
    <w:rsid w:val="00906C40"/>
    <w:rsid w:val="0091229C"/>
    <w:rsid w:val="00914EAA"/>
    <w:rsid w:val="00915AD0"/>
    <w:rsid w:val="0091773D"/>
    <w:rsid w:val="00917BEB"/>
    <w:rsid w:val="00920DB8"/>
    <w:rsid w:val="00923FF8"/>
    <w:rsid w:val="00925354"/>
    <w:rsid w:val="00933BA3"/>
    <w:rsid w:val="00934203"/>
    <w:rsid w:val="009356DA"/>
    <w:rsid w:val="00940AD4"/>
    <w:rsid w:val="0094445D"/>
    <w:rsid w:val="009502C3"/>
    <w:rsid w:val="00950FE0"/>
    <w:rsid w:val="00953FB6"/>
    <w:rsid w:val="00954EB6"/>
    <w:rsid w:val="009569B4"/>
    <w:rsid w:val="00960639"/>
    <w:rsid w:val="00962664"/>
    <w:rsid w:val="0096345A"/>
    <w:rsid w:val="00965388"/>
    <w:rsid w:val="00983211"/>
    <w:rsid w:val="009901C7"/>
    <w:rsid w:val="00997F7F"/>
    <w:rsid w:val="00997FD5"/>
    <w:rsid w:val="009A16A5"/>
    <w:rsid w:val="009A7EFE"/>
    <w:rsid w:val="009B0FD9"/>
    <w:rsid w:val="009B12CF"/>
    <w:rsid w:val="009C7F2B"/>
    <w:rsid w:val="009E117D"/>
    <w:rsid w:val="009E353D"/>
    <w:rsid w:val="009E4608"/>
    <w:rsid w:val="009E4FFE"/>
    <w:rsid w:val="009E5C81"/>
    <w:rsid w:val="009E77F4"/>
    <w:rsid w:val="009F0C04"/>
    <w:rsid w:val="00A02E6A"/>
    <w:rsid w:val="00A04662"/>
    <w:rsid w:val="00A10658"/>
    <w:rsid w:val="00A12F68"/>
    <w:rsid w:val="00A17149"/>
    <w:rsid w:val="00A17496"/>
    <w:rsid w:val="00A21746"/>
    <w:rsid w:val="00A22E08"/>
    <w:rsid w:val="00A24EA1"/>
    <w:rsid w:val="00A317A5"/>
    <w:rsid w:val="00A328B6"/>
    <w:rsid w:val="00A33D9E"/>
    <w:rsid w:val="00A343AA"/>
    <w:rsid w:val="00A47D36"/>
    <w:rsid w:val="00A50B2D"/>
    <w:rsid w:val="00A51703"/>
    <w:rsid w:val="00A63B1D"/>
    <w:rsid w:val="00A64B3D"/>
    <w:rsid w:val="00A72264"/>
    <w:rsid w:val="00A741D9"/>
    <w:rsid w:val="00A90E9E"/>
    <w:rsid w:val="00A93AF3"/>
    <w:rsid w:val="00A96178"/>
    <w:rsid w:val="00A9759F"/>
    <w:rsid w:val="00AA10D3"/>
    <w:rsid w:val="00AA18C0"/>
    <w:rsid w:val="00AA1B5E"/>
    <w:rsid w:val="00AA6BD4"/>
    <w:rsid w:val="00AB1029"/>
    <w:rsid w:val="00AB3DCD"/>
    <w:rsid w:val="00AC0D64"/>
    <w:rsid w:val="00AC1EB2"/>
    <w:rsid w:val="00AC33AE"/>
    <w:rsid w:val="00AC700B"/>
    <w:rsid w:val="00AC7D19"/>
    <w:rsid w:val="00AE03C5"/>
    <w:rsid w:val="00AE4CDB"/>
    <w:rsid w:val="00AF0088"/>
    <w:rsid w:val="00AF34D5"/>
    <w:rsid w:val="00AF57DF"/>
    <w:rsid w:val="00B03AEA"/>
    <w:rsid w:val="00B067D1"/>
    <w:rsid w:val="00B077C8"/>
    <w:rsid w:val="00B11879"/>
    <w:rsid w:val="00B11CBF"/>
    <w:rsid w:val="00B13DB2"/>
    <w:rsid w:val="00B20698"/>
    <w:rsid w:val="00B36437"/>
    <w:rsid w:val="00B53371"/>
    <w:rsid w:val="00B55CEB"/>
    <w:rsid w:val="00B63462"/>
    <w:rsid w:val="00B64143"/>
    <w:rsid w:val="00B650F3"/>
    <w:rsid w:val="00B652F6"/>
    <w:rsid w:val="00B66F0F"/>
    <w:rsid w:val="00B6717C"/>
    <w:rsid w:val="00B73DCF"/>
    <w:rsid w:val="00B824E7"/>
    <w:rsid w:val="00B832AF"/>
    <w:rsid w:val="00B836DC"/>
    <w:rsid w:val="00B848BD"/>
    <w:rsid w:val="00B90EC1"/>
    <w:rsid w:val="00B91FA0"/>
    <w:rsid w:val="00B94C8E"/>
    <w:rsid w:val="00BA204B"/>
    <w:rsid w:val="00BA3D3D"/>
    <w:rsid w:val="00BA3E2D"/>
    <w:rsid w:val="00BA68C6"/>
    <w:rsid w:val="00BB135C"/>
    <w:rsid w:val="00BB30B7"/>
    <w:rsid w:val="00BB4CA2"/>
    <w:rsid w:val="00BC07DD"/>
    <w:rsid w:val="00BC0B84"/>
    <w:rsid w:val="00BC51DF"/>
    <w:rsid w:val="00BD2A70"/>
    <w:rsid w:val="00BD6632"/>
    <w:rsid w:val="00BE2002"/>
    <w:rsid w:val="00BE4BF8"/>
    <w:rsid w:val="00BF0C8D"/>
    <w:rsid w:val="00BF424F"/>
    <w:rsid w:val="00C11597"/>
    <w:rsid w:val="00C21FA3"/>
    <w:rsid w:val="00C33083"/>
    <w:rsid w:val="00C33EB8"/>
    <w:rsid w:val="00C34F9B"/>
    <w:rsid w:val="00C3723F"/>
    <w:rsid w:val="00C42F52"/>
    <w:rsid w:val="00C469F6"/>
    <w:rsid w:val="00C46FE6"/>
    <w:rsid w:val="00C471FE"/>
    <w:rsid w:val="00C506D9"/>
    <w:rsid w:val="00C5149C"/>
    <w:rsid w:val="00C51F33"/>
    <w:rsid w:val="00C523E9"/>
    <w:rsid w:val="00C604EA"/>
    <w:rsid w:val="00C65152"/>
    <w:rsid w:val="00C6571D"/>
    <w:rsid w:val="00C67FF6"/>
    <w:rsid w:val="00C7177F"/>
    <w:rsid w:val="00C719D9"/>
    <w:rsid w:val="00C77211"/>
    <w:rsid w:val="00C77B1E"/>
    <w:rsid w:val="00C84C22"/>
    <w:rsid w:val="00C8504C"/>
    <w:rsid w:val="00C9715B"/>
    <w:rsid w:val="00CA2227"/>
    <w:rsid w:val="00CB60E6"/>
    <w:rsid w:val="00CB6A0A"/>
    <w:rsid w:val="00CC63BD"/>
    <w:rsid w:val="00CD611C"/>
    <w:rsid w:val="00CE139E"/>
    <w:rsid w:val="00CE150E"/>
    <w:rsid w:val="00CE5673"/>
    <w:rsid w:val="00CF5235"/>
    <w:rsid w:val="00CF7C6B"/>
    <w:rsid w:val="00D01223"/>
    <w:rsid w:val="00D01B4A"/>
    <w:rsid w:val="00D02A44"/>
    <w:rsid w:val="00D06ABB"/>
    <w:rsid w:val="00D13892"/>
    <w:rsid w:val="00D13FAF"/>
    <w:rsid w:val="00D16A67"/>
    <w:rsid w:val="00D16BA2"/>
    <w:rsid w:val="00D17AEC"/>
    <w:rsid w:val="00D40C73"/>
    <w:rsid w:val="00D454F7"/>
    <w:rsid w:val="00D45534"/>
    <w:rsid w:val="00D460E4"/>
    <w:rsid w:val="00D50384"/>
    <w:rsid w:val="00D50AC1"/>
    <w:rsid w:val="00D50D91"/>
    <w:rsid w:val="00D53E45"/>
    <w:rsid w:val="00D611F1"/>
    <w:rsid w:val="00D72D52"/>
    <w:rsid w:val="00D735FC"/>
    <w:rsid w:val="00D75A68"/>
    <w:rsid w:val="00D77D6F"/>
    <w:rsid w:val="00D91BF2"/>
    <w:rsid w:val="00DA32D3"/>
    <w:rsid w:val="00DA4E82"/>
    <w:rsid w:val="00DA6580"/>
    <w:rsid w:val="00DB1734"/>
    <w:rsid w:val="00DB3669"/>
    <w:rsid w:val="00DB696B"/>
    <w:rsid w:val="00DC04DC"/>
    <w:rsid w:val="00DC36F1"/>
    <w:rsid w:val="00DC5C50"/>
    <w:rsid w:val="00DD08A5"/>
    <w:rsid w:val="00DD0F67"/>
    <w:rsid w:val="00DE02B5"/>
    <w:rsid w:val="00DE4E5E"/>
    <w:rsid w:val="00DE5AED"/>
    <w:rsid w:val="00DF5C9B"/>
    <w:rsid w:val="00E00EEC"/>
    <w:rsid w:val="00E0682B"/>
    <w:rsid w:val="00E124FF"/>
    <w:rsid w:val="00E1302D"/>
    <w:rsid w:val="00E14CC3"/>
    <w:rsid w:val="00E17511"/>
    <w:rsid w:val="00E22AA3"/>
    <w:rsid w:val="00E230D7"/>
    <w:rsid w:val="00E235C6"/>
    <w:rsid w:val="00E332E0"/>
    <w:rsid w:val="00E36543"/>
    <w:rsid w:val="00E37741"/>
    <w:rsid w:val="00E43DFC"/>
    <w:rsid w:val="00E44212"/>
    <w:rsid w:val="00E44462"/>
    <w:rsid w:val="00E45704"/>
    <w:rsid w:val="00E45C1C"/>
    <w:rsid w:val="00E471B9"/>
    <w:rsid w:val="00E5002C"/>
    <w:rsid w:val="00E51871"/>
    <w:rsid w:val="00E51A2A"/>
    <w:rsid w:val="00E550FD"/>
    <w:rsid w:val="00E55C73"/>
    <w:rsid w:val="00E60574"/>
    <w:rsid w:val="00E61D49"/>
    <w:rsid w:val="00E66523"/>
    <w:rsid w:val="00E7039B"/>
    <w:rsid w:val="00E7399F"/>
    <w:rsid w:val="00E77BA5"/>
    <w:rsid w:val="00E87E8D"/>
    <w:rsid w:val="00E90998"/>
    <w:rsid w:val="00E927A5"/>
    <w:rsid w:val="00E93C00"/>
    <w:rsid w:val="00E972E8"/>
    <w:rsid w:val="00EA3612"/>
    <w:rsid w:val="00EB591F"/>
    <w:rsid w:val="00EB6356"/>
    <w:rsid w:val="00EC720C"/>
    <w:rsid w:val="00ED5ADE"/>
    <w:rsid w:val="00ED65CD"/>
    <w:rsid w:val="00EE1F58"/>
    <w:rsid w:val="00EE3555"/>
    <w:rsid w:val="00EE5BB0"/>
    <w:rsid w:val="00EF6966"/>
    <w:rsid w:val="00F00A42"/>
    <w:rsid w:val="00F01356"/>
    <w:rsid w:val="00F03215"/>
    <w:rsid w:val="00F0422B"/>
    <w:rsid w:val="00F101FF"/>
    <w:rsid w:val="00F12753"/>
    <w:rsid w:val="00F12778"/>
    <w:rsid w:val="00F202DD"/>
    <w:rsid w:val="00F21F16"/>
    <w:rsid w:val="00F416B7"/>
    <w:rsid w:val="00F4427C"/>
    <w:rsid w:val="00F45FAA"/>
    <w:rsid w:val="00F57F52"/>
    <w:rsid w:val="00F64284"/>
    <w:rsid w:val="00F654FF"/>
    <w:rsid w:val="00F66937"/>
    <w:rsid w:val="00F67BB7"/>
    <w:rsid w:val="00F736C9"/>
    <w:rsid w:val="00F7423F"/>
    <w:rsid w:val="00F84B75"/>
    <w:rsid w:val="00F853C9"/>
    <w:rsid w:val="00F8623F"/>
    <w:rsid w:val="00F87457"/>
    <w:rsid w:val="00F94AB3"/>
    <w:rsid w:val="00FA1E28"/>
    <w:rsid w:val="00FA38B6"/>
    <w:rsid w:val="00FA4E17"/>
    <w:rsid w:val="00FB045C"/>
    <w:rsid w:val="00FB18ED"/>
    <w:rsid w:val="00FB3133"/>
    <w:rsid w:val="00FB31CA"/>
    <w:rsid w:val="00FC3670"/>
    <w:rsid w:val="00FD069A"/>
    <w:rsid w:val="00FE3C03"/>
    <w:rsid w:val="00FE4A40"/>
    <w:rsid w:val="00FE4BB6"/>
    <w:rsid w:val="00FE798B"/>
    <w:rsid w:val="00FF2F9C"/>
    <w:rsid w:val="00FF66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772F42-66F4-427D-85D9-0F14FDF8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372"/>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F202DD"/>
    <w:pPr>
      <w:keepNext/>
      <w:keepLines/>
      <w:spacing w:before="480" w:after="0"/>
      <w:outlineLvl w:val="0"/>
    </w:pPr>
    <w:rPr>
      <w:rFonts w:ascii="Cambria" w:eastAsia="Times New Roman" w:hAnsi="Cambria" w:cs="Cambria"/>
      <w:b/>
      <w:bCs/>
      <w:color w:val="365F91"/>
      <w:sz w:val="28"/>
      <w:szCs w:val="28"/>
    </w:rPr>
  </w:style>
  <w:style w:type="paragraph" w:styleId="Ttulo3">
    <w:name w:val="heading 3"/>
    <w:basedOn w:val="Normal"/>
    <w:next w:val="Normal"/>
    <w:link w:val="Ttulo3Char"/>
    <w:uiPriority w:val="99"/>
    <w:qFormat/>
    <w:rsid w:val="00AA18C0"/>
    <w:pPr>
      <w:keepNext/>
      <w:tabs>
        <w:tab w:val="left" w:pos="3828"/>
      </w:tabs>
      <w:spacing w:after="0" w:line="240" w:lineRule="auto"/>
      <w:ind w:right="-573"/>
      <w:jc w:val="center"/>
      <w:outlineLvl w:val="2"/>
    </w:pPr>
    <w:rPr>
      <w:rFonts w:ascii="Arial" w:eastAsia="Times New Roman" w:hAnsi="Arial" w:cs="Arial"/>
      <w:b/>
      <w:bCs/>
      <w:sz w:val="24"/>
      <w:szCs w:val="24"/>
      <w:lang w:eastAsia="pt-BR"/>
    </w:rPr>
  </w:style>
  <w:style w:type="paragraph" w:styleId="Ttulo4">
    <w:name w:val="heading 4"/>
    <w:basedOn w:val="Normal"/>
    <w:next w:val="Normal"/>
    <w:link w:val="Ttulo4Char"/>
    <w:semiHidden/>
    <w:unhideWhenUsed/>
    <w:qFormat/>
    <w:locked/>
    <w:rsid w:val="0093420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9"/>
    <w:qFormat/>
    <w:rsid w:val="00AA18C0"/>
    <w:pPr>
      <w:keepNext/>
      <w:tabs>
        <w:tab w:val="center" w:pos="-2268"/>
      </w:tabs>
      <w:spacing w:after="0" w:line="320" w:lineRule="exact"/>
      <w:ind w:right="-1078"/>
      <w:jc w:val="center"/>
      <w:outlineLvl w:val="4"/>
    </w:pPr>
    <w:rPr>
      <w:rFonts w:ascii="Arial" w:eastAsia="Times New Roman" w:hAnsi="Arial" w:cs="Arial"/>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202DD"/>
    <w:rPr>
      <w:rFonts w:ascii="Cambria" w:hAnsi="Cambria" w:cs="Cambria"/>
      <w:b/>
      <w:bCs/>
      <w:color w:val="365F91"/>
      <w:sz w:val="28"/>
      <w:szCs w:val="28"/>
    </w:rPr>
  </w:style>
  <w:style w:type="character" w:customStyle="1" w:styleId="Ttulo3Char">
    <w:name w:val="Título 3 Char"/>
    <w:basedOn w:val="Fontepargpadro"/>
    <w:link w:val="Ttulo3"/>
    <w:uiPriority w:val="99"/>
    <w:locked/>
    <w:rsid w:val="00AA18C0"/>
    <w:rPr>
      <w:rFonts w:ascii="Arial" w:hAnsi="Arial" w:cs="Arial"/>
      <w:b/>
      <w:bCs/>
      <w:sz w:val="20"/>
      <w:szCs w:val="20"/>
      <w:lang w:eastAsia="pt-BR"/>
    </w:rPr>
  </w:style>
  <w:style w:type="character" w:customStyle="1" w:styleId="Ttulo5Char">
    <w:name w:val="Título 5 Char"/>
    <w:basedOn w:val="Fontepargpadro"/>
    <w:link w:val="Ttulo5"/>
    <w:uiPriority w:val="99"/>
    <w:locked/>
    <w:rsid w:val="00AA18C0"/>
    <w:rPr>
      <w:rFonts w:ascii="Arial" w:hAnsi="Arial" w:cs="Arial"/>
      <w:b/>
      <w:bCs/>
      <w:sz w:val="20"/>
      <w:szCs w:val="20"/>
      <w:lang w:eastAsia="pt-BR"/>
    </w:rPr>
  </w:style>
  <w:style w:type="paragraph" w:styleId="NormalWeb">
    <w:name w:val="Normal (Web)"/>
    <w:basedOn w:val="Normal"/>
    <w:uiPriority w:val="99"/>
    <w:rsid w:val="003F23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tulo-02">
    <w:name w:val="titulo-02"/>
    <w:basedOn w:val="Fontepargpadro"/>
    <w:rsid w:val="003F2372"/>
  </w:style>
  <w:style w:type="character" w:customStyle="1" w:styleId="style1">
    <w:name w:val="style1"/>
    <w:basedOn w:val="Fontepargpadro"/>
    <w:uiPriority w:val="99"/>
    <w:rsid w:val="003F2372"/>
  </w:style>
  <w:style w:type="paragraph" w:styleId="Textodenotaderodap">
    <w:name w:val="footnote text"/>
    <w:basedOn w:val="Normal"/>
    <w:link w:val="TextodenotaderodapChar"/>
    <w:uiPriority w:val="99"/>
    <w:semiHidden/>
    <w:rsid w:val="0013269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locked/>
    <w:rsid w:val="00132692"/>
    <w:rPr>
      <w:rFonts w:ascii="Times New Roman" w:hAnsi="Times New Roman" w:cs="Times New Roman"/>
      <w:sz w:val="20"/>
      <w:szCs w:val="20"/>
      <w:lang w:eastAsia="pt-BR"/>
    </w:rPr>
  </w:style>
  <w:style w:type="character" w:styleId="Refdenotaderodap">
    <w:name w:val="footnote reference"/>
    <w:basedOn w:val="Fontepargpadro"/>
    <w:uiPriority w:val="99"/>
    <w:semiHidden/>
    <w:rsid w:val="00132692"/>
    <w:rPr>
      <w:vertAlign w:val="superscript"/>
    </w:rPr>
  </w:style>
  <w:style w:type="paragraph" w:styleId="PargrafodaLista">
    <w:name w:val="List Paragraph"/>
    <w:basedOn w:val="Normal"/>
    <w:uiPriority w:val="34"/>
    <w:qFormat/>
    <w:rsid w:val="003567EC"/>
    <w:pPr>
      <w:ind w:left="720"/>
    </w:pPr>
  </w:style>
  <w:style w:type="paragraph" w:styleId="Textodebalo">
    <w:name w:val="Balloon Text"/>
    <w:basedOn w:val="Normal"/>
    <w:link w:val="TextodebaloChar"/>
    <w:uiPriority w:val="99"/>
    <w:semiHidden/>
    <w:rsid w:val="00F202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F202DD"/>
    <w:rPr>
      <w:rFonts w:ascii="Tahoma" w:hAnsi="Tahoma" w:cs="Tahoma"/>
      <w:sz w:val="16"/>
      <w:szCs w:val="16"/>
    </w:rPr>
  </w:style>
  <w:style w:type="character" w:styleId="Hyperlink">
    <w:name w:val="Hyperlink"/>
    <w:basedOn w:val="Fontepargpadro"/>
    <w:uiPriority w:val="99"/>
    <w:semiHidden/>
    <w:unhideWhenUsed/>
    <w:rsid w:val="00723ACE"/>
    <w:rPr>
      <w:color w:val="0000FF" w:themeColor="hyperlink"/>
      <w:u w:val="single"/>
    </w:rPr>
  </w:style>
  <w:style w:type="table" w:customStyle="1" w:styleId="TableNormal1">
    <w:name w:val="Table Normal1"/>
    <w:rsid w:val="00C42F5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BodyA">
    <w:name w:val="Body A"/>
    <w:uiPriority w:val="99"/>
    <w:rsid w:val="00C42F52"/>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paragraph" w:styleId="Cabealho">
    <w:name w:val="header"/>
    <w:basedOn w:val="Normal"/>
    <w:link w:val="CabealhoChar"/>
    <w:uiPriority w:val="99"/>
    <w:unhideWhenUsed/>
    <w:rsid w:val="003B45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4589"/>
    <w:rPr>
      <w:rFonts w:cs="Calibri"/>
      <w:sz w:val="22"/>
      <w:szCs w:val="22"/>
      <w:lang w:eastAsia="en-US"/>
    </w:rPr>
  </w:style>
  <w:style w:type="paragraph" w:styleId="Rodap">
    <w:name w:val="footer"/>
    <w:basedOn w:val="Normal"/>
    <w:link w:val="RodapChar"/>
    <w:uiPriority w:val="99"/>
    <w:unhideWhenUsed/>
    <w:rsid w:val="003B4589"/>
    <w:pPr>
      <w:tabs>
        <w:tab w:val="center" w:pos="4252"/>
        <w:tab w:val="right" w:pos="8504"/>
      </w:tabs>
      <w:spacing w:after="0" w:line="240" w:lineRule="auto"/>
    </w:pPr>
  </w:style>
  <w:style w:type="character" w:customStyle="1" w:styleId="RodapChar">
    <w:name w:val="Rodapé Char"/>
    <w:basedOn w:val="Fontepargpadro"/>
    <w:link w:val="Rodap"/>
    <w:uiPriority w:val="99"/>
    <w:rsid w:val="003B4589"/>
    <w:rPr>
      <w:rFonts w:cs="Calibri"/>
      <w:sz w:val="22"/>
      <w:szCs w:val="22"/>
      <w:lang w:eastAsia="en-US"/>
    </w:rPr>
  </w:style>
  <w:style w:type="character" w:customStyle="1" w:styleId="Ttulo4Char">
    <w:name w:val="Título 4 Char"/>
    <w:basedOn w:val="Fontepargpadro"/>
    <w:link w:val="Ttulo4"/>
    <w:uiPriority w:val="99"/>
    <w:rsid w:val="00934203"/>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7577">
      <w:bodyDiv w:val="1"/>
      <w:marLeft w:val="0"/>
      <w:marRight w:val="0"/>
      <w:marTop w:val="0"/>
      <w:marBottom w:val="0"/>
      <w:divBdr>
        <w:top w:val="none" w:sz="0" w:space="0" w:color="auto"/>
        <w:left w:val="none" w:sz="0" w:space="0" w:color="auto"/>
        <w:bottom w:val="none" w:sz="0" w:space="0" w:color="auto"/>
        <w:right w:val="none" w:sz="0" w:space="0" w:color="auto"/>
      </w:divBdr>
    </w:div>
    <w:div w:id="894316732">
      <w:bodyDiv w:val="1"/>
      <w:marLeft w:val="0"/>
      <w:marRight w:val="0"/>
      <w:marTop w:val="0"/>
      <w:marBottom w:val="0"/>
      <w:divBdr>
        <w:top w:val="none" w:sz="0" w:space="0" w:color="auto"/>
        <w:left w:val="none" w:sz="0" w:space="0" w:color="auto"/>
        <w:bottom w:val="none" w:sz="0" w:space="0" w:color="auto"/>
        <w:right w:val="none" w:sz="0" w:space="0" w:color="auto"/>
      </w:divBdr>
    </w:div>
    <w:div w:id="1118379597">
      <w:bodyDiv w:val="1"/>
      <w:marLeft w:val="0"/>
      <w:marRight w:val="0"/>
      <w:marTop w:val="0"/>
      <w:marBottom w:val="0"/>
      <w:divBdr>
        <w:top w:val="none" w:sz="0" w:space="0" w:color="auto"/>
        <w:left w:val="none" w:sz="0" w:space="0" w:color="auto"/>
        <w:bottom w:val="none" w:sz="0" w:space="0" w:color="auto"/>
        <w:right w:val="none" w:sz="0" w:space="0" w:color="auto"/>
      </w:divBdr>
    </w:div>
    <w:div w:id="1525244872">
      <w:bodyDiv w:val="1"/>
      <w:marLeft w:val="0"/>
      <w:marRight w:val="0"/>
      <w:marTop w:val="0"/>
      <w:marBottom w:val="0"/>
      <w:divBdr>
        <w:top w:val="none" w:sz="0" w:space="0" w:color="auto"/>
        <w:left w:val="none" w:sz="0" w:space="0" w:color="auto"/>
        <w:bottom w:val="none" w:sz="0" w:space="0" w:color="auto"/>
        <w:right w:val="none" w:sz="0" w:space="0" w:color="auto"/>
      </w:divBdr>
    </w:div>
    <w:div w:id="1845893906">
      <w:bodyDiv w:val="1"/>
      <w:marLeft w:val="0"/>
      <w:marRight w:val="0"/>
      <w:marTop w:val="0"/>
      <w:marBottom w:val="0"/>
      <w:divBdr>
        <w:top w:val="none" w:sz="0" w:space="0" w:color="auto"/>
        <w:left w:val="none" w:sz="0" w:space="0" w:color="auto"/>
        <w:bottom w:val="none" w:sz="0" w:space="0" w:color="auto"/>
        <w:right w:val="none" w:sz="0" w:space="0" w:color="auto"/>
      </w:divBdr>
    </w:div>
    <w:div w:id="1888103061">
      <w:bodyDiv w:val="1"/>
      <w:marLeft w:val="0"/>
      <w:marRight w:val="0"/>
      <w:marTop w:val="0"/>
      <w:marBottom w:val="0"/>
      <w:divBdr>
        <w:top w:val="none" w:sz="0" w:space="0" w:color="auto"/>
        <w:left w:val="none" w:sz="0" w:space="0" w:color="auto"/>
        <w:bottom w:val="none" w:sz="0" w:space="0" w:color="auto"/>
        <w:right w:val="none" w:sz="0" w:space="0" w:color="auto"/>
      </w:divBdr>
    </w:div>
    <w:div w:id="1927877313">
      <w:marLeft w:val="0"/>
      <w:marRight w:val="0"/>
      <w:marTop w:val="0"/>
      <w:marBottom w:val="0"/>
      <w:divBdr>
        <w:top w:val="none" w:sz="0" w:space="0" w:color="auto"/>
        <w:left w:val="none" w:sz="0" w:space="0" w:color="auto"/>
        <w:bottom w:val="none" w:sz="0" w:space="0" w:color="auto"/>
        <w:right w:val="none" w:sz="0" w:space="0" w:color="auto"/>
      </w:divBdr>
    </w:div>
    <w:div w:id="1927877314">
      <w:marLeft w:val="0"/>
      <w:marRight w:val="0"/>
      <w:marTop w:val="0"/>
      <w:marBottom w:val="0"/>
      <w:divBdr>
        <w:top w:val="none" w:sz="0" w:space="0" w:color="auto"/>
        <w:left w:val="none" w:sz="0" w:space="0" w:color="auto"/>
        <w:bottom w:val="none" w:sz="0" w:space="0" w:color="auto"/>
        <w:right w:val="none" w:sz="0" w:space="0" w:color="auto"/>
      </w:divBdr>
    </w:div>
    <w:div w:id="2051684579">
      <w:bodyDiv w:val="1"/>
      <w:marLeft w:val="0"/>
      <w:marRight w:val="0"/>
      <w:marTop w:val="0"/>
      <w:marBottom w:val="0"/>
      <w:divBdr>
        <w:top w:val="none" w:sz="0" w:space="0" w:color="auto"/>
        <w:left w:val="none" w:sz="0" w:space="0" w:color="auto"/>
        <w:bottom w:val="none" w:sz="0" w:space="0" w:color="auto"/>
        <w:right w:val="none" w:sz="0" w:space="0" w:color="auto"/>
      </w:divBdr>
    </w:div>
    <w:div w:id="2084135425">
      <w:bodyDiv w:val="1"/>
      <w:marLeft w:val="0"/>
      <w:marRight w:val="0"/>
      <w:marTop w:val="0"/>
      <w:marBottom w:val="0"/>
      <w:divBdr>
        <w:top w:val="none" w:sz="0" w:space="0" w:color="auto"/>
        <w:left w:val="none" w:sz="0" w:space="0" w:color="auto"/>
        <w:bottom w:val="none" w:sz="0" w:space="0" w:color="auto"/>
        <w:right w:val="none" w:sz="0" w:space="0" w:color="auto"/>
      </w:divBdr>
    </w:div>
    <w:div w:id="21407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2262</Words>
  <Characters>12826</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casa</Company>
  <LinksUpToDate>false</LinksUpToDate>
  <CharactersWithSpaces>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Mello Advogados</dc:creator>
  <cp:lastModifiedBy>ALINE PAPILe</cp:lastModifiedBy>
  <cp:revision>14</cp:revision>
  <cp:lastPrinted>2016-09-12T17:32:00Z</cp:lastPrinted>
  <dcterms:created xsi:type="dcterms:W3CDTF">2019-04-10T15:43:00Z</dcterms:created>
  <dcterms:modified xsi:type="dcterms:W3CDTF">2019-04-11T00:14:00Z</dcterms:modified>
</cp:coreProperties>
</file>