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914238C"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lastRenderedPageBreak/>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w:t>
      </w:r>
      <w:r w:rsidRPr="00854C94">
        <w:rPr>
          <w:rFonts w:ascii="Arial" w:hAnsi="Arial" w:cs="Arial"/>
          <w:sz w:val="22"/>
          <w:szCs w:val="22"/>
          <w:lang w:val="pt-BR"/>
        </w:rPr>
        <w:lastRenderedPageBreak/>
        <w:t xml:space="preserve">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5" w:name="_DV_M62"/>
      <w:bookmarkStart w:id="46" w:name="_DV_M64"/>
      <w:bookmarkStart w:id="47" w:name="_DV_M65"/>
      <w:bookmarkEnd w:id="41"/>
      <w:bookmarkEnd w:id="45"/>
      <w:bookmarkEnd w:id="46"/>
      <w:bookmarkEnd w:id="47"/>
      <w:r w:rsidRPr="00854C94">
        <w:rPr>
          <w:rFonts w:ascii="Arial" w:hAnsi="Arial" w:cs="Arial"/>
          <w:b/>
          <w:sz w:val="22"/>
          <w:szCs w:val="22"/>
          <w:lang w:val="pt-BR"/>
        </w:rPr>
        <w:t>Objeto Social da Emissora</w:t>
      </w:r>
    </w:p>
    <w:p w14:paraId="6810327F" w14:textId="31FCA086"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8" w:name="_DV_M66"/>
      <w:bookmarkEnd w:id="48"/>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w:t>
      </w:r>
      <w:r w:rsidR="00A90E6C" w:rsidRPr="00854C94">
        <w:rPr>
          <w:rFonts w:ascii="Arial" w:hAnsi="Arial" w:cs="Arial"/>
          <w:sz w:val="22"/>
          <w:szCs w:val="22"/>
          <w:lang w:val="pt-BR"/>
        </w:rPr>
        <w:lastRenderedPageBreak/>
        <w:t>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9" w:name="_DV_M67"/>
      <w:bookmarkEnd w:id="49"/>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0" w:name="_DV_M68"/>
      <w:bookmarkEnd w:id="50"/>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1" w:name="_DV_M69"/>
      <w:bookmarkStart w:id="52" w:name="_DV_M70"/>
      <w:bookmarkStart w:id="53" w:name="_DV_M72"/>
      <w:bookmarkEnd w:id="51"/>
      <w:bookmarkEnd w:id="52"/>
      <w:bookmarkEnd w:id="53"/>
      <w:r w:rsidRPr="00854C94">
        <w:rPr>
          <w:rFonts w:ascii="Arial" w:hAnsi="Arial" w:cs="Arial"/>
          <w:b/>
          <w:sz w:val="22"/>
          <w:szCs w:val="22"/>
          <w:lang w:val="pt-BR"/>
        </w:rPr>
        <w:t>Data de Emissão</w:t>
      </w:r>
    </w:p>
    <w:p w14:paraId="57966CCA" w14:textId="415A69D5"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r w:rsidR="000C6292">
        <w:rPr>
          <w:rFonts w:ascii="Arial" w:hAnsi="Arial" w:cs="Arial"/>
          <w:sz w:val="22"/>
          <w:szCs w:val="22"/>
          <w:lang w:val="pt-BR"/>
        </w:rPr>
        <w:t xml:space="preserve">o dia </w:t>
      </w:r>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4" w:name="_DV_M73"/>
      <w:bookmarkStart w:id="55" w:name="_Toc367387544"/>
      <w:bookmarkEnd w:id="54"/>
      <w:r w:rsidRPr="00854C94">
        <w:rPr>
          <w:rFonts w:ascii="Arial" w:hAnsi="Arial" w:cs="Arial"/>
          <w:sz w:val="22"/>
          <w:szCs w:val="22"/>
          <w:lang w:val="pt-BR"/>
        </w:rPr>
        <w:t>A</w:t>
      </w:r>
      <w:bookmarkEnd w:id="55"/>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74"/>
      <w:bookmarkEnd w:id="56"/>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75"/>
      <w:bookmarkStart w:id="58" w:name="_Ref456375867"/>
      <w:bookmarkStart w:id="59" w:name="_Ref447136239"/>
      <w:bookmarkEnd w:id="57"/>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76"/>
      <w:bookmarkStart w:id="61" w:name="_DV_M78"/>
      <w:bookmarkStart w:id="62" w:name="_DV_M79"/>
      <w:bookmarkStart w:id="63" w:name="_Ref447887212"/>
      <w:bookmarkStart w:id="64" w:name="_Ref419791257"/>
      <w:bookmarkStart w:id="65" w:name="_Ref447323923"/>
      <w:bookmarkEnd w:id="58"/>
      <w:bookmarkEnd w:id="59"/>
      <w:bookmarkEnd w:id="60"/>
      <w:bookmarkEnd w:id="61"/>
      <w:bookmarkEnd w:id="62"/>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 xml:space="preserve">sendo certo que fundos de investimento e carteiras administradas de valores mobiliários </w:t>
      </w:r>
      <w:r w:rsidR="00F110EA" w:rsidRPr="00F110EA">
        <w:rPr>
          <w:rFonts w:ascii="Arial" w:hAnsi="Arial" w:cs="Arial"/>
          <w:sz w:val="22"/>
          <w:szCs w:val="22"/>
          <w:lang w:val="pt-BR"/>
        </w:rPr>
        <w:lastRenderedPageBreak/>
        <w:t>cujas decisões de investimento sejam tomadas pelo mesmo gestor serão considerados como um único investidor para os fins dos limites acima.</w:t>
      </w:r>
      <w:bookmarkEnd w:id="63"/>
      <w:bookmarkEnd w:id="64"/>
    </w:p>
    <w:bookmarkEnd w:id="65"/>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80"/>
      <w:bookmarkStart w:id="67" w:name="_DV_M81"/>
      <w:bookmarkStart w:id="68" w:name="_Toc367218064"/>
      <w:bookmarkStart w:id="69" w:name="_Toc367387559"/>
      <w:bookmarkEnd w:id="66"/>
      <w:bookmarkEnd w:id="67"/>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68"/>
      <w:bookmarkEnd w:id="69"/>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Toc367218065"/>
      <w:bookmarkStart w:id="71"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w:t>
      </w:r>
      <w:r w:rsidRPr="00854C94">
        <w:rPr>
          <w:rFonts w:ascii="Arial" w:hAnsi="Arial" w:cs="Arial"/>
          <w:sz w:val="22"/>
          <w:szCs w:val="22"/>
        </w:rPr>
        <w:lastRenderedPageBreak/>
        <w:t>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0"/>
      <w:bookmarkEnd w:id="71"/>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72" w:name="_DV_M84"/>
      <w:bookmarkStart w:id="73" w:name="_DV_M85"/>
      <w:bookmarkStart w:id="74" w:name="_DV_M87"/>
      <w:bookmarkStart w:id="75" w:name="_DV_M91"/>
      <w:bookmarkStart w:id="76" w:name="_DV_M93"/>
      <w:bookmarkStart w:id="77" w:name="_DV_M94"/>
      <w:bookmarkEnd w:id="72"/>
      <w:bookmarkEnd w:id="73"/>
      <w:bookmarkEnd w:id="74"/>
      <w:bookmarkEnd w:id="75"/>
      <w:bookmarkEnd w:id="76"/>
      <w:bookmarkEnd w:id="77"/>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78" w:name="_DV_M95"/>
      <w:bookmarkEnd w:id="78"/>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0D043690" w:rsidR="0063263C" w:rsidRPr="00854C94" w:rsidRDefault="00F110EA"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96"/>
      <w:bookmarkEnd w:id="79"/>
      <w:r>
        <w:rPr>
          <w:rFonts w:ascii="Arial" w:hAnsi="Arial" w:cs="Arial"/>
          <w:sz w:val="22"/>
          <w:szCs w:val="22"/>
          <w:lang w:val="pt-BR"/>
        </w:rPr>
        <w:t>[</w:t>
      </w:r>
      <w:r w:rsidR="00011453" w:rsidRPr="00854C94">
        <w:rPr>
          <w:rFonts w:ascii="Arial" w:hAnsi="Arial" w:cs="Arial"/>
          <w:sz w:val="22"/>
          <w:szCs w:val="22"/>
        </w:rPr>
        <w:t xml:space="preserve">O banco liquidante e o </w:t>
      </w:r>
      <w:proofErr w:type="spellStart"/>
      <w:r w:rsidR="00011453"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00011453"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00011453" w:rsidRPr="00854C94">
        <w:rPr>
          <w:rFonts w:ascii="Arial" w:hAnsi="Arial" w:cs="Arial"/>
          <w:sz w:val="22"/>
          <w:szCs w:val="22"/>
        </w:rPr>
        <w:t>(“</w:t>
      </w:r>
      <w:r w:rsidR="00011453" w:rsidRPr="00854C94">
        <w:rPr>
          <w:rFonts w:ascii="Arial" w:hAnsi="Arial" w:cs="Arial"/>
          <w:sz w:val="22"/>
          <w:szCs w:val="22"/>
          <w:u w:val="single"/>
        </w:rPr>
        <w:t>Banco Liquidante</w:t>
      </w:r>
      <w:r w:rsidR="005E536D" w:rsidRPr="00854C94">
        <w:rPr>
          <w:rFonts w:ascii="Arial" w:hAnsi="Arial" w:cs="Arial"/>
          <w:sz w:val="22"/>
          <w:szCs w:val="22"/>
          <w:lang w:val="pt-BR"/>
        </w:rPr>
        <w:t>”</w:t>
      </w:r>
      <w:r w:rsidR="00011453"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00011453"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r>
        <w:rPr>
          <w:rFonts w:ascii="Arial" w:hAnsi="Arial" w:cs="Arial"/>
          <w:sz w:val="22"/>
          <w:szCs w:val="22"/>
          <w:lang w:val="pt-BR"/>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0" w:name="_DV_M97"/>
      <w:bookmarkStart w:id="81" w:name="_Ref447070958"/>
      <w:bookmarkEnd w:id="80"/>
      <w:r w:rsidRPr="00854C94">
        <w:rPr>
          <w:rFonts w:ascii="Arial" w:hAnsi="Arial" w:cs="Arial"/>
          <w:b/>
          <w:sz w:val="22"/>
          <w:szCs w:val="22"/>
          <w:lang w:val="pt-BR"/>
        </w:rPr>
        <w:t>Destinação dos Recursos</w:t>
      </w:r>
      <w:bookmarkEnd w:id="81"/>
    </w:p>
    <w:p w14:paraId="6FC616E1" w14:textId="744AC0FE" w:rsidR="006701A1" w:rsidRDefault="00BE5D1F"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82" w:name="_DV_M98"/>
      <w:bookmarkStart w:id="83" w:name="_Ref447277183"/>
      <w:bookmarkEnd w:id="82"/>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930320" w:rsidRPr="00854C94">
        <w:rPr>
          <w:rFonts w:ascii="Arial" w:hAnsi="Arial" w:cs="Arial"/>
          <w:sz w:val="22"/>
          <w:szCs w:val="22"/>
          <w:lang w:val="pt-BR"/>
        </w:rPr>
        <w:t>a</w:t>
      </w:r>
      <w:r w:rsidR="00426487" w:rsidRPr="00854C94">
        <w:rPr>
          <w:rFonts w:ascii="Arial" w:hAnsi="Arial" w:cs="Arial"/>
          <w:sz w:val="22"/>
          <w:szCs w:val="22"/>
          <w:lang w:val="pt-BR"/>
        </w:rPr>
        <w:t>o fortalecimento d</w:t>
      </w:r>
      <w:r w:rsidR="00B563C9" w:rsidRPr="00854C94">
        <w:rPr>
          <w:rFonts w:ascii="Arial" w:hAnsi="Arial" w:cs="Arial"/>
          <w:sz w:val="22"/>
          <w:szCs w:val="22"/>
          <w:lang w:val="pt-BR"/>
        </w:rPr>
        <w:t>e seu</w:t>
      </w:r>
      <w:r w:rsidR="00426487" w:rsidRPr="00854C94">
        <w:rPr>
          <w:rFonts w:ascii="Arial" w:hAnsi="Arial" w:cs="Arial"/>
          <w:sz w:val="22"/>
          <w:szCs w:val="22"/>
          <w:lang w:val="pt-BR"/>
        </w:rPr>
        <w:t xml:space="preserve"> capital de giro</w:t>
      </w:r>
      <w:r w:rsidR="004F430E">
        <w:rPr>
          <w:rFonts w:ascii="Arial" w:hAnsi="Arial" w:cs="Arial"/>
          <w:sz w:val="22"/>
          <w:szCs w:val="22"/>
          <w:lang w:val="pt-BR"/>
        </w:rPr>
        <w:t xml:space="preserve"> e</w:t>
      </w:r>
      <w:r w:rsidR="00426487" w:rsidRPr="00854C94">
        <w:rPr>
          <w:rFonts w:ascii="Arial" w:hAnsi="Arial" w:cs="Arial"/>
          <w:sz w:val="22"/>
          <w:szCs w:val="22"/>
          <w:lang w:val="pt-BR"/>
        </w:rPr>
        <w:t xml:space="preserve"> alongamento de seu endividamento</w:t>
      </w:r>
      <w:r w:rsidR="00871412" w:rsidRPr="00854C94">
        <w:rPr>
          <w:rFonts w:ascii="Arial" w:hAnsi="Arial" w:cs="Arial"/>
          <w:sz w:val="22"/>
          <w:szCs w:val="22"/>
          <w:lang w:val="pt-BR"/>
        </w:rPr>
        <w:t xml:space="preserve">, </w:t>
      </w:r>
      <w:r w:rsidR="00B563C9" w:rsidRPr="00854C94">
        <w:rPr>
          <w:rFonts w:ascii="Arial" w:hAnsi="Arial" w:cs="Arial"/>
          <w:sz w:val="22"/>
          <w:szCs w:val="22"/>
          <w:lang w:val="pt-BR"/>
        </w:rPr>
        <w:t>à critério da Emissora</w:t>
      </w:r>
      <w:r w:rsidR="00817813" w:rsidRPr="00854C94">
        <w:rPr>
          <w:rFonts w:ascii="Arial" w:hAnsi="Arial" w:cs="Arial"/>
          <w:sz w:val="22"/>
          <w:szCs w:val="22"/>
          <w:lang w:val="pt-BR"/>
        </w:rPr>
        <w:t>.</w:t>
      </w:r>
    </w:p>
    <w:p w14:paraId="1E053988" w14:textId="0F8E5B02" w:rsidR="00F110EA" w:rsidRPr="006C4C5F" w:rsidRDefault="00F110EA" w:rsidP="00462A87">
      <w:pPr>
        <w:pStyle w:val="Corpodetexto"/>
        <w:widowControl w:val="0"/>
        <w:numPr>
          <w:ilvl w:val="2"/>
          <w:numId w:val="10"/>
        </w:numPr>
        <w:tabs>
          <w:tab w:val="left" w:pos="0"/>
        </w:tabs>
        <w:spacing w:after="240" w:line="320" w:lineRule="atLeast"/>
        <w:ind w:left="0" w:firstLine="0"/>
        <w:jc w:val="both"/>
      </w:pPr>
      <w:r w:rsidRPr="00462A87">
        <w:rPr>
          <w:rFonts w:ascii="Arial" w:hAnsi="Arial" w:cs="Arial"/>
          <w:sz w:val="22"/>
          <w:szCs w:val="22"/>
        </w:rPr>
        <w:t xml:space="preserve">Para fins de cumprimento da </w:t>
      </w:r>
      <w:r w:rsidRPr="006C4C5F">
        <w:rPr>
          <w:rFonts w:ascii="Arial" w:eastAsia="Arial Unicode MS" w:hAnsi="Arial" w:cs="Arial"/>
          <w:sz w:val="22"/>
          <w:szCs w:val="22"/>
        </w:rPr>
        <w:t>Resolução da CVM nº 17, de 09 de fevereiro de 2021 (“</w:t>
      </w:r>
      <w:r w:rsidRPr="006C4C5F">
        <w:rPr>
          <w:rFonts w:ascii="Arial" w:eastAsia="Arial Unicode MS" w:hAnsi="Arial" w:cs="Arial"/>
          <w:sz w:val="22"/>
          <w:szCs w:val="22"/>
          <w:u w:val="single"/>
        </w:rPr>
        <w:t>Resolução CVM 17</w:t>
      </w:r>
      <w:r w:rsidRPr="006C4C5F">
        <w:rPr>
          <w:rFonts w:ascii="Arial" w:eastAsia="Arial Unicode MS" w:hAnsi="Arial" w:cs="Arial"/>
          <w:sz w:val="22"/>
          <w:szCs w:val="22"/>
        </w:rPr>
        <w:t>”)</w:t>
      </w:r>
      <w:r w:rsidRPr="00462A87">
        <w:rPr>
          <w:rFonts w:ascii="Arial" w:hAnsi="Arial" w:cs="Arial"/>
          <w:sz w:val="22"/>
          <w:szCs w:val="22"/>
        </w:rPr>
        <w:t>, a Emissora deverá encaminhar anualmente para o Agente Fiduciário declaração em papel timbrad</w:t>
      </w:r>
      <w:r w:rsidRPr="001F341F">
        <w:rPr>
          <w:rFonts w:ascii="Arial" w:hAnsi="Arial" w:cs="Arial"/>
          <w:sz w:val="22"/>
          <w:szCs w:val="22"/>
        </w:rPr>
        <w:t xml:space="preserve">o e assinada por representante legal, </w:t>
      </w:r>
      <w:r w:rsidR="00A81DAE" w:rsidRPr="001F341F">
        <w:rPr>
          <w:rFonts w:ascii="Arial" w:hAnsi="Arial" w:cs="Arial"/>
          <w:sz w:val="22"/>
          <w:szCs w:val="22"/>
          <w:lang w:val="pt-BR"/>
        </w:rPr>
        <w:t xml:space="preserve">acompanhando de </w:t>
      </w:r>
      <w:r w:rsidR="00A81DAE" w:rsidRPr="001F341F">
        <w:rPr>
          <w:rFonts w:ascii="Arial" w:hAnsi="Arial" w:cs="Arial"/>
          <w:sz w:val="22"/>
          <w:szCs w:val="22"/>
          <w:lang w:val="pt-BR"/>
        </w:rPr>
        <w:lastRenderedPageBreak/>
        <w:t xml:space="preserve">documentos e informações que demonstrem os valores utilizados, </w:t>
      </w:r>
      <w:r w:rsidRPr="001F341F">
        <w:rPr>
          <w:rFonts w:ascii="Arial" w:hAnsi="Arial" w:cs="Arial"/>
          <w:sz w:val="22"/>
          <w:szCs w:val="22"/>
        </w:rPr>
        <w:t>atestando a destinação dos recursos da presente Emissão, nos termos previstos nesta Escritura de Emissão, em até 90 (noventa) dias do término de cada exercício social, sendo certo que a referida obrigação deverá permanecer até que a Emissora comprove ao Agente Fiduciário a destinação da totalidade dos recursos da presente Emissão ou até a Data de Ve</w:t>
      </w:r>
      <w:r w:rsidRPr="003330A6">
        <w:rPr>
          <w:rFonts w:ascii="Arial" w:hAnsi="Arial" w:cs="Arial"/>
          <w:sz w:val="22"/>
          <w:szCs w:val="22"/>
        </w:rPr>
        <w:t>ncimento (conforme definido abaixo), o que ocorrer primeiro, juntamente com toda a documentação que for necessária para fins de comprovação da referida destinação.</w:t>
      </w:r>
    </w:p>
    <w:p w14:paraId="1D68AA2E" w14:textId="3D7FA5EB"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4" w:name="_Toc499990325"/>
      <w:bookmarkStart w:id="85" w:name="_Toc280370537"/>
      <w:bookmarkStart w:id="86" w:name="_Toc349040593"/>
      <w:bookmarkStart w:id="87" w:name="_Toc351469178"/>
      <w:bookmarkStart w:id="88" w:name="_Toc352767480"/>
      <w:bookmarkStart w:id="89" w:name="_Toc355626567"/>
      <w:bookmarkEnd w:id="8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84"/>
      <w:bookmarkEnd w:id="85"/>
      <w:bookmarkEnd w:id="86"/>
      <w:bookmarkEnd w:id="87"/>
      <w:bookmarkEnd w:id="88"/>
      <w:bookmarkEnd w:id="89"/>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0" w:name="_DV_M114"/>
      <w:bookmarkStart w:id="91" w:name="_Ref447887175"/>
      <w:bookmarkStart w:id="92" w:name="_Toc499990326"/>
      <w:bookmarkEnd w:id="90"/>
      <w:r w:rsidRPr="00854C94">
        <w:rPr>
          <w:rFonts w:ascii="Arial" w:hAnsi="Arial" w:cs="Arial"/>
          <w:b/>
          <w:sz w:val="22"/>
          <w:szCs w:val="22"/>
          <w:lang w:val="pt-BR"/>
        </w:rPr>
        <w:t>Características</w:t>
      </w:r>
      <w:bookmarkEnd w:id="91"/>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3" w:name="_DV_M115"/>
      <w:bookmarkEnd w:id="93"/>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4" w:name="_DV_M117"/>
      <w:bookmarkEnd w:id="94"/>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1D0AE280" w14:textId="573B4DF7" w:rsidR="00F110EA" w:rsidRPr="006C4C5F" w:rsidRDefault="009E2EC8" w:rsidP="006C4C5F">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30CDCFEB" w14:textId="529E1BBC" w:rsidR="00F110EA" w:rsidRPr="006C4C5F" w:rsidRDefault="00F110EA" w:rsidP="00F110E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46284A58" w14:textId="748B8B16" w:rsidR="0063263C" w:rsidRPr="00854C94" w:rsidRDefault="00953B24"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 xml:space="preserve">, </w:t>
      </w:r>
      <w:r w:rsidR="004A7F03">
        <w:rPr>
          <w:rFonts w:ascii="Arial" w:hAnsi="Arial" w:cs="Arial"/>
          <w:sz w:val="22"/>
          <w:szCs w:val="22"/>
          <w:lang w:val="pt-BR"/>
        </w:rPr>
        <w:t xml:space="preserve">ou seja, </w:t>
      </w:r>
      <w:r w:rsidR="0063263C" w:rsidRPr="00854C94">
        <w:rPr>
          <w:rFonts w:ascii="Arial" w:hAnsi="Arial" w:cs="Arial"/>
          <w:sz w:val="22"/>
          <w:szCs w:val="22"/>
        </w:rPr>
        <w:t xml:space="preserve">não conversíveis em ações de emissão da Emissora. </w:t>
      </w:r>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5" w:name="_DV_M118"/>
      <w:bookmarkEnd w:id="95"/>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6" w:name="_Toc367387463"/>
      <w:bookmarkStart w:id="97" w:name="_Toc367387576"/>
      <w:bookmarkStart w:id="98" w:name="_Toc367389043"/>
      <w:bookmarkStart w:id="99" w:name="_Toc375090252"/>
      <w:bookmarkStart w:id="100" w:name="_Toc368667902"/>
      <w:bookmarkStart w:id="101"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96"/>
      <w:bookmarkEnd w:id="97"/>
      <w:bookmarkEnd w:id="98"/>
      <w:bookmarkEnd w:id="99"/>
      <w:bookmarkEnd w:id="100"/>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w:t>
      </w:r>
      <w:r w:rsidR="003150E0" w:rsidRPr="00854C94">
        <w:rPr>
          <w:rFonts w:ascii="Arial" w:hAnsi="Arial" w:cs="Arial"/>
          <w:sz w:val="22"/>
          <w:szCs w:val="22"/>
          <w:lang w:val="pt-BR"/>
        </w:rPr>
        <w:lastRenderedPageBreak/>
        <w:t xml:space="preserve">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1"/>
    </w:p>
    <w:p w14:paraId="34DB7C17" w14:textId="77777777"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2" w:name="_DV_M119"/>
      <w:bookmarkStart w:id="103" w:name="_DV_M122"/>
      <w:bookmarkStart w:id="104" w:name="_DV_M125"/>
      <w:bookmarkStart w:id="105" w:name="_Ref447281637"/>
      <w:bookmarkStart w:id="106" w:name="_Toc499990343"/>
      <w:bookmarkEnd w:id="92"/>
      <w:bookmarkEnd w:id="102"/>
      <w:bookmarkEnd w:id="103"/>
      <w:bookmarkEnd w:id="104"/>
      <w:r w:rsidRPr="00854C94">
        <w:rPr>
          <w:rFonts w:ascii="Arial" w:hAnsi="Arial" w:cs="Arial"/>
          <w:b/>
          <w:sz w:val="22"/>
          <w:szCs w:val="22"/>
          <w:lang w:val="pt-BR"/>
        </w:rPr>
        <w:t>Atualização Monetária</w:t>
      </w:r>
    </w:p>
    <w:bookmarkEnd w:id="105"/>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107" w:name="_DV_M126"/>
      <w:bookmarkEnd w:id="107"/>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1FAED880"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8" w:name="_DV_M127"/>
      <w:bookmarkStart w:id="109" w:name="_Ref447067151"/>
      <w:bookmarkEnd w:id="108"/>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09"/>
    <w:p w14:paraId="6B9F7F2E" w14:textId="4EDE3E2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lastRenderedPageBreak/>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lastRenderedPageBreak/>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0" w:name="_DV_M146"/>
      <w:bookmarkStart w:id="111" w:name="_DV_M158"/>
      <w:bookmarkStart w:id="112" w:name="_DV_M160"/>
      <w:bookmarkStart w:id="113" w:name="_DV_M161"/>
      <w:bookmarkStart w:id="114" w:name="_Toc375090256"/>
      <w:bookmarkStart w:id="115" w:name="_Toc375090257"/>
      <w:bookmarkStart w:id="116" w:name="_Toc375090258"/>
      <w:bookmarkStart w:id="117" w:name="_DV_C87"/>
      <w:bookmarkStart w:id="118" w:name="_Ref263874908"/>
      <w:bookmarkStart w:id="119" w:name="_Ref297575384"/>
      <w:bookmarkStart w:id="120" w:name="_Ref297645315"/>
      <w:bookmarkStart w:id="121" w:name="_Ref331092039"/>
      <w:bookmarkStart w:id="122" w:name="_Ref332120930"/>
      <w:bookmarkStart w:id="123" w:name="_Ref332139437"/>
      <w:bookmarkStart w:id="124" w:name="_Ref333827088"/>
      <w:bookmarkStart w:id="125" w:name="_Ref333231006"/>
      <w:bookmarkStart w:id="126" w:name="_Toc367387593"/>
      <w:bookmarkEnd w:id="110"/>
      <w:bookmarkEnd w:id="111"/>
      <w:bookmarkEnd w:id="112"/>
      <w:bookmarkEnd w:id="113"/>
      <w:bookmarkEnd w:id="114"/>
      <w:bookmarkEnd w:id="115"/>
      <w:bookmarkEnd w:id="116"/>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w:t>
      </w:r>
      <w:r w:rsidRPr="00A25395">
        <w:rPr>
          <w:rFonts w:ascii="Arial" w:hAnsi="Arial" w:cs="Arial"/>
          <w:sz w:val="22"/>
          <w:szCs w:val="22"/>
        </w:rPr>
        <w:lastRenderedPageBreak/>
        <w:t xml:space="preserve">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56C62BD3"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7A0D3D71"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27" w:name="_DV_M159"/>
      <w:bookmarkStart w:id="128" w:name="_DV_M162"/>
      <w:bookmarkStart w:id="129" w:name="_DV_M163"/>
      <w:bookmarkStart w:id="130" w:name="_DV_M168"/>
      <w:bookmarkStart w:id="131" w:name="_DV_M184"/>
      <w:bookmarkStart w:id="132" w:name="_DV_M196"/>
      <w:bookmarkStart w:id="133" w:name="_DV_M197"/>
      <w:bookmarkStart w:id="134" w:name="_DV_M198"/>
      <w:bookmarkStart w:id="135" w:name="_DV_M199"/>
      <w:bookmarkStart w:id="136" w:name="_DV_M202"/>
      <w:bookmarkStart w:id="137" w:name="_DV_M203"/>
      <w:bookmarkStart w:id="138" w:name="_DV_M204"/>
      <w:bookmarkStart w:id="139" w:name="_DV_M205"/>
      <w:bookmarkStart w:id="140" w:name="_DV_M206"/>
      <w:bookmarkStart w:id="141" w:name="_DV_M207"/>
      <w:bookmarkStart w:id="142" w:name="_DV_M208"/>
      <w:bookmarkStart w:id="143" w:name="_DV_M209"/>
      <w:bookmarkStart w:id="144" w:name="_DV_M210"/>
      <w:bookmarkEnd w:id="10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507BCDBC" w:rsidR="00053E82" w:rsidRPr="00854C94" w:rsidRDefault="004A7F03"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3890953E"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1DBA2D3D"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0A663C1B"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lastRenderedPageBreak/>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0F1C7B1A"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proofErr w:type="gramEnd"/>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77777777"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45" w:name="_DV_M211"/>
      <w:bookmarkEnd w:id="145"/>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3E205F6E" w14:textId="62769285" w:rsidR="00854C94" w:rsidRPr="00462A87" w:rsidRDefault="005061FB" w:rsidP="006C4C5F">
      <w:pPr>
        <w:pStyle w:val="Corpodetexto"/>
        <w:widowControl w:val="0"/>
        <w:numPr>
          <w:ilvl w:val="2"/>
          <w:numId w:val="10"/>
        </w:numPr>
        <w:tabs>
          <w:tab w:val="left" w:pos="0"/>
        </w:tabs>
        <w:spacing w:after="240" w:line="320" w:lineRule="atLeast"/>
        <w:ind w:left="0" w:firstLine="0"/>
        <w:jc w:val="both"/>
      </w:pPr>
      <w:bookmarkStart w:id="146"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w:t>
      </w:r>
      <w:r w:rsidR="00C1192A">
        <w:rPr>
          <w:rFonts w:ascii="Arial" w:hAnsi="Arial" w:cs="Arial"/>
          <w:sz w:val="22"/>
          <w:szCs w:val="22"/>
          <w:lang w:val="pt-BR"/>
        </w:rPr>
        <w:t xml:space="preserve">Total </w:t>
      </w:r>
      <w:r w:rsidR="0004647B" w:rsidRPr="00854C94">
        <w:rPr>
          <w:rFonts w:ascii="Arial" w:hAnsi="Arial" w:cs="Arial"/>
          <w:sz w:val="22"/>
          <w:szCs w:val="22"/>
          <w:lang w:val="pt-BR"/>
        </w:rPr>
        <w:t>ou Oferta Facultativa de Resgate Antecipado</w:t>
      </w:r>
      <w:r w:rsidR="00C1192A">
        <w:rPr>
          <w:rFonts w:ascii="Arial" w:hAnsi="Arial" w:cs="Arial"/>
          <w:sz w:val="22"/>
          <w:szCs w:val="22"/>
          <w:lang w:val="pt-BR"/>
        </w:rPr>
        <w:t xml:space="preserve"> (conforme abaixo definidos)</w:t>
      </w:r>
      <w:r w:rsidRPr="00854C94">
        <w:rPr>
          <w:rFonts w:ascii="Arial" w:hAnsi="Arial" w:cs="Arial"/>
          <w:sz w:val="22"/>
          <w:szCs w:val="22"/>
        </w:rPr>
        <w:t>, nos termos previstos nesta Escritura de Emissão</w:t>
      </w:r>
      <w:bookmarkEnd w:id="146"/>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décimo 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49437401"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de Amortização sobre o </w:t>
            </w:r>
            <w:r w:rsidR="00874E67">
              <w:rPr>
                <w:rFonts w:ascii="Arial" w:hAnsi="Arial" w:cs="Arial"/>
                <w:b/>
                <w:sz w:val="22"/>
                <w:szCs w:val="22"/>
                <w:lang w:eastAsia="x-none"/>
              </w:rPr>
              <w:t xml:space="preserve">saldo do </w:t>
            </w:r>
            <w:r w:rsidRPr="00854C94">
              <w:rPr>
                <w:rFonts w:ascii="Arial" w:hAnsi="Arial" w:cs="Arial"/>
                <w:b/>
                <w:sz w:val="22"/>
                <w:szCs w:val="22"/>
                <w:lang w:eastAsia="x-none"/>
              </w:rPr>
              <w:t>Valor Nominal Unitário de Emissão das Debêntures</w:t>
            </w:r>
          </w:p>
        </w:tc>
      </w:tr>
      <w:tr w:rsidR="00921310" w:rsidRPr="00854C94" w14:paraId="3A22E8EF" w14:textId="77777777" w:rsidTr="00B87E97">
        <w:trPr>
          <w:trHeight w:val="418"/>
          <w:jc w:val="center"/>
        </w:trPr>
        <w:tc>
          <w:tcPr>
            <w:tcW w:w="2410" w:type="dxa"/>
            <w:vAlign w:val="center"/>
          </w:tcPr>
          <w:p w14:paraId="532DEEF3" w14:textId="79DFEDA7" w:rsidR="00921310" w:rsidRPr="00854C94" w:rsidRDefault="0025427D" w:rsidP="00854C94">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1EAD0ABE"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6F81E43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651D70A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proofErr w:type="gramStart"/>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w:t>
            </w:r>
            <w:proofErr w:type="gramEnd"/>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1FD0A236" w14:textId="46518000"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47" w:name="_DV_M212"/>
      <w:bookmarkEnd w:id="147"/>
      <w:r w:rsidRPr="00B87E97">
        <w:rPr>
          <w:rFonts w:ascii="Arial" w:hAnsi="Arial" w:cs="Arial"/>
          <w:b/>
          <w:sz w:val="22"/>
          <w:szCs w:val="22"/>
          <w:lang w:val="pt-BR"/>
        </w:rPr>
        <w:t>Publicidade</w:t>
      </w:r>
      <w:r w:rsidR="00084376" w:rsidRPr="00B87E97">
        <w:rPr>
          <w:rFonts w:ascii="Arial" w:hAnsi="Arial" w:cs="Arial"/>
          <w:b/>
          <w:sz w:val="22"/>
          <w:szCs w:val="22"/>
          <w:lang w:val="pt-BR"/>
        </w:rPr>
        <w:t xml:space="preserve"> </w:t>
      </w:r>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48" w:name="_DV_M213"/>
      <w:bookmarkEnd w:id="148"/>
      <w:r w:rsidRPr="00B87E97">
        <w:rPr>
          <w:rFonts w:ascii="Arial" w:hAnsi="Arial" w:cs="Arial"/>
          <w:sz w:val="22"/>
          <w:szCs w:val="22"/>
        </w:rPr>
        <w:lastRenderedPageBreak/>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55CA5C6F"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49" w:name="_DV_M215"/>
      <w:bookmarkStart w:id="150" w:name="_DV_M217"/>
      <w:bookmarkEnd w:id="149"/>
      <w:bookmarkEnd w:id="150"/>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r w:rsidR="00C1192A">
        <w:rPr>
          <w:rFonts w:ascii="Arial" w:hAnsi="Arial" w:cs="Arial"/>
          <w:b/>
          <w:sz w:val="22"/>
          <w:szCs w:val="22"/>
          <w:lang w:val="pt-BR"/>
        </w:rPr>
        <w:t>de Debenturistas</w:t>
      </w:r>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51" w:name="_DV_M218"/>
      <w:bookmarkStart w:id="152" w:name="_Ref379570729"/>
      <w:bookmarkEnd w:id="151"/>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0EC0E8F1" w14:textId="48A7A272" w:rsidR="00150639" w:rsidRPr="00854C94" w:rsidRDefault="00150639" w:rsidP="00462A87">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B53175" w14:textId="77777777" w:rsidR="0016653B" w:rsidRPr="00854C94" w:rsidRDefault="0016653B"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53" w:name="_DV_M222"/>
      <w:bookmarkStart w:id="154" w:name="_Ref370460269"/>
      <w:bookmarkStart w:id="155" w:name="_Toc499990364"/>
      <w:bookmarkEnd w:id="152"/>
      <w:bookmarkEnd w:id="153"/>
      <w:r w:rsidRPr="00854C94">
        <w:rPr>
          <w:rFonts w:ascii="Arial" w:hAnsi="Arial" w:cs="Arial"/>
          <w:b/>
          <w:sz w:val="22"/>
          <w:szCs w:val="22"/>
          <w:lang w:val="pt-BR"/>
        </w:rPr>
        <w:t>Garantia</w:t>
      </w:r>
      <w:r w:rsidR="00075BF7" w:rsidRPr="00854C94">
        <w:rPr>
          <w:rFonts w:ascii="Arial" w:hAnsi="Arial" w:cs="Arial"/>
          <w:b/>
          <w:sz w:val="22"/>
          <w:szCs w:val="22"/>
          <w:lang w:val="pt-BR"/>
        </w:rPr>
        <w:t>s</w:t>
      </w:r>
      <w:r w:rsidRPr="00854C94">
        <w:rPr>
          <w:rFonts w:ascii="Arial" w:hAnsi="Arial" w:cs="Arial"/>
          <w:b/>
          <w:sz w:val="22"/>
          <w:szCs w:val="22"/>
          <w:lang w:val="pt-BR"/>
        </w:rPr>
        <w:t xml:space="preserve"> </w:t>
      </w:r>
      <w:bookmarkEnd w:id="154"/>
    </w:p>
    <w:p w14:paraId="5737090E" w14:textId="5B063752" w:rsidR="00A47E74" w:rsidRDefault="007B5B74"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56" w:name="_Ref447276717"/>
      <w:r w:rsidRPr="00854C94">
        <w:rPr>
          <w:rFonts w:ascii="Arial" w:hAnsi="Arial" w:cs="Arial"/>
          <w:sz w:val="22"/>
          <w:szCs w:val="22"/>
        </w:rPr>
        <w:t>As Debêntures</w:t>
      </w:r>
      <w:r w:rsidR="00223707" w:rsidRPr="00854C94">
        <w:rPr>
          <w:rFonts w:ascii="Arial" w:hAnsi="Arial" w:cs="Arial"/>
          <w:sz w:val="22"/>
          <w:szCs w:val="22"/>
          <w:lang w:val="pt-BR"/>
        </w:rPr>
        <w:t xml:space="preserve"> </w:t>
      </w:r>
      <w:r w:rsidR="00A47E74" w:rsidRPr="00854C94">
        <w:rPr>
          <w:rFonts w:ascii="Arial" w:hAnsi="Arial" w:cs="Arial"/>
          <w:sz w:val="22"/>
          <w:szCs w:val="22"/>
          <w:lang w:val="pt-BR"/>
        </w:rPr>
        <w:t xml:space="preserve">não </w:t>
      </w:r>
      <w:r w:rsidRPr="00854C94">
        <w:rPr>
          <w:rFonts w:ascii="Arial" w:hAnsi="Arial" w:cs="Arial"/>
          <w:sz w:val="22"/>
          <w:szCs w:val="22"/>
        </w:rPr>
        <w:t>contarão com garantia</w:t>
      </w:r>
      <w:bookmarkStart w:id="157" w:name="_Toc499990365"/>
      <w:bookmarkStart w:id="158" w:name="_Toc280370540"/>
      <w:bookmarkStart w:id="159" w:name="_Toc349040596"/>
      <w:bookmarkStart w:id="160" w:name="_Toc351469181"/>
      <w:bookmarkStart w:id="161" w:name="_Toc352767483"/>
      <w:bookmarkStart w:id="162" w:name="_Toc355626570"/>
      <w:bookmarkEnd w:id="155"/>
      <w:bookmarkEnd w:id="156"/>
      <w:r w:rsidR="0045568D" w:rsidRPr="00854C94">
        <w:rPr>
          <w:rFonts w:ascii="Arial" w:hAnsi="Arial" w:cs="Arial"/>
          <w:sz w:val="22"/>
          <w:szCs w:val="22"/>
          <w:lang w:val="pt-BR"/>
        </w:rPr>
        <w:t>s reais ou pessoais.</w:t>
      </w:r>
    </w:p>
    <w:p w14:paraId="3D50F516" w14:textId="03050E44" w:rsidR="00C1192A" w:rsidRDefault="00C1192A" w:rsidP="00C1192A">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0A4A076F" w14:textId="4D620305" w:rsidR="00C1192A" w:rsidRPr="006C4C5F" w:rsidRDefault="00C1192A" w:rsidP="006C4C5F">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p>
    <w:p w14:paraId="756336B9" w14:textId="12802A74"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t>Local de Pagamento</w:t>
      </w:r>
      <w:r w:rsidR="00084376">
        <w:rPr>
          <w:rFonts w:ascii="Arial" w:hAnsi="Arial" w:cs="Arial"/>
          <w:b/>
          <w:sz w:val="22"/>
          <w:szCs w:val="22"/>
          <w:lang w:val="pt-BR"/>
        </w:rPr>
        <w:t xml:space="preserve"> </w:t>
      </w:r>
    </w:p>
    <w:p w14:paraId="69C48698" w14:textId="7E6E2AB1" w:rsidR="00AE5D5C" w:rsidRDefault="00AE5D5C" w:rsidP="006C4C5F">
      <w:pPr>
        <w:pStyle w:val="Lista2"/>
        <w:numPr>
          <w:ilvl w:val="0"/>
          <w:numId w:val="35"/>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lastRenderedPageBreak/>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00778FF0" w14:textId="09A64C08"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p>
    <w:p w14:paraId="50F4710A" w14:textId="7C2235CB" w:rsidR="00AE5D5C" w:rsidRPr="00AE0786" w:rsidRDefault="00AE5D5C" w:rsidP="006C4C5F">
      <w:pPr>
        <w:pStyle w:val="Lista2"/>
        <w:numPr>
          <w:ilvl w:val="0"/>
          <w:numId w:val="61"/>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63"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163"/>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27FF379" w14:textId="73DF3AA3" w:rsidR="003B58BC"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022E9DA" w14:textId="77777777"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t>CLÁUSULA </w:t>
      </w:r>
      <w:r>
        <w:rPr>
          <w:rFonts w:ascii="Arial" w:hAnsi="Arial" w:cs="Arial"/>
          <w:b/>
          <w:sz w:val="22"/>
          <w:szCs w:val="22"/>
          <w:lang w:val="pt-BR"/>
        </w:rPr>
        <w:t>V</w:t>
      </w:r>
      <w:r w:rsidRPr="00854C94">
        <w:rPr>
          <w:rFonts w:ascii="Arial" w:hAnsi="Arial" w:cs="Arial"/>
          <w:b/>
          <w:sz w:val="22"/>
          <w:szCs w:val="22"/>
          <w:lang w:val="pt-BR"/>
        </w:rPr>
        <w:t xml:space="preserve"> - Aquisição Facultativa, Resgate Antecipado Facultativo </w:t>
      </w:r>
      <w:r>
        <w:rPr>
          <w:rFonts w:ascii="Arial" w:hAnsi="Arial" w:cs="Arial"/>
          <w:b/>
          <w:sz w:val="22"/>
          <w:szCs w:val="22"/>
          <w:lang w:val="pt-BR"/>
        </w:rPr>
        <w:t xml:space="preserve">Total </w:t>
      </w:r>
      <w:r w:rsidRPr="00854C94">
        <w:rPr>
          <w:rFonts w:ascii="Arial" w:hAnsi="Arial" w:cs="Arial"/>
          <w:b/>
          <w:sz w:val="22"/>
          <w:szCs w:val="22"/>
          <w:lang w:val="pt-BR"/>
        </w:rPr>
        <w:t>e Oferta Facultativa de Resgate Antecipado</w:t>
      </w:r>
    </w:p>
    <w:p w14:paraId="1C0C5D6A" w14:textId="1949EBFD"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lastRenderedPageBreak/>
        <w:t>Aquisição Facultativa</w:t>
      </w:r>
    </w:p>
    <w:p w14:paraId="26720027" w14:textId="726EB46B" w:rsidR="00BC27E3" w:rsidRPr="00854C94" w:rsidRDefault="00BC27E3" w:rsidP="006C4C5F">
      <w:pPr>
        <w:pStyle w:val="Corpodetexto"/>
        <w:widowControl w:val="0"/>
        <w:numPr>
          <w:ilvl w:val="0"/>
          <w:numId w:val="41"/>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3FB5DCC3"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Pr>
          <w:rFonts w:ascii="Arial" w:hAnsi="Arial" w:cs="Arial"/>
          <w:sz w:val="22"/>
          <w:szCs w:val="22"/>
        </w:rPr>
        <w:t>[●]</w:t>
      </w:r>
      <w:r w:rsidRPr="00854C94">
        <w:rPr>
          <w:rFonts w:ascii="Arial" w:hAnsi="Arial" w:cs="Arial"/>
          <w:sz w:val="22"/>
          <w:szCs w:val="22"/>
        </w:rPr>
        <w:t xml:space="preserve"> de </w:t>
      </w:r>
      <w:r>
        <w:rPr>
          <w:rFonts w:ascii="Arial" w:hAnsi="Arial" w:cs="Arial"/>
          <w:sz w:val="22"/>
          <w:szCs w:val="22"/>
        </w:rPr>
        <w:t>[●]</w:t>
      </w:r>
      <w:r w:rsidRPr="00854C94">
        <w:rPr>
          <w:rFonts w:ascii="Arial" w:hAnsi="Arial" w:cs="Arial"/>
          <w:sz w:val="22"/>
          <w:szCs w:val="22"/>
        </w:rPr>
        <w:t xml:space="preserve"> de 202</w:t>
      </w:r>
      <w:r>
        <w:rPr>
          <w:rFonts w:ascii="Arial" w:hAnsi="Arial" w:cs="Arial"/>
          <w:sz w:val="22"/>
          <w:szCs w:val="22"/>
        </w:rPr>
        <w:t>[●]</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4.7 abaixo,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qualquer outra informação relevante aos Debenturistas. </w:t>
      </w:r>
    </w:p>
    <w:p w14:paraId="0C75FA10"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incidente sobre o valor total do resgate, equivalente a </w:t>
      </w:r>
      <w:r>
        <w:rPr>
          <w:rFonts w:ascii="Arial" w:hAnsi="Arial" w:cs="Arial"/>
          <w:sz w:val="22"/>
          <w:szCs w:val="22"/>
        </w:rPr>
        <w:t>[●]</w:t>
      </w:r>
      <w:r w:rsidRPr="00854C94">
        <w:rPr>
          <w:rFonts w:ascii="Arial" w:hAnsi="Arial" w:cs="Arial"/>
          <w:sz w:val="22"/>
          <w:szCs w:val="22"/>
          <w:lang w:eastAsia="x-none"/>
        </w:rPr>
        <w:t>% (</w:t>
      </w:r>
      <w:r>
        <w:rPr>
          <w:rFonts w:ascii="Arial" w:hAnsi="Arial" w:cs="Arial"/>
          <w:sz w:val="22"/>
          <w:szCs w:val="22"/>
        </w:rPr>
        <w:t>[●]</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expresso em Reais, apurado com </w:t>
      </w:r>
      <w:r w:rsidRPr="00854C94">
        <w:rPr>
          <w:rFonts w:ascii="Arial" w:hAnsi="Arial" w:cs="Arial"/>
          <w:sz w:val="22"/>
          <w:szCs w:val="22"/>
          <w:lang w:eastAsia="x-none"/>
        </w:rPr>
        <w:lastRenderedPageBreak/>
        <w:t>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34C075F3" w14:textId="03F20CEF" w:rsidR="00BC27E3" w:rsidRPr="006C4C5F" w:rsidRDefault="00BC27E3" w:rsidP="006C4C5F">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4EFB7CD5" w14:textId="5482B0AB"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20F0D8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xml:space="preserve">”),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w:t>
      </w:r>
      <w:r w:rsidRPr="00854C94">
        <w:rPr>
          <w:rFonts w:ascii="Arial" w:hAnsi="Arial" w:cs="Arial"/>
          <w:bCs/>
          <w:sz w:val="22"/>
          <w:szCs w:val="22"/>
          <w:lang w:val="pt-BR"/>
        </w:rPr>
        <w:lastRenderedPageBreak/>
        <w:t>seus respectivos titulares em adesão à Oferta Facultativa de Resgate Antecipado.</w:t>
      </w:r>
    </w:p>
    <w:p w14:paraId="52B0D657"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651BB32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o resultado do sorteio.</w:t>
      </w:r>
    </w:p>
    <w:p w14:paraId="72B3C5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75AF1793"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592862C1"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Pr="006C4C5F" w:rsidRDefault="00BC27E3" w:rsidP="006C4C5F">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 das Debêntures.</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64" w:name="_Ref447281287"/>
      <w:bookmarkStart w:id="165"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lastRenderedPageBreak/>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164"/>
      <w:bookmarkEnd w:id="165"/>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66" w:name="_Ref272253565"/>
      <w:bookmarkStart w:id="167" w:name="_Ref456388500"/>
      <w:bookmarkStart w:id="168"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169" w:name="OLE_LINK5"/>
      <w:r w:rsidR="00A20718" w:rsidRPr="00016C15">
        <w:rPr>
          <w:rFonts w:ascii="Arial" w:eastAsia="Arial Unicode MS" w:hAnsi="Arial" w:cs="Arial"/>
          <w:bCs/>
        </w:rPr>
        <w:t>e/ou de suas Controladas Relevantes</w:t>
      </w:r>
      <w:bookmarkEnd w:id="169"/>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166"/>
      <w:r w:rsidR="00A20718">
        <w:rPr>
          <w:rFonts w:ascii="Arial" w:hAnsi="Arial" w:cs="Arial"/>
        </w:rPr>
        <w:t xml:space="preserve">. </w:t>
      </w:r>
      <w:r w:rsidR="00A20718" w:rsidRPr="002E714B">
        <w:rPr>
          <w:rFonts w:ascii="Arial" w:eastAsia="Arial Unicode MS" w:hAnsi="Arial" w:cs="Arial"/>
          <w:bCs/>
        </w:rPr>
        <w:t>Para fins desta Escritura de Emissão serão consideradas “Controladas Relevantes” aquelas que representem ao menos 5% (cinco 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167"/>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0B8CAFFA" w14:textId="77777777"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xml:space="preserve">) se a quantidade de ações ordinária de emissão da Companhia envolvidas na </w:t>
      </w:r>
      <w:r w:rsidR="006F0777" w:rsidRPr="00854C94">
        <w:rPr>
          <w:rFonts w:ascii="Arial" w:eastAsia="Arial Unicode MS" w:hAnsi="Arial" w:cs="Arial"/>
        </w:rPr>
        <w:lastRenderedPageBreak/>
        <w:t>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 xml:space="preserve">Assembleia Geral de Debenturistas, visando a deliberar sobre a declaração do vencimento antecipado das Debêntures, na ocorrência de qualquer uma das </w:t>
      </w:r>
      <w:r w:rsidRPr="006C4C5F">
        <w:rPr>
          <w:rFonts w:ascii="Arial" w:hAnsi="Arial" w:cs="Arial"/>
          <w:sz w:val="22"/>
          <w:szCs w:val="22"/>
        </w:rPr>
        <w:lastRenderedPageBreak/>
        <w:t>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falta de cumprimento pela Emissora, por qualquer de suas controladas, de qualquer 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0D9A83A2"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w:t>
      </w:r>
      <w:r w:rsidRPr="00854C94">
        <w:rPr>
          <w:rFonts w:ascii="Arial" w:eastAsia="Arial Unicode MS" w:hAnsi="Arial" w:cs="Arial"/>
          <w:bCs/>
        </w:rPr>
        <w:lastRenderedPageBreak/>
        <w:t>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12293035"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w:t>
      </w:r>
      <w:r w:rsidRPr="00854C94">
        <w:rPr>
          <w:rFonts w:ascii="Arial" w:eastAsia="Arial Unicode MS" w:hAnsi="Arial" w:cs="Arial"/>
          <w:bCs/>
        </w:rPr>
        <w:lastRenderedPageBreak/>
        <w:t>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170" w:name="_Ref447131607"/>
      <w:bookmarkStart w:id="171" w:name="_Ref447134723"/>
      <w:bookmarkEnd w:id="168"/>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70"/>
      <w:bookmarkEnd w:id="171"/>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172" w:name="_Ref447131609"/>
      <w:r w:rsidRPr="00854C94">
        <w:rPr>
          <w:rStyle w:val="DeltaViewInsertion"/>
          <w:rFonts w:ascii="Arial" w:eastAsia="Arial Unicode MS" w:hAnsi="Arial" w:cs="Arial"/>
          <w:color w:val="auto"/>
          <w:sz w:val="22"/>
          <w:szCs w:val="22"/>
          <w:u w:val="none"/>
        </w:rPr>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e em até 7 (sete) Dias Úteis contados da data em que tomar conhecimento do Evento de 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w:t>
      </w:r>
      <w:r w:rsidRPr="00854C94">
        <w:rPr>
          <w:rStyle w:val="DeltaViewInsertion"/>
          <w:rFonts w:ascii="Arial" w:eastAsia="Arial Unicode MS" w:hAnsi="Arial" w:cs="Arial"/>
          <w:color w:val="auto"/>
          <w:sz w:val="22"/>
          <w:szCs w:val="22"/>
          <w:u w:val="none"/>
        </w:rPr>
        <w:lastRenderedPageBreak/>
        <w:t>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6418A9D1" w14:textId="7777777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73" w:name="_DV_M245"/>
      <w:bookmarkStart w:id="174" w:name="_DV_M246"/>
      <w:bookmarkStart w:id="175" w:name="_DV_M247"/>
      <w:bookmarkStart w:id="176" w:name="_DV_M248"/>
      <w:bookmarkStart w:id="177" w:name="_DV_M1483"/>
      <w:bookmarkStart w:id="178" w:name="_DV_M1484"/>
      <w:bookmarkStart w:id="179" w:name="_DV_M249"/>
      <w:bookmarkStart w:id="180" w:name="_DV_M255"/>
      <w:bookmarkStart w:id="181" w:name="_DV_M256"/>
      <w:bookmarkStart w:id="182" w:name="_DV_M257"/>
      <w:bookmarkStart w:id="183" w:name="_DV_M258"/>
      <w:bookmarkStart w:id="184" w:name="_DV_M259"/>
      <w:bookmarkStart w:id="185" w:name="_DV_M260"/>
      <w:bookmarkStart w:id="186" w:name="_DV_M261"/>
      <w:bookmarkStart w:id="187" w:name="_DV_M272"/>
      <w:bookmarkStart w:id="188" w:name="_DV_M354"/>
      <w:bookmarkStart w:id="189" w:name="_DV_M388"/>
      <w:bookmarkStart w:id="190" w:name="_DV_M391"/>
      <w:bookmarkStart w:id="191" w:name="_DV_M394"/>
      <w:bookmarkStart w:id="192" w:name="_DV_M396"/>
      <w:bookmarkStart w:id="193" w:name="_Toc499990368"/>
      <w:bookmarkStart w:id="194" w:name="_Toc280370541"/>
      <w:bookmarkStart w:id="195" w:name="_Toc349040597"/>
      <w:bookmarkStart w:id="196" w:name="_Toc355626571"/>
      <w:bookmarkStart w:id="197" w:name="_Toc351469182"/>
      <w:bookmarkStart w:id="198" w:name="_Toc352767484"/>
      <w:bookmarkEnd w:id="157"/>
      <w:bookmarkEnd w:id="158"/>
      <w:bookmarkEnd w:id="159"/>
      <w:bookmarkEnd w:id="160"/>
      <w:bookmarkEnd w:id="161"/>
      <w:bookmarkEnd w:id="16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199" w:name="_DV_M397"/>
      <w:bookmarkEnd w:id="193"/>
      <w:bookmarkEnd w:id="199"/>
      <w:r w:rsidR="0063263C" w:rsidRPr="00854C94">
        <w:rPr>
          <w:rFonts w:ascii="Arial" w:hAnsi="Arial" w:cs="Arial"/>
          <w:b/>
          <w:sz w:val="22"/>
          <w:szCs w:val="22"/>
        </w:rPr>
        <w:t>EMISSOR</w:t>
      </w:r>
      <w:r w:rsidR="00E024D0" w:rsidRPr="00854C94">
        <w:rPr>
          <w:rFonts w:ascii="Arial" w:hAnsi="Arial" w:cs="Arial"/>
          <w:b/>
          <w:sz w:val="22"/>
          <w:szCs w:val="22"/>
        </w:rPr>
        <w:t>A</w:t>
      </w:r>
      <w:bookmarkStart w:id="200" w:name="_DV_M398"/>
      <w:bookmarkStart w:id="201" w:name="_DV_M399"/>
      <w:bookmarkEnd w:id="194"/>
      <w:bookmarkEnd w:id="195"/>
      <w:bookmarkEnd w:id="196"/>
      <w:bookmarkEnd w:id="197"/>
      <w:bookmarkEnd w:id="198"/>
      <w:bookmarkEnd w:id="200"/>
      <w:bookmarkEnd w:id="201"/>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202"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202"/>
      <w:r w:rsidR="00FA5B52" w:rsidRPr="00854C94">
        <w:rPr>
          <w:rFonts w:ascii="Arial" w:hAnsi="Arial" w:cs="Arial"/>
          <w:sz w:val="22"/>
          <w:szCs w:val="22"/>
        </w:rPr>
        <w:t xml:space="preserve"> </w:t>
      </w:r>
      <w:bookmarkStart w:id="203" w:name="_DV_M400"/>
      <w:bookmarkEnd w:id="203"/>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spellStart"/>
      <w:r w:rsidRPr="00854C94">
        <w:rPr>
          <w:rFonts w:ascii="Arial" w:eastAsia="Arial Unicode MS" w:hAnsi="Arial" w:cs="Arial"/>
        </w:rPr>
        <w:t>fornecer</w:t>
      </w:r>
      <w:proofErr w:type="spell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04" w:name="_DV_M404"/>
      <w:bookmarkEnd w:id="204"/>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w:t>
      </w:r>
      <w:r w:rsidR="003B79EE" w:rsidRPr="00854C94">
        <w:rPr>
          <w:rFonts w:ascii="Arial" w:eastAsia="Arial Unicode MS" w:hAnsi="Arial" w:cs="Arial"/>
        </w:rPr>
        <w:lastRenderedPageBreak/>
        <w:t xml:space="preserve">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05" w:name="_DV_M405"/>
      <w:bookmarkStart w:id="206" w:name="_DV_M407"/>
      <w:bookmarkStart w:id="207" w:name="_DV_M408"/>
      <w:bookmarkEnd w:id="205"/>
      <w:bookmarkEnd w:id="206"/>
      <w:bookmarkEnd w:id="207"/>
      <w:r w:rsidRPr="00854C94">
        <w:rPr>
          <w:rFonts w:ascii="Arial" w:eastAsia="Arial Unicode MS" w:hAnsi="Arial" w:cs="Arial"/>
        </w:rPr>
        <w:t>em até 5 (cinco) Dias Úteis contados do recebimento da solicitação, qualquer informação que</w:t>
      </w:r>
      <w:bookmarkStart w:id="208" w:name="_DV_M456"/>
      <w:bookmarkEnd w:id="208"/>
      <w:r w:rsidRPr="00854C94">
        <w:rPr>
          <w:rFonts w:ascii="Arial" w:eastAsia="Arial Unicode MS" w:hAnsi="Arial" w:cs="Arial"/>
        </w:rPr>
        <w:t xml:space="preserve"> venha a ser solicitada pelo Agente Fiduciário</w:t>
      </w:r>
      <w:bookmarkStart w:id="209"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09"/>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0" w:name="_DV_M402"/>
      <w:bookmarkStart w:id="211" w:name="_DV_M403"/>
      <w:bookmarkStart w:id="212" w:name="_DV_M409"/>
      <w:bookmarkStart w:id="213" w:name="_DV_M410"/>
      <w:bookmarkStart w:id="214" w:name="_DV_M411"/>
      <w:bookmarkStart w:id="215" w:name="_DV_M413"/>
      <w:bookmarkStart w:id="216" w:name="_DV_M414"/>
      <w:bookmarkStart w:id="217" w:name="_DV_M418"/>
      <w:bookmarkStart w:id="218" w:name="_DV_M419"/>
      <w:bookmarkStart w:id="219" w:name="_DV_M420"/>
      <w:bookmarkStart w:id="220" w:name="_Ref367288459"/>
      <w:bookmarkEnd w:id="210"/>
      <w:bookmarkEnd w:id="211"/>
      <w:bookmarkEnd w:id="212"/>
      <w:bookmarkEnd w:id="213"/>
      <w:bookmarkEnd w:id="214"/>
      <w:bookmarkEnd w:id="215"/>
      <w:bookmarkEnd w:id="216"/>
      <w:bookmarkEnd w:id="217"/>
      <w:bookmarkEnd w:id="218"/>
      <w:bookmarkEnd w:id="219"/>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1"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xml:space="preserve">) submeter suas </w:t>
      </w:r>
      <w:r w:rsidRPr="000A217A">
        <w:rPr>
          <w:rFonts w:ascii="Arial" w:eastAsia="Arial Unicode MS" w:hAnsi="Arial" w:cs="Arial"/>
        </w:rPr>
        <w:lastRenderedPageBreak/>
        <w:t>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20"/>
      <w:bookmarkEnd w:id="221"/>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2" w:name="_DV_M421"/>
      <w:bookmarkStart w:id="223" w:name="_DV_M423"/>
      <w:bookmarkStart w:id="224" w:name="_DV_M424"/>
      <w:bookmarkStart w:id="225" w:name="_DV_M425"/>
      <w:bookmarkEnd w:id="222"/>
      <w:bookmarkEnd w:id="223"/>
      <w:bookmarkEnd w:id="224"/>
      <w:bookmarkEnd w:id="225"/>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26" w:name="_DV_M426"/>
      <w:bookmarkEnd w:id="226"/>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27" w:name="_DV_M427"/>
      <w:bookmarkStart w:id="228" w:name="_DV_M428"/>
      <w:bookmarkStart w:id="229" w:name="_DV_M429"/>
      <w:bookmarkStart w:id="230" w:name="_DV_M430"/>
      <w:bookmarkStart w:id="231" w:name="_DV_M431"/>
      <w:bookmarkEnd w:id="227"/>
      <w:bookmarkEnd w:id="228"/>
      <w:bookmarkEnd w:id="229"/>
      <w:bookmarkEnd w:id="230"/>
      <w:bookmarkEnd w:id="231"/>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32" w:name="_DV_M432"/>
      <w:bookmarkStart w:id="233" w:name="_DV_M435"/>
      <w:bookmarkStart w:id="234" w:name="_DV_M461"/>
      <w:bookmarkStart w:id="235" w:name="_Ref354474877"/>
      <w:bookmarkEnd w:id="232"/>
      <w:bookmarkEnd w:id="233"/>
      <w:bookmarkEnd w:id="234"/>
    </w:p>
    <w:bookmarkEnd w:id="235"/>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xml:space="preserve">, com o envio de documentos e, ainda, </w:t>
      </w:r>
      <w:r w:rsidRPr="00854C94">
        <w:rPr>
          <w:rFonts w:ascii="Arial" w:eastAsia="MS Mincho" w:hAnsi="Arial" w:cs="Arial"/>
        </w:rPr>
        <w:lastRenderedPageBreak/>
        <w:t>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Leis 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lastRenderedPageBreak/>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não praticar qualquer ato em desacordo com seu estatuto social que possa comprometer o pontual e integral cumprimento das obrigações principais e acessórias 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36" w:name="_DV_M462"/>
      <w:bookmarkStart w:id="237" w:name="_DV_M470"/>
      <w:bookmarkStart w:id="238" w:name="_Toc499990370"/>
      <w:bookmarkStart w:id="239" w:name="_Toc280370542"/>
      <w:bookmarkStart w:id="240" w:name="_Toc349040598"/>
      <w:bookmarkStart w:id="241" w:name="_Toc351469183"/>
      <w:bookmarkStart w:id="242" w:name="_Toc352767485"/>
      <w:bookmarkStart w:id="243" w:name="_Toc355626572"/>
      <w:bookmarkEnd w:id="236"/>
      <w:bookmarkEnd w:id="237"/>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lastRenderedPageBreak/>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44" w:name="_DV_C426"/>
      <w:r w:rsidR="00855070" w:rsidRPr="00854C94">
        <w:rPr>
          <w:rFonts w:ascii="Arial" w:hAnsi="Arial" w:cs="Arial"/>
        </w:rPr>
        <w:t>, vinculativa e eficaz</w:t>
      </w:r>
      <w:bookmarkEnd w:id="244"/>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Contribuição para Financiamento da Seguridade Social (COFINS) e (</w:t>
      </w:r>
      <w:proofErr w:type="spellStart"/>
      <w:r w:rsidRPr="00854C94">
        <w:rPr>
          <w:rFonts w:ascii="Arial" w:hAnsi="Arial" w:cs="Arial"/>
          <w:sz w:val="22"/>
          <w:szCs w:val="22"/>
        </w:rPr>
        <w:t>iv</w:t>
      </w:r>
      <w:proofErr w:type="spellEnd"/>
      <w:r w:rsidRPr="00854C94">
        <w:rPr>
          <w:rFonts w:ascii="Arial" w:hAnsi="Arial" w:cs="Arial"/>
          <w:sz w:val="22"/>
          <w:szCs w:val="22"/>
        </w:rPr>
        <w:t>) quaisquer outros impostos que venham a incidir sobre a remuneração do Agente Fiduciário, excetuando-se o IRRF e CSLL, nas alíquotas vigentes nas datas de 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lastRenderedPageBreak/>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w:t>
      </w:r>
      <w:r w:rsidRPr="00854C94">
        <w:rPr>
          <w:rFonts w:ascii="Arial" w:hAnsi="Arial" w:cs="Arial"/>
          <w:sz w:val="22"/>
          <w:szCs w:val="22"/>
          <w:lang w:val="pt-BR"/>
        </w:rPr>
        <w:lastRenderedPageBreak/>
        <w:t>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w:t>
      </w:r>
      <w:r w:rsidRPr="00854C94">
        <w:rPr>
          <w:rFonts w:ascii="Arial" w:hAnsi="Arial" w:cs="Arial"/>
          <w:sz w:val="22"/>
          <w:szCs w:val="22"/>
          <w:lang w:val="pt-BR"/>
        </w:rPr>
        <w:lastRenderedPageBreak/>
        <w:t>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245" w:name="_Ref447279908"/>
      <w:r w:rsidRPr="00854C94">
        <w:rPr>
          <w:rFonts w:ascii="Arial" w:hAnsi="Arial" w:cs="Arial"/>
          <w:b/>
          <w:sz w:val="22"/>
          <w:szCs w:val="22"/>
        </w:rPr>
        <w:t>Disposições Gerais</w:t>
      </w:r>
      <w:bookmarkEnd w:id="245"/>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 e (k) </w:t>
      </w:r>
      <w:r w:rsidRPr="00854C94">
        <w:rPr>
          <w:rFonts w:ascii="Arial" w:hAnsi="Arial" w:cs="Arial"/>
          <w:sz w:val="22"/>
          <w:szCs w:val="22"/>
          <w:lang w:val="pt-BR"/>
        </w:rPr>
        <w:t xml:space="preserve">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w:t>
      </w:r>
      <w:r w:rsidRPr="00854C94">
        <w:rPr>
          <w:rFonts w:ascii="Arial" w:hAnsi="Arial" w:cs="Arial"/>
          <w:sz w:val="22"/>
          <w:szCs w:val="22"/>
          <w:lang w:val="pt-BR"/>
        </w:rPr>
        <w:lastRenderedPageBreak/>
        <w:t>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246"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246"/>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247" w:name="_DV_M471"/>
      <w:bookmarkStart w:id="248" w:name="_DV_M472"/>
      <w:bookmarkStart w:id="249" w:name="_DV_M473"/>
      <w:bookmarkStart w:id="250" w:name="_DV_M489"/>
      <w:bookmarkStart w:id="251" w:name="_DV_M491"/>
      <w:bookmarkStart w:id="252" w:name="_DV_M496"/>
      <w:bookmarkStart w:id="253" w:name="_DV_M535"/>
      <w:bookmarkStart w:id="254" w:name="_DV_M541"/>
      <w:bookmarkStart w:id="255" w:name="_DV_M542"/>
      <w:bookmarkStart w:id="256" w:name="_DV_M543"/>
      <w:bookmarkStart w:id="257" w:name="_DV_M549"/>
      <w:bookmarkStart w:id="258" w:name="_DV_M550"/>
      <w:bookmarkStart w:id="259" w:name="_DV_M564"/>
      <w:bookmarkStart w:id="260" w:name="_DV_M565"/>
      <w:bookmarkStart w:id="261" w:name="_DV_M568"/>
      <w:bookmarkStart w:id="262" w:name="_DV_M569"/>
      <w:bookmarkStart w:id="263" w:name="_DV_M570"/>
      <w:bookmarkStart w:id="264" w:name="_DV_M571"/>
      <w:bookmarkStart w:id="265" w:name="_DV_M572"/>
      <w:bookmarkStart w:id="266" w:name="_DV_M573"/>
      <w:bookmarkStart w:id="267" w:name="_DV_M574"/>
      <w:bookmarkStart w:id="268" w:name="_DV_M575"/>
      <w:bookmarkStart w:id="269" w:name="_DV_M576"/>
      <w:bookmarkStart w:id="270" w:name="_DV_M577"/>
      <w:bookmarkStart w:id="271" w:name="_DV_M578"/>
      <w:bookmarkStart w:id="272" w:name="_DV_M579"/>
      <w:bookmarkStart w:id="273" w:name="_DV_M580"/>
      <w:bookmarkStart w:id="274" w:name="_DV_M584"/>
      <w:bookmarkStart w:id="275" w:name="_DV_M585"/>
      <w:bookmarkStart w:id="276" w:name="_DV_M586"/>
      <w:bookmarkStart w:id="277" w:name="_DV_M587"/>
      <w:bookmarkStart w:id="278" w:name="_DV_M589"/>
      <w:bookmarkStart w:id="279" w:name="_DV_M590"/>
      <w:bookmarkStart w:id="280" w:name="_DV_M392"/>
      <w:bookmarkStart w:id="281" w:name="_DV_M393"/>
      <w:bookmarkStart w:id="282" w:name="_DV_M591"/>
      <w:bookmarkStart w:id="283" w:name="_Toc499990383"/>
      <w:bookmarkStart w:id="284" w:name="_Toc280370544"/>
      <w:bookmarkStart w:id="285" w:name="_Toc349040600"/>
      <w:bookmarkStart w:id="286" w:name="_Toc351469185"/>
      <w:bookmarkStart w:id="287" w:name="_Toc352767487"/>
      <w:bookmarkStart w:id="288" w:name="_Toc355626574"/>
      <w:bookmarkEnd w:id="238"/>
      <w:bookmarkEnd w:id="239"/>
      <w:bookmarkEnd w:id="240"/>
      <w:bookmarkEnd w:id="241"/>
      <w:bookmarkEnd w:id="242"/>
      <w:bookmarkEnd w:id="24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289" w:name="_DV_M592"/>
      <w:bookmarkEnd w:id="283"/>
      <w:bookmarkEnd w:id="289"/>
      <w:r w:rsidR="0063263C" w:rsidRPr="00854C94">
        <w:rPr>
          <w:rFonts w:ascii="Arial" w:hAnsi="Arial" w:cs="Arial"/>
          <w:b/>
          <w:sz w:val="22"/>
          <w:szCs w:val="22"/>
        </w:rPr>
        <w:t xml:space="preserve"> E GARANTIAS DA EMISSORA</w:t>
      </w:r>
      <w:bookmarkStart w:id="290" w:name="_DV_M593"/>
      <w:bookmarkEnd w:id="284"/>
      <w:bookmarkEnd w:id="285"/>
      <w:bookmarkEnd w:id="286"/>
      <w:bookmarkEnd w:id="287"/>
      <w:bookmarkEnd w:id="288"/>
      <w:bookmarkEnd w:id="290"/>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291" w:name="_DV_M595"/>
      <w:bookmarkEnd w:id="291"/>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w:t>
      </w:r>
      <w:r w:rsidRPr="00854C94">
        <w:rPr>
          <w:rFonts w:ascii="Arial" w:eastAsia="Arial Unicode MS" w:hAnsi="Arial" w:cs="Arial"/>
        </w:rPr>
        <w:lastRenderedPageBreak/>
        <w:t>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292" w:name="_DV_M597"/>
      <w:bookmarkStart w:id="293" w:name="_DV_M598"/>
      <w:bookmarkEnd w:id="292"/>
      <w:bookmarkEnd w:id="293"/>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294" w:name="_DV_M599"/>
      <w:bookmarkEnd w:id="294"/>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295" w:name="_DV_M601"/>
      <w:bookmarkEnd w:id="295"/>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296" w:name="_DV_M603"/>
      <w:bookmarkEnd w:id="296"/>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demonstrações financeiras da Emissora, em conjunto com as respectivas notas </w:t>
      </w:r>
      <w:r w:rsidRPr="00854C94">
        <w:rPr>
          <w:rFonts w:ascii="Arial" w:eastAsia="Arial Unicode MS" w:hAnsi="Arial" w:cs="Arial"/>
          <w:sz w:val="22"/>
          <w:szCs w:val="22"/>
        </w:rPr>
        <w:lastRenderedPageBreak/>
        <w:t>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w:t>
      </w:r>
      <w:r w:rsidRPr="00854C94">
        <w:rPr>
          <w:rFonts w:ascii="Arial" w:hAnsi="Arial" w:cs="Arial"/>
          <w:sz w:val="22"/>
          <w:szCs w:val="22"/>
          <w:lang w:eastAsia="x-none"/>
        </w:rPr>
        <w:lastRenderedPageBreak/>
        <w:t xml:space="preserve">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297" w:name="_DV_M614"/>
      <w:bookmarkStart w:id="298" w:name="_Toc499990386"/>
      <w:bookmarkStart w:id="299" w:name="_Toc280370545"/>
      <w:bookmarkStart w:id="300" w:name="_Toc349040601"/>
      <w:bookmarkStart w:id="301" w:name="_Toc351469186"/>
      <w:bookmarkStart w:id="302" w:name="_Toc352767488"/>
      <w:bookmarkStart w:id="303" w:name="_Toc355626575"/>
      <w:bookmarkEnd w:id="297"/>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Rigon</w:t>
      </w:r>
      <w:proofErr w:type="spellEnd"/>
      <w:r w:rsidR="00E127CF" w:rsidRPr="00854C94">
        <w:rPr>
          <w:rFonts w:ascii="Arial" w:hAnsi="Arial" w:cs="Arial"/>
          <w:sz w:val="22"/>
          <w:szCs w:val="22"/>
        </w:rPr>
        <w:t xml:space="preserve">, Karina </w:t>
      </w:r>
      <w:proofErr w:type="spellStart"/>
      <w:r w:rsidR="00E127CF" w:rsidRPr="00854C94">
        <w:rPr>
          <w:rFonts w:ascii="Arial" w:hAnsi="Arial" w:cs="Arial"/>
          <w:sz w:val="22"/>
          <w:szCs w:val="22"/>
        </w:rPr>
        <w:t>Simioni</w:t>
      </w:r>
      <w:proofErr w:type="spellEnd"/>
      <w:r w:rsidR="00E127CF" w:rsidRPr="00854C94">
        <w:rPr>
          <w:rFonts w:ascii="Arial" w:hAnsi="Arial" w:cs="Arial"/>
          <w:sz w:val="22"/>
          <w:szCs w:val="22"/>
        </w:rPr>
        <w:t xml:space="preserve">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lastRenderedPageBreak/>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w:t>
      </w:r>
      <w:r w:rsidRPr="002E714B">
        <w:rPr>
          <w:rFonts w:ascii="Arial" w:hAnsi="Arial" w:cs="Arial"/>
          <w:sz w:val="22"/>
          <w:szCs w:val="22"/>
          <w:lang w:val="pt-BR" w:eastAsia="pt-BR"/>
        </w:rPr>
        <w:lastRenderedPageBreak/>
        <w:t>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lastRenderedPageBreak/>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w:t>
            </w:r>
            <w:proofErr w:type="spellStart"/>
            <w:r>
              <w:rPr>
                <w:rFonts w:ascii="Arial" w:eastAsia="Arial Unicode MS" w:hAnsi="Arial" w:cs="Arial"/>
                <w:sz w:val="22"/>
                <w:szCs w:val="22"/>
              </w:rPr>
              <w:t>Rigon</w:t>
            </w:r>
            <w:proofErr w:type="spellEnd"/>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298"/>
          <w:bookmarkEnd w:id="299"/>
          <w:bookmarkEnd w:id="300"/>
          <w:bookmarkEnd w:id="301"/>
          <w:bookmarkEnd w:id="302"/>
          <w:bookmarkEnd w:id="303"/>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102"/>
      <w:footerReference w:type="default" r:id="rId103"/>
      <w:headerReference w:type="first" r:id="rId104"/>
      <w:footerReference w:type="first" r:id="rId105"/>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D42F" w14:textId="77777777" w:rsidR="00880FAD" w:rsidRDefault="00880FAD">
      <w:r>
        <w:separator/>
      </w:r>
    </w:p>
  </w:endnote>
  <w:endnote w:type="continuationSeparator" w:id="0">
    <w:p w14:paraId="5C8C6AF0" w14:textId="77777777" w:rsidR="00880FAD" w:rsidRDefault="00880FAD">
      <w:r>
        <w:continuationSeparator/>
      </w:r>
    </w:p>
  </w:endnote>
  <w:endnote w:type="continuationNotice" w:id="1">
    <w:p w14:paraId="267BF7C4" w14:textId="77777777" w:rsidR="00880FAD" w:rsidRDefault="0088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AC7A" w14:textId="77777777" w:rsidR="00880FAD" w:rsidRDefault="00880FAD">
      <w:r>
        <w:separator/>
      </w:r>
    </w:p>
  </w:footnote>
  <w:footnote w:type="continuationSeparator" w:id="0">
    <w:p w14:paraId="6F09FB07" w14:textId="77777777" w:rsidR="00880FAD" w:rsidRDefault="00880FAD">
      <w:r>
        <w:continuationSeparator/>
      </w:r>
    </w:p>
  </w:footnote>
  <w:footnote w:type="continuationNotice" w:id="1">
    <w:p w14:paraId="56761401" w14:textId="77777777" w:rsidR="00880FAD" w:rsidRDefault="00880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Minuta Veirano</w:t>
    </w:r>
  </w:p>
  <w:p w14:paraId="7DF11D95" w14:textId="584BCAED"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w:t>
    </w:r>
    <w:r w:rsidR="000C6292">
      <w:rPr>
        <w:rFonts w:ascii="Arial" w:hAnsi="Arial" w:cs="Arial"/>
        <w:b/>
        <w:smallCaps/>
        <w:sz w:val="22"/>
        <w:lang w:val="pt-BR"/>
      </w:rPr>
      <w:t>6</w:t>
    </w:r>
    <w:r>
      <w:rPr>
        <w:rFonts w:ascii="Arial" w:hAnsi="Arial" w:cs="Arial"/>
        <w:b/>
        <w:smallCaps/>
        <w:sz w:val="22"/>
        <w:lang w:val="pt-BR"/>
      </w:rPr>
      <w:t>.04.2022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37"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9"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6"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405322">
    <w:abstractNumId w:val="4"/>
  </w:num>
  <w:num w:numId="2" w16cid:durableId="1345547077">
    <w:abstractNumId w:val="5"/>
  </w:num>
  <w:num w:numId="3" w16cid:durableId="889147076">
    <w:abstractNumId w:val="1"/>
  </w:num>
  <w:num w:numId="4" w16cid:durableId="1130125228">
    <w:abstractNumId w:val="0"/>
  </w:num>
  <w:num w:numId="5" w16cid:durableId="788626584">
    <w:abstractNumId w:val="2"/>
  </w:num>
  <w:num w:numId="6" w16cid:durableId="1434519492">
    <w:abstractNumId w:val="46"/>
  </w:num>
  <w:num w:numId="7" w16cid:durableId="2115904946">
    <w:abstractNumId w:val="38"/>
  </w:num>
  <w:num w:numId="8" w16cid:durableId="1562130503">
    <w:abstractNumId w:val="51"/>
  </w:num>
  <w:num w:numId="9" w16cid:durableId="2025474371">
    <w:abstractNumId w:val="50"/>
  </w:num>
  <w:num w:numId="10" w16cid:durableId="1446271760">
    <w:abstractNumId w:val="20"/>
  </w:num>
  <w:num w:numId="11" w16cid:durableId="171264383">
    <w:abstractNumId w:val="60"/>
  </w:num>
  <w:num w:numId="12" w16cid:durableId="1690059718">
    <w:abstractNumId w:val="39"/>
  </w:num>
  <w:num w:numId="13" w16cid:durableId="1209997617">
    <w:abstractNumId w:val="24"/>
  </w:num>
  <w:num w:numId="14" w16cid:durableId="1988508694">
    <w:abstractNumId w:val="59"/>
  </w:num>
  <w:num w:numId="15" w16cid:durableId="2074160520">
    <w:abstractNumId w:val="16"/>
  </w:num>
  <w:num w:numId="16" w16cid:durableId="521479363">
    <w:abstractNumId w:val="61"/>
  </w:num>
  <w:num w:numId="17" w16cid:durableId="605696366">
    <w:abstractNumId w:val="56"/>
  </w:num>
  <w:num w:numId="18" w16cid:durableId="311712217">
    <w:abstractNumId w:val="47"/>
  </w:num>
  <w:num w:numId="19" w16cid:durableId="1173447892">
    <w:abstractNumId w:val="22"/>
  </w:num>
  <w:num w:numId="20" w16cid:durableId="97215839">
    <w:abstractNumId w:val="29"/>
  </w:num>
  <w:num w:numId="21" w16cid:durableId="1145706459">
    <w:abstractNumId w:val="32"/>
  </w:num>
  <w:num w:numId="22" w16cid:durableId="1430389260">
    <w:abstractNumId w:val="44"/>
  </w:num>
  <w:num w:numId="23" w16cid:durableId="1113937727">
    <w:abstractNumId w:val="53"/>
  </w:num>
  <w:num w:numId="24" w16cid:durableId="180703791">
    <w:abstractNumId w:val="30"/>
  </w:num>
  <w:num w:numId="25" w16cid:durableId="185485682">
    <w:abstractNumId w:val="9"/>
  </w:num>
  <w:num w:numId="26" w16cid:durableId="883440710">
    <w:abstractNumId w:val="10"/>
  </w:num>
  <w:num w:numId="27" w16cid:durableId="1188327120">
    <w:abstractNumId w:val="34"/>
  </w:num>
  <w:num w:numId="28" w16cid:durableId="1252734145">
    <w:abstractNumId w:val="33"/>
  </w:num>
  <w:num w:numId="29" w16cid:durableId="733117726">
    <w:abstractNumId w:val="35"/>
  </w:num>
  <w:num w:numId="30" w16cid:durableId="1175148057">
    <w:abstractNumId w:val="36"/>
  </w:num>
  <w:num w:numId="31" w16cid:durableId="462650025">
    <w:abstractNumId w:val="6"/>
  </w:num>
  <w:num w:numId="32" w16cid:durableId="1394280620">
    <w:abstractNumId w:val="45"/>
  </w:num>
  <w:num w:numId="33" w16cid:durableId="1017729744">
    <w:abstractNumId w:val="11"/>
  </w:num>
  <w:num w:numId="34" w16cid:durableId="349448835">
    <w:abstractNumId w:val="52"/>
  </w:num>
  <w:num w:numId="35" w16cid:durableId="1196886301">
    <w:abstractNumId w:val="8"/>
  </w:num>
  <w:num w:numId="36" w16cid:durableId="632948441">
    <w:abstractNumId w:val="31"/>
  </w:num>
  <w:num w:numId="37" w16cid:durableId="483661635">
    <w:abstractNumId w:val="21"/>
  </w:num>
  <w:num w:numId="38" w16cid:durableId="437650514">
    <w:abstractNumId w:val="58"/>
  </w:num>
  <w:num w:numId="39" w16cid:durableId="1843279635">
    <w:abstractNumId w:val="12"/>
  </w:num>
  <w:num w:numId="40" w16cid:durableId="854421775">
    <w:abstractNumId w:val="25"/>
  </w:num>
  <w:num w:numId="41" w16cid:durableId="724335721">
    <w:abstractNumId w:val="23"/>
  </w:num>
  <w:num w:numId="42" w16cid:durableId="146940762">
    <w:abstractNumId w:val="54"/>
  </w:num>
  <w:num w:numId="43" w16cid:durableId="1613055687">
    <w:abstractNumId w:val="15"/>
  </w:num>
  <w:num w:numId="44" w16cid:durableId="1845240752">
    <w:abstractNumId w:val="43"/>
  </w:num>
  <w:num w:numId="45" w16cid:durableId="116065460">
    <w:abstractNumId w:val="18"/>
  </w:num>
  <w:num w:numId="46" w16cid:durableId="1042248489">
    <w:abstractNumId w:val="28"/>
  </w:num>
  <w:num w:numId="47" w16cid:durableId="58208401">
    <w:abstractNumId w:val="48"/>
  </w:num>
  <w:num w:numId="48" w16cid:durableId="290594645">
    <w:abstractNumId w:val="26"/>
  </w:num>
  <w:num w:numId="49" w16cid:durableId="617224298">
    <w:abstractNumId w:val="41"/>
  </w:num>
  <w:num w:numId="50" w16cid:durableId="1911118513">
    <w:abstractNumId w:val="14"/>
  </w:num>
  <w:num w:numId="51" w16cid:durableId="2092847616">
    <w:abstractNumId w:val="17"/>
  </w:num>
  <w:num w:numId="52" w16cid:durableId="1264460678">
    <w:abstractNumId w:val="13"/>
  </w:num>
  <w:num w:numId="53" w16cid:durableId="1858300775">
    <w:abstractNumId w:val="19"/>
  </w:num>
  <w:num w:numId="54" w16cid:durableId="1823084843">
    <w:abstractNumId w:val="37"/>
  </w:num>
  <w:num w:numId="55" w16cid:durableId="1390378102">
    <w:abstractNumId w:val="7"/>
  </w:num>
  <w:num w:numId="56" w16cid:durableId="1812092319">
    <w:abstractNumId w:val="55"/>
  </w:num>
  <w:num w:numId="57" w16cid:durableId="157307931">
    <w:abstractNumId w:val="42"/>
  </w:num>
  <w:num w:numId="58" w16cid:durableId="1017848945">
    <w:abstractNumId w:val="40"/>
  </w:num>
  <w:num w:numId="59" w16cid:durableId="2012642235">
    <w:abstractNumId w:val="57"/>
  </w:num>
  <w:num w:numId="60" w16cid:durableId="1540237717">
    <w:abstractNumId w:val="49"/>
  </w:num>
  <w:num w:numId="61" w16cid:durableId="1479879283">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image" Target="media/image3.jp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10.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11.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12.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13.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14.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15.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16.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17.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18.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19.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2.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20.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21.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22.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23.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24.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25.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26.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27.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28.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29.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3.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30.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31.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32.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33.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34.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35.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36.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37.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38.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39.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4.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40.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41.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42.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43.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44.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45.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46.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47.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48.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49.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5.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50.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51.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52.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53.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54.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55.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56.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57.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58.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59.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6.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60.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61.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62.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63.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64.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65.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66.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67.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68.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69.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7.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70.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71.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72.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73.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74.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75.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76.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77.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78.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79.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8.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80.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81.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82.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83.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84.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85.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86.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9.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16839</Words>
  <Characters>90932</Characters>
  <Application>Microsoft Office Word</Application>
  <DocSecurity>0</DocSecurity>
  <Lines>757</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107556</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Luiz Rafael de Vargas Maluf</cp:lastModifiedBy>
  <cp:revision>2</cp:revision>
  <cp:lastPrinted>2019-04-10T23:12:00Z</cp:lastPrinted>
  <dcterms:created xsi:type="dcterms:W3CDTF">2022-04-07T02:25:00Z</dcterms:created>
  <dcterms:modified xsi:type="dcterms:W3CDTF">2022-04-07T02:25:00Z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