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1C0A0476" w:rsidR="00DD716F" w:rsidRPr="003E3D7A" w:rsidRDefault="001C20A7" w:rsidP="001007C4">
      <w:pPr>
        <w:pStyle w:val="Ttulo"/>
        <w:spacing w:before="0" w:after="140"/>
        <w:rPr>
          <w:rFonts w:cs="Tahoma"/>
          <w:szCs w:val="22"/>
        </w:rPr>
      </w:pPr>
      <w:r>
        <w:rPr>
          <w:rFonts w:cs="Tahoma"/>
          <w:szCs w:val="22"/>
        </w:rPr>
        <w:t>TERCEIRO</w:t>
      </w:r>
      <w:r w:rsidR="000B6840">
        <w:rPr>
          <w:rFonts w:cs="Tahoma"/>
          <w:szCs w:val="22"/>
        </w:rPr>
        <w:t xml:space="preserve"> ADITAMENTO E CONSOLIDA</w:t>
      </w:r>
      <w:r w:rsidR="000B6840" w:rsidRPr="00DD4E1B">
        <w:rPr>
          <w:rFonts w:cs="Tahoma"/>
          <w:szCs w:val="22"/>
        </w:rPr>
        <w:t>ÇÃO</w:t>
      </w:r>
      <w:r w:rsidR="000B6840">
        <w:rPr>
          <w:rFonts w:cs="Tahoma"/>
          <w:szCs w:val="22"/>
        </w:rPr>
        <w:t xml:space="preserve"> DA </w:t>
      </w:r>
      <w:r w:rsidR="00DD716F" w:rsidRPr="003E3D7A">
        <w:rPr>
          <w:rFonts w:cs="Tahoma"/>
          <w:szCs w:val="22"/>
        </w:rPr>
        <w:t xml:space="preserve">ESCRITURA PARTICULAR DA </w:t>
      </w:r>
      <w:r w:rsidR="00AA5DF1">
        <w:rPr>
          <w:rFonts w:cs="Tahoma"/>
          <w:szCs w:val="22"/>
        </w:rPr>
        <w:t>1</w:t>
      </w:r>
      <w:r w:rsidR="00DD716F"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00DD716F" w:rsidRPr="00D42BA3">
        <w:rPr>
          <w:rFonts w:cs="Tahoma"/>
          <w:szCs w:val="22"/>
        </w:rPr>
        <w:t xml:space="preserve"> EMISSÃO DE DEBÊNTURES </w:t>
      </w:r>
      <w:bookmarkStart w:id="0" w:name="_DV_C5"/>
      <w:r w:rsidR="00DD716F" w:rsidRPr="00D42BA3">
        <w:rPr>
          <w:rFonts w:cs="Tahoma"/>
          <w:szCs w:val="22"/>
        </w:rPr>
        <w:t xml:space="preserve">SIMPLES, </w:t>
      </w:r>
      <w:bookmarkStart w:id="1" w:name="_DV_M1"/>
      <w:bookmarkEnd w:id="0"/>
      <w:bookmarkEnd w:id="1"/>
      <w:r w:rsidR="00DD716F" w:rsidRPr="00D42BA3">
        <w:rPr>
          <w:rFonts w:cs="Tahoma"/>
          <w:szCs w:val="22"/>
        </w:rPr>
        <w:t>NÃO CONVERSÍVEIS EM AÇÕES</w:t>
      </w:r>
      <w:r w:rsidR="00DD716F" w:rsidRPr="00DD4E1B">
        <w:rPr>
          <w:rFonts w:cs="Tahoma"/>
          <w:szCs w:val="22"/>
        </w:rPr>
        <w:t xml:space="preserve">, </w:t>
      </w:r>
      <w:bookmarkStart w:id="2" w:name="_DV_C6"/>
      <w:r w:rsidR="00DD716F" w:rsidRPr="00DD4E1B">
        <w:rPr>
          <w:rFonts w:cs="Tahoma"/>
          <w:szCs w:val="22"/>
        </w:rPr>
        <w:t xml:space="preserve">DA ESPÉCIE QUIROGRAFÁRIA, </w:t>
      </w:r>
      <w:bookmarkStart w:id="3" w:name="_DV_M2"/>
      <w:bookmarkEnd w:id="2"/>
      <w:bookmarkEnd w:id="3"/>
      <w:r w:rsidR="00DD716F"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r w:rsidR="00406FDF">
        <w:rPr>
          <w:rFonts w:cs="Tahoma"/>
          <w:szCs w:val="22"/>
        </w:rPr>
        <w:t>.</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7E63249E" w:rsidR="00DD716F" w:rsidRPr="00BE5F05" w:rsidRDefault="00670EF0" w:rsidP="00955E4F">
      <w:pPr>
        <w:pStyle w:val="Ttulo"/>
        <w:keepNext w:val="0"/>
        <w:spacing w:before="0" w:after="140"/>
        <w:jc w:val="center"/>
        <w:rPr>
          <w:rFonts w:cs="Tahoma"/>
          <w:szCs w:val="22"/>
        </w:rPr>
      </w:pPr>
      <w:r>
        <w:rPr>
          <w:rFonts w:cs="Tahoma"/>
          <w:szCs w:val="22"/>
        </w:rPr>
        <w:t>[●]</w:t>
      </w:r>
      <w:r w:rsidR="00017788">
        <w:rPr>
          <w:rFonts w:cs="Tahoma"/>
          <w:szCs w:val="22"/>
        </w:rPr>
        <w:t> de dezembro de </w:t>
      </w:r>
      <w:r w:rsidR="00DD716F" w:rsidRPr="00BE5F05">
        <w:rPr>
          <w:rFonts w:cs="Tahoma"/>
          <w:szCs w:val="22"/>
        </w:rPr>
        <w:t>20</w:t>
      </w:r>
      <w:r w:rsidR="00A542D1">
        <w:rPr>
          <w:rFonts w:cs="Tahoma"/>
          <w:szCs w:val="22"/>
        </w:rPr>
        <w:t>2</w:t>
      </w:r>
      <w:r w:rsidR="00017788">
        <w:rPr>
          <w:rFonts w:cs="Tahoma"/>
          <w:szCs w:val="22"/>
        </w:rPr>
        <w:t>1</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49404C33" w:rsidR="00DD716F" w:rsidRPr="0062352A" w:rsidRDefault="001C20A7" w:rsidP="00955E4F">
      <w:pPr>
        <w:pStyle w:val="TtuloAnexo"/>
        <w:spacing w:after="140"/>
        <w:jc w:val="both"/>
        <w:rPr>
          <w:rFonts w:cs="Tahoma"/>
          <w:smallCaps/>
        </w:rPr>
      </w:pPr>
      <w:r>
        <w:rPr>
          <w:rFonts w:cs="Tahoma"/>
          <w:szCs w:val="22"/>
        </w:rPr>
        <w:lastRenderedPageBreak/>
        <w:t>TERCEIRO</w:t>
      </w:r>
      <w:r w:rsidR="000B6840">
        <w:rPr>
          <w:rFonts w:cs="Tahoma"/>
          <w:szCs w:val="22"/>
        </w:rPr>
        <w:t xml:space="preserve"> ADITAMENTO E CONSOLIDA</w:t>
      </w:r>
      <w:r w:rsidR="000B6840" w:rsidRPr="00DD4E1B">
        <w:rPr>
          <w:rFonts w:cs="Tahoma"/>
          <w:szCs w:val="22"/>
        </w:rPr>
        <w:t>ÇÃO</w:t>
      </w:r>
      <w:r w:rsidR="000B6840">
        <w:rPr>
          <w:rFonts w:cs="Tahoma"/>
          <w:szCs w:val="22"/>
        </w:rPr>
        <w:t xml:space="preserve"> DA </w:t>
      </w:r>
      <w:r w:rsidR="00DD716F" w:rsidRPr="00960BA0">
        <w:rPr>
          <w:rFonts w:cs="Tahoma"/>
        </w:rPr>
        <w:t xml:space="preserve">ESCRITURA PARTICULAR DA </w:t>
      </w:r>
      <w:r w:rsidR="00CC6EE6">
        <w:rPr>
          <w:rFonts w:cs="Tahoma"/>
        </w:rPr>
        <w:t>1</w:t>
      </w:r>
      <w:r w:rsidR="00DD716F" w:rsidRPr="00960BA0">
        <w:rPr>
          <w:rFonts w:cs="Tahoma"/>
        </w:rPr>
        <w:t>ª (</w:t>
      </w:r>
      <w:r w:rsidR="00CC6EE6">
        <w:rPr>
          <w:rFonts w:cs="Tahoma"/>
        </w:rPr>
        <w:t>PRIMEIRA</w:t>
      </w:r>
      <w:r w:rsidR="00DD716F" w:rsidRPr="00960BA0">
        <w:rPr>
          <w:rFonts w:cs="Tahoma"/>
        </w:rPr>
        <w:t>) EMISSÃO DE DEBÊNTURES SIMPLES, NÃO CONVERSÍVEIS EM AÇÕES, DA ESPÉCIE QUIROGRAFÁRIA,</w:t>
      </w:r>
      <w:r w:rsidR="00803B35">
        <w:rPr>
          <w:rFonts w:cs="Tahoma"/>
        </w:rPr>
        <w:t xml:space="preserve"> </w:t>
      </w:r>
      <w:r w:rsidR="00DD716F"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587168ED"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nest</w:t>
      </w:r>
      <w:r w:rsidR="000B6840">
        <w:rPr>
          <w:rFonts w:cs="Tahoma"/>
        </w:rPr>
        <w:t>e</w:t>
      </w:r>
      <w:r w:rsidRPr="00960BA0">
        <w:rPr>
          <w:rFonts w:cs="Tahoma"/>
        </w:rPr>
        <w:t xml:space="preserve"> “</w:t>
      </w:r>
      <w:r w:rsidR="001C20A7">
        <w:rPr>
          <w:rFonts w:cs="Tahoma"/>
        </w:rPr>
        <w:t>Terceiro</w:t>
      </w:r>
      <w:r w:rsidR="000B6840">
        <w:rPr>
          <w:rFonts w:cs="Tahoma"/>
        </w:rPr>
        <w:t xml:space="preserve"> Aditamento e Consolidação da </w:t>
      </w:r>
      <w:r w:rsidRPr="00960BA0">
        <w:rPr>
          <w:rFonts w:cs="Tahoma"/>
        </w:rPr>
        <w:t xml:space="preserve">Escritura Particular da </w:t>
      </w:r>
      <w:r w:rsidR="00CC6EE6">
        <w:rPr>
          <w:rFonts w:cs="Tahoma"/>
        </w:rPr>
        <w:t>1</w:t>
      </w:r>
      <w:r w:rsidRPr="00960BA0">
        <w:rPr>
          <w:rFonts w:cs="Tahoma"/>
        </w:rPr>
        <w:t>ª</w:t>
      </w:r>
      <w:r w:rsidR="00670EF0">
        <w:rPr>
          <w:rFonts w:cs="Tahoma"/>
        </w:rPr>
        <w:t> </w:t>
      </w:r>
      <w:r w:rsidRPr="00960BA0">
        <w:rPr>
          <w:rFonts w:cs="Tahoma"/>
        </w:rPr>
        <w:t>(</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w:t>
      </w:r>
      <w:r w:rsidR="00670EF0">
        <w:rPr>
          <w:rFonts w:cs="Tahoma"/>
        </w:rPr>
        <w:t> </w:t>
      </w:r>
      <w:r w:rsidRPr="00960BA0">
        <w:rPr>
          <w:rFonts w:cs="Tahoma"/>
        </w:rPr>
        <w:t>(“</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777ED170" w14:textId="66C82E58" w:rsidR="00670EF0" w:rsidRDefault="005764B9" w:rsidP="00955E4F">
      <w:pPr>
        <w:pStyle w:val="Body"/>
        <w:rPr>
          <w:rFonts w:cs="Tahoma"/>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p>
    <w:p w14:paraId="44C53DE5" w14:textId="77777777" w:rsidR="003D3F42" w:rsidRDefault="003D3F42" w:rsidP="003D3F42">
      <w:pPr>
        <w:pStyle w:val="Body"/>
        <w:rPr>
          <w:rFonts w:eastAsia="Batang" w:hAnsi="Batang"/>
          <w:b/>
        </w:rPr>
      </w:pPr>
      <w:r>
        <w:rPr>
          <w:rFonts w:eastAsia="Batang" w:hAnsi="Batang"/>
          <w:b/>
        </w:rPr>
        <w:t>CONSIDERANDO QUE:</w:t>
      </w:r>
    </w:p>
    <w:p w14:paraId="5DE452FB" w14:textId="6176E83E" w:rsidR="003D3F42" w:rsidRDefault="003D3F42" w:rsidP="001C20A7">
      <w:pPr>
        <w:pStyle w:val="Recitals"/>
      </w:pPr>
      <w:r>
        <w:t>as Partes celebraram, em 8 de junho de 2020, a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 xml:space="preserve">”, a qual encontra-se arquivada perante a </w:t>
      </w:r>
      <w:r w:rsidRPr="00E2795B">
        <w:rPr>
          <w:bCs/>
        </w:rPr>
        <w:t>JUCESP</w:t>
      </w:r>
      <w:r>
        <w:t xml:space="preserve"> sob o </w:t>
      </w:r>
      <w:r w:rsidRPr="00850E3F">
        <w:t>n</w:t>
      </w:r>
      <w:r>
        <w:t>.</w:t>
      </w:r>
      <w:r w:rsidRPr="00850E3F">
        <w:t>º</w:t>
      </w:r>
      <w:r>
        <w:t> [</w:t>
      </w:r>
      <w:r>
        <w:rPr>
          <w:rFonts w:cs="Tahoma"/>
        </w:rPr>
        <w:t>●</w:t>
      </w:r>
      <w:r>
        <w:t>], conforme alterada pelo “</w:t>
      </w:r>
      <w:r>
        <w:rPr>
          <w:i/>
          <w:iCs/>
        </w:rPr>
        <w:t xml:space="preserve">Primeiro Aditamento à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 (“</w:t>
      </w:r>
      <w:r>
        <w:rPr>
          <w:b/>
        </w:rPr>
        <w:t>Primeiro Aditamento</w:t>
      </w:r>
      <w:r>
        <w:t>”), celebrado pelas Partes em 15 de junho de 2020 (“</w:t>
      </w:r>
      <w:r>
        <w:rPr>
          <w:b/>
        </w:rPr>
        <w:t>Escritura de Emissão Original</w:t>
      </w:r>
      <w:r>
        <w:t>”);</w:t>
      </w:r>
      <w:r w:rsidR="00C2454A">
        <w:t xml:space="preserve"> e</w:t>
      </w:r>
    </w:p>
    <w:p w14:paraId="7242A4AF" w14:textId="21D0BDDE" w:rsidR="003D3F42" w:rsidRDefault="003D3F42" w:rsidP="001C20A7">
      <w:pPr>
        <w:pStyle w:val="Recitals"/>
      </w:pPr>
      <w:bookmarkStart w:id="4" w:name="_Ref57635290"/>
      <w:r>
        <w:t xml:space="preserve">a Emissora propôs determinadas alterações à Escritura de Emissão Original e os Debenturistas aceitaram referidas alterações nos termos da ata da Assembleia Geral de Debenturistas ocorrida em </w:t>
      </w:r>
      <w:r w:rsidR="00363721">
        <w:t>14 de dezembro de 2021</w:t>
      </w:r>
      <w:r w:rsidR="00C2454A">
        <w:t>,</w:t>
      </w:r>
      <w:bookmarkEnd w:id="4"/>
    </w:p>
    <w:p w14:paraId="0DC05A37" w14:textId="2C56D01A" w:rsidR="003D3F42" w:rsidRDefault="003D3F42" w:rsidP="003D3F42">
      <w:pPr>
        <w:pStyle w:val="Body"/>
        <w:rPr>
          <w:color w:val="000000"/>
        </w:rPr>
      </w:pPr>
      <w:r>
        <w:rPr>
          <w:b/>
          <w:color w:val="000000"/>
        </w:rPr>
        <w:t>RESOLVEM</w:t>
      </w:r>
      <w:r>
        <w:rPr>
          <w:color w:val="000000"/>
        </w:rPr>
        <w:t xml:space="preserve"> </w:t>
      </w:r>
      <w:r w:rsidR="00C2454A">
        <w:rPr>
          <w:color w:val="000000"/>
        </w:rPr>
        <w:t xml:space="preserve">as Partes </w:t>
      </w:r>
      <w:r>
        <w:rPr>
          <w:color w:val="000000"/>
        </w:rPr>
        <w:t>celebrar o presente “</w:t>
      </w:r>
      <w:r w:rsidR="001C20A7">
        <w:rPr>
          <w:color w:val="000000"/>
        </w:rPr>
        <w:t>Terceiro</w:t>
      </w:r>
      <w:r w:rsidR="00C2454A">
        <w:rPr>
          <w:color w:val="000000"/>
        </w:rPr>
        <w:t xml:space="preserve"> </w:t>
      </w:r>
      <w:r>
        <w:rPr>
          <w:color w:val="000000"/>
        </w:rPr>
        <w:t>Aditamento</w:t>
      </w:r>
      <w:r w:rsidR="00C2454A">
        <w:rPr>
          <w:color w:val="000000"/>
        </w:rPr>
        <w:t xml:space="preserve"> e Consolidação da</w:t>
      </w:r>
      <w:r>
        <w:rPr>
          <w:color w:val="000000"/>
        </w:rPr>
        <w:t xml:space="preserve"> </w:t>
      </w:r>
      <w:r w:rsidRPr="0054279C">
        <w:t>Escritura Particular da 1ª</w:t>
      </w:r>
      <w:r w:rsidR="00C2454A">
        <w:t> </w:t>
      </w:r>
      <w:r w:rsidRPr="0054279C">
        <w:t>(Primeira) Emissão de Debêntures Simples, Não Conversíveis em Ações, da Espécie Quirografária, em Série Única, para Distribuição Pública, com Esforços Restritos, da Echoenergia Participações S.A.</w:t>
      </w:r>
      <w:r>
        <w:t>”</w:t>
      </w:r>
      <w:r>
        <w:rPr>
          <w:color w:val="000000"/>
        </w:rPr>
        <w:t>, nos termos e condições abaixo aduzidos.</w:t>
      </w:r>
    </w:p>
    <w:p w14:paraId="31FAC3C0" w14:textId="77777777" w:rsidR="00BD75BA" w:rsidRDefault="00BD75BA" w:rsidP="00955E4F">
      <w:pPr>
        <w:pStyle w:val="Body"/>
        <w:rPr>
          <w:rFonts w:cs="Tahoma"/>
          <w:szCs w:val="20"/>
        </w:rPr>
      </w:pPr>
      <w:r w:rsidRPr="00521F51">
        <w:rPr>
          <w:rFonts w:cs="Tahoma"/>
          <w:szCs w:val="20"/>
        </w:rPr>
        <w:lastRenderedPageBreak/>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1C20A7">
            <w:pPr>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a Emissora, 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lastRenderedPageBreak/>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(ii)</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r w:rsidR="00DD5B2E" w:rsidRPr="00DD5B2E">
              <w:rPr>
                <w:rFonts w:cs="Tahoma"/>
                <w:i/>
                <w:color w:val="000000" w:themeColor="text1"/>
                <w:szCs w:val="20"/>
              </w:rPr>
              <w:t>sub-holdings</w:t>
            </w:r>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(ii) para demais finalidades, os dias em que os bancos comerciais não estão abertos ou estão autorizados, obrigados ou sob ordem regulatória de permanecerem fechados na Cidade de São Paulo, Estado de São Paulo; ou (iii)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5"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financiamentos de curto e longo prazo, debêntures de curto e longo prazo contratados com o Banco Nacional de </w:t>
            </w:r>
            <w:r w:rsidR="001C6796">
              <w:rPr>
                <w:rFonts w:eastAsia="Calibri" w:cs="Tahoma"/>
                <w:szCs w:val="20"/>
                <w:lang w:eastAsia="pt-BR"/>
              </w:rPr>
              <w:lastRenderedPageBreak/>
              <w:t xml:space="preserve">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r w:rsidRPr="00B85D15">
              <w:rPr>
                <w:rFonts w:eastAsia="Calibri" w:cs="Tahoma"/>
                <w:i/>
                <w:iCs/>
                <w:szCs w:val="20"/>
                <w:lang w:eastAsia="pt-BR"/>
              </w:rPr>
              <w:t>seller financing</w:t>
            </w:r>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stock exchange</w:t>
            </w:r>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r w:rsidR="001C6796" w:rsidRPr="001C6796">
              <w:rPr>
                <w:rFonts w:cs="Tahoma"/>
                <w:i/>
                <w:w w:val="0"/>
                <w:lang w:eastAsia="pt-BR"/>
              </w:rPr>
              <w:t>seller financing</w:t>
            </w:r>
            <w:r w:rsidR="001C6796" w:rsidRPr="001C6796">
              <w:rPr>
                <w:rFonts w:cs="Tahoma"/>
                <w:w w:val="0"/>
                <w:lang w:eastAsia="pt-BR"/>
              </w:rPr>
              <w:t xml:space="preserve"> no cálculo de Dívida</w:t>
            </w:r>
            <w:r w:rsidRPr="004812E6">
              <w:rPr>
                <w:rFonts w:cs="Tahoma"/>
                <w:w w:val="0"/>
                <w:lang w:eastAsia="pt-BR"/>
              </w:rPr>
              <w:t>.</w:t>
            </w:r>
          </w:p>
        </w:tc>
      </w:tr>
      <w:bookmarkEnd w:id="5"/>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"Eventos de Vencimento </w:t>
            </w:r>
            <w:r w:rsidRPr="009437E1">
              <w:rPr>
                <w:rFonts w:cs="Tahoma"/>
                <w:b/>
                <w:bCs/>
                <w:color w:val="000000" w:themeColor="text1"/>
                <w:szCs w:val="20"/>
              </w:rPr>
              <w:lastRenderedPageBreak/>
              <w:t>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lastRenderedPageBreak/>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r w:rsidRPr="009437E1">
              <w:rPr>
                <w:rFonts w:cs="Tahoma"/>
                <w:color w:val="000000" w:themeColor="text1"/>
                <w:szCs w:val="20"/>
              </w:rPr>
              <w:t xml:space="preserve">Multiestratégia,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588B7F30"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 xml:space="preserve">"ICSD </w:t>
            </w:r>
            <w:r w:rsidR="00882A8B">
              <w:rPr>
                <w:rFonts w:cs="Tahoma"/>
                <w:b/>
                <w:bCs/>
                <w:color w:val="000000" w:themeColor="text1"/>
                <w:szCs w:val="20"/>
              </w:rPr>
              <w:t>Emissora</w:t>
            </w:r>
            <w:r w:rsidRPr="00861C47">
              <w:rPr>
                <w:rFonts w:cs="Tahoma"/>
                <w:b/>
                <w:bCs/>
                <w:color w:val="000000" w:themeColor="text1"/>
                <w:szCs w:val="20"/>
              </w:rPr>
              <w:t>”</w:t>
            </w:r>
          </w:p>
        </w:tc>
        <w:tc>
          <w:tcPr>
            <w:tcW w:w="5612" w:type="dxa"/>
            <w:shd w:val="clear" w:color="auto" w:fill="auto"/>
            <w:vAlign w:val="center"/>
            <w:hideMark/>
          </w:tcPr>
          <w:p w14:paraId="43DDFE94" w14:textId="7A186C2C" w:rsidR="000D3485" w:rsidRPr="00741F2C" w:rsidRDefault="000D3485" w:rsidP="00955E4F">
            <w:pPr>
              <w:widowControl w:val="0"/>
              <w:spacing w:after="140" w:line="290" w:lineRule="auto"/>
              <w:jc w:val="both"/>
              <w:rPr>
                <w:rFonts w:cs="Tahoma"/>
                <w:color w:val="000000" w:themeColor="text1"/>
                <w:szCs w:val="20"/>
              </w:rPr>
            </w:pPr>
            <w:r w:rsidRPr="00741F2C">
              <w:rPr>
                <w:rFonts w:cs="Tahoma"/>
                <w:color w:val="000000" w:themeColor="text1"/>
                <w:szCs w:val="20"/>
              </w:rPr>
              <w:t>significa o índice de cobertura do serviço da dívida consolidado a ser calculado anualmente, com base nas demonstrações financeiras consolidadas auditadas da Emissora, da seguinte forma</w:t>
            </w:r>
            <w:r w:rsidR="004B0DE6" w:rsidRPr="00DD5953">
              <w:rPr>
                <w:rFonts w:cs="Tahoma"/>
                <w:color w:val="000000" w:themeColor="text1"/>
                <w:szCs w:val="20"/>
              </w:rPr>
              <w:t>. Referido valor será sempre o maior entre o ICSD Consolidado e o ICSD Holding, calculados por meio das fórmulas descritas a</w:t>
            </w:r>
            <w:r w:rsidR="004B0DE6" w:rsidRPr="00741F2C">
              <w:rPr>
                <w:rFonts w:cs="Tahoma"/>
                <w:color w:val="000000" w:themeColor="text1"/>
                <w:szCs w:val="20"/>
              </w:rPr>
              <w:t>baixo</w:t>
            </w:r>
            <w:r w:rsidRPr="00741F2C">
              <w:rPr>
                <w:rFonts w:cs="Tahoma"/>
                <w:color w:val="000000" w:themeColor="text1"/>
                <w:szCs w:val="20"/>
              </w:rPr>
              <w:t>:</w:t>
            </w:r>
          </w:p>
          <w:p w14:paraId="485FAEF6" w14:textId="19871B1B" w:rsidR="004B0DE6" w:rsidRPr="001C20A7" w:rsidRDefault="004B0DE6" w:rsidP="001C20A7">
            <w:pPr>
              <w:pStyle w:val="xxxxmsonormal"/>
              <w:spacing w:after="140" w:line="290" w:lineRule="auto"/>
              <w:jc w:val="both"/>
              <w:rPr>
                <w:rFonts w:ascii="Tahoma" w:hAnsi="Tahoma" w:cs="Tahoma"/>
                <w:b/>
                <w:i/>
                <w:iCs/>
                <w:sz w:val="20"/>
                <w:szCs w:val="20"/>
              </w:rPr>
            </w:pPr>
            <w:r w:rsidRPr="001C20A7">
              <w:rPr>
                <w:rFonts w:ascii="Tahoma" w:hAnsi="Tahoma" w:cs="Tahoma"/>
                <w:b/>
                <w:i/>
                <w:iCs/>
                <w:sz w:val="20"/>
                <w:szCs w:val="20"/>
              </w:rPr>
              <w:t>Fórmula</w:t>
            </w:r>
            <w:r w:rsidRPr="00741F2C">
              <w:rPr>
                <w:rFonts w:ascii="Tahoma" w:hAnsi="Tahoma" w:cs="Tahoma"/>
                <w:b/>
                <w:i/>
                <w:iCs/>
                <w:sz w:val="20"/>
                <w:szCs w:val="20"/>
              </w:rPr>
              <w:t> </w:t>
            </w:r>
            <w:r w:rsidRPr="001C20A7">
              <w:rPr>
                <w:rFonts w:ascii="Tahoma" w:hAnsi="Tahoma" w:cs="Tahoma"/>
                <w:b/>
                <w:i/>
                <w:iCs/>
                <w:sz w:val="20"/>
                <w:szCs w:val="20"/>
              </w:rPr>
              <w:t>1</w:t>
            </w:r>
          </w:p>
          <w:p w14:paraId="367C3F4B" w14:textId="13048FC6" w:rsidR="000D3485" w:rsidRPr="00DD5953" w:rsidRDefault="000D3485" w:rsidP="00955E4F">
            <w:pPr>
              <w:pStyle w:val="xxxxmsonormal"/>
              <w:spacing w:after="140" w:line="290" w:lineRule="auto"/>
              <w:jc w:val="center"/>
              <w:rPr>
                <w:rFonts w:ascii="Tahoma" w:hAnsi="Tahoma" w:cs="Tahoma"/>
                <w:sz w:val="20"/>
                <w:szCs w:val="20"/>
              </w:rPr>
            </w:pPr>
            <w:r w:rsidRPr="00741F2C">
              <w:rPr>
                <w:rFonts w:ascii="Tahoma" w:hAnsi="Tahoma" w:cs="Tahoma"/>
                <w:b/>
                <w:sz w:val="20"/>
                <w:szCs w:val="20"/>
              </w:rPr>
              <w:t>ICSD</w:t>
            </w:r>
            <w:r w:rsidR="004B0DE6" w:rsidRPr="00741F2C">
              <w:rPr>
                <w:rFonts w:ascii="Tahoma" w:hAnsi="Tahoma" w:cs="Tahoma"/>
                <w:b/>
                <w:sz w:val="20"/>
                <w:szCs w:val="20"/>
              </w:rPr>
              <w:t xml:space="preserve"> Consolidado</w:t>
            </w:r>
            <w:r w:rsidRPr="00741F2C">
              <w:rPr>
                <w:rFonts w:ascii="Tahoma" w:hAnsi="Tahoma" w:cs="Tahoma"/>
                <w:sz w:val="20"/>
                <w:szCs w:val="20"/>
              </w:rPr>
              <w:t xml:space="preserve"> = </w:t>
            </w:r>
            <w:r w:rsidRPr="00741F2C">
              <w:rPr>
                <w:rFonts w:ascii="Tahoma" w:hAnsi="Tahoma" w:cs="Tahoma"/>
                <w:sz w:val="20"/>
                <w:szCs w:val="20"/>
              </w:rPr>
              <w:tab/>
            </w:r>
            <w:r w:rsidRPr="00DD5953">
              <w:rPr>
                <w:rFonts w:ascii="Tahoma" w:hAnsi="Tahoma" w:cs="Tahoma"/>
                <w:sz w:val="20"/>
                <w:szCs w:val="20"/>
                <w:u w:val="single"/>
              </w:rPr>
              <w:t>(EBITDA-Impostos)</w:t>
            </w:r>
            <w:r w:rsidRPr="00DD5953">
              <w:rPr>
                <w:rFonts w:ascii="Tahoma" w:hAnsi="Tahoma" w:cs="Tahoma"/>
                <w:sz w:val="20"/>
                <w:szCs w:val="20"/>
              </w:rPr>
              <w:t xml:space="preserve"> &gt; = 1,20 vezes</w:t>
            </w:r>
          </w:p>
          <w:p w14:paraId="5794FDAE" w14:textId="7A9B27AE" w:rsidR="000D3485" w:rsidRPr="00741F2C" w:rsidRDefault="000D3485" w:rsidP="00955E4F">
            <w:pPr>
              <w:pStyle w:val="xxxxmsonormal"/>
              <w:spacing w:after="140" w:line="290" w:lineRule="auto"/>
              <w:rPr>
                <w:rFonts w:ascii="Tahoma" w:hAnsi="Tahoma" w:cs="Tahoma"/>
                <w:sz w:val="20"/>
                <w:szCs w:val="20"/>
              </w:rPr>
            </w:pPr>
            <w:r w:rsidRPr="00741F2C" w:rsidDel="00FB758B">
              <w:rPr>
                <w:rFonts w:ascii="Tahoma" w:hAnsi="Tahoma" w:cs="Tahoma"/>
                <w:sz w:val="20"/>
                <w:szCs w:val="20"/>
              </w:rPr>
              <w:t xml:space="preserve">              </w:t>
            </w:r>
            <w:r w:rsidRPr="00741F2C">
              <w:rPr>
                <w:rFonts w:ascii="Tahoma" w:hAnsi="Tahoma" w:cs="Tahoma"/>
                <w:sz w:val="20"/>
                <w:szCs w:val="20"/>
              </w:rPr>
              <w:t>(Principal</w:t>
            </w:r>
            <w:r w:rsidR="004B0DE6" w:rsidRPr="00741F2C">
              <w:rPr>
                <w:rFonts w:ascii="Tahoma" w:hAnsi="Tahoma" w:cs="Tahoma"/>
                <w:sz w:val="20"/>
                <w:szCs w:val="20"/>
              </w:rPr>
              <w:t xml:space="preserve"> Consolidado </w:t>
            </w:r>
            <w:r w:rsidRPr="00741F2C">
              <w:rPr>
                <w:rFonts w:ascii="Tahoma" w:hAnsi="Tahoma" w:cs="Tahoma"/>
                <w:sz w:val="20"/>
                <w:szCs w:val="20"/>
              </w:rPr>
              <w:t>+Juros</w:t>
            </w:r>
            <w:r w:rsidR="004B0DE6" w:rsidRPr="00741F2C">
              <w:rPr>
                <w:rFonts w:ascii="Tahoma" w:hAnsi="Tahoma" w:cs="Tahoma"/>
                <w:sz w:val="20"/>
                <w:szCs w:val="20"/>
              </w:rPr>
              <w:t xml:space="preserve"> Consolidado</w:t>
            </w:r>
            <w:r w:rsidRPr="00741F2C">
              <w:rPr>
                <w:rFonts w:ascii="Tahoma" w:hAnsi="Tahoma" w:cs="Tahoma"/>
                <w:sz w:val="20"/>
                <w:szCs w:val="20"/>
              </w:rPr>
              <w:t>)</w:t>
            </w:r>
          </w:p>
          <w:p w14:paraId="2D7BB65F" w14:textId="77777777" w:rsidR="000D3485" w:rsidRPr="00741F2C" w:rsidRDefault="000D3485" w:rsidP="00955E4F">
            <w:pPr>
              <w:spacing w:after="140" w:line="290" w:lineRule="auto"/>
              <w:rPr>
                <w:rFonts w:eastAsia="Arial Unicode MS" w:cs="Tahoma"/>
                <w:w w:val="0"/>
                <w:kern w:val="20"/>
                <w:szCs w:val="20"/>
              </w:rPr>
            </w:pPr>
            <w:r w:rsidRPr="00741F2C">
              <w:rPr>
                <w:rFonts w:eastAsia="Arial Unicode MS" w:cs="Tahoma"/>
                <w:w w:val="0"/>
                <w:kern w:val="20"/>
                <w:szCs w:val="20"/>
                <w:u w:val="single"/>
              </w:rPr>
              <w:t>Onde</w:t>
            </w:r>
            <w:r w:rsidRPr="00741F2C">
              <w:rPr>
                <w:rFonts w:eastAsia="Arial Unicode MS" w:cs="Tahoma"/>
                <w:w w:val="0"/>
                <w:kern w:val="20"/>
                <w:szCs w:val="20"/>
              </w:rPr>
              <w:t>:</w:t>
            </w:r>
          </w:p>
          <w:p w14:paraId="4DE35BCF"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EBITDA</w:t>
            </w:r>
            <w:r w:rsidRPr="00741F2C">
              <w:rPr>
                <w:rFonts w:eastAsia="Arial Unicode MS" w:cs="Tahoma"/>
                <w:w w:val="0"/>
                <w:kern w:val="20"/>
                <w:szCs w:val="20"/>
              </w:rPr>
              <w:t>: significa lucro operacional consolidado antes do resultado financeiro, acrescido das depreciações e amortizações, sempre considerados os 12 (doze) meses anteriores ao da apuração.</w:t>
            </w:r>
          </w:p>
          <w:p w14:paraId="62D2926D"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Impostos</w:t>
            </w:r>
            <w:r w:rsidRPr="00741F2C">
              <w:rPr>
                <w:rFonts w:eastAsia="Arial Unicode MS" w:cs="Tahoma"/>
                <w:w w:val="0"/>
                <w:kern w:val="20"/>
                <w:szCs w:val="20"/>
              </w:rPr>
              <w:t>: significa imposto de renda pessoa jurídica e contribuição social sobre o lucro líquido apurado no ano de referência.</w:t>
            </w:r>
          </w:p>
          <w:p w14:paraId="461DC05C" w14:textId="7915EEF9"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Principal</w:t>
            </w:r>
            <w:r w:rsidR="009927BF" w:rsidRPr="00741F2C">
              <w:rPr>
                <w:rFonts w:eastAsia="Arial Unicode MS" w:cs="Tahoma"/>
                <w:w w:val="0"/>
                <w:kern w:val="20"/>
                <w:szCs w:val="20"/>
                <w:u w:val="single"/>
              </w:rPr>
              <w:t xml:space="preserve"> Consolidado</w:t>
            </w:r>
            <w:r w:rsidRPr="00741F2C">
              <w:rPr>
                <w:rFonts w:eastAsia="Arial Unicode MS" w:cs="Tahoma"/>
                <w:w w:val="0"/>
                <w:kern w:val="20"/>
                <w:szCs w:val="20"/>
              </w:rPr>
              <w:t>: significa amortização do principal consolidado do endividamento financeiro no ano de referência excluindo amortizações extraordinárias, pagamentos antecipados de dívidas e prêmios e comissões decorrentes dessas amortizações extraordinárias ou pagamentos antecipados.</w:t>
            </w:r>
          </w:p>
          <w:p w14:paraId="33DF075B" w14:textId="77777777" w:rsidR="000D3485" w:rsidRPr="00741F2C" w:rsidRDefault="000D3485" w:rsidP="00955E4F">
            <w:pPr>
              <w:widowControl w:val="0"/>
              <w:spacing w:after="140" w:line="290" w:lineRule="auto"/>
              <w:rPr>
                <w:rFonts w:eastAsia="Arial Unicode MS" w:cs="Tahoma"/>
                <w:w w:val="0"/>
                <w:kern w:val="20"/>
                <w:szCs w:val="20"/>
              </w:rPr>
            </w:pPr>
            <w:r w:rsidRPr="00741F2C">
              <w:rPr>
                <w:rFonts w:eastAsia="Arial Unicode MS" w:cs="Tahoma"/>
                <w:w w:val="0"/>
                <w:kern w:val="20"/>
                <w:szCs w:val="20"/>
                <w:u w:val="single"/>
              </w:rPr>
              <w:t>Juros</w:t>
            </w:r>
            <w:r w:rsidR="009927BF" w:rsidRPr="00741F2C">
              <w:rPr>
                <w:rFonts w:eastAsia="Arial Unicode MS" w:cs="Tahoma"/>
                <w:w w:val="0"/>
                <w:kern w:val="20"/>
                <w:szCs w:val="20"/>
                <w:u w:val="single"/>
              </w:rPr>
              <w:t xml:space="preserve"> Consolidado</w:t>
            </w:r>
            <w:r w:rsidRPr="00741F2C">
              <w:rPr>
                <w:rFonts w:eastAsia="Arial Unicode MS" w:cs="Tahoma"/>
                <w:w w:val="0"/>
                <w:kern w:val="20"/>
                <w:szCs w:val="20"/>
              </w:rPr>
              <w:t>: significa juros consolidados do endividamento financeiro no ano de referência.</w:t>
            </w:r>
          </w:p>
          <w:p w14:paraId="451AA56A" w14:textId="77777777" w:rsidR="009927BF" w:rsidRPr="00741F2C" w:rsidRDefault="009927BF" w:rsidP="001C20A7">
            <w:pPr>
              <w:widowControl w:val="0"/>
              <w:spacing w:after="140" w:line="290" w:lineRule="auto"/>
              <w:jc w:val="both"/>
              <w:rPr>
                <w:rFonts w:cs="Tahoma"/>
                <w:color w:val="000000" w:themeColor="text1"/>
                <w:szCs w:val="20"/>
              </w:rPr>
            </w:pPr>
          </w:p>
          <w:p w14:paraId="2A48A8B4" w14:textId="77777777" w:rsidR="009927BF" w:rsidRPr="00741F2C" w:rsidRDefault="009927BF" w:rsidP="001C20A7">
            <w:pPr>
              <w:widowControl w:val="0"/>
              <w:spacing w:after="140" w:line="290" w:lineRule="auto"/>
              <w:jc w:val="both"/>
              <w:rPr>
                <w:rFonts w:cs="Tahoma"/>
                <w:color w:val="000000" w:themeColor="text1"/>
                <w:szCs w:val="20"/>
              </w:rPr>
            </w:pPr>
            <w:r w:rsidRPr="00741F2C">
              <w:rPr>
                <w:rFonts w:cs="Tahoma"/>
                <w:color w:val="000000" w:themeColor="text1"/>
                <w:szCs w:val="20"/>
              </w:rPr>
              <w:t>OU</w:t>
            </w:r>
          </w:p>
          <w:p w14:paraId="407CC906" w14:textId="77777777" w:rsidR="009927BF" w:rsidRPr="00741F2C" w:rsidRDefault="009927BF" w:rsidP="001C20A7">
            <w:pPr>
              <w:widowControl w:val="0"/>
              <w:spacing w:after="140" w:line="290" w:lineRule="auto"/>
              <w:jc w:val="both"/>
              <w:rPr>
                <w:rFonts w:cs="Tahoma"/>
                <w:color w:val="000000" w:themeColor="text1"/>
                <w:szCs w:val="20"/>
              </w:rPr>
            </w:pPr>
          </w:p>
          <w:p w14:paraId="0E38B789" w14:textId="77777777" w:rsidR="009927BF" w:rsidRPr="00741F2C" w:rsidRDefault="009927BF" w:rsidP="001C20A7">
            <w:pPr>
              <w:widowControl w:val="0"/>
              <w:spacing w:after="140" w:line="290" w:lineRule="auto"/>
              <w:jc w:val="both"/>
              <w:rPr>
                <w:rFonts w:cs="Tahoma"/>
                <w:color w:val="000000" w:themeColor="text1"/>
                <w:szCs w:val="20"/>
              </w:rPr>
            </w:pPr>
            <w:r w:rsidRPr="00741F2C">
              <w:rPr>
                <w:rFonts w:cs="Tahoma"/>
                <w:color w:val="000000" w:themeColor="text1"/>
                <w:szCs w:val="20"/>
              </w:rPr>
              <w:lastRenderedPageBreak/>
              <w:t>Fórmula 2:</w:t>
            </w:r>
          </w:p>
          <w:p w14:paraId="30E5B9C5" w14:textId="065B03FD" w:rsidR="009927BF" w:rsidRPr="00741F2C" w:rsidRDefault="009927BF" w:rsidP="001C20A7">
            <w:pPr>
              <w:widowControl w:val="0"/>
              <w:spacing w:after="140" w:line="290" w:lineRule="auto"/>
              <w:jc w:val="center"/>
              <w:rPr>
                <w:rFonts w:cs="Tahoma"/>
                <w:color w:val="000000" w:themeColor="text1"/>
                <w:szCs w:val="20"/>
              </w:rPr>
            </w:pPr>
            <w:r w:rsidRPr="00741F2C">
              <w:rPr>
                <w:rFonts w:cs="Tahoma"/>
                <w:color w:val="000000" w:themeColor="text1"/>
                <w:szCs w:val="20"/>
              </w:rPr>
              <w:t>ICSD Holding = (Fluxo de Caixa da Holding)   &gt; = 1,20 vezes</w:t>
            </w:r>
          </w:p>
          <w:p w14:paraId="78147A7A" w14:textId="1D43D154" w:rsidR="009927BF" w:rsidRPr="001C20A7" w:rsidRDefault="009927BF" w:rsidP="001C20A7">
            <w:pPr>
              <w:widowControl w:val="0"/>
              <w:spacing w:after="140" w:line="290" w:lineRule="auto"/>
              <w:jc w:val="center"/>
              <w:rPr>
                <w:rFonts w:cs="Tahoma"/>
                <w:color w:val="000000" w:themeColor="text1"/>
                <w:szCs w:val="20"/>
                <w:lang w:val="en-GB"/>
              </w:rPr>
            </w:pPr>
            <w:r w:rsidRPr="001C20A7">
              <w:rPr>
                <w:rFonts w:cs="Tahoma"/>
                <w:color w:val="000000" w:themeColor="text1"/>
                <w:szCs w:val="20"/>
                <w:lang w:val="en-GB"/>
              </w:rPr>
              <w:t>(Principal Holding + Juros Holding)</w:t>
            </w:r>
          </w:p>
          <w:p w14:paraId="44AB9833" w14:textId="77777777" w:rsidR="009927BF" w:rsidRPr="001C20A7" w:rsidRDefault="009927BF" w:rsidP="001C20A7">
            <w:pPr>
              <w:widowControl w:val="0"/>
              <w:spacing w:after="140" w:line="290" w:lineRule="auto"/>
              <w:jc w:val="both"/>
              <w:rPr>
                <w:rFonts w:cs="Tahoma"/>
                <w:color w:val="000000" w:themeColor="text1"/>
                <w:szCs w:val="20"/>
                <w:lang w:val="en-GB"/>
              </w:rPr>
            </w:pPr>
            <w:r w:rsidRPr="001C20A7">
              <w:rPr>
                <w:rFonts w:cs="Tahoma"/>
                <w:color w:val="000000" w:themeColor="text1"/>
                <w:szCs w:val="20"/>
                <w:lang w:val="en-GB"/>
              </w:rPr>
              <w:t>Onde:</w:t>
            </w:r>
          </w:p>
          <w:p w14:paraId="05FABC5D" w14:textId="76D633DA" w:rsidR="009927BF" w:rsidRPr="00741F2C" w:rsidRDefault="009927BF" w:rsidP="001C20A7">
            <w:pPr>
              <w:widowControl w:val="0"/>
              <w:spacing w:after="140" w:line="290" w:lineRule="auto"/>
              <w:jc w:val="both"/>
              <w:rPr>
                <w:rFonts w:cs="Tahoma"/>
                <w:color w:val="000000" w:themeColor="text1"/>
                <w:szCs w:val="20"/>
              </w:rPr>
            </w:pPr>
            <w:r w:rsidRPr="001C20A7">
              <w:rPr>
                <w:rFonts w:cs="Tahoma"/>
                <w:color w:val="000000" w:themeColor="text1"/>
                <w:szCs w:val="20"/>
                <w:u w:val="single"/>
              </w:rPr>
              <w:t>Fluxo de Caixa da Holding</w:t>
            </w:r>
            <w:r w:rsidRPr="00741F2C">
              <w:rPr>
                <w:rFonts w:cs="Tahoma"/>
                <w:color w:val="000000" w:themeColor="text1"/>
                <w:szCs w:val="20"/>
              </w:rPr>
              <w:t xml:space="preserve">: </w:t>
            </w:r>
            <w:r w:rsidR="00741F2C" w:rsidRPr="001C20A7">
              <w:rPr>
                <w:rFonts w:cs="Tahoma"/>
              </w:rPr>
              <w:t>significa, durante os 12 (doze) meses anteriores ao da apuração, a soma de todo e qualquer recurso recebido pela Emissora com as naturezas de (i) compartilhamento de custos com partes relacionadas; (ii) reduções de capital de partes relacionadas; (iii) dividendos recebidos de partes relacionadas; e (iv) (a) EBITDA Holding oriundo de operações/transações com terceiros, (b) menos Impostos e custos incorridos pela Emissora</w:t>
            </w:r>
            <w:r w:rsidRPr="00741F2C">
              <w:rPr>
                <w:rFonts w:cs="Tahoma"/>
                <w:color w:val="000000" w:themeColor="text1"/>
                <w:szCs w:val="20"/>
              </w:rPr>
              <w:t>.</w:t>
            </w:r>
          </w:p>
          <w:p w14:paraId="21C4AAEC" w14:textId="77777777" w:rsidR="00741F2C" w:rsidRPr="001C20A7" w:rsidRDefault="00741F2C" w:rsidP="001C20A7">
            <w:pPr>
              <w:widowControl w:val="0"/>
              <w:spacing w:after="140" w:line="290" w:lineRule="auto"/>
              <w:jc w:val="both"/>
              <w:rPr>
                <w:rFonts w:cs="Tahoma"/>
              </w:rPr>
            </w:pPr>
            <w:r w:rsidRPr="001C20A7">
              <w:rPr>
                <w:rFonts w:cs="Tahoma"/>
                <w:u w:val="single"/>
              </w:rPr>
              <w:t>EBITDA Holding</w:t>
            </w:r>
            <w:r w:rsidRPr="001C20A7">
              <w:rPr>
                <w:rFonts w:cs="Tahoma"/>
              </w:rPr>
              <w:t>: significa lucro operacional da Emissora antes do resultado financeiro, acrescido das depreciações e amortizações, sempre considerados os 12 (doze) meses anteriores ao da apuração.</w:t>
            </w:r>
          </w:p>
          <w:p w14:paraId="10DDE9D7" w14:textId="77777777" w:rsidR="00741F2C" w:rsidRPr="001C20A7" w:rsidRDefault="00741F2C" w:rsidP="001C20A7">
            <w:pPr>
              <w:widowControl w:val="0"/>
              <w:spacing w:after="140" w:line="290" w:lineRule="auto"/>
              <w:jc w:val="both"/>
              <w:rPr>
                <w:rFonts w:cs="Tahoma"/>
              </w:rPr>
            </w:pPr>
            <w:r w:rsidRPr="001C20A7">
              <w:rPr>
                <w:rFonts w:cs="Tahoma"/>
                <w:u w:val="single"/>
              </w:rPr>
              <w:t>Impostos</w:t>
            </w:r>
            <w:r w:rsidRPr="001C20A7">
              <w:rPr>
                <w:rFonts w:cs="Tahoma"/>
              </w:rPr>
              <w:t>: significa imposto de renda pessoa jurídica e contribuição social sobre o lucro líquido apurado no ano de referência.</w:t>
            </w:r>
          </w:p>
          <w:p w14:paraId="2C60A93C" w14:textId="77777777" w:rsidR="00741F2C" w:rsidRPr="001C20A7" w:rsidRDefault="00741F2C" w:rsidP="001C20A7">
            <w:pPr>
              <w:widowControl w:val="0"/>
              <w:spacing w:after="140" w:line="290" w:lineRule="auto"/>
              <w:jc w:val="both"/>
              <w:rPr>
                <w:rFonts w:cs="Tahoma"/>
              </w:rPr>
            </w:pPr>
            <w:r w:rsidRPr="001C20A7">
              <w:rPr>
                <w:rFonts w:cs="Tahoma"/>
                <w:u w:val="single"/>
              </w:rPr>
              <w:t>Principal Holding</w:t>
            </w:r>
            <w:r w:rsidRPr="001C20A7">
              <w:rPr>
                <w:rFonts w:cs="Tahoma"/>
              </w:rPr>
              <w:t>: significa amortização do principal do endividamento financeiro da Emissora no ano de referência excluindo amortizações extraordinárias, pagamentos antecipados de dívidas e prêmios e comissões decorrentes dessas amortizações extraordinárias ou pagamentos antecipados.</w:t>
            </w:r>
          </w:p>
          <w:p w14:paraId="295A324F" w14:textId="3E6930E8" w:rsidR="009927BF" w:rsidRPr="009437E1" w:rsidRDefault="009927BF" w:rsidP="001C20A7">
            <w:pPr>
              <w:widowControl w:val="0"/>
              <w:spacing w:after="140" w:line="290" w:lineRule="auto"/>
              <w:jc w:val="both"/>
              <w:rPr>
                <w:rFonts w:cs="Tahoma"/>
                <w:color w:val="000000" w:themeColor="text1"/>
                <w:szCs w:val="20"/>
              </w:rPr>
            </w:pPr>
            <w:r w:rsidRPr="001C20A7">
              <w:rPr>
                <w:rFonts w:cs="Tahoma"/>
                <w:color w:val="000000" w:themeColor="text1"/>
                <w:szCs w:val="20"/>
                <w:u w:val="single"/>
              </w:rPr>
              <w:t>Juros Holding</w:t>
            </w:r>
            <w:r w:rsidRPr="00741F2C">
              <w:rPr>
                <w:rFonts w:cs="Tahoma"/>
                <w:color w:val="000000" w:themeColor="text1"/>
                <w:szCs w:val="20"/>
              </w:rPr>
              <w:t>: significa juros do endividamento financeiro da Emissora no ano de referência.</w:t>
            </w:r>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11DBF6E3"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 xml:space="preserve">significa o ICSD </w:t>
            </w:r>
            <w:r w:rsidR="00882A8B">
              <w:rPr>
                <w:rFonts w:cs="Tahoma"/>
                <w:color w:val="000000" w:themeColor="text1"/>
                <w:szCs w:val="20"/>
              </w:rPr>
              <w:t>Emissora</w:t>
            </w:r>
            <w:r w:rsidR="00882A8B" w:rsidRPr="00974B03">
              <w:rPr>
                <w:rFonts w:cs="Tahoma"/>
                <w:color w:val="000000" w:themeColor="text1"/>
                <w:szCs w:val="20"/>
              </w:rPr>
              <w:t xml:space="preserve"> </w:t>
            </w:r>
            <w:r w:rsidRPr="00974B03">
              <w:rPr>
                <w:rFonts w:cs="Tahoma"/>
                <w:color w:val="000000" w:themeColor="text1"/>
                <w:szCs w:val="20"/>
              </w:rPr>
              <w:t>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3E9B290C"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w:t>
            </w:r>
            <w:r w:rsidR="00882A8B">
              <w:rPr>
                <w:rFonts w:cs="Tahoma"/>
                <w:color w:val="000000" w:themeColor="text1"/>
                <w:szCs w:val="20"/>
              </w:rPr>
              <w:t>Emissora</w:t>
            </w:r>
            <w:r w:rsidRPr="00974B03">
              <w:rPr>
                <w:rFonts w:cs="Tahoma"/>
                <w:color w:val="000000" w:themeColor="text1"/>
                <w:szCs w:val="20"/>
              </w:rPr>
              <w:t xml:space="preserve">,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6"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6"/>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7" w:name="RANGE!B65"/>
            <w:r w:rsidRPr="009437E1">
              <w:rPr>
                <w:rFonts w:cs="Tahoma"/>
                <w:color w:val="000000" w:themeColor="text1"/>
                <w:szCs w:val="20"/>
              </w:rPr>
              <w:t xml:space="preserve">significa o Ministério de Minas e Energia. </w:t>
            </w:r>
            <w:bookmarkEnd w:id="7"/>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uma hipoteca, penhor, alienação fiduciária, cessão fiduciária, usufruto, fideicomisso, promessa de venda realizada fora de condições de mercado, opção de compra outorgada fora de condições de mercado, encargo, gravame ou ônus, </w:t>
            </w:r>
            <w:r w:rsidRPr="00521F51">
              <w:rPr>
                <w:rFonts w:cs="Tahoma"/>
                <w:color w:val="000000"/>
                <w:szCs w:val="20"/>
              </w:rPr>
              <w:lastRenderedPageBreak/>
              <w:t>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lastRenderedPageBreak/>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8" w:name="RANGE!B71"/>
            <w:r w:rsidRPr="009437E1">
              <w:rPr>
                <w:rFonts w:cs="Tahoma"/>
                <w:color w:val="000000" w:themeColor="text1"/>
                <w:szCs w:val="20"/>
              </w:rPr>
              <w:t>tem o significado atribuído no preâmbulo deste Contrato.</w:t>
            </w:r>
            <w:bookmarkEnd w:id="8"/>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9" w:name="RANGE!B73"/>
            <w:r w:rsidRPr="009437E1">
              <w:rPr>
                <w:rFonts w:cs="Tahoma"/>
                <w:color w:val="000000" w:themeColor="text1"/>
                <w:szCs w:val="20"/>
              </w:rPr>
              <w:t>tem o significado previsto na Cláusula 6.12.</w:t>
            </w:r>
            <w:bookmarkEnd w:id="9"/>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882A8B" w:rsidRPr="009437E1" w14:paraId="3C91AECA" w14:textId="77777777" w:rsidTr="004B0DE6">
        <w:trPr>
          <w:trHeight w:val="1710"/>
        </w:trPr>
        <w:tc>
          <w:tcPr>
            <w:tcW w:w="3119" w:type="dxa"/>
            <w:shd w:val="clear" w:color="auto" w:fill="auto"/>
            <w:vAlign w:val="center"/>
            <w:hideMark/>
          </w:tcPr>
          <w:p w14:paraId="551745C5" w14:textId="7A93A04F" w:rsidR="00882A8B" w:rsidRPr="009437E1" w:rsidRDefault="00882A8B" w:rsidP="004B0DE6">
            <w:pPr>
              <w:widowControl w:val="0"/>
              <w:spacing w:after="140" w:line="290" w:lineRule="auto"/>
              <w:rPr>
                <w:rFonts w:cs="Tahoma"/>
                <w:b/>
                <w:bCs/>
                <w:color w:val="000000" w:themeColor="text1"/>
                <w:szCs w:val="20"/>
              </w:rPr>
            </w:pPr>
            <w:r w:rsidRPr="009437E1">
              <w:rPr>
                <w:rFonts w:cs="Tahoma"/>
                <w:b/>
                <w:bCs/>
                <w:color w:val="000000" w:themeColor="text1"/>
                <w:szCs w:val="20"/>
              </w:rPr>
              <w:t>"</w:t>
            </w:r>
            <w:r w:rsidRPr="00882A8B">
              <w:rPr>
                <w:rFonts w:cs="Tahoma"/>
                <w:b/>
                <w:bCs/>
                <w:color w:val="000000" w:themeColor="text1"/>
                <w:szCs w:val="20"/>
              </w:rPr>
              <w:t>Período de Exigência de ICSD</w:t>
            </w:r>
            <w:r w:rsidRPr="009437E1">
              <w:rPr>
                <w:rFonts w:cs="Tahoma"/>
                <w:b/>
                <w:bCs/>
                <w:color w:val="000000" w:themeColor="text1"/>
                <w:szCs w:val="20"/>
              </w:rPr>
              <w:t>"</w:t>
            </w:r>
          </w:p>
        </w:tc>
        <w:tc>
          <w:tcPr>
            <w:tcW w:w="5612" w:type="dxa"/>
            <w:shd w:val="clear" w:color="auto" w:fill="auto"/>
            <w:vAlign w:val="center"/>
            <w:hideMark/>
          </w:tcPr>
          <w:p w14:paraId="78DC756C" w14:textId="3A609F9A" w:rsidR="00882A8B" w:rsidRPr="00D714AD" w:rsidRDefault="00882A8B" w:rsidP="004B0DE6">
            <w:pPr>
              <w:widowControl w:val="0"/>
              <w:spacing w:after="140" w:line="290" w:lineRule="auto"/>
              <w:jc w:val="both"/>
              <w:rPr>
                <w:color w:val="000000" w:themeColor="text1"/>
              </w:rPr>
            </w:pPr>
            <w:bookmarkStart w:id="10" w:name="_Hlk57214998"/>
            <w:r w:rsidRPr="00882A8B">
              <w:rPr>
                <w:rFonts w:cs="Tahoma"/>
                <w:color w:val="000000" w:themeColor="text1"/>
                <w:szCs w:val="20"/>
              </w:rPr>
              <w:t>significa o período</w:t>
            </w:r>
            <w:r w:rsidR="008105FD">
              <w:rPr>
                <w:rFonts w:cs="Tahoma"/>
                <w:color w:val="000000" w:themeColor="text1"/>
                <w:szCs w:val="20"/>
              </w:rPr>
              <w:t xml:space="preserve"> entre a Data de Emissão</w:t>
            </w:r>
            <w:r w:rsidRPr="00882A8B">
              <w:rPr>
                <w:rFonts w:cs="Tahoma"/>
                <w:color w:val="000000" w:themeColor="text1"/>
                <w:szCs w:val="20"/>
              </w:rPr>
              <w:t xml:space="preserve"> </w:t>
            </w:r>
            <w:r w:rsidR="008105FD">
              <w:rPr>
                <w:rFonts w:cs="Tahoma"/>
                <w:color w:val="000000" w:themeColor="text1"/>
                <w:szCs w:val="20"/>
              </w:rPr>
              <w:t xml:space="preserve">e o primeiro momento em que </w:t>
            </w:r>
            <w:r w:rsidRPr="00882A8B">
              <w:rPr>
                <w:rFonts w:cs="Tahoma"/>
                <w:color w:val="000000" w:themeColor="text1"/>
                <w:szCs w:val="20"/>
              </w:rPr>
              <w:t xml:space="preserve">a Emissora </w:t>
            </w:r>
            <w:r w:rsidR="008105FD">
              <w:rPr>
                <w:rFonts w:cs="Tahoma"/>
                <w:color w:val="000000" w:themeColor="text1"/>
                <w:szCs w:val="20"/>
              </w:rPr>
              <w:t>obtiver</w:t>
            </w:r>
            <w:r w:rsidRPr="00882A8B">
              <w:rPr>
                <w:rFonts w:cs="Tahoma"/>
                <w:color w:val="000000" w:themeColor="text1"/>
                <w:szCs w:val="20"/>
              </w:rPr>
              <w:t xml:space="preserve"> cumulativamente (i)</w:t>
            </w:r>
            <w:r>
              <w:rPr>
                <w:rFonts w:cs="Tahoma"/>
                <w:color w:val="000000" w:themeColor="text1"/>
                <w:szCs w:val="20"/>
              </w:rPr>
              <w:t> </w:t>
            </w:r>
            <w:r w:rsidRPr="00882A8B">
              <w:rPr>
                <w:rFonts w:cs="Tahoma"/>
                <w:color w:val="000000" w:themeColor="text1"/>
                <w:szCs w:val="20"/>
              </w:rPr>
              <w:t>índice Dívida Líquida / EBITDA inferior ou igual a 4,25x por quatro trimestres consecutivos; e (ii)</w:t>
            </w:r>
            <w:r>
              <w:rPr>
                <w:rFonts w:cs="Tahoma"/>
                <w:color w:val="000000" w:themeColor="text1"/>
                <w:szCs w:val="20"/>
              </w:rPr>
              <w:t> </w:t>
            </w:r>
            <w:r w:rsidRPr="00882A8B">
              <w:rPr>
                <w:rFonts w:cs="Tahoma"/>
                <w:color w:val="000000" w:themeColor="text1"/>
                <w:szCs w:val="20"/>
              </w:rPr>
              <w:t>classificação de risco da Emissão</w:t>
            </w:r>
            <w:r>
              <w:rPr>
                <w:rFonts w:cs="Tahoma"/>
                <w:color w:val="000000" w:themeColor="text1"/>
                <w:szCs w:val="20"/>
              </w:rPr>
              <w:t> </w:t>
            </w:r>
            <w:r w:rsidRPr="00882A8B">
              <w:rPr>
                <w:rFonts w:cs="Tahoma"/>
                <w:color w:val="000000" w:themeColor="text1"/>
                <w:szCs w:val="20"/>
              </w:rPr>
              <w:t>(</w:t>
            </w:r>
            <w:r w:rsidRPr="001C20A7">
              <w:rPr>
                <w:rFonts w:cs="Tahoma"/>
                <w:i/>
                <w:iCs/>
                <w:color w:val="000000" w:themeColor="text1"/>
                <w:szCs w:val="20"/>
              </w:rPr>
              <w:t>rating</w:t>
            </w:r>
            <w:r w:rsidRPr="00882A8B">
              <w:rPr>
                <w:rFonts w:cs="Tahoma"/>
                <w:color w:val="000000" w:themeColor="text1"/>
                <w:szCs w:val="20"/>
              </w:rPr>
              <w:t>) mínimo em escala local de AA+ emitido pela Standard &amp; Poor's ou a Fitch Ratings, ou seu equivalente pela Moody’s</w:t>
            </w:r>
            <w:bookmarkEnd w:id="10"/>
            <w:r>
              <w:rPr>
                <w:rFonts w:cs="Tahoma"/>
                <w:color w:val="000000" w:themeColor="text1"/>
                <w:szCs w:val="20"/>
              </w:rPr>
              <w:t>.</w:t>
            </w:r>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 xml:space="preserve">2019, referente à Central Geradora Eólica denominada Vila Sergipe I; (ii)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 xml:space="preserve">2019, referente à Central Geradora Eólica denominada Vila Sergipe II; (iii)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(iv)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lastRenderedPageBreak/>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5C37DE9E" w:rsidR="000D3485" w:rsidRPr="009437E1" w:rsidRDefault="00D3267B" w:rsidP="00955E4F">
            <w:pPr>
              <w:widowControl w:val="0"/>
              <w:spacing w:after="140" w:line="290" w:lineRule="auto"/>
              <w:jc w:val="both"/>
              <w:rPr>
                <w:rFonts w:cs="Tahoma"/>
                <w:color w:val="000000" w:themeColor="text1"/>
                <w:szCs w:val="20"/>
              </w:rPr>
            </w:pPr>
            <w:bookmarkStart w:id="11" w:name="_Hlk34069229"/>
            <w:r>
              <w:rPr>
                <w:rFonts w:eastAsia="Arial Unicode MS" w:cs="Tahoma"/>
                <w:w w:val="0"/>
              </w:rPr>
              <w:t xml:space="preserve">significam </w:t>
            </w:r>
            <w:r w:rsidR="000D3485">
              <w:rPr>
                <w:rFonts w:eastAsia="Arial Unicode MS" w:cs="Tahoma"/>
                <w:w w:val="0"/>
              </w:rPr>
              <w:t xml:space="preserve">(A) operações de fusão, cisão, incorporação ou incorporação de ações entre a Emissora e as Controladas Relevantes, ou entre as Controladas Relevantes, desde que a Emissora </w:t>
            </w:r>
            <w:r w:rsidR="009927BF" w:rsidRPr="009927BF">
              <w:rPr>
                <w:rFonts w:eastAsia="Arial Unicode MS" w:cs="Tahoma"/>
                <w:w w:val="0"/>
              </w:rPr>
              <w:t xml:space="preserve">incorpore tal Controlada Relevante ou </w:t>
            </w:r>
            <w:r w:rsidR="000D3485">
              <w:rPr>
                <w:rFonts w:eastAsia="Arial Unicode MS" w:cs="Tahoma"/>
                <w:w w:val="0"/>
              </w:rPr>
              <w:t>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11"/>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“Reorganizações Permitidas Emissora”</w:t>
            </w:r>
          </w:p>
        </w:tc>
        <w:tc>
          <w:tcPr>
            <w:tcW w:w="5612" w:type="dxa"/>
            <w:shd w:val="clear" w:color="auto" w:fill="auto"/>
            <w:vAlign w:val="center"/>
          </w:tcPr>
          <w:p w14:paraId="66C0F8A9" w14:textId="24FA26E1"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 xml:space="preserve">em relação à Emissora, </w:t>
            </w:r>
            <w:r w:rsidR="009927BF" w:rsidRPr="009927BF">
              <w:rPr>
                <w:rFonts w:eastAsia="Arial Unicode MS" w:cs="Tahoma"/>
                <w:w w:val="0"/>
              </w:rPr>
              <w:t>(a)</w:t>
            </w:r>
            <w:r w:rsidR="009927BF">
              <w:rPr>
                <w:rFonts w:eastAsia="Arial Unicode MS" w:cs="Tahoma"/>
                <w:w w:val="0"/>
              </w:rPr>
              <w:t> </w:t>
            </w:r>
            <w:r w:rsidR="009927BF" w:rsidRPr="009927BF">
              <w:rPr>
                <w:rFonts w:eastAsia="Arial Unicode MS" w:cs="Tahoma"/>
                <w:w w:val="0"/>
              </w:rPr>
              <w:t>uma cisão da Emissora em que a parcela cindida represente 10% (dez) por cento ou menos do EBITDA individual ou consolidado da Emissora, em uma ou mais operações, desde que a parte cindida seja (1)</w:t>
            </w:r>
            <w:r w:rsidR="009927BF">
              <w:rPr>
                <w:rFonts w:eastAsia="Arial Unicode MS" w:cs="Tahoma"/>
                <w:w w:val="0"/>
              </w:rPr>
              <w:t> </w:t>
            </w:r>
            <w:r w:rsidR="009927BF" w:rsidRPr="009927BF">
              <w:rPr>
                <w:rFonts w:eastAsia="Arial Unicode MS" w:cs="Tahoma"/>
                <w:w w:val="0"/>
              </w:rPr>
              <w:t>absorvida por outra empresa do mesmo grupo econômico da Emissora; ou (2)</w:t>
            </w:r>
            <w:r w:rsidR="009927BF">
              <w:rPr>
                <w:rFonts w:eastAsia="Arial Unicode MS" w:cs="Tahoma"/>
                <w:w w:val="0"/>
              </w:rPr>
              <w:t> </w:t>
            </w:r>
            <w:r w:rsidR="009927BF" w:rsidRPr="009927BF">
              <w:rPr>
                <w:rFonts w:eastAsia="Arial Unicode MS" w:cs="Tahoma"/>
                <w:w w:val="0"/>
              </w:rPr>
              <w:t>extinta; ou (b)</w:t>
            </w:r>
            <w:r w:rsidR="009927BF">
              <w:rPr>
                <w:rFonts w:eastAsia="Arial Unicode MS" w:cs="Tahoma"/>
                <w:w w:val="0"/>
              </w:rPr>
              <w:t> </w:t>
            </w:r>
            <w:r w:rsidR="000D3485">
              <w:rPr>
                <w:rFonts w:eastAsia="Arial Unicode MS" w:cs="Tahoma"/>
                <w:w w:val="0"/>
              </w:rPr>
              <w:t>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pro rata temporis</w:t>
            </w:r>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 xml:space="preserve">significa a Resolução CMN 4.751, de 26 de setembro de 2019, que regulamenta o artigo 1º, parágrafo 1º, inciso II da </w:t>
            </w:r>
            <w:r w:rsidRPr="00AD3BF7">
              <w:rPr>
                <w:rFonts w:cs="Tahoma"/>
                <w:color w:val="000000" w:themeColor="text1"/>
                <w:szCs w:val="20"/>
              </w:rPr>
              <w:lastRenderedPageBreak/>
              <w:t>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882A8B" w:rsidRPr="009437E1" w14:paraId="3431310B" w14:textId="77777777" w:rsidTr="004B0DE6">
        <w:trPr>
          <w:trHeight w:val="553"/>
        </w:trPr>
        <w:tc>
          <w:tcPr>
            <w:tcW w:w="3119" w:type="dxa"/>
            <w:shd w:val="clear" w:color="auto" w:fill="auto"/>
            <w:vAlign w:val="center"/>
            <w:hideMark/>
          </w:tcPr>
          <w:p w14:paraId="6E0E5835" w14:textId="0CAD3652" w:rsidR="00882A8B" w:rsidRPr="00C62A81" w:rsidRDefault="00882A8B" w:rsidP="004B0DE6">
            <w:pPr>
              <w:widowControl w:val="0"/>
              <w:spacing w:after="140" w:line="290" w:lineRule="auto"/>
              <w:rPr>
                <w:rFonts w:cs="Tahoma"/>
                <w:b/>
                <w:bCs/>
                <w:color w:val="000000" w:themeColor="text1"/>
                <w:szCs w:val="20"/>
              </w:rPr>
            </w:pPr>
            <w:r w:rsidRPr="009437E1">
              <w:rPr>
                <w:rFonts w:cs="Tahoma"/>
                <w:b/>
                <w:bCs/>
                <w:color w:val="000000" w:themeColor="text1"/>
                <w:szCs w:val="20"/>
              </w:rPr>
              <w:t>"</w:t>
            </w:r>
            <w:r w:rsidRPr="00882A8B">
              <w:rPr>
                <w:rFonts w:cs="Tahoma"/>
                <w:b/>
                <w:bCs/>
                <w:color w:val="000000" w:themeColor="text1"/>
                <w:szCs w:val="20"/>
              </w:rPr>
              <w:t>Valor de Complementação ICSD</w:t>
            </w:r>
            <w:r w:rsidRPr="009437E1">
              <w:rPr>
                <w:rFonts w:cs="Tahoma"/>
                <w:b/>
                <w:bCs/>
                <w:color w:val="000000" w:themeColor="text1"/>
                <w:szCs w:val="20"/>
              </w:rPr>
              <w:t>"</w:t>
            </w:r>
          </w:p>
        </w:tc>
        <w:tc>
          <w:tcPr>
            <w:tcW w:w="5612" w:type="dxa"/>
            <w:shd w:val="clear" w:color="auto" w:fill="auto"/>
            <w:vAlign w:val="center"/>
            <w:hideMark/>
          </w:tcPr>
          <w:p w14:paraId="68F8084F" w14:textId="1C11F83B"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significa o valor a ser calculado caso o ICSD</w:t>
            </w:r>
            <w:r>
              <w:rPr>
                <w:rFonts w:cs="Tahoma"/>
                <w:color w:val="000000" w:themeColor="text1"/>
                <w:szCs w:val="20"/>
              </w:rPr>
              <w:t> </w:t>
            </w:r>
            <w:r w:rsidRPr="00882A8B">
              <w:rPr>
                <w:rFonts w:cs="Tahoma"/>
                <w:color w:val="000000" w:themeColor="text1"/>
                <w:szCs w:val="20"/>
              </w:rPr>
              <w:t>Emissora seja inferior ao ICSD</w:t>
            </w:r>
            <w:r>
              <w:rPr>
                <w:rFonts w:cs="Tahoma"/>
                <w:color w:val="000000" w:themeColor="text1"/>
                <w:szCs w:val="20"/>
              </w:rPr>
              <w:t> </w:t>
            </w:r>
            <w:r w:rsidRPr="00882A8B">
              <w:rPr>
                <w:rFonts w:cs="Tahoma"/>
                <w:color w:val="000000" w:themeColor="text1"/>
                <w:szCs w:val="20"/>
              </w:rPr>
              <w:t>Mínimo, mas igual ou superior ao ICSD</w:t>
            </w:r>
            <w:r>
              <w:rPr>
                <w:rFonts w:cs="Tahoma"/>
                <w:color w:val="000000" w:themeColor="text1"/>
                <w:szCs w:val="20"/>
              </w:rPr>
              <w:t> </w:t>
            </w:r>
            <w:r w:rsidRPr="00882A8B">
              <w:rPr>
                <w:rFonts w:cs="Tahoma"/>
                <w:color w:val="000000" w:themeColor="text1"/>
                <w:szCs w:val="20"/>
              </w:rPr>
              <w:t>Gatilho. Referido valor será sempre o menor entre o Valor de Complementação ICSD Consolidado e o Valor de Complementação ICSD Holding, calculados com base nas demonstrações financeiras consolidadas auditadas da Emissora, por meio das fórmulas descritas abaixo:</w:t>
            </w:r>
          </w:p>
          <w:p w14:paraId="0E63A1C2"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Fórmula 1:</w:t>
            </w:r>
          </w:p>
          <w:p w14:paraId="1F4147E6" w14:textId="77777777" w:rsidR="00882A8B" w:rsidRPr="00882A8B" w:rsidRDefault="00882A8B" w:rsidP="001C20A7">
            <w:pPr>
              <w:widowControl w:val="0"/>
              <w:spacing w:after="140" w:line="290" w:lineRule="auto"/>
              <w:jc w:val="both"/>
              <w:rPr>
                <w:rFonts w:cs="Tahoma"/>
                <w:color w:val="000000" w:themeColor="text1"/>
                <w:szCs w:val="20"/>
              </w:rPr>
            </w:pPr>
            <w:r w:rsidRPr="001C20A7">
              <w:rPr>
                <w:rFonts w:cs="Tahoma"/>
                <w:b/>
                <w:bCs/>
                <w:color w:val="000000" w:themeColor="text1"/>
                <w:szCs w:val="20"/>
              </w:rPr>
              <w:t>Valor de Complementação ICSD Consolidado</w:t>
            </w:r>
            <w:r w:rsidRPr="00882A8B">
              <w:rPr>
                <w:rFonts w:cs="Tahoma"/>
                <w:color w:val="000000" w:themeColor="text1"/>
                <w:szCs w:val="20"/>
              </w:rPr>
              <w:t xml:space="preserve"> = [(1,2 – ICSD Consolidado) x (Principal Consolidado + Juros Consolidado)]</w:t>
            </w:r>
          </w:p>
          <w:p w14:paraId="267013C7" w14:textId="77777777" w:rsidR="00882A8B" w:rsidRPr="00882A8B" w:rsidRDefault="00882A8B" w:rsidP="001C20A7">
            <w:pPr>
              <w:widowControl w:val="0"/>
              <w:spacing w:after="140" w:line="290" w:lineRule="auto"/>
              <w:jc w:val="both"/>
              <w:rPr>
                <w:rFonts w:cs="Tahoma"/>
                <w:color w:val="000000" w:themeColor="text1"/>
                <w:szCs w:val="20"/>
              </w:rPr>
            </w:pPr>
          </w:p>
          <w:p w14:paraId="34B38F3D"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OU</w:t>
            </w:r>
          </w:p>
          <w:p w14:paraId="678AD7BF" w14:textId="77777777" w:rsidR="00882A8B" w:rsidRPr="00882A8B" w:rsidRDefault="00882A8B" w:rsidP="001C20A7">
            <w:pPr>
              <w:widowControl w:val="0"/>
              <w:spacing w:after="140" w:line="290" w:lineRule="auto"/>
              <w:jc w:val="both"/>
              <w:rPr>
                <w:rFonts w:cs="Tahoma"/>
                <w:color w:val="000000" w:themeColor="text1"/>
                <w:szCs w:val="20"/>
              </w:rPr>
            </w:pPr>
          </w:p>
          <w:p w14:paraId="5483AA41"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Fórmula 2:</w:t>
            </w:r>
          </w:p>
          <w:p w14:paraId="5A2760B8" w14:textId="77777777" w:rsidR="00882A8B" w:rsidRPr="00882A8B" w:rsidRDefault="00882A8B" w:rsidP="001C20A7">
            <w:pPr>
              <w:widowControl w:val="0"/>
              <w:spacing w:after="140" w:line="290" w:lineRule="auto"/>
              <w:jc w:val="both"/>
              <w:rPr>
                <w:rFonts w:cs="Tahoma"/>
                <w:color w:val="000000" w:themeColor="text1"/>
                <w:szCs w:val="20"/>
              </w:rPr>
            </w:pPr>
            <w:r w:rsidRPr="001C20A7">
              <w:rPr>
                <w:rFonts w:cs="Tahoma"/>
                <w:b/>
                <w:bCs/>
                <w:color w:val="000000" w:themeColor="text1"/>
                <w:szCs w:val="20"/>
              </w:rPr>
              <w:t>Valor de Complementação ICSD Holding</w:t>
            </w:r>
            <w:r w:rsidRPr="00882A8B">
              <w:rPr>
                <w:rFonts w:cs="Tahoma"/>
                <w:color w:val="000000" w:themeColor="text1"/>
                <w:szCs w:val="20"/>
              </w:rPr>
              <w:t xml:space="preserve"> = [(1,2 – ICSD Holding) x (Principal Holding + Juros Holding)]</w:t>
            </w:r>
          </w:p>
          <w:p w14:paraId="375ADF31" w14:textId="33B65C45" w:rsidR="00882A8B" w:rsidRPr="00C62A81"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Os termos iniciados em letra maiúscula utilizados nas fórmulas acima estão definidos na definição de ICSD Emissora.</w:t>
            </w:r>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12" w:name="_Toc261004484"/>
      <w:r w:rsidRPr="006A509E">
        <w:rPr>
          <w:rFonts w:cs="Tahoma"/>
          <w:b/>
        </w:rPr>
        <w:t>AUTORIZAÇÕES</w:t>
      </w:r>
      <w:bookmarkEnd w:id="12"/>
    </w:p>
    <w:p w14:paraId="4BDCD662" w14:textId="62D8D1A2" w:rsidR="0012777B" w:rsidRPr="0012777B" w:rsidRDefault="00DD716F" w:rsidP="00955E4F">
      <w:pPr>
        <w:pStyle w:val="Level2"/>
        <w:rPr>
          <w:rFonts w:cs="Tahoma"/>
        </w:rPr>
      </w:pPr>
      <w:bookmarkStart w:id="13" w:name="_BPDC_LN_INS_1405"/>
      <w:bookmarkStart w:id="14" w:name="_BPDC_PR_INS_1406"/>
      <w:bookmarkStart w:id="15" w:name="_Hlk7533130"/>
      <w:bookmarkEnd w:id="13"/>
      <w:bookmarkEnd w:id="14"/>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15"/>
      <w:r w:rsidRPr="00960BA0">
        <w:t xml:space="preserve">na Assembleia Geral Extraordinária de Acionistas da Emissora realizada em </w:t>
      </w:r>
      <w:r w:rsidR="0038696B">
        <w:t>8</w:t>
      </w:r>
      <w:r w:rsidR="0038696B" w:rsidRPr="00960BA0">
        <w:t xml:space="preserve"> </w:t>
      </w:r>
      <w:r w:rsidRPr="00960BA0">
        <w:t xml:space="preserve">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16" w:name="_BPDC_LN_INS_1403"/>
      <w:bookmarkStart w:id="17" w:name="_BPDC_PR_INS_1404"/>
      <w:bookmarkEnd w:id="16"/>
      <w:bookmarkEnd w:id="17"/>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lastRenderedPageBreak/>
        <w:t>Instrução CVM 476</w:t>
      </w:r>
      <w:r w:rsidRPr="00960BA0">
        <w:rPr>
          <w:rFonts w:cs="Tahoma"/>
        </w:rPr>
        <w:t>; (ii) contratar os demais prestadores de serviços inerentes à Emissão, à Oferta Restrita e às Debêntures, incluindo, sem limitação, o escriturador, o banco liquidante, o Agente Fiduciário, os assessores legais, a B3, dentre outros; e (iii)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18" w:name="_Toc261004485"/>
      <w:r w:rsidRPr="006A509E">
        <w:rPr>
          <w:rFonts w:cs="Tahoma"/>
          <w:b/>
        </w:rPr>
        <w:t>REQUISITOS</w:t>
      </w:r>
      <w:bookmarkEnd w:id="18"/>
    </w:p>
    <w:p w14:paraId="1F1867A4" w14:textId="77777777" w:rsidR="00DD716F" w:rsidRPr="00960BA0" w:rsidRDefault="00DD716F" w:rsidP="00955E4F">
      <w:pPr>
        <w:pStyle w:val="Level2"/>
        <w:numPr>
          <w:ilvl w:val="1"/>
          <w:numId w:val="6"/>
        </w:numPr>
        <w:rPr>
          <w:rFonts w:cs="Tahoma"/>
        </w:rPr>
      </w:pPr>
      <w:bookmarkStart w:id="19" w:name="_BPDC_LN_INS_1401"/>
      <w:bookmarkStart w:id="20" w:name="_BPDC_PR_INS_1402"/>
      <w:bookmarkStart w:id="21" w:name="_Ref368388547"/>
      <w:bookmarkEnd w:id="19"/>
      <w:bookmarkEnd w:id="20"/>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21"/>
      <w:r w:rsidRPr="00960BA0">
        <w:rPr>
          <w:rFonts w:cs="Tahoma"/>
        </w:rPr>
        <w:t xml:space="preserve"> </w:t>
      </w:r>
    </w:p>
    <w:p w14:paraId="064CC05E" w14:textId="290A4D39" w:rsidR="00DD716F" w:rsidRPr="0042637A" w:rsidRDefault="00DD716F" w:rsidP="00955E4F">
      <w:pPr>
        <w:pStyle w:val="Level2"/>
        <w:numPr>
          <w:ilvl w:val="1"/>
          <w:numId w:val="6"/>
        </w:numPr>
        <w:rPr>
          <w:b/>
          <w:u w:val="single"/>
        </w:rPr>
      </w:pPr>
      <w:bookmarkStart w:id="22" w:name="_BPDC_LN_INS_1399"/>
      <w:bookmarkStart w:id="23" w:name="_BPDC_PR_INS_1400"/>
      <w:bookmarkEnd w:id="22"/>
      <w:bookmarkEnd w:id="23"/>
      <w:r w:rsidRPr="00B85D15">
        <w:rPr>
          <w:rFonts w:cs="Tahoma"/>
        </w:rPr>
        <w:t>Arquivamento</w:t>
      </w:r>
      <w:r w:rsidRPr="0042637A">
        <w:rPr>
          <w:i/>
        </w:rPr>
        <w:t xml:space="preserve"> na JUCESP e publicação da ata da AGE da Emissão</w:t>
      </w:r>
      <w:r w:rsidRPr="00960BA0">
        <w:t xml:space="preserve">. </w:t>
      </w:r>
      <w:r w:rsidR="00B43027" w:rsidRPr="00A652F9">
        <w:rPr>
          <w:rFonts w:cs="Tahoma"/>
          <w:color w:val="000000"/>
          <w:szCs w:val="20"/>
        </w:rPr>
        <w:t>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Pr="00960BA0">
        <w:t>.</w:t>
      </w:r>
    </w:p>
    <w:p w14:paraId="497C9C0E" w14:textId="5E10A262" w:rsidR="00DD716F" w:rsidRPr="00955E4F" w:rsidRDefault="00DD716F" w:rsidP="00955E4F">
      <w:pPr>
        <w:pStyle w:val="Level2"/>
        <w:numPr>
          <w:ilvl w:val="1"/>
          <w:numId w:val="6"/>
        </w:numPr>
        <w:rPr>
          <w:rFonts w:cs="Tahoma"/>
        </w:rPr>
      </w:pPr>
      <w:bookmarkStart w:id="24" w:name="_BPDC_LN_INS_1397"/>
      <w:bookmarkStart w:id="25" w:name="_BPDC_PR_INS_1398"/>
      <w:bookmarkEnd w:id="24"/>
      <w:bookmarkEnd w:id="25"/>
      <w:r w:rsidRPr="00960BA0">
        <w:rPr>
          <w:rFonts w:cs="Tahoma"/>
          <w:i/>
        </w:rPr>
        <w:t>Inscrição e registro desta Escritura de Emissão e seus aditamentos na JUCESP</w:t>
      </w:r>
      <w:r w:rsidRPr="00960BA0">
        <w:rPr>
          <w:rFonts w:cs="Tahoma"/>
        </w:rPr>
        <w:t xml:space="preserve">. </w:t>
      </w:r>
      <w:r w:rsidR="00D3267B" w:rsidRPr="00367A5A">
        <w:t xml:space="preserve">Nos termos do artigo 6º, inciso “ii” da </w:t>
      </w:r>
      <w:r w:rsidR="00303305" w:rsidRPr="00367A5A">
        <w:t>M</w:t>
      </w:r>
      <w:r w:rsidR="00303305" w:rsidRPr="00F055F9">
        <w:t xml:space="preserve">edida </w:t>
      </w:r>
      <w:r w:rsidR="00303305" w:rsidRPr="00367A5A">
        <w:t>P</w:t>
      </w:r>
      <w:r w:rsidR="00303305" w:rsidRPr="00F055F9">
        <w:t>rovisória nº 931, de 30 de março de 2020</w:t>
      </w:r>
      <w:r w:rsidR="00D3267B" w:rsidRPr="00367A5A">
        <w:t xml:space="preserve">,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26" w:name="_BPDC_LN_INS_1395"/>
      <w:bookmarkStart w:id="27" w:name="_BPDC_PR_INS_1396"/>
      <w:bookmarkStart w:id="28" w:name="_BPDC_LN_INS_1393"/>
      <w:bookmarkStart w:id="29" w:name="_BPDC_PR_INS_1394"/>
      <w:bookmarkStart w:id="30" w:name="_BPDC_LN_INS_1391"/>
      <w:bookmarkStart w:id="31" w:name="_BPDC_PR_INS_1392"/>
      <w:bookmarkStart w:id="32" w:name="_DV_M26"/>
      <w:bookmarkStart w:id="33" w:name="_DV_M42"/>
      <w:bookmarkStart w:id="34" w:name="_DV_M43"/>
      <w:bookmarkStart w:id="35" w:name="_DV_M44"/>
      <w:bookmarkStart w:id="36" w:name="_Ref368388540"/>
      <w:bookmarkStart w:id="37" w:name="_Hlk7540065"/>
      <w:bookmarkEnd w:id="26"/>
      <w:bookmarkEnd w:id="27"/>
      <w:bookmarkEnd w:id="28"/>
      <w:bookmarkEnd w:id="29"/>
      <w:bookmarkEnd w:id="30"/>
      <w:bookmarkEnd w:id="31"/>
      <w:bookmarkEnd w:id="32"/>
      <w:bookmarkEnd w:id="33"/>
      <w:bookmarkEnd w:id="34"/>
      <w:bookmarkEnd w:id="35"/>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w:t>
      </w:r>
      <w:r w:rsidRPr="00960BA0">
        <w:rPr>
          <w:rFonts w:cs="Tahoma"/>
        </w:rPr>
        <w:lastRenderedPageBreak/>
        <w:t xml:space="preserve">custodiadas eletronicamente na B3. </w:t>
      </w:r>
      <w:bookmarkEnd w:id="36"/>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7"/>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38" w:name="_BPDC_LN_INS_1389"/>
      <w:bookmarkStart w:id="39" w:name="_BPDC_PR_INS_1390"/>
      <w:bookmarkEnd w:id="38"/>
      <w:bookmarkEnd w:id="39"/>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 xml:space="preserve">(i) a exploração de atividades de produção, geração, transmissão, distribuição e comercialização de energia elétrica; (ii)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(iii)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40" w:name="_BPDC_LN_INS_1387"/>
      <w:bookmarkStart w:id="41" w:name="_BPDC_PR_INS_1388"/>
      <w:bookmarkStart w:id="42" w:name="_Ref368432278"/>
      <w:bookmarkEnd w:id="40"/>
      <w:bookmarkEnd w:id="41"/>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xml:space="preserve">; (ii)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e (iii)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(ii) 96,6 MW, sendo dividido em (i) 42,0 MW da Vila Piauí 3 Empreendimentos e Participações S.A.; (ii) 37,8 MW da Vila Sergipe 2 Empreendimentos e Participações S.A.; e (iii) 16,8 MW da Vila Sergipe 3 Empreendimentos e Participações S.A. </w:t>
            </w:r>
            <w:r w:rsidRPr="008326EE">
              <w:rPr>
                <w:rFonts w:ascii="Tahoma" w:hAnsi="Tahoma" w:cs="Tahoma"/>
                <w:kern w:val="20"/>
                <w:szCs w:val="28"/>
              </w:rPr>
              <w:lastRenderedPageBreak/>
              <w:t>(“</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43" w:name="_DV_M106"/>
      <w:bookmarkStart w:id="44" w:name="_DV_M113"/>
      <w:bookmarkEnd w:id="43"/>
      <w:bookmarkEnd w:id="44"/>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42"/>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45" w:name="_BPDC_LN_INS_1385"/>
      <w:bookmarkStart w:id="46" w:name="_BPDC_PR_INS_1386"/>
      <w:bookmarkEnd w:id="45"/>
      <w:bookmarkEnd w:id="46"/>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47" w:name="_BPDC_LN_INS_1383"/>
      <w:bookmarkStart w:id="48" w:name="_BPDC_PR_INS_1384"/>
      <w:bookmarkEnd w:id="47"/>
      <w:bookmarkEnd w:id="48"/>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49" w:name="_BPDC_LN_INS_1381"/>
      <w:bookmarkStart w:id="50" w:name="_BPDC_PR_INS_1382"/>
      <w:bookmarkEnd w:id="49"/>
      <w:bookmarkEnd w:id="50"/>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51" w:name="_BPDC_LN_INS_1379"/>
      <w:bookmarkStart w:id="52" w:name="_BPDC_PR_INS_1380"/>
      <w:bookmarkStart w:id="53" w:name="_BPDC_LN_INS_1377"/>
      <w:bookmarkStart w:id="54" w:name="_BPDC_PR_INS_1378"/>
      <w:bookmarkEnd w:id="51"/>
      <w:bookmarkEnd w:id="52"/>
      <w:bookmarkEnd w:id="53"/>
      <w:bookmarkEnd w:id="54"/>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35F03FF6" w:rsidR="00DD716F" w:rsidRPr="00960BA0" w:rsidRDefault="00DD716F" w:rsidP="00955E4F">
      <w:pPr>
        <w:pStyle w:val="Level2"/>
        <w:numPr>
          <w:ilvl w:val="1"/>
          <w:numId w:val="6"/>
        </w:numPr>
        <w:rPr>
          <w:rFonts w:cs="Tahoma"/>
          <w:color w:val="000000"/>
        </w:rPr>
      </w:pPr>
      <w:bookmarkStart w:id="55" w:name="_BPDC_LN_INS_1375"/>
      <w:bookmarkStart w:id="56" w:name="_BPDC_PR_INS_1376"/>
      <w:bookmarkEnd w:id="55"/>
      <w:bookmarkEnd w:id="56"/>
      <w:r w:rsidRPr="00960BA0">
        <w:rPr>
          <w:rFonts w:cs="Tahoma"/>
          <w:i/>
        </w:rPr>
        <w:t>Banco Liquidante e Escriturador</w:t>
      </w:r>
      <w:r w:rsidRPr="00960BA0">
        <w:rPr>
          <w:rFonts w:cs="Tahoma"/>
        </w:rPr>
        <w:t xml:space="preserve">. A instituição prestadora de serviços de banco liquidante da Emissão e de escrituração das Debêntures será o </w:t>
      </w:r>
      <w:r w:rsidR="00F56E2D" w:rsidRPr="00F56E2D">
        <w:rPr>
          <w:rFonts w:cs="Tahoma"/>
          <w:b/>
        </w:rPr>
        <w:t>BANCO BRADESCO S.A.</w:t>
      </w:r>
      <w:r w:rsidR="00F56E2D" w:rsidRPr="00F56E2D">
        <w:rPr>
          <w:rFonts w:cs="Tahoma"/>
        </w:rPr>
        <w:t xml:space="preserve">, instituição financeira com sede no Núcleo Cidade de Deus, s/nº, Vila Yara, Osasco, Estado de São Paulo, </w:t>
      </w:r>
      <w:r w:rsidR="00F56E2D" w:rsidRPr="00F56E2D">
        <w:rPr>
          <w:rFonts w:cs="Tahoma"/>
        </w:rPr>
        <w:lastRenderedPageBreak/>
        <w:t>inscrito no CNPJ/ME sob o nº 60.746.948/0001-12</w:t>
      </w:r>
      <w:r w:rsidRPr="00960BA0">
        <w:rPr>
          <w:rFonts w:cs="Tahoma"/>
        </w:rPr>
        <w:t xml:space="preserve"> (“</w:t>
      </w:r>
      <w:r w:rsidRPr="00960BA0">
        <w:rPr>
          <w:rFonts w:cs="Tahoma"/>
          <w:b/>
        </w:rPr>
        <w:t>Banco Liquidante</w:t>
      </w:r>
      <w:r w:rsidRPr="00960BA0">
        <w:rPr>
          <w:rFonts w:cs="Tahoma"/>
        </w:rPr>
        <w:t>” e “</w:t>
      </w:r>
      <w:r w:rsidRPr="00960BA0">
        <w:rPr>
          <w:rFonts w:cs="Tahoma"/>
          <w:b/>
        </w:rPr>
        <w:t>Escriturador</w:t>
      </w:r>
      <w:r w:rsidRPr="00960BA0">
        <w:rPr>
          <w:rFonts w:cs="Tahoma"/>
        </w:rPr>
        <w:t>”, respectivamente, sendo que tais definições incluem quaisquer outras instituições que venham a suceder o Banco Liquidante como banco liquidante da Emissão e/ou o Escriturador como escriturador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57" w:name="_BPDC_LN_INS_1373"/>
      <w:bookmarkStart w:id="58" w:name="_BPDC_PR_INS_1374"/>
      <w:bookmarkStart w:id="59" w:name="_DV_M137"/>
      <w:bookmarkStart w:id="60" w:name="_BPDC_LN_INS_1371"/>
      <w:bookmarkStart w:id="61" w:name="_BPDC_PR_INS_1372"/>
      <w:bookmarkStart w:id="62" w:name="_BPDC_LN_INS_1369"/>
      <w:bookmarkStart w:id="63" w:name="_BPDC_PR_INS_1370"/>
      <w:bookmarkEnd w:id="57"/>
      <w:bookmarkEnd w:id="58"/>
      <w:bookmarkEnd w:id="59"/>
      <w:bookmarkEnd w:id="60"/>
      <w:bookmarkEnd w:id="61"/>
      <w:bookmarkEnd w:id="62"/>
      <w:bookmarkEnd w:id="63"/>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64" w:name="_BPDC_LN_INS_1367"/>
      <w:bookmarkStart w:id="65" w:name="_BPDC_PR_INS_1368"/>
      <w:bookmarkStart w:id="66" w:name="_BPDC_LN_INS_1358"/>
      <w:bookmarkStart w:id="67" w:name="_BPDC_PR_INS_1359"/>
      <w:bookmarkStart w:id="68" w:name="_BPDC_PR_INS_1360"/>
      <w:bookmarkStart w:id="69" w:name="_BPDC_PR_INS_1361"/>
      <w:bookmarkStart w:id="70" w:name="_BPDC_PR_INS_1362"/>
      <w:bookmarkStart w:id="71" w:name="_BPDC_PR_INS_1363"/>
      <w:bookmarkStart w:id="72" w:name="_BPDC_PR_INS_1364"/>
      <w:bookmarkStart w:id="73" w:name="_BPDC_PR_INS_1365"/>
      <w:bookmarkStart w:id="74" w:name="_BPDC_PR_INS_1366"/>
      <w:bookmarkStart w:id="75" w:name="_BPDC_LN_INS_1355"/>
      <w:bookmarkStart w:id="76" w:name="_BPDC_PR_INS_1356"/>
      <w:bookmarkStart w:id="77" w:name="_BPDC_PR_INS_1357"/>
      <w:bookmarkStart w:id="78" w:name="_BPDC_LN_INS_1352"/>
      <w:bookmarkStart w:id="79" w:name="_BPDC_PR_INS_1353"/>
      <w:bookmarkStart w:id="80" w:name="_BPDC_PR_INS_1354"/>
      <w:bookmarkStart w:id="81" w:name="_BPDC_LN_INS_1350"/>
      <w:bookmarkStart w:id="82" w:name="_BPDC_PR_INS_135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83" w:name="_BPDC_LN_INS_1348"/>
      <w:bookmarkStart w:id="84" w:name="_BPDC_PR_INS_1349"/>
      <w:bookmarkEnd w:id="83"/>
      <w:bookmarkEnd w:id="84"/>
      <w:r w:rsidRPr="00974B03">
        <w:t xml:space="preserve">Não será (i) constituído fundo de sustentação de liquidez; ou (ii)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85" w:name="_BPDC_LN_INS_1346"/>
      <w:bookmarkStart w:id="86" w:name="_BPDC_PR_INS_1347"/>
      <w:bookmarkStart w:id="87" w:name="_Hlk7538266"/>
      <w:bookmarkEnd w:id="85"/>
      <w:bookmarkEnd w:id="86"/>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88"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(ii) a Oferta Restrita não foi registrada perante a CVM; (iii)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(iv) as Debêntures estão sujeitas às restrições de negociação previstas na regulamentação aplicável, nesta Escritura de Emissão e no Contrato de Distribuição</w:t>
      </w:r>
      <w:bookmarkEnd w:id="88"/>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89" w:name="_Ref475518981"/>
      <w:bookmarkStart w:id="90" w:name="_Ref475519349"/>
      <w:bookmarkEnd w:id="87"/>
      <w:r w:rsidRPr="00960BA0">
        <w:rPr>
          <w:rFonts w:cs="Tahoma"/>
        </w:rPr>
        <w:t>Não será admitida a distribuição parcial das Debêntures</w:t>
      </w:r>
      <w:bookmarkEnd w:id="89"/>
      <w:r w:rsidRPr="00960BA0">
        <w:rPr>
          <w:rFonts w:cs="Tahoma"/>
          <w:color w:val="000000"/>
        </w:rPr>
        <w:t>.</w:t>
      </w:r>
      <w:bookmarkEnd w:id="90"/>
    </w:p>
    <w:p w14:paraId="205710C7" w14:textId="77777777" w:rsidR="003356A9" w:rsidRDefault="00DD716F" w:rsidP="00955E4F">
      <w:pPr>
        <w:pStyle w:val="Level2"/>
        <w:numPr>
          <w:ilvl w:val="1"/>
          <w:numId w:val="6"/>
        </w:numPr>
      </w:pPr>
      <w:bookmarkStart w:id="91" w:name="_BPDC_LN_INS_1344"/>
      <w:bookmarkStart w:id="92" w:name="_BPDC_PR_INS_1345"/>
      <w:bookmarkStart w:id="93" w:name="_BPDC_LN_INS_1342"/>
      <w:bookmarkStart w:id="94" w:name="_BPDC_PR_INS_1343"/>
      <w:bookmarkStart w:id="95" w:name="_BPDC_LN_INS_1340"/>
      <w:bookmarkStart w:id="96" w:name="_BPDC_PR_INS_1341"/>
      <w:bookmarkStart w:id="97" w:name="_BPDC_LN_INS_1338"/>
      <w:bookmarkStart w:id="98" w:name="_BPDC_PR_INS_1339"/>
      <w:bookmarkStart w:id="99" w:name="_Hlk7540052"/>
      <w:bookmarkEnd w:id="91"/>
      <w:bookmarkEnd w:id="92"/>
      <w:bookmarkEnd w:id="93"/>
      <w:bookmarkEnd w:id="94"/>
      <w:bookmarkEnd w:id="95"/>
      <w:bookmarkEnd w:id="96"/>
      <w:bookmarkEnd w:id="97"/>
      <w:bookmarkEnd w:id="98"/>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w:t>
      </w:r>
      <w:r w:rsidRPr="00D61FD1">
        <w:lastRenderedPageBreak/>
        <w:t xml:space="preserve">Nominal Atualizado (conforme definido abaixo), acrescido dos Juros Remuneratórios (conforme definido abaixo), calculados </w:t>
      </w:r>
      <w:r w:rsidRPr="00955E4F">
        <w:rPr>
          <w:i/>
          <w:iCs/>
        </w:rPr>
        <w:t>pro rata temporis</w:t>
      </w:r>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100" w:name="_BPDC_LN_INS_1336"/>
      <w:bookmarkStart w:id="101" w:name="_BPDC_PR_INS_1337"/>
      <w:bookmarkEnd w:id="100"/>
      <w:bookmarkEnd w:id="101"/>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7A0BB4EB"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limitada ao valo</w:t>
      </w:r>
      <w:r w:rsidR="0074557E">
        <w:rPr>
          <w:rFonts w:cs="Tahoma"/>
          <w:szCs w:val="20"/>
        </w:rPr>
        <w:t>ç</w:t>
      </w:r>
      <w:r w:rsidR="00B91883" w:rsidRPr="00186EB2">
        <w:rPr>
          <w:rFonts w:cs="Tahoma"/>
          <w:szCs w:val="20"/>
        </w:rPr>
        <w:t xml:space="preserve">r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emitido pela Standard &amp; Poor's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(ii</w:t>
      </w:r>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6DE0B7D1" w:rsidR="00114E04" w:rsidRPr="008105FD" w:rsidRDefault="00114E04" w:rsidP="00955E4F">
      <w:pPr>
        <w:pStyle w:val="Level2"/>
      </w:pPr>
      <w:bookmarkStart w:id="102" w:name="_Ref57215188"/>
      <w:r w:rsidRPr="007D7AD4">
        <w:rPr>
          <w:rFonts w:cs="Tahoma"/>
          <w:i/>
          <w:iCs/>
        </w:rPr>
        <w:lastRenderedPageBreak/>
        <w:t>Fiança Bancária Complementação ICSD</w:t>
      </w:r>
      <w:r>
        <w:rPr>
          <w:rFonts w:cs="Tahoma"/>
        </w:rPr>
        <w:t>. Observada a Cláusula 7.2(xiii)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w:t>
      </w:r>
      <w:r w:rsidR="00371E55">
        <w:rPr>
          <w:rFonts w:cs="Tahoma"/>
        </w:rPr>
        <w:t>Período de Exigência de ICSD</w:t>
      </w:r>
      <w:r w:rsidRPr="00D61FD1">
        <w:rPr>
          <w:rFonts w:cs="Tahoma"/>
        </w:rPr>
        <w:t xml:space="preserve">,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w:t>
      </w:r>
      <w:r w:rsidR="00371E55" w:rsidRPr="00371E55">
        <w:rPr>
          <w:rFonts w:cs="Tahoma"/>
        </w:rPr>
        <w:t xml:space="preserve">, em valor </w:t>
      </w:r>
      <w:r w:rsidR="00731BEA">
        <w:rPr>
          <w:rFonts w:cs="Tahoma"/>
        </w:rPr>
        <w:t xml:space="preserve">limitado </w:t>
      </w:r>
      <w:r w:rsidR="00371E55" w:rsidRPr="00371E55">
        <w:rPr>
          <w:rFonts w:cs="Tahoma"/>
        </w:rPr>
        <w:t>ao Valor de Complementação ICSD</w:t>
      </w:r>
      <w:r w:rsidR="00371E55">
        <w:rPr>
          <w:rFonts w:cs="Tahoma"/>
        </w:rPr>
        <w:t> </w:t>
      </w:r>
      <w:r>
        <w:rPr>
          <w:rFonts w:cs="Tahoma"/>
        </w:rPr>
        <w:t>(“</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 xml:space="preserve">do ICSD </w:t>
      </w:r>
      <w:r w:rsidR="00882A8B">
        <w:rPr>
          <w:rFonts w:cstheme="minorBidi"/>
        </w:rPr>
        <w:t>Emissora</w:t>
      </w:r>
      <w:r w:rsidR="000848A4">
        <w:rPr>
          <w:rFonts w:cs="Tahoma"/>
        </w:rPr>
        <w:t>.</w:t>
      </w:r>
      <w:bookmarkEnd w:id="102"/>
    </w:p>
    <w:p w14:paraId="1544E481" w14:textId="20492E12" w:rsidR="008105FD" w:rsidRPr="00521F51" w:rsidRDefault="008105FD" w:rsidP="001C20A7">
      <w:pPr>
        <w:pStyle w:val="Level3"/>
      </w:pPr>
      <w:r>
        <w:t xml:space="preserve">Ultrapassado o </w:t>
      </w:r>
      <w:r w:rsidRPr="008105FD">
        <w:t>Período de Exigência de ICSD</w:t>
      </w:r>
      <w:r w:rsidR="00F23FB6">
        <w:t xml:space="preserve"> (i) </w:t>
      </w:r>
      <w:r>
        <w:t xml:space="preserve">nenhuma Carta de Fiança ICSD </w:t>
      </w:r>
      <w:r w:rsidR="00F23FB6">
        <w:t>poder</w:t>
      </w:r>
      <w:r>
        <w:t xml:space="preserve">á mais </w:t>
      </w:r>
      <w:r w:rsidR="00F23FB6">
        <w:t xml:space="preserve">ser </w:t>
      </w:r>
      <w:r>
        <w:t>exigida</w:t>
      </w:r>
      <w:r w:rsidR="00F23FB6">
        <w:t>; e (ii) c</w:t>
      </w:r>
      <w:r>
        <w:t xml:space="preserve">aso alguma Carta de Fiança ICSD </w:t>
      </w:r>
      <w:r w:rsidR="00F23FB6">
        <w:t xml:space="preserve">já </w:t>
      </w:r>
      <w:r>
        <w:t xml:space="preserve">tenha sido emitida e entregue </w:t>
      </w:r>
      <w:r w:rsidR="00F23FB6">
        <w:t>ao Agente Fiduciário nos termos da Clausula </w:t>
      </w:r>
      <w:r w:rsidR="00F23FB6">
        <w:fldChar w:fldCharType="begin"/>
      </w:r>
      <w:r w:rsidR="00F23FB6">
        <w:instrText xml:space="preserve"> REF _Ref57215188 \n \p \h </w:instrText>
      </w:r>
      <w:r w:rsidR="00F23FB6">
        <w:fldChar w:fldCharType="separate"/>
      </w:r>
      <w:r w:rsidR="00F23FB6">
        <w:t>5.11 acima</w:t>
      </w:r>
      <w:r w:rsidR="00F23FB6">
        <w:fldChar w:fldCharType="end"/>
      </w:r>
      <w:r w:rsidR="00F23FB6">
        <w:t xml:space="preserve">, referida Carta de Fiança ICSD </w:t>
      </w:r>
      <w:r w:rsidR="00F23FB6" w:rsidRPr="00F23FB6">
        <w:t>deverá</w:t>
      </w:r>
      <w:r w:rsidR="00F23FB6">
        <w:t xml:space="preserve"> ser devolvida pelo Agente Fiduciário à Emissora no prazo de </w:t>
      </w:r>
      <w:r w:rsidR="003A4B90">
        <w:t>5 (cinco)</w:t>
      </w:r>
      <w:r w:rsidR="00F23FB6">
        <w:t xml:space="preserve"> Dias Úteis contado da data da solicitação feita nesse sentido pela Emissora, e cancelada pela Emissora junto à instituição financeira emissora de referida Carta de Fiança ICSD.</w:t>
      </w:r>
    </w:p>
    <w:p w14:paraId="2623A280" w14:textId="77777777" w:rsidR="00505D0D" w:rsidRDefault="00114E04" w:rsidP="001C20A7">
      <w:pPr>
        <w:pStyle w:val="Level2"/>
        <w:keepNext/>
        <w:keepLines/>
        <w:rPr>
          <w:rFonts w:cs="Tahoma"/>
          <w:i/>
          <w:iCs/>
        </w:rPr>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32793B09"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o término do respectivo Período 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 xml:space="preserve">do ICSD </w:t>
      </w:r>
      <w:r w:rsidR="00882A8B">
        <w:rPr>
          <w:rFonts w:cstheme="minorBidi"/>
        </w:rPr>
        <w:t>Emissora</w:t>
      </w:r>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 xml:space="preserve">Fica desde já certo e ajustado que a não observância, pelo Agente Fiduciário, dos prazos para execução de quaisquer valores devidos aos Debenturistas não ensejará, </w:t>
      </w:r>
      <w:r w:rsidRPr="00521F51">
        <w:rPr>
          <w:rFonts w:cs="Tahoma"/>
          <w:szCs w:val="20"/>
        </w:rPr>
        <w:lastRenderedPageBreak/>
        <w:t>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103" w:name="_BPDC_LN_INS_1334"/>
      <w:bookmarkStart w:id="104" w:name="_BPDC_PR_INS_1335"/>
      <w:bookmarkStart w:id="105" w:name="_BPDC_LN_INS_1332"/>
      <w:bookmarkStart w:id="106" w:name="_BPDC_PR_INS_1333"/>
      <w:bookmarkStart w:id="107" w:name="_BPDC_LN_INS_1330"/>
      <w:bookmarkStart w:id="108" w:name="_BPDC_PR_INS_1331"/>
      <w:bookmarkStart w:id="109" w:name="_BPDC_LN_INS_1327"/>
      <w:bookmarkStart w:id="110" w:name="_BPDC_PR_INS_1328"/>
      <w:bookmarkStart w:id="111" w:name="_BPDC_PR_INS_1329"/>
      <w:bookmarkStart w:id="112" w:name="_BPDC_LN_INS_1325"/>
      <w:bookmarkStart w:id="113" w:name="_BPDC_PR_INS_1326"/>
      <w:bookmarkStart w:id="114" w:name="_BPDC_LN_INS_1323"/>
      <w:bookmarkStart w:id="115" w:name="_BPDC_PR_INS_1324"/>
      <w:bookmarkStart w:id="116" w:name="_Toc261004487"/>
      <w:bookmarkStart w:id="117" w:name="OLE_LINK5"/>
      <w:bookmarkStart w:id="118" w:name="OLE_LINK6"/>
      <w:bookmarkStart w:id="119" w:name="_DV_C91"/>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r w:rsidRPr="006A509E">
        <w:rPr>
          <w:rFonts w:cs="Tahoma"/>
          <w:b/>
        </w:rPr>
        <w:t>CARACTERÍSTICAS DAS DEBÊNTURES</w:t>
      </w:r>
      <w:bookmarkEnd w:id="116"/>
    </w:p>
    <w:p w14:paraId="73EFD338" w14:textId="77777777" w:rsidR="00DD716F" w:rsidRPr="00960BA0" w:rsidRDefault="00DD716F" w:rsidP="00955E4F">
      <w:pPr>
        <w:pStyle w:val="Level2"/>
        <w:numPr>
          <w:ilvl w:val="1"/>
          <w:numId w:val="6"/>
        </w:numPr>
        <w:rPr>
          <w:rFonts w:cs="Tahoma"/>
        </w:rPr>
      </w:pPr>
      <w:bookmarkStart w:id="120" w:name="_BPDC_LN_INS_1321"/>
      <w:bookmarkStart w:id="121" w:name="_BPDC_PR_INS_1322"/>
      <w:bookmarkEnd w:id="120"/>
      <w:bookmarkEnd w:id="121"/>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122" w:name="_BPDC_LN_INS_1319"/>
      <w:bookmarkStart w:id="123" w:name="_BPDC_PR_INS_1320"/>
      <w:bookmarkEnd w:id="122"/>
      <w:bookmarkEnd w:id="123"/>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124" w:name="_BPDC_LN_INS_1317"/>
      <w:bookmarkStart w:id="125" w:name="_BPDC_PR_INS_1318"/>
      <w:bookmarkEnd w:id="124"/>
      <w:bookmarkEnd w:id="125"/>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126" w:name="_BPDC_LN_INS_1315"/>
      <w:bookmarkStart w:id="127" w:name="_BPDC_PR_INS_1316"/>
      <w:bookmarkStart w:id="128" w:name="_Ref301779135"/>
      <w:bookmarkEnd w:id="126"/>
      <w:bookmarkEnd w:id="127"/>
      <w:r w:rsidRPr="00960BA0">
        <w:rPr>
          <w:rFonts w:cs="Tahoma"/>
        </w:rPr>
        <w:t>Para os fins de fixação de quórum desta Escritura de Emissão, “</w:t>
      </w:r>
      <w:r w:rsidRPr="00960BA0">
        <w:rPr>
          <w:rFonts w:cs="Tahoma"/>
          <w:b/>
        </w:rPr>
        <w:t>Debêntures em Circulação</w:t>
      </w:r>
      <w:r w:rsidRPr="00960BA0">
        <w:rPr>
          <w:rFonts w:cs="Tahoma"/>
        </w:rPr>
        <w:t xml:space="preserve">” significam todas as Debêntures subscritas e integralizadas e não resgatadas, excluídas as Debêntures, conforme o caso, (i) mantidas em tesouraria pela Emissora; ou (ii)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8"/>
    </w:p>
    <w:p w14:paraId="30990857" w14:textId="77777777" w:rsidR="00DD716F" w:rsidRPr="00960BA0" w:rsidRDefault="00DD716F" w:rsidP="00955E4F">
      <w:pPr>
        <w:pStyle w:val="Level2"/>
        <w:numPr>
          <w:ilvl w:val="1"/>
          <w:numId w:val="6"/>
        </w:numPr>
        <w:rPr>
          <w:rFonts w:cs="Tahoma"/>
        </w:rPr>
      </w:pPr>
      <w:bookmarkStart w:id="129" w:name="_BPDC_LN_INS_1313"/>
      <w:bookmarkStart w:id="130" w:name="_BPDC_PR_INS_1314"/>
      <w:bookmarkStart w:id="131" w:name="_Hlk7540033"/>
      <w:bookmarkEnd w:id="129"/>
      <w:bookmarkEnd w:id="130"/>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132" w:name="_BPDC_LN_INS_1311"/>
      <w:bookmarkStart w:id="133" w:name="_BPDC_PR_INS_1312"/>
      <w:bookmarkEnd w:id="131"/>
      <w:bookmarkEnd w:id="132"/>
      <w:bookmarkEnd w:id="133"/>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134" w:name="_BPDC_LN_INS_1309"/>
      <w:bookmarkStart w:id="135" w:name="_BPDC_PR_INS_1310"/>
      <w:bookmarkEnd w:id="134"/>
      <w:bookmarkEnd w:id="135"/>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136" w:name="_BPDC_LN_INS_1307"/>
      <w:bookmarkStart w:id="137" w:name="_BPDC_PR_INS_1308"/>
      <w:bookmarkStart w:id="138" w:name="_BPDC_LN_INS_1305"/>
      <w:bookmarkStart w:id="139" w:name="_BPDC_PR_INS_1306"/>
      <w:bookmarkStart w:id="140" w:name="_DV_M117"/>
      <w:bookmarkStart w:id="141" w:name="_DV_M118"/>
      <w:bookmarkStart w:id="142" w:name="_DV_M119"/>
      <w:bookmarkEnd w:id="117"/>
      <w:bookmarkEnd w:id="118"/>
      <w:bookmarkEnd w:id="136"/>
      <w:bookmarkEnd w:id="137"/>
      <w:bookmarkEnd w:id="138"/>
      <w:bookmarkEnd w:id="139"/>
      <w:bookmarkEnd w:id="140"/>
      <w:bookmarkEnd w:id="141"/>
      <w:bookmarkEnd w:id="142"/>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143" w:name="_BPDC_LN_INS_1303"/>
      <w:bookmarkStart w:id="144" w:name="_BPDC_PR_INS_1304"/>
      <w:bookmarkStart w:id="145" w:name="_Ref322636697"/>
      <w:bookmarkStart w:id="146" w:name="_Ref368499099"/>
      <w:bookmarkStart w:id="147" w:name="_Ref368431731"/>
      <w:bookmarkEnd w:id="143"/>
      <w:bookmarkEnd w:id="144"/>
      <w:r w:rsidRPr="00960BA0">
        <w:rPr>
          <w:rFonts w:eastAsia="Arial Unicode MS" w:cs="Tahoma"/>
          <w:i/>
        </w:rPr>
        <w:t>Atualização Monetária das Debêntures</w:t>
      </w:r>
      <w:bookmarkEnd w:id="145"/>
      <w:r w:rsidRPr="00960BA0">
        <w:rPr>
          <w:rFonts w:eastAsia="Arial Unicode MS" w:cs="Tahoma"/>
          <w:i/>
        </w:rPr>
        <w:t>.</w:t>
      </w:r>
      <w:bookmarkEnd w:id="146"/>
      <w:bookmarkEnd w:id="147"/>
      <w:r w:rsidRPr="00960BA0">
        <w:rPr>
          <w:rFonts w:eastAsia="Arial Unicode MS" w:cs="Tahoma"/>
          <w:i/>
        </w:rPr>
        <w:t xml:space="preserve"> </w:t>
      </w:r>
    </w:p>
    <w:p w14:paraId="10C53447" w14:textId="6CB8FC3F" w:rsidR="009C75E0" w:rsidRPr="009C75E0" w:rsidRDefault="00C2454A" w:rsidP="00955E4F">
      <w:pPr>
        <w:pStyle w:val="Level3"/>
        <w:rPr>
          <w:rFonts w:cs="Tahoma"/>
        </w:rPr>
      </w:pPr>
      <w:bookmarkStart w:id="148" w:name="_BPDC_LN_INS_1301"/>
      <w:bookmarkStart w:id="149" w:name="_BPDC_PR_INS_1302"/>
      <w:bookmarkEnd w:id="148"/>
      <w:bookmarkEnd w:id="149"/>
      <w:r w:rsidRPr="00360519">
        <w:rPr>
          <w:rFonts w:cs="Tahoma"/>
          <w:iCs/>
        </w:rPr>
        <w:t>As Debêntures terão o seu Valor Nominal Unitário ou o saldo do Valor Nominal Unitário (conforme abaixo definido), conforme o caso, atualizado monetariamente, a partir da Primeira Data de Integralização das Debêntures até a data do efetivo pagamento, pela variação acumulada do Índice Nacional de Preços ao Consumidor Amplo calculado</w:t>
      </w:r>
      <w:r>
        <w:rPr>
          <w:rFonts w:cs="Tahoma"/>
          <w:iCs/>
        </w:rPr>
        <w:t> </w:t>
      </w:r>
      <w:r w:rsidRPr="00360519">
        <w:rPr>
          <w:rFonts w:cs="Tahoma"/>
          <w:iCs/>
        </w:rPr>
        <w:t>(“</w:t>
      </w:r>
      <w:r w:rsidRPr="00360519">
        <w:rPr>
          <w:rFonts w:cs="Tahoma"/>
          <w:b/>
          <w:iCs/>
        </w:rPr>
        <w:t>IPCA</w:t>
      </w:r>
      <w:r w:rsidRPr="00360519">
        <w:rPr>
          <w:rFonts w:cs="Tahoma"/>
          <w:iCs/>
        </w:rPr>
        <w:t>”), divulgado mensalmente pelo Instituto Brasileiro de Geografia e Estatística</w:t>
      </w:r>
      <w:r>
        <w:rPr>
          <w:rFonts w:cs="Tahoma"/>
          <w:iCs/>
        </w:rPr>
        <w:t> </w:t>
      </w:r>
      <w:r w:rsidRPr="00360519">
        <w:rPr>
          <w:rFonts w:cs="Tahoma"/>
          <w:iCs/>
        </w:rPr>
        <w:t>(“</w:t>
      </w:r>
      <w:r w:rsidRPr="00360519">
        <w:rPr>
          <w:rFonts w:cs="Tahoma"/>
          <w:b/>
          <w:iCs/>
        </w:rPr>
        <w:t>IBGE</w:t>
      </w:r>
      <w:r w:rsidRPr="00360519">
        <w:rPr>
          <w:rFonts w:cs="Tahoma"/>
          <w:iCs/>
        </w:rPr>
        <w:t>”), calculada de forma pro rata temporis, com base em 252 (duzentos e cinquenta e dois) Dias Úteis</w:t>
      </w:r>
      <w:r>
        <w:rPr>
          <w:rFonts w:cs="Tahoma"/>
          <w:iCs/>
        </w:rPr>
        <w:t> </w:t>
      </w:r>
      <w:r w:rsidRPr="00360519">
        <w:rPr>
          <w:rFonts w:cs="Tahoma"/>
          <w:iCs/>
        </w:rPr>
        <w:t>(“</w:t>
      </w:r>
      <w:r w:rsidRPr="00360519">
        <w:rPr>
          <w:rFonts w:cs="Tahoma"/>
          <w:b/>
          <w:iCs/>
        </w:rPr>
        <w:t>Atualização Monetária</w:t>
      </w:r>
      <w:r w:rsidRPr="00360519">
        <w:rPr>
          <w:rFonts w:cs="Tahoma"/>
          <w:iCs/>
        </w:rPr>
        <w:t xml:space="preserve">”), </w:t>
      </w:r>
      <w:r w:rsidRPr="00360519">
        <w:rPr>
          <w:rFonts w:cs="Tahoma"/>
          <w:iCs/>
        </w:rPr>
        <w:lastRenderedPageBreak/>
        <w:t>sendo que o produto da Atualização Monetária será incorporado automaticamente ao Valor Nominal Unitário ou ao saldo do Valor Nominal Unitário, conforme o caso</w:t>
      </w:r>
      <w:r>
        <w:rPr>
          <w:rFonts w:cs="Tahoma"/>
          <w:iCs/>
        </w:rPr>
        <w:t> </w:t>
      </w:r>
      <w:r w:rsidRPr="00360519">
        <w:rPr>
          <w:rFonts w:cs="Tahoma"/>
          <w:iCs/>
        </w:rPr>
        <w:t>(“</w:t>
      </w:r>
      <w:r w:rsidRPr="00360519">
        <w:rPr>
          <w:rFonts w:cs="Tahoma"/>
          <w:b/>
          <w:iCs/>
        </w:rPr>
        <w:t>Valor Nominal Atualizado</w:t>
      </w:r>
      <w:r w:rsidRPr="00360519">
        <w:rPr>
          <w:rFonts w:cs="Tahoma"/>
          <w:iCs/>
        </w:rPr>
        <w:t>”), segundo a seguinte fórmula</w:t>
      </w:r>
      <w:r w:rsidR="009C75E0">
        <w:rPr>
          <w:rFonts w:cs="Tahoma"/>
        </w:rPr>
        <w:t>:</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r w:rsidRPr="009C75E0">
        <w:rPr>
          <w:rFonts w:cs="Tahoma"/>
          <w:b/>
        </w:rPr>
        <w:t>VNa</w:t>
      </w:r>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r w:rsidRPr="009C75E0">
        <w:rPr>
          <w:rFonts w:cs="Tahoma"/>
          <w:b/>
        </w:rPr>
        <w:t xml:space="preserve">VNe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r w:rsidRPr="009C75E0">
        <w:rPr>
          <w:rFonts w:cs="Tahoma"/>
          <w:b/>
        </w:rPr>
        <w:t>dup</w:t>
      </w:r>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“dup” um número inteiro;</w:t>
      </w:r>
    </w:p>
    <w:p w14:paraId="788490C2" w14:textId="77777777" w:rsidR="009C75E0" w:rsidRPr="009C75E0" w:rsidRDefault="009C75E0" w:rsidP="00955E4F">
      <w:pPr>
        <w:pStyle w:val="Level3"/>
        <w:numPr>
          <w:ilvl w:val="0"/>
          <w:numId w:val="0"/>
        </w:numPr>
        <w:ind w:left="1361"/>
        <w:rPr>
          <w:rFonts w:cs="Tahoma"/>
        </w:rPr>
      </w:pPr>
      <w:r w:rsidRPr="009C75E0">
        <w:rPr>
          <w:rFonts w:cs="Tahoma"/>
          <w:b/>
        </w:rPr>
        <w:t>dut</w:t>
      </w:r>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“dut” um número inteiro;</w:t>
      </w:r>
    </w:p>
    <w:p w14:paraId="10B26754" w14:textId="77777777" w:rsidR="009C75E0" w:rsidRPr="009C75E0" w:rsidRDefault="009C75E0" w:rsidP="00955E4F">
      <w:pPr>
        <w:pStyle w:val="Level3"/>
        <w:numPr>
          <w:ilvl w:val="0"/>
          <w:numId w:val="0"/>
        </w:numPr>
        <w:ind w:left="1361"/>
        <w:rPr>
          <w:rFonts w:cs="Tahoma"/>
        </w:rPr>
      </w:pPr>
      <w:r w:rsidRPr="009C75E0">
        <w:rPr>
          <w:rFonts w:cs="Tahoma"/>
          <w:b/>
        </w:rPr>
        <w:t>NIk</w:t>
      </w:r>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(ii)</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6EF3C43B" w:rsidR="009C75E0" w:rsidRPr="009C75E0" w:rsidRDefault="009C75E0" w:rsidP="00955E4F">
      <w:pPr>
        <w:pStyle w:val="Level3"/>
        <w:numPr>
          <w:ilvl w:val="0"/>
          <w:numId w:val="0"/>
        </w:numPr>
        <w:ind w:left="1361"/>
        <w:rPr>
          <w:rFonts w:cs="Tahoma"/>
        </w:rPr>
      </w:pPr>
      <w:r w:rsidRPr="009C75E0">
        <w:rPr>
          <w:rFonts w:cs="Tahoma"/>
        </w:rPr>
        <w:lastRenderedPageBreak/>
        <w:t>(iii)</w:t>
      </w:r>
      <w:r w:rsidR="00744482">
        <w:rPr>
          <w:rFonts w:cs="Tahoma"/>
        </w:rPr>
        <w:t xml:space="preserve"> </w:t>
      </w:r>
      <w:r w:rsidR="00C2454A" w:rsidRPr="00360519">
        <w:rPr>
          <w:rFonts w:cs="Tahoma"/>
          <w:iCs/>
        </w:rPr>
        <w:t>considera-se data de aniversário o dia 15</w:t>
      </w:r>
      <w:r w:rsidR="00C2454A">
        <w:rPr>
          <w:rFonts w:cs="Tahoma"/>
          <w:iCs/>
        </w:rPr>
        <w:t> </w:t>
      </w:r>
      <w:r w:rsidR="00C2454A" w:rsidRPr="00360519">
        <w:rPr>
          <w:rFonts w:cs="Tahoma"/>
          <w:iCs/>
        </w:rPr>
        <w:t>(quinze) de cada mês</w:t>
      </w:r>
      <w:r w:rsidR="00C2454A">
        <w:rPr>
          <w:rFonts w:cs="Tahoma"/>
          <w:iCs/>
        </w:rPr>
        <w:t> </w:t>
      </w:r>
      <w:r w:rsidR="00C2454A" w:rsidRPr="00360519">
        <w:rPr>
          <w:rFonts w:cs="Tahoma"/>
          <w:iCs/>
        </w:rPr>
        <w:t>(“</w:t>
      </w:r>
      <w:r w:rsidR="00C2454A" w:rsidRPr="00360519">
        <w:rPr>
          <w:rFonts w:cs="Tahoma"/>
          <w:b/>
          <w:iCs/>
        </w:rPr>
        <w:t>Data de Aniversário</w:t>
      </w:r>
      <w:r w:rsidR="00C2454A" w:rsidRPr="00360519">
        <w:rPr>
          <w:rFonts w:cs="Tahoma"/>
          <w:iCs/>
        </w:rPr>
        <w:t>”)</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 xml:space="preserve">(iv)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produtório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(vii)</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Caso até a Data de Aniversário, o NIk não tenha sido divulgado, deverá ser utilizado em substituição a</w:t>
      </w:r>
      <w:r w:rsidR="004323F5">
        <w:rPr>
          <w:rFonts w:cs="Tahoma"/>
        </w:rPr>
        <w:t>o</w:t>
      </w:r>
      <w:r w:rsidRPr="00744482">
        <w:rPr>
          <w:rFonts w:cs="Tahoma"/>
        </w:rPr>
        <w:t xml:space="preserve"> NIk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1pt" o:ole="">
            <v:imagedata r:id="rId12" o:title=""/>
          </v:shape>
          <o:OLEObject Type="Embed" ProgID="Equation.3" ShapeID="_x0000_i1025" DrawAspect="Content" ObjectID="_1701003672" r:id="rId13"/>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150"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xml:space="preserve">), o IPCA deverá ser substituído pelo devido substituto legal ou, no caso de inexistir substituto legal para o IPCA, o Agente Fiduciário deverá, no prazo de até 2 (dois) Dias Úteis a contar do início do Período </w:t>
      </w:r>
      <w:r w:rsidRPr="00F73FB3">
        <w:lastRenderedPageBreak/>
        <w:t>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50"/>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151"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51"/>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w:t>
      </w:r>
      <w:r w:rsidR="009006DC">
        <w:lastRenderedPageBreak/>
        <w:t>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152" w:name="_DV_M251"/>
      <w:bookmarkStart w:id="153" w:name="_DV_M253"/>
      <w:bookmarkStart w:id="154" w:name="_BPDC_LN_INS_1299"/>
      <w:bookmarkStart w:id="155" w:name="_BPDC_PR_INS_1300"/>
      <w:bookmarkStart w:id="156" w:name="_BPDC_LN_INS_1262"/>
      <w:bookmarkStart w:id="157" w:name="_BPDC_PR_INS_1263"/>
      <w:bookmarkStart w:id="158" w:name="_BPDC_PR_INS_1264"/>
      <w:bookmarkStart w:id="159" w:name="_Ref322633734"/>
      <w:bookmarkEnd w:id="152"/>
      <w:bookmarkEnd w:id="153"/>
      <w:bookmarkEnd w:id="154"/>
      <w:bookmarkEnd w:id="155"/>
      <w:bookmarkEnd w:id="156"/>
      <w:bookmarkEnd w:id="157"/>
      <w:bookmarkEnd w:id="158"/>
      <w:r w:rsidRPr="00472273">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57364FF6" w:rsidR="00472273" w:rsidRPr="00472273" w:rsidRDefault="00C2454A" w:rsidP="00955E4F">
      <w:pPr>
        <w:pStyle w:val="Level3"/>
        <w:rPr>
          <w:rFonts w:cs="Tahoma"/>
        </w:rPr>
      </w:pPr>
      <w:r w:rsidRPr="00360519">
        <w:rPr>
          <w:rFonts w:cs="Tahoma"/>
          <w:iCs/>
        </w:rPr>
        <w:t xml:space="preserve">Os Juros Remuneratórios serão </w:t>
      </w:r>
      <w:r w:rsidRPr="00360519">
        <w:rPr>
          <w:iCs/>
        </w:rPr>
        <w:t xml:space="preserve">calculados de forma exponencial e cumulativa </w:t>
      </w:r>
      <w:r w:rsidRPr="001C20A7">
        <w:rPr>
          <w:i/>
        </w:rPr>
        <w:t>pro rata temporis</w:t>
      </w:r>
      <w:r w:rsidRPr="00360519">
        <w:rPr>
          <w:iCs/>
        </w:rPr>
        <w:t xml:space="preserve"> por Dias Úteis decorridos, desde a Primeira Data de Integralização ou a Data de Pagamento dos Juros Remuneratórios anterior, conforme o caso, até a data do efetivo pagamento e de acordo com a seguinte fórmula</w:t>
      </w:r>
      <w:r w:rsidR="00472273" w:rsidRPr="00472273">
        <w:rPr>
          <w:rFonts w:cs="Tahoma"/>
        </w:rPr>
        <w:t>:</w:t>
      </w:r>
    </w:p>
    <w:p w14:paraId="0EA68310" w14:textId="77777777" w:rsidR="00C2454A" w:rsidRPr="00360519" w:rsidRDefault="00C2454A" w:rsidP="00C2454A">
      <w:pPr>
        <w:pStyle w:val="Body2"/>
        <w:jc w:val="center"/>
        <w:rPr>
          <w:rFonts w:cs="Tahoma"/>
          <w:b/>
          <w:iCs/>
        </w:rPr>
      </w:pPr>
      <w:r w:rsidRPr="00360519">
        <w:rPr>
          <w:rFonts w:cs="Tahoma"/>
          <w:b/>
          <w:iCs/>
        </w:rPr>
        <w:t>J = VNa x (Fator Juros – 1)</w:t>
      </w:r>
    </w:p>
    <w:p w14:paraId="24FEBF5A" w14:textId="77777777" w:rsidR="00C2454A" w:rsidRPr="00360519" w:rsidRDefault="00C2454A" w:rsidP="00C2454A">
      <w:pPr>
        <w:pStyle w:val="Body2"/>
        <w:keepNext/>
        <w:rPr>
          <w:rFonts w:cs="Tahoma"/>
          <w:iCs/>
        </w:rPr>
      </w:pPr>
      <w:r w:rsidRPr="00360519">
        <w:rPr>
          <w:rFonts w:cs="Tahoma"/>
          <w:iCs/>
        </w:rPr>
        <w:t>onde:</w:t>
      </w:r>
    </w:p>
    <w:p w14:paraId="5BFF9E8F" w14:textId="77777777" w:rsidR="00C2454A" w:rsidRPr="00360519" w:rsidRDefault="00C2454A" w:rsidP="00C2454A">
      <w:pPr>
        <w:pStyle w:val="Body2"/>
        <w:keepNext/>
        <w:rPr>
          <w:rFonts w:cs="Tahoma"/>
          <w:iCs/>
        </w:rPr>
      </w:pPr>
      <w:r w:rsidRPr="00360519">
        <w:rPr>
          <w:rFonts w:cs="Tahoma"/>
          <w:b/>
          <w:iCs/>
        </w:rPr>
        <w:t>J</w:t>
      </w:r>
      <w:r w:rsidRPr="00360519">
        <w:rPr>
          <w:rFonts w:cs="Tahoma"/>
          <w:iCs/>
        </w:rPr>
        <w:t xml:space="preserve"> = valor unitário dos Juros Remuneratórios devido em cada data de pagamento, calculado com 8 (oito) casas decimais sem arredondamento;</w:t>
      </w:r>
    </w:p>
    <w:p w14:paraId="7872BCFF" w14:textId="77777777" w:rsidR="00C2454A" w:rsidRPr="00360519" w:rsidRDefault="00C2454A" w:rsidP="00C2454A">
      <w:pPr>
        <w:pStyle w:val="Body2"/>
        <w:keepNext/>
        <w:rPr>
          <w:rFonts w:cs="Tahoma"/>
          <w:iCs/>
        </w:rPr>
      </w:pPr>
      <w:r w:rsidRPr="00360519">
        <w:rPr>
          <w:rFonts w:cs="Tahoma"/>
          <w:b/>
          <w:iCs/>
        </w:rPr>
        <w:t>VNa</w:t>
      </w:r>
      <w:r w:rsidRPr="00360519">
        <w:rPr>
          <w:rFonts w:cs="Tahoma"/>
          <w:iCs/>
        </w:rPr>
        <w:t xml:space="preserve"> = Valor Nominal Atualizado das Debêntures calculado com 8 (oito) casas decimais, sem arredondamento; </w:t>
      </w:r>
    </w:p>
    <w:p w14:paraId="64C975CD" w14:textId="77777777" w:rsidR="00C2454A" w:rsidRPr="00360519" w:rsidRDefault="00C2454A" w:rsidP="00C2454A">
      <w:pPr>
        <w:pStyle w:val="Body2"/>
        <w:keepNext/>
        <w:rPr>
          <w:rFonts w:cs="Tahoma"/>
          <w:iCs/>
        </w:rPr>
      </w:pPr>
      <w:r w:rsidRPr="00360519">
        <w:rPr>
          <w:rFonts w:cs="Tahoma"/>
          <w:b/>
          <w:iCs/>
        </w:rPr>
        <w:t>Fator Juros</w:t>
      </w:r>
      <w:r w:rsidRPr="00360519">
        <w:rPr>
          <w:rFonts w:cs="Tahoma"/>
          <w:iCs/>
        </w:rPr>
        <w:t xml:space="preserve"> = fator de juros compostos pelo parâmetro de flutuação acrescido de spread, calculado com 9 (nove) casas decimais, com arredondamento, apurado da seguinte forma:</w:t>
      </w:r>
    </w:p>
    <w:p w14:paraId="1FB91A5B" w14:textId="77777777" w:rsidR="00C2454A" w:rsidRPr="00360519" w:rsidRDefault="00C2454A" w:rsidP="00C2454A">
      <w:pPr>
        <w:spacing w:after="140" w:line="290" w:lineRule="auto"/>
        <w:jc w:val="center"/>
        <w:rPr>
          <w:rFonts w:cs="Tahoma"/>
          <w:iCs/>
        </w:rPr>
      </w:pPr>
      <m:oMathPara>
        <m:oMath>
          <m:r>
            <m:rPr>
              <m:sty m:val="p"/>
            </m:rPr>
            <w:rPr>
              <w:rFonts w:ascii="Cambria Math" w:hAnsi="Cambria Math"/>
            </w:rPr>
            <m:t xml:space="preserve">Fator Juros= </m:t>
          </m:r>
          <m:d>
            <m:dPr>
              <m:begChr m:val="["/>
              <m:endChr m:val="]"/>
              <m:ctrlPr>
                <w:rPr>
                  <w:rFonts w:ascii="Cambria Math" w:hAnsi="Cambria Math"/>
                  <w:iCs/>
                </w:rPr>
              </m:ctrlPr>
            </m:dPr>
            <m:e>
              <m:sSup>
                <m:sSupPr>
                  <m:ctrlPr>
                    <w:rPr>
                      <w:rFonts w:ascii="Cambria Math" w:hAnsi="Cambria Math"/>
                      <w:iCs/>
                    </w:rPr>
                  </m:ctrlPr>
                </m:sSupPr>
                <m:e>
                  <m:d>
                    <m:dPr>
                      <m:ctrlPr>
                        <w:rPr>
                          <w:rFonts w:ascii="Cambria Math" w:hAnsi="Cambria Math"/>
                          <w:iCs/>
                        </w:rPr>
                      </m:ctrlPr>
                    </m:dPr>
                    <m:e>
                      <m:r>
                        <m:rPr>
                          <m:sty m:val="p"/>
                        </m:rPr>
                        <w:rPr>
                          <w:rFonts w:ascii="Cambria Math" w:hAnsi="Cambria Math"/>
                        </w:rPr>
                        <m:t>1+</m:t>
                      </m:r>
                      <m:f>
                        <m:fPr>
                          <m:ctrlPr>
                            <w:rPr>
                              <w:rFonts w:ascii="Cambria Math" w:hAnsi="Cambria Math"/>
                              <w:iCs/>
                            </w:rPr>
                          </m:ctrlPr>
                        </m:fPr>
                        <m:num>
                          <m:r>
                            <m:rPr>
                              <m:sty m:val="p"/>
                            </m:rPr>
                            <w:rPr>
                              <w:rFonts w:ascii="Cambria Math" w:hAnsi="Cambria Math"/>
                            </w:rPr>
                            <m:t>Taxa</m:t>
                          </m:r>
                        </m:num>
                        <m:den>
                          <m:r>
                            <m:rPr>
                              <m:sty m:val="p"/>
                            </m:rPr>
                            <w:rPr>
                              <w:rFonts w:ascii="Cambria Math" w:hAnsi="Cambria Math"/>
                            </w:rPr>
                            <m:t>100</m:t>
                          </m:r>
                        </m:den>
                      </m:f>
                    </m:e>
                  </m:d>
                </m:e>
                <m:sup>
                  <m:f>
                    <m:fPr>
                      <m:ctrlPr>
                        <w:rPr>
                          <w:rFonts w:ascii="Cambria Math" w:hAnsi="Cambria Math"/>
                          <w:iCs/>
                        </w:rPr>
                      </m:ctrlPr>
                    </m:fPr>
                    <m:num>
                      <m:r>
                        <m:rPr>
                          <m:sty m:val="p"/>
                        </m:rPr>
                        <w:rPr>
                          <w:rFonts w:ascii="Cambria Math" w:hAnsi="Cambria Math"/>
                        </w:rPr>
                        <m:t>DP</m:t>
                      </m:r>
                    </m:num>
                    <m:den>
                      <m:r>
                        <m:rPr>
                          <m:sty m:val="p"/>
                        </m:rPr>
                        <w:rPr>
                          <w:rFonts w:ascii="Cambria Math" w:hAnsi="Cambria Math"/>
                        </w:rPr>
                        <m:t>252</m:t>
                      </m:r>
                    </m:den>
                  </m:f>
                </m:sup>
              </m:sSup>
            </m:e>
          </m:d>
        </m:oMath>
      </m:oMathPara>
    </w:p>
    <w:p w14:paraId="1B34E995" w14:textId="77777777" w:rsidR="00C2454A" w:rsidRPr="00360519" w:rsidRDefault="00C2454A" w:rsidP="00C2454A">
      <w:pPr>
        <w:pStyle w:val="Body2"/>
        <w:keepNext/>
        <w:rPr>
          <w:rFonts w:cs="Tahoma"/>
          <w:iCs/>
        </w:rPr>
      </w:pPr>
      <w:r w:rsidRPr="00360519">
        <w:rPr>
          <w:rFonts w:cs="Tahoma"/>
          <w:iCs/>
        </w:rPr>
        <w:t>onde:</w:t>
      </w:r>
    </w:p>
    <w:p w14:paraId="57F1A868" w14:textId="77777777" w:rsidR="00C2454A" w:rsidRPr="00360519" w:rsidRDefault="00C2454A" w:rsidP="00C2454A">
      <w:pPr>
        <w:pStyle w:val="Body2"/>
        <w:keepNext/>
        <w:rPr>
          <w:rFonts w:cs="Tahoma"/>
          <w:iCs/>
        </w:rPr>
      </w:pPr>
      <w:r w:rsidRPr="00360519">
        <w:rPr>
          <w:rFonts w:cs="Tahoma"/>
          <w:b/>
          <w:iCs/>
        </w:rPr>
        <w:t xml:space="preserve">Taxa = </w:t>
      </w:r>
      <w:r w:rsidRPr="00360519">
        <w:rPr>
          <w:rFonts w:eastAsia="MS Mincho"/>
          <w:iCs/>
        </w:rPr>
        <w:t>6,9000</w:t>
      </w:r>
      <w:r w:rsidRPr="00360519">
        <w:rPr>
          <w:rFonts w:cs="Tahoma"/>
          <w:iCs/>
        </w:rPr>
        <w:t>;</w:t>
      </w:r>
    </w:p>
    <w:p w14:paraId="6CD68F38" w14:textId="328B8468" w:rsidR="00C2454A" w:rsidRPr="00360519" w:rsidRDefault="00C2454A" w:rsidP="00C2454A">
      <w:pPr>
        <w:pStyle w:val="Body2"/>
        <w:keepNext/>
        <w:rPr>
          <w:rFonts w:cs="Tahoma"/>
          <w:b/>
          <w:iCs/>
        </w:rPr>
      </w:pPr>
      <w:r w:rsidRPr="00360519">
        <w:rPr>
          <w:rFonts w:cs="Tahoma"/>
          <w:b/>
          <w:iCs/>
        </w:rPr>
        <w:t xml:space="preserve">DP = </w:t>
      </w:r>
      <w:r w:rsidRPr="00360519">
        <w:rPr>
          <w:rFonts w:cs="Tahoma"/>
          <w:iCs/>
        </w:rPr>
        <w:t>número de Dias Úteis entre a Primeira Data de Integralização ou a Data de Pagamento dos Juros Remuneratórios imediatamente anterior, conforme o caso, e a data de cálculo, sendo “DP” um número inteiro.</w:t>
      </w:r>
    </w:p>
    <w:p w14:paraId="656E1E3C" w14:textId="77777777" w:rsidR="00A25C02" w:rsidRDefault="00DD716F" w:rsidP="00955E4F">
      <w:pPr>
        <w:pStyle w:val="Level2"/>
        <w:numPr>
          <w:ilvl w:val="1"/>
          <w:numId w:val="6"/>
        </w:numPr>
        <w:rPr>
          <w:rFonts w:eastAsia="MS Mincho" w:cs="Tahoma"/>
          <w:i/>
        </w:rPr>
      </w:pPr>
      <w:bookmarkStart w:id="160" w:name="_BPDC_LN_INS_1256"/>
      <w:bookmarkStart w:id="161" w:name="_BPDC_PR_INS_1257"/>
      <w:bookmarkStart w:id="162" w:name="_BPDC_PR_INS_1258"/>
      <w:bookmarkStart w:id="163" w:name="_BPDC_PR_INS_1259"/>
      <w:bookmarkStart w:id="164" w:name="_BPDC_PR_INS_1260"/>
      <w:bookmarkStart w:id="165" w:name="_BPDC_PR_INS_1261"/>
      <w:bookmarkStart w:id="166" w:name="_BPDC_LN_INS_1243"/>
      <w:bookmarkStart w:id="167" w:name="_BPDC_PR_INS_1244"/>
      <w:bookmarkStart w:id="168" w:name="_DV_C299"/>
      <w:bookmarkEnd w:id="159"/>
      <w:bookmarkEnd w:id="160"/>
      <w:bookmarkEnd w:id="161"/>
      <w:bookmarkEnd w:id="162"/>
      <w:bookmarkEnd w:id="163"/>
      <w:bookmarkEnd w:id="164"/>
      <w:bookmarkEnd w:id="165"/>
      <w:bookmarkEnd w:id="166"/>
      <w:bookmarkEnd w:id="167"/>
      <w:bookmarkEnd w:id="168"/>
      <w:r w:rsidRPr="00D177A4">
        <w:rPr>
          <w:rFonts w:eastAsia="MS Mincho" w:cs="Tahoma"/>
          <w:i/>
        </w:rPr>
        <w:t>Pagamento dos Juros Remuneratórios.</w:t>
      </w:r>
      <w:bookmarkStart w:id="169" w:name="_BPDC_LN_INS_1241"/>
      <w:bookmarkStart w:id="170" w:name="_BPDC_PR_INS_1242"/>
      <w:bookmarkEnd w:id="169"/>
      <w:bookmarkEnd w:id="170"/>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lastRenderedPageBreak/>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171" w:name="_BPDC_LN_INS_1235"/>
      <w:bookmarkStart w:id="172" w:name="_BPDC_PR_INS_1236"/>
      <w:bookmarkEnd w:id="171"/>
      <w:bookmarkEnd w:id="172"/>
      <w:r w:rsidRPr="000E4ED3">
        <w:rPr>
          <w:rFonts w:eastAsia="MS Mincho" w:cs="Tahoma"/>
          <w:i/>
        </w:rPr>
        <w:t>Amortização do Valor Nominal Unitário.</w:t>
      </w:r>
      <w:bookmarkStart w:id="173" w:name="_DV_M112"/>
      <w:bookmarkStart w:id="174" w:name="_DV_M126"/>
      <w:bookmarkStart w:id="175" w:name="_DV_M132"/>
      <w:bookmarkStart w:id="176" w:name="_DV_M138"/>
      <w:bookmarkStart w:id="177" w:name="_BPDC_LN_INS_1233"/>
      <w:bookmarkStart w:id="178" w:name="_BPDC_PR_INS_1234"/>
      <w:bookmarkEnd w:id="173"/>
      <w:bookmarkEnd w:id="174"/>
      <w:bookmarkEnd w:id="175"/>
      <w:bookmarkEnd w:id="176"/>
      <w:bookmarkEnd w:id="177"/>
      <w:bookmarkEnd w:id="178"/>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179" w:name="_BPDC_LN_INS_1229"/>
      <w:bookmarkStart w:id="180" w:name="_BPDC_PR_INS_1230"/>
      <w:bookmarkStart w:id="181" w:name="_DV_M139"/>
      <w:bookmarkEnd w:id="179"/>
      <w:bookmarkEnd w:id="180"/>
      <w:bookmarkEnd w:id="181"/>
      <w:r w:rsidRPr="00960BA0">
        <w:rPr>
          <w:rFonts w:cs="Tahoma"/>
          <w:i/>
          <w:w w:val="0"/>
        </w:rPr>
        <w:t>Local de Pagamento.</w:t>
      </w:r>
      <w:bookmarkStart w:id="182" w:name="_DV_M140"/>
      <w:bookmarkEnd w:id="182"/>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w:t>
      </w:r>
      <w:r w:rsidR="000D3485" w:rsidRPr="00960BA0">
        <w:rPr>
          <w:rFonts w:cs="Tahoma"/>
        </w:rPr>
        <w:t>)</w:t>
      </w:r>
      <w:r w:rsidR="000D3485">
        <w:rPr>
          <w:rFonts w:cs="Tahoma"/>
        </w:rPr>
        <w:t> </w:t>
      </w:r>
      <w:r w:rsidRPr="00960BA0">
        <w:rPr>
          <w:rFonts w:cs="Tahoma"/>
        </w:rPr>
        <w:t xml:space="preserve">na hipótese de as Debêntures não </w:t>
      </w:r>
      <w:r w:rsidRPr="00960BA0">
        <w:rPr>
          <w:rFonts w:cs="Tahoma"/>
        </w:rPr>
        <w:lastRenderedPageBreak/>
        <w:t>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183" w:name="_BPDC_LN_INS_1227"/>
      <w:bookmarkStart w:id="184" w:name="_BPDC_PR_INS_1228"/>
      <w:bookmarkStart w:id="185" w:name="_BPDC_LN_INS_1225"/>
      <w:bookmarkStart w:id="186" w:name="_BPDC_PR_INS_1226"/>
      <w:bookmarkStart w:id="187" w:name="_DV_M143"/>
      <w:bookmarkStart w:id="188" w:name="_DV_M144"/>
      <w:bookmarkEnd w:id="183"/>
      <w:bookmarkEnd w:id="184"/>
      <w:bookmarkEnd w:id="185"/>
      <w:bookmarkEnd w:id="186"/>
      <w:bookmarkEnd w:id="187"/>
      <w:bookmarkEnd w:id="188"/>
      <w:r w:rsidRPr="00960BA0">
        <w:rPr>
          <w:rFonts w:cs="Tahoma"/>
          <w:i/>
          <w:w w:val="0"/>
        </w:rPr>
        <w:t xml:space="preserve">Prorrogação dos Prazos. </w:t>
      </w:r>
      <w:r w:rsidRPr="00960BA0">
        <w:rPr>
          <w:rFonts w:eastAsia="Arial Unicode MS" w:cs="Tahoma"/>
          <w:w w:val="0"/>
        </w:rPr>
        <w:t xml:space="preserve">Considerar-se-ão automaticamente </w:t>
      </w:r>
      <w:bookmarkStart w:id="189" w:name="_DV_C294"/>
      <w:r w:rsidRPr="00960BA0">
        <w:rPr>
          <w:rFonts w:eastAsia="Arial Unicode MS" w:cs="Tahoma"/>
          <w:w w:val="0"/>
        </w:rPr>
        <w:t xml:space="preserve">prorrogadas as datas de pagamento de qualquer obrigação </w:t>
      </w:r>
      <w:bookmarkStart w:id="190" w:name="_DV_M145"/>
      <w:bookmarkEnd w:id="189"/>
      <w:bookmarkEnd w:id="190"/>
      <w:r w:rsidRPr="00960BA0">
        <w:rPr>
          <w:rFonts w:eastAsia="Arial Unicode MS" w:cs="Tahoma"/>
          <w:w w:val="0"/>
        </w:rPr>
        <w:t xml:space="preserve">até o primeiro Dia Útil subsequente, se </w:t>
      </w:r>
      <w:bookmarkStart w:id="191" w:name="_DV_C296"/>
      <w:r w:rsidRPr="00960BA0">
        <w:rPr>
          <w:rFonts w:eastAsia="Arial Unicode MS" w:cs="Tahoma"/>
          <w:w w:val="0"/>
        </w:rPr>
        <w:t xml:space="preserve">a data de </w:t>
      </w:r>
      <w:bookmarkStart w:id="192" w:name="_DV_M146"/>
      <w:bookmarkEnd w:id="191"/>
      <w:bookmarkEnd w:id="192"/>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3" w:name="_DV_M147"/>
      <w:bookmarkEnd w:id="193"/>
      <w:r w:rsidRPr="00960BA0">
        <w:rPr>
          <w:rFonts w:eastAsia="Arial Unicode MS" w:cs="Tahoma"/>
          <w:w w:val="0"/>
        </w:rPr>
        <w:t xml:space="preserve"> qualquer acréscimo</w:t>
      </w:r>
      <w:bookmarkStart w:id="194" w:name="_DV_M148"/>
      <w:bookmarkEnd w:id="194"/>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195" w:name="_BPDC_LN_INS_1223"/>
      <w:bookmarkStart w:id="196" w:name="_BPDC_PR_INS_1224"/>
      <w:bookmarkStart w:id="197" w:name="_DV_M149"/>
      <w:bookmarkEnd w:id="195"/>
      <w:bookmarkEnd w:id="196"/>
      <w:bookmarkEnd w:id="197"/>
      <w:r w:rsidRPr="00960BA0">
        <w:rPr>
          <w:rFonts w:cs="Tahoma"/>
          <w:i/>
          <w:w w:val="0"/>
        </w:rPr>
        <w:t xml:space="preserve">Encargos Moratórios. </w:t>
      </w:r>
      <w:bookmarkStart w:id="198" w:name="_DV_M150"/>
      <w:bookmarkStart w:id="199" w:name="_Ref322619233"/>
      <w:bookmarkEnd w:id="198"/>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199"/>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200" w:name="_BPDC_LN_INS_1221"/>
      <w:bookmarkStart w:id="201" w:name="_BPDC_PR_INS_1222"/>
      <w:bookmarkStart w:id="202" w:name="_Ref322619468"/>
      <w:bookmarkEnd w:id="200"/>
      <w:bookmarkEnd w:id="201"/>
      <w:r w:rsidRPr="00960BA0">
        <w:rPr>
          <w:rFonts w:eastAsia="Arial Unicode MS" w:cs="Tahoma"/>
          <w:i/>
          <w:w w:val="0"/>
        </w:rPr>
        <w:t>Decadência dos Direitos aos Acréscimos</w:t>
      </w:r>
      <w:bookmarkEnd w:id="202"/>
      <w:r w:rsidRPr="00960BA0">
        <w:rPr>
          <w:rFonts w:eastAsia="Arial Unicode MS" w:cs="Tahoma"/>
          <w:i/>
          <w:w w:val="0"/>
        </w:rPr>
        <w:t xml:space="preserve">. </w:t>
      </w:r>
      <w:bookmarkStart w:id="203" w:name="_DV_M154"/>
      <w:bookmarkStart w:id="204" w:name="_DV_M155"/>
      <w:bookmarkEnd w:id="203"/>
      <w:bookmarkEnd w:id="204"/>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68295676" w:rsidR="00DD716F" w:rsidRPr="00960BA0" w:rsidRDefault="00DD716F" w:rsidP="00955E4F">
      <w:pPr>
        <w:pStyle w:val="Level2"/>
        <w:numPr>
          <w:ilvl w:val="1"/>
          <w:numId w:val="6"/>
        </w:numPr>
        <w:rPr>
          <w:rFonts w:cs="Tahoma"/>
          <w:w w:val="0"/>
        </w:rPr>
      </w:pPr>
      <w:bookmarkStart w:id="205" w:name="_BPDC_LN_INS_1219"/>
      <w:bookmarkStart w:id="206" w:name="_BPDC_PR_INS_1220"/>
      <w:bookmarkStart w:id="207" w:name="_DV_M159"/>
      <w:bookmarkStart w:id="208" w:name="_Ref322619421"/>
      <w:bookmarkEnd w:id="205"/>
      <w:bookmarkEnd w:id="206"/>
      <w:bookmarkEnd w:id="207"/>
      <w:r w:rsidRPr="00960BA0">
        <w:rPr>
          <w:rFonts w:cs="Tahoma"/>
          <w:i/>
          <w:w w:val="0"/>
        </w:rPr>
        <w:t>Publicidade</w:t>
      </w:r>
      <w:bookmarkEnd w:id="208"/>
      <w:r w:rsidRPr="00960BA0">
        <w:rPr>
          <w:rFonts w:cs="Tahoma"/>
          <w:w w:val="0"/>
        </w:rPr>
        <w:t xml:space="preserve">. </w:t>
      </w:r>
      <w:bookmarkStart w:id="209" w:name="_DV_M161"/>
      <w:bookmarkEnd w:id="209"/>
      <w:r w:rsidR="00C930E6" w:rsidRPr="00A652F9">
        <w:rPr>
          <w:rFonts w:cs="Tahoma"/>
          <w:color w:val="000000"/>
          <w:szCs w:val="20"/>
        </w:rPr>
        <w:t>Os editais de convocação e as atas de assembleias gerais de Debenturistas deverão ser publicados na página da Emissora (</w:t>
      </w:r>
      <w:hyperlink r:id="rId14" w:history="1">
        <w:r w:rsidR="00C930E6" w:rsidRPr="00A652F9">
          <w:rPr>
            <w:rStyle w:val="Hyperlink"/>
            <w:rFonts w:cs="Tahoma"/>
            <w:szCs w:val="20"/>
          </w:rPr>
          <w:t>https://www.echoenergia.com.br/relacao-com-investidores/</w:t>
        </w:r>
      </w:hyperlink>
      <w:r w:rsidR="00C930E6" w:rsidRPr="00A652F9">
        <w:rPr>
          <w:rFonts w:cs="Tahoma"/>
          <w:color w:val="000000"/>
          <w:szCs w:val="20"/>
        </w:rPr>
        <w:t>) na rede mundial de computadores – Internet (“</w:t>
      </w:r>
      <w:r w:rsidR="00C930E6" w:rsidRPr="00A652F9">
        <w:rPr>
          <w:rFonts w:cs="Tahoma"/>
          <w:color w:val="000000"/>
          <w:szCs w:val="20"/>
          <w:u w:val="single"/>
        </w:rPr>
        <w:t>Avisos aos Debenturistas</w:t>
      </w:r>
      <w:r w:rsidR="00C930E6" w:rsidRPr="00A652F9">
        <w:rPr>
          <w:rFonts w:cs="Tahoma"/>
          <w:color w:val="000000"/>
          <w:szCs w:val="20"/>
        </w:rPr>
        <w:t>”). Os demais atos e decisões relativos às Debêntures deverão ser comunicados, na forma de aviso, na página da Emissora (</w:t>
      </w:r>
      <w:hyperlink r:id="rId15" w:history="1">
        <w:r w:rsidR="00C930E6" w:rsidRPr="00A652F9">
          <w:rPr>
            <w:rStyle w:val="Hyperlink"/>
            <w:rFonts w:cs="Tahoma"/>
            <w:szCs w:val="20"/>
          </w:rPr>
          <w:t>https://www.echoenergia.com.br/relacao-com-investidores/</w:t>
        </w:r>
      </w:hyperlink>
      <w:r w:rsidR="00C930E6" w:rsidRPr="00A652F9">
        <w:rPr>
          <w:rFonts w:cs="Tahoma"/>
          <w:color w:val="00000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Pr="00960BA0">
        <w:rPr>
          <w:rFonts w:eastAsia="Arial Unicode MS" w:cs="Tahoma"/>
          <w:w w:val="0"/>
        </w:rPr>
        <w:t>.</w:t>
      </w:r>
    </w:p>
    <w:p w14:paraId="0A49C4CC" w14:textId="77777777" w:rsidR="00DD716F" w:rsidRPr="00960BA0" w:rsidRDefault="00DD716F" w:rsidP="00955E4F">
      <w:pPr>
        <w:pStyle w:val="Level2"/>
        <w:numPr>
          <w:ilvl w:val="1"/>
          <w:numId w:val="6"/>
        </w:numPr>
        <w:rPr>
          <w:rFonts w:eastAsia="Arial Unicode MS" w:cs="Tahoma"/>
          <w:w w:val="0"/>
        </w:rPr>
      </w:pPr>
      <w:bookmarkStart w:id="210" w:name="_BPDC_LN_INS_1217"/>
      <w:bookmarkStart w:id="211" w:name="_BPDC_PR_INS_1218"/>
      <w:bookmarkEnd w:id="210"/>
      <w:bookmarkEnd w:id="211"/>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212" w:name="_BPDC_LN_INS_1174"/>
      <w:bookmarkStart w:id="213" w:name="_BPDC_PR_INS_1175"/>
      <w:bookmarkStart w:id="214" w:name="_BPDC_LN_INS_1160"/>
      <w:bookmarkStart w:id="215" w:name="_BPDC_PR_INS_1161"/>
      <w:bookmarkEnd w:id="119"/>
      <w:bookmarkEnd w:id="212"/>
      <w:bookmarkEnd w:id="213"/>
      <w:bookmarkEnd w:id="214"/>
      <w:bookmarkEnd w:id="215"/>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w:t>
      </w:r>
      <w:r w:rsidR="008E0EEE" w:rsidRPr="008E0EEE">
        <w:rPr>
          <w:rFonts w:cs="Tahoma"/>
        </w:rPr>
        <w:lastRenderedPageBreak/>
        <w:t xml:space="preserve">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6A06CCA3"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 xml:space="preserve">Tesouro IPCA+ com Juros Semestrais (NTN-B), com vencimento mais próximo ao prazo médio remanescente das Debêntures, calculado conforme fórmula abaixo, e somado aos Encargos Moratórios, se houver, à </w:t>
      </w:r>
      <w:r w:rsidRPr="00D61FD1">
        <w:rPr>
          <w:rFonts w:ascii="Tahoma" w:hAnsi="Tahoma" w:cs="Tahoma"/>
          <w:color w:val="000000" w:themeColor="text1"/>
          <w:szCs w:val="20"/>
        </w:rPr>
        <w:lastRenderedPageBreak/>
        <w:t>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lastRenderedPageBreak/>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lastRenderedPageBreak/>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216" w:name="_Ref368400919"/>
      <w:r w:rsidRPr="006A509E">
        <w:rPr>
          <w:rFonts w:cs="Tahoma"/>
          <w:b/>
        </w:rPr>
        <w:t>VENCIMENTO ANTECIPADO</w:t>
      </w:r>
      <w:bookmarkEnd w:id="216"/>
    </w:p>
    <w:p w14:paraId="056E48A4" w14:textId="77777777" w:rsidR="00DD716F" w:rsidRPr="00960BA0" w:rsidRDefault="00DD716F" w:rsidP="00955E4F">
      <w:pPr>
        <w:pStyle w:val="Level2"/>
        <w:numPr>
          <w:ilvl w:val="1"/>
          <w:numId w:val="6"/>
        </w:numPr>
        <w:rPr>
          <w:rFonts w:eastAsia="Arial Unicode MS" w:cs="Tahoma"/>
          <w:w w:val="0"/>
        </w:rPr>
      </w:pPr>
      <w:bookmarkStart w:id="217" w:name="_BPDC_LN_INS_1158"/>
      <w:bookmarkStart w:id="218" w:name="_BPDC_PR_INS_1159"/>
      <w:bookmarkStart w:id="219" w:name="_Ref322619558"/>
      <w:bookmarkStart w:id="220" w:name="_Hlk499732023"/>
      <w:bookmarkEnd w:id="217"/>
      <w:bookmarkEnd w:id="218"/>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19"/>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 xml:space="preserve">sem que haja anuência prévia de </w:t>
      </w:r>
      <w:r w:rsidR="00580A15" w:rsidRPr="008B3424">
        <w:rPr>
          <w:rFonts w:eastAsia="Arial Unicode MS" w:cs="Tahoma"/>
          <w:w w:val="0"/>
        </w:rPr>
        <w:lastRenderedPageBreak/>
        <w:t>Debenturistas, na forma da Cláusula 10 abaixo, reunidos em Assembleia Geral de Debenturistas especialmente convocada para esse fim</w:t>
      </w:r>
      <w:r w:rsidR="00580A15">
        <w:rPr>
          <w:rFonts w:eastAsia="Arial Unicode MS" w:cs="Tahoma"/>
          <w:w w:val="0"/>
        </w:rPr>
        <w:t>;</w:t>
      </w:r>
    </w:p>
    <w:p w14:paraId="440B4A73" w14:textId="25BC29A9"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371E55" w:rsidRPr="00371E55">
        <w:rPr>
          <w:rFonts w:eastAsia="Arial Unicode MS" w:cs="Tahoma"/>
          <w:w w:val="0"/>
        </w:rPr>
        <w:t>, exceto se em decorrência de Reorganizações Permitidas Controladas Relevantes</w:t>
      </w:r>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221" w:name="_BPDC_LN_INS_1156"/>
      <w:bookmarkStart w:id="222" w:name="_BPDC_PR_INS_1157"/>
      <w:bookmarkStart w:id="223" w:name="_Ref368495316"/>
      <w:bookmarkStart w:id="224" w:name="_Ref369264993"/>
      <w:bookmarkStart w:id="225" w:name="_Ref322619767"/>
      <w:bookmarkEnd w:id="221"/>
      <w:bookmarkEnd w:id="222"/>
      <w:r w:rsidRPr="00960BA0">
        <w:rPr>
          <w:rFonts w:cs="Tahoma"/>
        </w:rPr>
        <w:t>Sem</w:t>
      </w:r>
      <w:r w:rsidRPr="00960BA0">
        <w:rPr>
          <w:rFonts w:cs="Tahoma"/>
          <w:color w:val="000000"/>
          <w:w w:val="0"/>
        </w:rPr>
        <w:t xml:space="preserve"> prejuízo do disposto na Cláusula 7.1 acima, </w:t>
      </w:r>
      <w:bookmarkStart w:id="226"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3"/>
      <w:bookmarkEnd w:id="224"/>
      <w:bookmarkEnd w:id="226"/>
      <w:r w:rsidRPr="00960BA0">
        <w:rPr>
          <w:rFonts w:cs="Tahoma"/>
        </w:rPr>
        <w:t xml:space="preserve"> </w:t>
      </w:r>
    </w:p>
    <w:bookmarkEnd w:id="225"/>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lastRenderedPageBreak/>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lastRenderedPageBreak/>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227"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3BE0DB64"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w:t>
      </w:r>
      <w:r w:rsidR="00371E55" w:rsidRPr="00371E55">
        <w:rPr>
          <w:rFonts w:cs="Tahoma"/>
        </w:rPr>
        <w:t>Período de Exigência de ICSD</w:t>
      </w:r>
      <w:r w:rsidR="0056110F" w:rsidRPr="00470A71">
        <w:rPr>
          <w:rFonts w:cs="Tahoma"/>
        </w:rPr>
        <w:t xml:space="preserve">,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27"/>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w:t>
      </w:r>
      <w:r w:rsidRPr="000E4ED3">
        <w:rPr>
          <w:rFonts w:eastAsia="Arial Unicode MS" w:cs="Tahoma"/>
          <w:w w:val="0"/>
        </w:rPr>
        <w:lastRenderedPageBreak/>
        <w:t xml:space="preserve">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6D0CDA07"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w:t>
      </w:r>
      <w:r w:rsidR="007551DD">
        <w:rPr>
          <w:rFonts w:eastAsia="Arial Unicode MS" w:cs="Tahoma"/>
          <w:w w:val="0"/>
        </w:rPr>
        <w:t>;</w:t>
      </w:r>
      <w:r w:rsidRPr="000D45EC">
        <w:rPr>
          <w:rFonts w:eastAsia="Arial Unicode MS" w:cs="Tahoma"/>
          <w:w w:val="0"/>
        </w:rPr>
        <w:t xml:space="preserve"> </w:t>
      </w:r>
      <w:r w:rsidR="00217670">
        <w:rPr>
          <w:rFonts w:eastAsia="Arial Unicode MS" w:cs="Tahoma"/>
          <w:w w:val="0"/>
        </w:rPr>
        <w:t>(2) </w:t>
      </w:r>
      <w:r w:rsidR="005604EF" w:rsidRPr="005604EF">
        <w:rPr>
          <w:rFonts w:eastAsia="Arial Unicode MS" w:cs="Tahoma"/>
          <w:w w:val="0"/>
        </w:rPr>
        <w:t>durante o Período de Exigência de ICSD</w:t>
      </w:r>
      <w:r w:rsidR="005604EF">
        <w:rPr>
          <w:rFonts w:eastAsia="Arial Unicode MS" w:cs="Tahoma"/>
          <w:w w:val="0"/>
        </w:rPr>
        <w:t xml:space="preserve">, </w:t>
      </w:r>
      <w:r w:rsidRPr="000D45EC">
        <w:rPr>
          <w:rFonts w:eastAsia="Arial Unicode MS" w:cs="Tahoma"/>
          <w:w w:val="0"/>
        </w:rPr>
        <w:t xml:space="preserve">enquanto o </w:t>
      </w:r>
      <w:r w:rsidRPr="00D61FD1">
        <w:rPr>
          <w:rFonts w:eastAsia="Arial Unicode MS" w:cs="Tahoma"/>
          <w:bCs/>
          <w:w w:val="0"/>
        </w:rPr>
        <w:t xml:space="preserve">ICSD </w:t>
      </w:r>
      <w:r w:rsidR="00882A8B">
        <w:rPr>
          <w:rFonts w:eastAsia="Arial Unicode MS" w:cs="Tahoma"/>
          <w:bCs/>
          <w:w w:val="0"/>
        </w:rPr>
        <w:t>Emissora</w:t>
      </w:r>
      <w:r w:rsidR="00882A8B"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7551DD">
        <w:rPr>
          <w:rFonts w:eastAsia="Arial Unicode MS" w:cs="Tahoma"/>
          <w:w w:val="0"/>
        </w:rPr>
        <w:t>;</w:t>
      </w:r>
      <w:r w:rsidR="009F2841" w:rsidRPr="009F2841">
        <w:rPr>
          <w:rFonts w:cs="Tahoma"/>
        </w:rPr>
        <w:t xml:space="preserve"> </w:t>
      </w:r>
      <w:r w:rsidR="009F2841">
        <w:rPr>
          <w:rFonts w:cs="Tahoma"/>
        </w:rPr>
        <w:t xml:space="preserve">e </w:t>
      </w:r>
      <w:r w:rsidR="007551DD">
        <w:rPr>
          <w:rFonts w:cs="Tahoma"/>
        </w:rPr>
        <w:t>(3) </w:t>
      </w:r>
      <w:r w:rsidR="009F2841">
        <w:rPr>
          <w:rFonts w:cs="Tahoma"/>
        </w:rPr>
        <w:t xml:space="preserve">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5B27022C"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604EF">
        <w:t>(ii) </w:t>
      </w:r>
      <w:r w:rsidR="005604EF" w:rsidRPr="005604EF">
        <w:t xml:space="preserve">em decorrência de operações no mercado de capitais referentes à uma oferta pública primária ou secundária de ações da Emissora; </w:t>
      </w:r>
      <w:r w:rsidR="00505020">
        <w:t>ou (</w:t>
      </w:r>
      <w:r w:rsidR="005604EF">
        <w:t>i</w:t>
      </w:r>
      <w:r w:rsidR="00505020">
        <w:t>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 xml:space="preserve">dos Juros </w:t>
      </w:r>
      <w:r w:rsidR="002A6A53">
        <w:rPr>
          <w:rFonts w:cstheme="minorHAnsi"/>
        </w:rPr>
        <w:lastRenderedPageBreak/>
        <w:t>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228" w:name="_BPDC_LN_INS_1148"/>
      <w:bookmarkStart w:id="229" w:name="_BPDC_PR_INS_1149"/>
      <w:bookmarkStart w:id="230" w:name="_Ref370978155"/>
      <w:bookmarkEnd w:id="228"/>
      <w:bookmarkEnd w:id="229"/>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0"/>
    </w:p>
    <w:p w14:paraId="56B1AFF8" w14:textId="77777777" w:rsidR="00D258A5" w:rsidRPr="00D258A5" w:rsidRDefault="0060714A" w:rsidP="00955E4F">
      <w:pPr>
        <w:pStyle w:val="Level2"/>
        <w:numPr>
          <w:ilvl w:val="1"/>
          <w:numId w:val="6"/>
        </w:numPr>
        <w:rPr>
          <w:rFonts w:cs="Tahoma"/>
        </w:rPr>
      </w:pPr>
      <w:bookmarkStart w:id="231" w:name="_BPDC_LN_INS_1146"/>
      <w:bookmarkStart w:id="232" w:name="_BPDC_PR_INS_1147"/>
      <w:bookmarkEnd w:id="231"/>
      <w:bookmarkEnd w:id="232"/>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w:t>
      </w:r>
      <w:r w:rsidRPr="007069D6">
        <w:rPr>
          <w:rFonts w:cs="Tahoma"/>
          <w:szCs w:val="20"/>
        </w:rPr>
        <w:lastRenderedPageBreak/>
        <w:t xml:space="preserve">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 xml:space="preserve">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233" w:name="_BPDC_LN_INS_1144"/>
      <w:bookmarkStart w:id="234" w:name="_BPDC_PR_INS_1145"/>
      <w:bookmarkStart w:id="235" w:name="_BPDC_LN_INS_1142"/>
      <w:bookmarkStart w:id="236" w:name="_BPDC_PR_INS_1143"/>
      <w:bookmarkStart w:id="237" w:name="_BPDC_LN_INS_1140"/>
      <w:bookmarkStart w:id="238" w:name="_BPDC_PR_INS_1141"/>
      <w:bookmarkStart w:id="239" w:name="_Ref322620259"/>
      <w:bookmarkEnd w:id="233"/>
      <w:bookmarkEnd w:id="234"/>
      <w:bookmarkEnd w:id="235"/>
      <w:bookmarkEnd w:id="236"/>
      <w:bookmarkEnd w:id="237"/>
      <w:bookmarkEnd w:id="238"/>
      <w:r w:rsidRPr="00960BA0">
        <w:rPr>
          <w:rFonts w:cs="Tahoma"/>
        </w:rPr>
        <w:t>Em caso de vencimento antecipado das Debêntures</w:t>
      </w:r>
      <w:bookmarkEnd w:id="239"/>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240" w:name="_BPDC_LN_INS_1138"/>
      <w:bookmarkStart w:id="241" w:name="_BPDC_PR_INS_1139"/>
      <w:bookmarkEnd w:id="240"/>
      <w:bookmarkEnd w:id="241"/>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6B293FFA" w:rsidR="00DD716F" w:rsidRPr="006A509E" w:rsidRDefault="006A509E" w:rsidP="00955E4F">
      <w:pPr>
        <w:pStyle w:val="Level1"/>
        <w:numPr>
          <w:ilvl w:val="0"/>
          <w:numId w:val="6"/>
        </w:numPr>
        <w:rPr>
          <w:rFonts w:cs="Tahoma"/>
          <w:b/>
        </w:rPr>
      </w:pPr>
      <w:bookmarkStart w:id="242" w:name="_BPDC_LN_INS_1136"/>
      <w:bookmarkStart w:id="243" w:name="_BPDC_PR_INS_1137"/>
      <w:bookmarkStart w:id="244" w:name="_DV_M268"/>
      <w:bookmarkStart w:id="245" w:name="_DV_M301"/>
      <w:bookmarkStart w:id="246" w:name="_Toc261004489"/>
      <w:bookmarkEnd w:id="220"/>
      <w:bookmarkEnd w:id="242"/>
      <w:bookmarkEnd w:id="243"/>
      <w:bookmarkEnd w:id="244"/>
      <w:bookmarkEnd w:id="245"/>
      <w:r w:rsidRPr="006A509E">
        <w:rPr>
          <w:rFonts w:cs="Tahoma"/>
          <w:b/>
        </w:rPr>
        <w:t>OBRIGAÇÕES ADICIONAIS DA EMISSORA</w:t>
      </w:r>
      <w:bookmarkEnd w:id="246"/>
    </w:p>
    <w:p w14:paraId="153B8C22" w14:textId="77777777" w:rsidR="00DD716F" w:rsidRPr="00960BA0" w:rsidRDefault="00DD716F" w:rsidP="00955E4F">
      <w:pPr>
        <w:pStyle w:val="Level2"/>
        <w:numPr>
          <w:ilvl w:val="1"/>
          <w:numId w:val="6"/>
        </w:numPr>
        <w:rPr>
          <w:rFonts w:cs="Tahoma"/>
          <w:b/>
        </w:rPr>
      </w:pPr>
      <w:bookmarkStart w:id="247" w:name="_Ref20851522"/>
      <w:r w:rsidRPr="00960BA0">
        <w:rPr>
          <w:rFonts w:cs="Tahoma"/>
        </w:rPr>
        <w:t xml:space="preserve">Sem prejuízo das demais obrigações previstas nesta Escritura de Emissão, </w:t>
      </w:r>
      <w:bookmarkStart w:id="248" w:name="_DV_M188"/>
      <w:bookmarkStart w:id="249" w:name="_Ref322620931"/>
      <w:bookmarkStart w:id="250" w:name="_Ref368432096"/>
      <w:bookmarkEnd w:id="248"/>
      <w:r w:rsidRPr="00960BA0">
        <w:rPr>
          <w:rFonts w:cs="Tahoma"/>
        </w:rPr>
        <w:t>a Emissora se obriga, ainda, a:</w:t>
      </w:r>
      <w:bookmarkEnd w:id="247"/>
      <w:bookmarkEnd w:id="249"/>
      <w:bookmarkEnd w:id="250"/>
    </w:p>
    <w:p w14:paraId="287BBBFC" w14:textId="77777777" w:rsidR="00DD716F" w:rsidRPr="0081310E" w:rsidRDefault="00DD716F" w:rsidP="00F40AF4">
      <w:pPr>
        <w:pStyle w:val="roman3"/>
        <w:numPr>
          <w:ilvl w:val="0"/>
          <w:numId w:val="53"/>
        </w:numPr>
        <w:ind w:left="1418" w:hanging="709"/>
        <w:rPr>
          <w:rFonts w:eastAsia="Arial Unicode MS" w:cs="Tahoma"/>
          <w:w w:val="0"/>
        </w:rPr>
      </w:pPr>
      <w:bookmarkStart w:id="251" w:name="_DV_M189"/>
      <w:bookmarkStart w:id="252" w:name="_Ref322622536"/>
      <w:bookmarkEnd w:id="251"/>
      <w:r w:rsidRPr="0081310E">
        <w:rPr>
          <w:rFonts w:eastAsia="Arial Unicode MS" w:cs="Tahoma"/>
          <w:w w:val="0"/>
        </w:rPr>
        <w:t>fornecer ao Agente Fiduciário e disponibilizar em sua página na internet, conforme aplicável, os seguintes documentos e informações:</w:t>
      </w:r>
      <w:bookmarkEnd w:id="252"/>
      <w:r w:rsidRPr="0081310E">
        <w:rPr>
          <w:rFonts w:eastAsia="Arial Unicode MS" w:cs="Tahoma"/>
          <w:w w:val="0"/>
        </w:rPr>
        <w:t xml:space="preserve"> </w:t>
      </w:r>
    </w:p>
    <w:p w14:paraId="2DE77EE6" w14:textId="77777777" w:rsidR="00DD716F" w:rsidRPr="00476C18" w:rsidRDefault="00DD716F" w:rsidP="00F40AF4">
      <w:pPr>
        <w:pStyle w:val="alpha4"/>
        <w:numPr>
          <w:ilvl w:val="0"/>
          <w:numId w:val="49"/>
        </w:numPr>
        <w:ind w:left="1985" w:hanging="567"/>
        <w:rPr>
          <w:rFonts w:eastAsia="Arial Unicode MS" w:cs="Tahoma"/>
          <w:w w:val="0"/>
        </w:rPr>
      </w:pPr>
      <w:bookmarkStart w:id="253" w:name="_DV_M190"/>
      <w:bookmarkStart w:id="254" w:name="_DV_M191"/>
      <w:bookmarkEnd w:id="253"/>
      <w:bookmarkEnd w:id="254"/>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F40AF4">
      <w:pPr>
        <w:pStyle w:val="alpha4"/>
        <w:ind w:left="1985" w:hanging="567"/>
        <w:rPr>
          <w:rFonts w:eastAsia="Arial Unicode MS" w:cs="Tahoma"/>
          <w:w w:val="0"/>
        </w:rPr>
      </w:pPr>
      <w:bookmarkStart w:id="255" w:name="_DV_M194"/>
      <w:bookmarkEnd w:id="255"/>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w:t>
      </w:r>
      <w:r w:rsidRPr="00960BA0">
        <w:rPr>
          <w:rFonts w:eastAsia="Arial Unicode MS" w:cs="Tahoma"/>
          <w:w w:val="0"/>
        </w:rPr>
        <w:lastRenderedPageBreak/>
        <w:t xml:space="preserve">terceiros contratados para este fim, tenha acesso inclusive aos seus livros e registros contábeis; </w:t>
      </w:r>
    </w:p>
    <w:p w14:paraId="76A16948" w14:textId="77777777" w:rsidR="00DD716F" w:rsidRPr="00960BA0" w:rsidRDefault="00DD716F" w:rsidP="00F40AF4">
      <w:pPr>
        <w:pStyle w:val="alpha4"/>
        <w:ind w:left="1985" w:hanging="567"/>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F40AF4">
      <w:pPr>
        <w:pStyle w:val="alpha4"/>
        <w:ind w:left="1985" w:hanging="567"/>
        <w:rPr>
          <w:rFonts w:eastAsia="Arial Unicode MS" w:cs="Tahoma"/>
          <w:w w:val="0"/>
        </w:rPr>
      </w:pPr>
      <w:bookmarkStart w:id="256" w:name="_DV_M199"/>
      <w:bookmarkStart w:id="257" w:name="_DV_M200"/>
      <w:bookmarkStart w:id="258" w:name="_Ref20851553"/>
      <w:bookmarkEnd w:id="256"/>
      <w:bookmarkEnd w:id="257"/>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8"/>
      <w:r w:rsidRPr="00960BA0">
        <w:rPr>
          <w:rFonts w:cs="Tahoma"/>
        </w:rPr>
        <w:t xml:space="preserve"> </w:t>
      </w:r>
    </w:p>
    <w:p w14:paraId="20A2521B" w14:textId="77777777" w:rsidR="00DD716F" w:rsidRPr="00960BA0" w:rsidRDefault="00DD716F" w:rsidP="00F40AF4">
      <w:pPr>
        <w:pStyle w:val="alpha4"/>
        <w:ind w:left="1985" w:hanging="567"/>
        <w:rPr>
          <w:rFonts w:eastAsia="Arial Unicode MS" w:cs="Tahoma"/>
          <w:w w:val="0"/>
        </w:rPr>
      </w:pPr>
      <w:bookmarkStart w:id="259"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59"/>
      <w:r w:rsidRPr="00960BA0">
        <w:rPr>
          <w:rFonts w:cs="Tahoma"/>
        </w:rPr>
        <w:t xml:space="preserve"> </w:t>
      </w:r>
    </w:p>
    <w:p w14:paraId="0E349580" w14:textId="77777777" w:rsidR="00D258A5" w:rsidRPr="00AD3BF7" w:rsidRDefault="00DD716F" w:rsidP="00F40AF4">
      <w:pPr>
        <w:pStyle w:val="roman3"/>
        <w:numPr>
          <w:ilvl w:val="0"/>
          <w:numId w:val="53"/>
        </w:numPr>
        <w:ind w:left="1418" w:hanging="709"/>
        <w:rPr>
          <w:rFonts w:eastAsia="Arial Unicode MS"/>
          <w:w w:val="0"/>
        </w:rPr>
      </w:pPr>
      <w:bookmarkStart w:id="260" w:name="_DV_M209"/>
      <w:bookmarkStart w:id="261" w:name="_DV_C375"/>
      <w:bookmarkEnd w:id="260"/>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F40AF4">
      <w:pPr>
        <w:pStyle w:val="roman3"/>
        <w:numPr>
          <w:ilvl w:val="0"/>
          <w:numId w:val="53"/>
        </w:numPr>
        <w:ind w:left="1418" w:hanging="709"/>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F40AF4">
      <w:pPr>
        <w:pStyle w:val="roman3"/>
        <w:numPr>
          <w:ilvl w:val="0"/>
          <w:numId w:val="53"/>
        </w:numPr>
        <w:ind w:left="1418" w:hanging="709"/>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F40AF4">
      <w:pPr>
        <w:pStyle w:val="roman3"/>
        <w:numPr>
          <w:ilvl w:val="0"/>
          <w:numId w:val="53"/>
        </w:numPr>
        <w:ind w:left="1418" w:hanging="709"/>
        <w:rPr>
          <w:rFonts w:eastAsia="Arial Unicode MS" w:cs="Tahoma"/>
          <w:w w:val="0"/>
        </w:rPr>
      </w:pPr>
      <w:bookmarkStart w:id="262" w:name="_DV_M210"/>
      <w:bookmarkStart w:id="263" w:name="_DV_M211"/>
      <w:bookmarkStart w:id="264" w:name="_DV_M76"/>
      <w:bookmarkStart w:id="265" w:name="_DV_M77"/>
      <w:bookmarkStart w:id="266" w:name="_DV_M78"/>
      <w:bookmarkStart w:id="267" w:name="_DV_M75"/>
      <w:bookmarkStart w:id="268" w:name="_DV_M79"/>
      <w:bookmarkStart w:id="269" w:name="_DV_M80"/>
      <w:bookmarkStart w:id="270" w:name="_DV_M212"/>
      <w:bookmarkEnd w:id="261"/>
      <w:bookmarkEnd w:id="262"/>
      <w:bookmarkEnd w:id="263"/>
      <w:bookmarkEnd w:id="264"/>
      <w:bookmarkEnd w:id="265"/>
      <w:bookmarkEnd w:id="266"/>
      <w:bookmarkEnd w:id="267"/>
      <w:bookmarkEnd w:id="268"/>
      <w:bookmarkEnd w:id="269"/>
      <w:bookmarkEnd w:id="270"/>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F40AF4">
      <w:pPr>
        <w:pStyle w:val="roman3"/>
        <w:numPr>
          <w:ilvl w:val="0"/>
          <w:numId w:val="53"/>
        </w:numPr>
        <w:ind w:left="1418" w:hanging="709"/>
        <w:rPr>
          <w:rFonts w:eastAsia="Arial Unicode MS" w:cs="Tahoma"/>
          <w:w w:val="0"/>
        </w:rPr>
      </w:pPr>
      <w:bookmarkStart w:id="271" w:name="_DV_M213"/>
      <w:bookmarkStart w:id="272" w:name="_DV_M214"/>
      <w:bookmarkStart w:id="273" w:name="_DV_M215"/>
      <w:bookmarkStart w:id="274" w:name="_DV_M216"/>
      <w:bookmarkStart w:id="275" w:name="_DV_M217"/>
      <w:bookmarkStart w:id="276" w:name="_DV_M218"/>
      <w:bookmarkStart w:id="277" w:name="_DV_M219"/>
      <w:bookmarkStart w:id="278" w:name="_DV_M223"/>
      <w:bookmarkEnd w:id="271"/>
      <w:bookmarkEnd w:id="272"/>
      <w:bookmarkEnd w:id="273"/>
      <w:bookmarkEnd w:id="274"/>
      <w:bookmarkEnd w:id="275"/>
      <w:bookmarkEnd w:id="276"/>
      <w:bookmarkEnd w:id="277"/>
      <w:bookmarkEnd w:id="278"/>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 xml:space="preserve">à adequada publicidade dos dados </w:t>
      </w:r>
      <w:r w:rsidRPr="00960BA0">
        <w:rPr>
          <w:rFonts w:eastAsia="Arial Unicode MS" w:cs="Tahoma"/>
          <w:color w:val="000000"/>
          <w:w w:val="0"/>
        </w:rPr>
        <w:lastRenderedPageBreak/>
        <w:t>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F40AF4">
      <w:pPr>
        <w:pStyle w:val="roman3"/>
        <w:numPr>
          <w:ilvl w:val="0"/>
          <w:numId w:val="53"/>
        </w:numPr>
        <w:ind w:left="1418" w:hanging="709"/>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F40AF4">
      <w:pPr>
        <w:pStyle w:val="roman3"/>
        <w:numPr>
          <w:ilvl w:val="0"/>
          <w:numId w:val="53"/>
        </w:numPr>
        <w:ind w:left="1418" w:hanging="709"/>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F40AF4">
      <w:pPr>
        <w:pStyle w:val="roman3"/>
        <w:numPr>
          <w:ilvl w:val="0"/>
          <w:numId w:val="53"/>
        </w:numPr>
        <w:ind w:left="1418" w:hanging="709"/>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14:paraId="368990C8" w14:textId="77777777" w:rsidR="00DD716F" w:rsidRPr="00960BA0" w:rsidRDefault="00DD716F" w:rsidP="00F40AF4">
      <w:pPr>
        <w:pStyle w:val="roman3"/>
        <w:numPr>
          <w:ilvl w:val="0"/>
          <w:numId w:val="53"/>
        </w:numPr>
        <w:ind w:left="1418" w:hanging="709"/>
        <w:rPr>
          <w:rFonts w:eastAsia="Arial Unicode MS" w:cs="Tahoma"/>
          <w:w w:val="0"/>
        </w:rPr>
      </w:pPr>
      <w:bookmarkStart w:id="279"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w:t>
      </w:r>
      <w:r w:rsidRPr="00960BA0">
        <w:rPr>
          <w:rFonts w:eastAsia="Arial Unicode MS" w:cs="Tahoma"/>
          <w:w w:val="0"/>
        </w:rPr>
        <w:lastRenderedPageBreak/>
        <w:t xml:space="preserve">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79"/>
      <w:r w:rsidRPr="00960BA0">
        <w:rPr>
          <w:rFonts w:eastAsia="Arial Unicode MS" w:cs="Tahoma"/>
          <w:w w:val="0"/>
        </w:rPr>
        <w:t xml:space="preserve"> </w:t>
      </w:r>
    </w:p>
    <w:p w14:paraId="56840C9D" w14:textId="77777777" w:rsidR="00DD716F" w:rsidRPr="00D61FD1" w:rsidRDefault="00DD716F" w:rsidP="00F40AF4">
      <w:pPr>
        <w:pStyle w:val="roman3"/>
        <w:numPr>
          <w:ilvl w:val="0"/>
          <w:numId w:val="53"/>
        </w:numPr>
        <w:ind w:left="1418" w:hanging="709"/>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F40AF4">
      <w:pPr>
        <w:pStyle w:val="roman3"/>
        <w:numPr>
          <w:ilvl w:val="0"/>
          <w:numId w:val="53"/>
        </w:numPr>
        <w:ind w:left="1418" w:hanging="709"/>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F40AF4">
      <w:pPr>
        <w:pStyle w:val="roman3"/>
        <w:numPr>
          <w:ilvl w:val="0"/>
          <w:numId w:val="53"/>
        </w:numPr>
        <w:ind w:left="1418" w:hanging="709"/>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F40AF4">
      <w:pPr>
        <w:pStyle w:val="roman3"/>
        <w:numPr>
          <w:ilvl w:val="0"/>
          <w:numId w:val="53"/>
        </w:numPr>
        <w:ind w:left="1418" w:hanging="709"/>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F40AF4">
      <w:pPr>
        <w:pStyle w:val="roman3"/>
        <w:numPr>
          <w:ilvl w:val="0"/>
          <w:numId w:val="53"/>
        </w:numPr>
        <w:ind w:left="1418" w:hanging="709"/>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F40AF4">
      <w:pPr>
        <w:pStyle w:val="roman3"/>
        <w:numPr>
          <w:ilvl w:val="0"/>
          <w:numId w:val="53"/>
        </w:numPr>
        <w:ind w:left="1418" w:hanging="709"/>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F40AF4">
      <w:pPr>
        <w:pStyle w:val="roman3"/>
        <w:numPr>
          <w:ilvl w:val="0"/>
          <w:numId w:val="53"/>
        </w:numPr>
        <w:ind w:left="1418" w:hanging="709"/>
      </w:pPr>
      <w:bookmarkStart w:id="280"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0"/>
      <w:r w:rsidRPr="007632D4">
        <w:t xml:space="preserve"> </w:t>
      </w:r>
    </w:p>
    <w:p w14:paraId="320AF547" w14:textId="77777777" w:rsidR="00FD6628" w:rsidRPr="002D15CA" w:rsidRDefault="00F96852" w:rsidP="00F40AF4">
      <w:pPr>
        <w:pStyle w:val="roman3"/>
        <w:numPr>
          <w:ilvl w:val="0"/>
          <w:numId w:val="53"/>
        </w:numPr>
        <w:ind w:left="1418" w:hanging="709"/>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F40AF4">
      <w:pPr>
        <w:pStyle w:val="roman3"/>
        <w:numPr>
          <w:ilvl w:val="0"/>
          <w:numId w:val="53"/>
        </w:numPr>
        <w:ind w:left="1418" w:hanging="709"/>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F40AF4">
      <w:pPr>
        <w:pStyle w:val="roman3"/>
        <w:numPr>
          <w:ilvl w:val="0"/>
          <w:numId w:val="53"/>
        </w:numPr>
        <w:ind w:left="1418" w:hanging="709"/>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F40AF4">
      <w:pPr>
        <w:pStyle w:val="roman3"/>
        <w:numPr>
          <w:ilvl w:val="0"/>
          <w:numId w:val="53"/>
        </w:numPr>
        <w:ind w:left="1418" w:hanging="709"/>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F40AF4">
      <w:pPr>
        <w:pStyle w:val="roman3"/>
        <w:numPr>
          <w:ilvl w:val="0"/>
          <w:numId w:val="53"/>
        </w:numPr>
        <w:ind w:left="1418" w:hanging="709"/>
        <w:rPr>
          <w:rFonts w:cs="Tahoma"/>
        </w:rPr>
      </w:pPr>
      <w:r w:rsidRPr="0055612C">
        <w:rPr>
          <w:rFonts w:cs="Tahoma"/>
        </w:rPr>
        <w:lastRenderedPageBreak/>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F40AF4">
      <w:pPr>
        <w:pStyle w:val="roman3"/>
        <w:numPr>
          <w:ilvl w:val="0"/>
          <w:numId w:val="53"/>
        </w:numPr>
        <w:ind w:left="1418" w:hanging="709"/>
        <w:rPr>
          <w:rFonts w:cs="Tahoma"/>
        </w:rPr>
      </w:pPr>
      <w:bookmarkStart w:id="281"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14:paraId="79FD919C" w14:textId="77777777" w:rsidR="00FD6628" w:rsidRPr="002D15CA" w:rsidRDefault="00FD6628" w:rsidP="00F40AF4">
      <w:pPr>
        <w:pStyle w:val="roman3"/>
        <w:numPr>
          <w:ilvl w:val="0"/>
          <w:numId w:val="53"/>
        </w:numPr>
        <w:ind w:left="1418" w:hanging="709"/>
        <w:rPr>
          <w:rFonts w:cs="Tahoma"/>
        </w:rPr>
      </w:pPr>
      <w:bookmarkStart w:id="282" w:name="_Ref182969214"/>
      <w:bookmarkEnd w:id="281"/>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2"/>
    <w:p w14:paraId="0FC80BA1" w14:textId="77777777" w:rsidR="00FD6628" w:rsidRPr="00E94FA2" w:rsidRDefault="00FD6628" w:rsidP="00F40AF4">
      <w:pPr>
        <w:pStyle w:val="roman3"/>
        <w:numPr>
          <w:ilvl w:val="0"/>
          <w:numId w:val="53"/>
        </w:numPr>
        <w:ind w:left="1418" w:hanging="709"/>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F40AF4">
      <w:pPr>
        <w:pStyle w:val="roman3"/>
        <w:numPr>
          <w:ilvl w:val="0"/>
          <w:numId w:val="53"/>
        </w:numPr>
        <w:ind w:left="1418" w:hanging="709"/>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F40AF4">
      <w:pPr>
        <w:pStyle w:val="roman3"/>
        <w:numPr>
          <w:ilvl w:val="0"/>
          <w:numId w:val="53"/>
        </w:numPr>
        <w:ind w:left="1418" w:hanging="709"/>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F40AF4">
      <w:pPr>
        <w:pStyle w:val="roman3"/>
        <w:numPr>
          <w:ilvl w:val="0"/>
          <w:numId w:val="53"/>
        </w:numPr>
        <w:ind w:left="1418" w:hanging="709"/>
        <w:rPr>
          <w:rFonts w:cs="Tahoma"/>
        </w:rPr>
      </w:pPr>
      <w:r w:rsidRPr="002D15CA">
        <w:rPr>
          <w:rFonts w:cs="Tahoma"/>
        </w:rPr>
        <w:lastRenderedPageBreak/>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F40AF4">
      <w:pPr>
        <w:pStyle w:val="roman3"/>
        <w:numPr>
          <w:ilvl w:val="0"/>
          <w:numId w:val="53"/>
        </w:numPr>
        <w:ind w:left="1418" w:hanging="709"/>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283" w:name="_DV_M225"/>
      <w:bookmarkStart w:id="284" w:name="_DV_M230"/>
      <w:bookmarkStart w:id="285" w:name="_Toc261004490"/>
      <w:bookmarkEnd w:id="283"/>
      <w:bookmarkEnd w:id="284"/>
      <w:r w:rsidRPr="006A509E">
        <w:rPr>
          <w:rFonts w:cs="Tahoma"/>
          <w:b/>
        </w:rPr>
        <w:t>AGENTE FIDUCIÁRIO</w:t>
      </w:r>
      <w:bookmarkEnd w:id="285"/>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286" w:name="_BPDC_LN_INS_1134"/>
      <w:bookmarkStart w:id="287" w:name="_BPDC_PR_INS_1135"/>
      <w:bookmarkEnd w:id="286"/>
      <w:bookmarkEnd w:id="287"/>
      <w:r w:rsidRPr="00960BA0">
        <w:rPr>
          <w:rFonts w:cs="Tahoma"/>
          <w:i/>
        </w:rPr>
        <w:t>Nomeação</w:t>
      </w:r>
      <w:r w:rsidRPr="00960BA0">
        <w:rPr>
          <w:rFonts w:cs="Tahoma"/>
        </w:rPr>
        <w:t>.</w:t>
      </w:r>
      <w:bookmarkStart w:id="288" w:name="_DV_M231"/>
      <w:bookmarkStart w:id="289" w:name="_DV_M232"/>
      <w:bookmarkEnd w:id="288"/>
      <w:bookmarkEnd w:id="289"/>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0" w:name="_DV_M238"/>
      <w:bookmarkEnd w:id="290"/>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291" w:name="_DV_M240"/>
      <w:bookmarkStart w:id="292" w:name="_DV_M241"/>
      <w:bookmarkStart w:id="293" w:name="_DV_M246"/>
      <w:bookmarkStart w:id="294" w:name="_DV_M247"/>
      <w:bookmarkStart w:id="295" w:name="_DV_M248"/>
      <w:bookmarkStart w:id="296" w:name="_DV_M249"/>
      <w:bookmarkStart w:id="297" w:name="_DV_M250"/>
      <w:bookmarkStart w:id="298" w:name="_DV_M252"/>
      <w:bookmarkEnd w:id="291"/>
      <w:bookmarkEnd w:id="292"/>
      <w:bookmarkEnd w:id="293"/>
      <w:bookmarkEnd w:id="294"/>
      <w:bookmarkEnd w:id="295"/>
      <w:bookmarkEnd w:id="296"/>
      <w:bookmarkEnd w:id="297"/>
      <w:bookmarkEnd w:id="298"/>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w:t>
      </w:r>
      <w:r w:rsidRPr="00960BA0">
        <w:rPr>
          <w:rFonts w:cs="Tahoma"/>
        </w:rPr>
        <w:lastRenderedPageBreak/>
        <w:t xml:space="preserve">(quinze) dias para a </w:t>
      </w:r>
      <w:r w:rsidRPr="00960BA0">
        <w:rPr>
          <w:rFonts w:eastAsia="Arial Unicode MS" w:cs="Tahoma"/>
          <w:w w:val="0"/>
        </w:rPr>
        <w:t>primeira</w:t>
      </w:r>
      <w:r w:rsidRPr="00960BA0">
        <w:rPr>
          <w:rFonts w:cs="Tahoma"/>
        </w:rPr>
        <w:t xml:space="preserve"> convocação e 8 (oito) dias para a segunda convocação. </w:t>
      </w:r>
      <w:bookmarkStart w:id="299" w:name="_Hlk3989507"/>
      <w:r w:rsidRPr="00960BA0">
        <w:rPr>
          <w:rFonts w:cs="Tahoma"/>
        </w:rPr>
        <w:t>Em casos excepcionais</w:t>
      </w:r>
      <w:bookmarkEnd w:id="299"/>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300" w:name="_BPDC_LN_INS_1132"/>
      <w:bookmarkStart w:id="301" w:name="_BPDC_PR_INS_1133"/>
      <w:bookmarkStart w:id="302" w:name="_DV_M254"/>
      <w:bookmarkStart w:id="303" w:name="_DV_C447"/>
      <w:bookmarkEnd w:id="300"/>
      <w:bookmarkEnd w:id="301"/>
      <w:bookmarkEnd w:id="302"/>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304" w:name="_BPDC_LN_INS_1130"/>
      <w:bookmarkStart w:id="305" w:name="_BPDC_PR_INS_1131"/>
      <w:bookmarkEnd w:id="304"/>
      <w:bookmarkEnd w:id="305"/>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306" w:name="_BPDC_LN_INS_1128"/>
      <w:bookmarkStart w:id="307" w:name="_BPDC_PR_INS_1129"/>
      <w:bookmarkStart w:id="308" w:name="_DV_M256"/>
      <w:bookmarkEnd w:id="303"/>
      <w:bookmarkEnd w:id="306"/>
      <w:bookmarkEnd w:id="307"/>
      <w:bookmarkEnd w:id="308"/>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309" w:name="_BPDC_LN_INS_1126"/>
      <w:bookmarkStart w:id="310" w:name="_BPDC_PR_INS_1127"/>
      <w:bookmarkStart w:id="311" w:name="_DV_M257"/>
      <w:bookmarkEnd w:id="309"/>
      <w:bookmarkEnd w:id="310"/>
      <w:bookmarkEnd w:id="311"/>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312" w:name="_BPDC_LN_INS_1124"/>
      <w:bookmarkStart w:id="313" w:name="_BPDC_PR_INS_1125"/>
      <w:bookmarkEnd w:id="312"/>
      <w:bookmarkEnd w:id="313"/>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314" w:name="_BPDC_LN_INS_1122"/>
      <w:bookmarkStart w:id="315" w:name="_BPDC_PR_INS_1123"/>
      <w:bookmarkStart w:id="316" w:name="_DV_M263"/>
      <w:bookmarkStart w:id="317" w:name="_Ref447757185"/>
      <w:bookmarkEnd w:id="314"/>
      <w:bookmarkEnd w:id="315"/>
      <w:bookmarkEnd w:id="316"/>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7"/>
    </w:p>
    <w:p w14:paraId="7034968F" w14:textId="77777777" w:rsidR="00DD716F" w:rsidRPr="00960BA0" w:rsidRDefault="00DD716F" w:rsidP="00955E4F">
      <w:pPr>
        <w:pStyle w:val="Level3"/>
        <w:numPr>
          <w:ilvl w:val="2"/>
          <w:numId w:val="6"/>
        </w:numPr>
        <w:rPr>
          <w:rFonts w:cs="Tahoma"/>
        </w:rPr>
      </w:pPr>
      <w:bookmarkStart w:id="318" w:name="_BPDC_LN_INS_1120"/>
      <w:bookmarkStart w:id="319" w:name="_BPDC_PR_INS_1121"/>
      <w:bookmarkStart w:id="320" w:name="_DV_M266"/>
      <w:bookmarkEnd w:id="318"/>
      <w:bookmarkEnd w:id="319"/>
      <w:bookmarkEnd w:id="320"/>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321" w:name="_BPDC_LN_INS_1118"/>
      <w:bookmarkStart w:id="322" w:name="_BPDC_PR_INS_1119"/>
      <w:bookmarkStart w:id="323" w:name="_DV_M267"/>
      <w:bookmarkEnd w:id="321"/>
      <w:bookmarkEnd w:id="322"/>
      <w:bookmarkEnd w:id="323"/>
      <w:r w:rsidRPr="00960BA0">
        <w:rPr>
          <w:rFonts w:cs="Tahoma"/>
        </w:rPr>
        <w:t xml:space="preserve">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w:t>
      </w:r>
      <w:r w:rsidRPr="00960BA0">
        <w:rPr>
          <w:rFonts w:cs="Tahoma"/>
        </w:rPr>
        <w:lastRenderedPageBreak/>
        <w:t>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4" w:name="_BPDC_LN_INS_1116"/>
      <w:bookmarkStart w:id="325" w:name="_BPDC_PR_INS_1117"/>
      <w:bookmarkEnd w:id="324"/>
      <w:bookmarkEnd w:id="325"/>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326" w:name="_DV_M269"/>
      <w:bookmarkStart w:id="327" w:name="_Ref322621425"/>
      <w:bookmarkEnd w:id="326"/>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7"/>
    </w:p>
    <w:p w14:paraId="3BE550ED" w14:textId="77777777" w:rsidR="00DD716F" w:rsidRPr="00960BA0" w:rsidRDefault="00DD716F" w:rsidP="00955E4F">
      <w:pPr>
        <w:pStyle w:val="roman4"/>
        <w:ind w:left="1560" w:hanging="567"/>
        <w:rPr>
          <w:rFonts w:eastAsia="Arial Unicode MS" w:cs="Tahoma"/>
          <w:w w:val="0"/>
        </w:rPr>
      </w:pPr>
      <w:bookmarkStart w:id="328" w:name="_BPDC_LN_INS_1113"/>
      <w:bookmarkStart w:id="329" w:name="_BPDC_PR_INS_1114"/>
      <w:bookmarkStart w:id="330" w:name="_BPDC_PR_INS_1115"/>
      <w:bookmarkStart w:id="331" w:name="_DV_M270"/>
      <w:bookmarkEnd w:id="328"/>
      <w:bookmarkEnd w:id="329"/>
      <w:bookmarkEnd w:id="330"/>
      <w:bookmarkEnd w:id="331"/>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332" w:name="_BPDC_LN_INS_1110"/>
      <w:bookmarkStart w:id="333" w:name="_BPDC_PR_INS_1111"/>
      <w:bookmarkStart w:id="334" w:name="_BPDC_PR_INS_1112"/>
      <w:bookmarkEnd w:id="332"/>
      <w:bookmarkEnd w:id="333"/>
      <w:bookmarkEnd w:id="334"/>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335" w:name="_BPDC_LN_INS_1108"/>
      <w:bookmarkStart w:id="336" w:name="_BPDC_PR_INS_1109"/>
      <w:bookmarkEnd w:id="335"/>
      <w:bookmarkEnd w:id="336"/>
      <w:r w:rsidRPr="00960BA0">
        <w:rPr>
          <w:rFonts w:eastAsia="Arial Unicode MS" w:cs="Tahoma"/>
          <w:w w:val="0"/>
        </w:rPr>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337" w:name="_BPDC_LN_INS_1105"/>
      <w:bookmarkStart w:id="338" w:name="_BPDC_PR_INS_1106"/>
      <w:bookmarkStart w:id="339" w:name="_BPDC_PR_INS_1107"/>
      <w:bookmarkEnd w:id="337"/>
      <w:bookmarkEnd w:id="338"/>
      <w:bookmarkEnd w:id="339"/>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340" w:name="_BPDC_LN_INS_1102"/>
      <w:bookmarkStart w:id="341" w:name="_BPDC_PR_INS_1103"/>
      <w:bookmarkStart w:id="342" w:name="_BPDC_PR_INS_1104"/>
      <w:bookmarkEnd w:id="340"/>
      <w:bookmarkEnd w:id="341"/>
      <w:bookmarkEnd w:id="342"/>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343" w:name="_BPDC_LN_INS_1099"/>
      <w:bookmarkStart w:id="344" w:name="_BPDC_PR_INS_1100"/>
      <w:bookmarkStart w:id="345" w:name="_BPDC_PR_INS_1101"/>
      <w:bookmarkEnd w:id="343"/>
      <w:bookmarkEnd w:id="344"/>
      <w:bookmarkEnd w:id="345"/>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346" w:name="_BPDC_LN_INS_1096"/>
      <w:bookmarkStart w:id="347" w:name="_BPDC_PR_INS_1097"/>
      <w:bookmarkStart w:id="348" w:name="_BPDC_PR_INS_1098"/>
      <w:bookmarkEnd w:id="346"/>
      <w:bookmarkEnd w:id="347"/>
      <w:bookmarkEnd w:id="348"/>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349" w:name="_BPDC_LN_INS_1093"/>
      <w:bookmarkStart w:id="350" w:name="_BPDC_PR_INS_1094"/>
      <w:bookmarkStart w:id="351" w:name="_BPDC_PR_INS_1095"/>
      <w:bookmarkEnd w:id="349"/>
      <w:bookmarkEnd w:id="350"/>
      <w:bookmarkEnd w:id="351"/>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352" w:name="_BPDC_LN_INS_1090"/>
      <w:bookmarkStart w:id="353" w:name="_BPDC_PR_INS_1091"/>
      <w:bookmarkStart w:id="354" w:name="_BPDC_PR_INS_1092"/>
      <w:bookmarkEnd w:id="352"/>
      <w:bookmarkEnd w:id="353"/>
      <w:bookmarkEnd w:id="354"/>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355" w:name="_BPDC_LN_INS_1087"/>
      <w:bookmarkStart w:id="356" w:name="_BPDC_PR_INS_1088"/>
      <w:bookmarkStart w:id="357" w:name="_BPDC_PR_INS_1089"/>
      <w:bookmarkEnd w:id="355"/>
      <w:bookmarkEnd w:id="356"/>
      <w:bookmarkEnd w:id="357"/>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358" w:name="_BPDC_LN_INS_1084"/>
      <w:bookmarkStart w:id="359" w:name="_BPDC_PR_INS_1085"/>
      <w:bookmarkStart w:id="360" w:name="_BPDC_PR_INS_1086"/>
      <w:bookmarkEnd w:id="358"/>
      <w:bookmarkEnd w:id="359"/>
      <w:bookmarkEnd w:id="360"/>
      <w:r w:rsidRPr="00960BA0">
        <w:rPr>
          <w:rFonts w:eastAsia="Arial Unicode MS" w:cs="Tahoma"/>
          <w:w w:val="0"/>
        </w:rPr>
        <w:t xml:space="preserve">elaborar relatório anual destinado aos Debenturistas, nos termos do artigo 68, parágrafo 1º, alínea “b”, da Lei das Sociedades por Ações e do artigo 15 da </w:t>
      </w:r>
      <w:r w:rsidRPr="00960BA0">
        <w:rPr>
          <w:rFonts w:eastAsia="Arial Unicode MS" w:cs="Tahoma"/>
          <w:w w:val="0"/>
        </w:rPr>
        <w:lastRenderedPageBreak/>
        <w:t>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361" w:name="_BPDC_LN_INS_1081"/>
      <w:bookmarkStart w:id="362" w:name="_BPDC_PR_INS_1082"/>
      <w:bookmarkStart w:id="363" w:name="_BPDC_PR_INS_1083"/>
      <w:bookmarkEnd w:id="361"/>
      <w:bookmarkEnd w:id="362"/>
      <w:bookmarkEnd w:id="363"/>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364" w:name="_BPDC_LN_INS_1078"/>
      <w:bookmarkStart w:id="365" w:name="_BPDC_PR_INS_1079"/>
      <w:bookmarkStart w:id="366" w:name="_BPDC_PR_INS_1080"/>
      <w:bookmarkEnd w:id="364"/>
      <w:bookmarkEnd w:id="365"/>
      <w:bookmarkEnd w:id="366"/>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367" w:name="_BPDC_LN_INS_1075"/>
      <w:bookmarkStart w:id="368" w:name="_BPDC_PR_INS_1076"/>
      <w:bookmarkStart w:id="369" w:name="_BPDC_PR_INS_1077"/>
      <w:bookmarkEnd w:id="367"/>
      <w:bookmarkEnd w:id="368"/>
      <w:bookmarkEnd w:id="369"/>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370" w:name="_BPDC_LN_INS_1072"/>
      <w:bookmarkStart w:id="371" w:name="_BPDC_PR_INS_1073"/>
      <w:bookmarkStart w:id="372" w:name="_BPDC_PR_INS_1074"/>
      <w:bookmarkEnd w:id="370"/>
      <w:bookmarkEnd w:id="371"/>
      <w:bookmarkEnd w:id="372"/>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373" w:name="_BPDC_LN_INS_1069"/>
      <w:bookmarkStart w:id="374" w:name="_BPDC_PR_INS_1070"/>
      <w:bookmarkStart w:id="375" w:name="_BPDC_PR_INS_1071"/>
      <w:bookmarkEnd w:id="373"/>
      <w:bookmarkEnd w:id="374"/>
      <w:bookmarkEnd w:id="375"/>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376" w:name="_BPDC_LN_INS_1066"/>
      <w:bookmarkStart w:id="377" w:name="_BPDC_PR_INS_1067"/>
      <w:bookmarkStart w:id="378" w:name="_BPDC_PR_INS_1068"/>
      <w:bookmarkEnd w:id="376"/>
      <w:bookmarkEnd w:id="377"/>
      <w:bookmarkEnd w:id="378"/>
      <w:r w:rsidRPr="00960BA0">
        <w:rPr>
          <w:rFonts w:eastAsia="Arial Unicode MS" w:cs="Tahoma"/>
          <w:w w:val="0"/>
        </w:rPr>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379" w:name="_BPDC_LN_INS_1063"/>
      <w:bookmarkStart w:id="380" w:name="_BPDC_PR_INS_1064"/>
      <w:bookmarkStart w:id="381" w:name="_BPDC_PR_INS_1065"/>
      <w:bookmarkEnd w:id="379"/>
      <w:bookmarkEnd w:id="380"/>
      <w:bookmarkEnd w:id="381"/>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382" w:name="_BPDC_LN_INS_1060"/>
      <w:bookmarkStart w:id="383" w:name="_BPDC_PR_INS_1061"/>
      <w:bookmarkStart w:id="384" w:name="_BPDC_PR_INS_1062"/>
      <w:bookmarkEnd w:id="382"/>
      <w:bookmarkEnd w:id="383"/>
      <w:bookmarkEnd w:id="384"/>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385" w:name="_BPDC_LN_INS_1057"/>
      <w:bookmarkStart w:id="386" w:name="_BPDC_PR_INS_1058"/>
      <w:bookmarkStart w:id="387" w:name="_BPDC_PR_INS_1059"/>
      <w:bookmarkEnd w:id="385"/>
      <w:bookmarkEnd w:id="386"/>
      <w:bookmarkEnd w:id="387"/>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388" w:name="_BPDC_LN_INS_1054"/>
      <w:bookmarkStart w:id="389" w:name="_BPDC_PR_INS_1055"/>
      <w:bookmarkStart w:id="390" w:name="_BPDC_PR_INS_1056"/>
      <w:bookmarkEnd w:id="388"/>
      <w:bookmarkEnd w:id="389"/>
      <w:bookmarkEnd w:id="390"/>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391" w:name="_BPDC_LN_INS_1051"/>
      <w:bookmarkStart w:id="392" w:name="_BPDC_PR_INS_1052"/>
      <w:bookmarkStart w:id="393" w:name="_BPDC_PR_INS_1053"/>
      <w:bookmarkEnd w:id="391"/>
      <w:bookmarkEnd w:id="392"/>
      <w:bookmarkEnd w:id="393"/>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394" w:name="_BPDC_LN_INS_1048"/>
      <w:bookmarkStart w:id="395" w:name="_BPDC_PR_INS_1049"/>
      <w:bookmarkStart w:id="396" w:name="_BPDC_PR_INS_1050"/>
      <w:bookmarkEnd w:id="394"/>
      <w:bookmarkEnd w:id="395"/>
      <w:bookmarkEnd w:id="396"/>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397" w:name="_BPDC_LN_INS_1041"/>
      <w:bookmarkStart w:id="398" w:name="_BPDC_PR_INS_1042"/>
      <w:bookmarkStart w:id="399" w:name="_BPDC_PR_INS_1043"/>
      <w:bookmarkStart w:id="400" w:name="_BPDC_PR_INS_1044"/>
      <w:bookmarkStart w:id="401" w:name="_BPDC_PR_INS_1045"/>
      <w:bookmarkStart w:id="402" w:name="_BPDC_PR_INS_1046"/>
      <w:bookmarkStart w:id="403" w:name="_BPDC_PR_INS_1047"/>
      <w:bookmarkEnd w:id="397"/>
      <w:bookmarkEnd w:id="398"/>
      <w:bookmarkEnd w:id="399"/>
      <w:bookmarkEnd w:id="400"/>
      <w:bookmarkEnd w:id="401"/>
      <w:bookmarkEnd w:id="402"/>
      <w:bookmarkEnd w:id="403"/>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404" w:name="_BPDC_LN_INS_1038"/>
      <w:bookmarkStart w:id="405" w:name="_BPDC_PR_INS_1039"/>
      <w:bookmarkStart w:id="406" w:name="_BPDC_PR_INS_1040"/>
      <w:bookmarkEnd w:id="404"/>
      <w:bookmarkEnd w:id="405"/>
      <w:bookmarkEnd w:id="406"/>
      <w:r w:rsidRPr="00960BA0">
        <w:rPr>
          <w:rFonts w:eastAsia="Arial Unicode MS" w:cs="Tahoma"/>
          <w:w w:val="0"/>
        </w:rPr>
        <w:lastRenderedPageBreak/>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407" w:name="_BPDC_LN_INS_1035"/>
      <w:bookmarkStart w:id="408" w:name="_BPDC_PR_INS_1036"/>
      <w:bookmarkStart w:id="409" w:name="_BPDC_PR_INS_1037"/>
      <w:bookmarkEnd w:id="407"/>
      <w:bookmarkEnd w:id="408"/>
      <w:bookmarkEnd w:id="409"/>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410" w:name="_BPDC_LN_INS_1032"/>
      <w:bookmarkStart w:id="411" w:name="_BPDC_PR_INS_1033"/>
      <w:bookmarkStart w:id="412" w:name="_BPDC_PR_INS_1034"/>
      <w:bookmarkStart w:id="413" w:name="_BPDC_LN_INS_1029"/>
      <w:bookmarkStart w:id="414" w:name="_BPDC_PR_INS_1030"/>
      <w:bookmarkStart w:id="415" w:name="_BPDC_PR_INS_1031"/>
      <w:bookmarkEnd w:id="410"/>
      <w:bookmarkEnd w:id="411"/>
      <w:bookmarkEnd w:id="412"/>
      <w:bookmarkEnd w:id="413"/>
      <w:bookmarkEnd w:id="414"/>
      <w:bookmarkEnd w:id="415"/>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416" w:name="_BPDC_LN_INS_1026"/>
      <w:bookmarkStart w:id="417" w:name="_BPDC_PR_INS_1027"/>
      <w:bookmarkStart w:id="418" w:name="_BPDC_PR_INS_1028"/>
      <w:bookmarkStart w:id="419" w:name="_BPDC_LN_INS_1023"/>
      <w:bookmarkStart w:id="420" w:name="_BPDC_PR_INS_1024"/>
      <w:bookmarkStart w:id="421" w:name="_BPDC_PR_INS_1025"/>
      <w:bookmarkEnd w:id="416"/>
      <w:bookmarkEnd w:id="417"/>
      <w:bookmarkEnd w:id="418"/>
      <w:bookmarkEnd w:id="419"/>
      <w:bookmarkEnd w:id="420"/>
      <w:bookmarkEnd w:id="421"/>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422" w:name="_BPDC_LN_INS_1021"/>
      <w:bookmarkStart w:id="423" w:name="_BPDC_PR_INS_1022"/>
      <w:bookmarkEnd w:id="422"/>
      <w:bookmarkEnd w:id="423"/>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424" w:name="_DV_M305"/>
      <w:bookmarkStart w:id="425" w:name="_DV_M353"/>
      <w:bookmarkEnd w:id="424"/>
      <w:bookmarkEnd w:id="425"/>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divulgado pela Fundação Getúlio Vargas, ou na falta deste, ou ainda na impossibilidade de sua utilização, pelo índice que vier a substituí-</w:t>
      </w:r>
      <w:r w:rsidRPr="00960BA0">
        <w:rPr>
          <w:rFonts w:cs="Tahoma"/>
        </w:rPr>
        <w:lastRenderedPageBreak/>
        <w:t xml:space="preserve">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426"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6"/>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427"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7"/>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428"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28"/>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lastRenderedPageBreak/>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lastRenderedPageBreak/>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429" w:name="_DV_M306"/>
      <w:bookmarkEnd w:id="429"/>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430" w:name="_DV_M307"/>
      <w:bookmarkEnd w:id="430"/>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431" w:name="_DV_M308"/>
      <w:bookmarkEnd w:id="431"/>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432" w:name="_DV_M309"/>
      <w:bookmarkEnd w:id="432"/>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433" w:name="_DV_X471"/>
      <w:r w:rsidRPr="00960BA0">
        <w:rPr>
          <w:rFonts w:cs="Tahoma"/>
        </w:rPr>
        <w:t>não se encontrar em nenhuma das situações de conflito de interesse previstas no artigo 6º da Instrução CVM 583;</w:t>
      </w:r>
      <w:bookmarkEnd w:id="433"/>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434" w:name="_DV_C424"/>
      <w:r w:rsidRPr="00960BA0">
        <w:rPr>
          <w:rFonts w:cs="Tahoma"/>
        </w:rPr>
        <w:t xml:space="preserve">que </w:t>
      </w:r>
      <w:bookmarkStart w:id="435" w:name="_DV_X465"/>
      <w:bookmarkStart w:id="436" w:name="_DV_C425"/>
      <w:bookmarkEnd w:id="434"/>
      <w:r w:rsidRPr="00960BA0">
        <w:rPr>
          <w:rFonts w:cs="Tahoma"/>
        </w:rPr>
        <w:t>esta Escritura de Emissão constitui uma obrigação legal, válida</w:t>
      </w:r>
      <w:bookmarkStart w:id="437" w:name="_DV_C426"/>
      <w:bookmarkEnd w:id="435"/>
      <w:bookmarkEnd w:id="436"/>
      <w:r w:rsidRPr="00960BA0">
        <w:rPr>
          <w:rFonts w:cs="Tahoma"/>
        </w:rPr>
        <w:t>, vinculativa e eficaz</w:t>
      </w:r>
      <w:bookmarkStart w:id="438" w:name="_DV_X467"/>
      <w:bookmarkStart w:id="439" w:name="_DV_C427"/>
      <w:bookmarkEnd w:id="437"/>
      <w:r w:rsidRPr="00960BA0">
        <w:rPr>
          <w:rFonts w:cs="Tahoma"/>
        </w:rPr>
        <w:t xml:space="preserve"> do Agente Fiduciário, exequível de acordo com os seus termos e condições;</w:t>
      </w:r>
      <w:bookmarkEnd w:id="438"/>
      <w:bookmarkEnd w:id="439"/>
    </w:p>
    <w:p w14:paraId="3BED013C" w14:textId="77777777" w:rsidR="00DD716F" w:rsidRPr="00960BA0" w:rsidRDefault="00DD716F" w:rsidP="00955E4F">
      <w:pPr>
        <w:pStyle w:val="roman4"/>
        <w:tabs>
          <w:tab w:val="clear" w:pos="2722"/>
          <w:tab w:val="num" w:pos="1701"/>
        </w:tabs>
        <w:ind w:left="1418" w:hanging="709"/>
        <w:rPr>
          <w:rFonts w:cs="Tahoma"/>
        </w:rPr>
      </w:pPr>
      <w:bookmarkStart w:id="440" w:name="_DV_M310"/>
      <w:bookmarkEnd w:id="440"/>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441"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75DCA25E" w14:textId="4125F868" w:rsidR="00DD716F" w:rsidRDefault="00DD716F" w:rsidP="00955E4F">
      <w:pPr>
        <w:pStyle w:val="roman4"/>
        <w:tabs>
          <w:tab w:val="clear" w:pos="2722"/>
          <w:tab w:val="num" w:pos="1701"/>
        </w:tabs>
        <w:ind w:left="1418" w:hanging="709"/>
        <w:rPr>
          <w:rFonts w:cs="Tahoma"/>
        </w:rPr>
      </w:pPr>
      <w:bookmarkStart w:id="442" w:name="_DV_M313"/>
      <w:bookmarkEnd w:id="441"/>
      <w:bookmarkEnd w:id="442"/>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822FCC">
        <w:rPr>
          <w:rFonts w:cs="Tahoma"/>
        </w:rPr>
        <w:t xml:space="preserve"> </w:t>
      </w:r>
    </w:p>
    <w:p w14:paraId="60A99F66" w14:textId="77777777" w:rsidR="00F40AF4" w:rsidRDefault="00F40AF4" w:rsidP="00F40AF4">
      <w:pPr>
        <w:pStyle w:val="roman4"/>
        <w:numPr>
          <w:ilvl w:val="0"/>
          <w:numId w:val="0"/>
        </w:numPr>
        <w:ind w:left="709"/>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D7E31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6550510" w14:textId="77777777" w:rsidR="00F40AF4" w:rsidRPr="00F40AF4" w:rsidRDefault="00F40AF4" w:rsidP="004B0DE6">
            <w:pPr>
              <w:spacing w:before="100" w:beforeAutospacing="1"/>
              <w:rPr>
                <w:rFonts w:cs="Tahoma"/>
                <w:b/>
                <w:szCs w:val="20"/>
              </w:rPr>
            </w:pPr>
            <w:r w:rsidRPr="00F40AF4">
              <w:rPr>
                <w:rFonts w:cs="Tahoma"/>
                <w:b/>
                <w:szCs w:val="20"/>
              </w:rPr>
              <w:lastRenderedPageBreak/>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01E10"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7F9BAF1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31F56D"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A11B28" w14:textId="77777777" w:rsidR="00F40AF4" w:rsidRPr="00F40AF4" w:rsidRDefault="00F40AF4" w:rsidP="004B0DE6">
            <w:pPr>
              <w:spacing w:before="100" w:beforeAutospacing="1"/>
              <w:rPr>
                <w:rFonts w:cs="Tahoma"/>
                <w:szCs w:val="20"/>
              </w:rPr>
            </w:pPr>
            <w:r w:rsidRPr="00F40AF4">
              <w:rPr>
                <w:rFonts w:cs="Tahoma"/>
                <w:szCs w:val="20"/>
              </w:rPr>
              <w:t>Vila Piauí 3 Empreendimentos e Participações S.A.</w:t>
            </w:r>
          </w:p>
        </w:tc>
      </w:tr>
      <w:tr w:rsidR="00F40AF4" w:rsidRPr="00F40AF4" w14:paraId="29FDDD3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98CBDE"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D1B448"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4E58B7C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1C3D28"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62E78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005367F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900F2F"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A3647F" w14:textId="77777777" w:rsidR="00F40AF4" w:rsidRPr="00F40AF4" w:rsidRDefault="00F40AF4" w:rsidP="004B0DE6">
            <w:pPr>
              <w:spacing w:before="100" w:beforeAutospacing="1"/>
              <w:rPr>
                <w:rFonts w:cs="Tahoma"/>
                <w:szCs w:val="20"/>
              </w:rPr>
            </w:pPr>
            <w:r w:rsidRPr="00F40AF4">
              <w:rPr>
                <w:rFonts w:cs="Tahoma"/>
                <w:szCs w:val="20"/>
              </w:rPr>
              <w:t>R$ 33.546.000,00 (trinta e três milhões, quinhentos e quarenta e seis mil reais)</w:t>
            </w:r>
          </w:p>
        </w:tc>
      </w:tr>
      <w:tr w:rsidR="00F40AF4" w:rsidRPr="00F40AF4" w14:paraId="036872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C7D362"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F0524F9" w14:textId="77777777" w:rsidR="00F40AF4" w:rsidRPr="00F40AF4" w:rsidRDefault="00F40AF4" w:rsidP="004B0DE6">
            <w:pPr>
              <w:spacing w:before="100" w:beforeAutospacing="1"/>
              <w:rPr>
                <w:rFonts w:cs="Tahoma"/>
                <w:szCs w:val="20"/>
              </w:rPr>
            </w:pPr>
            <w:r w:rsidRPr="00F40AF4">
              <w:rPr>
                <w:rFonts w:cs="Tahoma"/>
                <w:szCs w:val="20"/>
              </w:rPr>
              <w:t>33.546.000(trinta e três milhões, quinhentos e quarenta e seis mil)</w:t>
            </w:r>
          </w:p>
        </w:tc>
      </w:tr>
      <w:tr w:rsidR="00F40AF4" w:rsidRPr="00F40AF4" w14:paraId="3A102B5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90CA091"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78D1A9"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6C680D0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95AA3FC"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51C10E"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7C605B4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EC7ADD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63E54B"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291B51B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79A24A2"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F7C281B"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6B01343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1A1B3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C92E8F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401AE3BB"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2CC297A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29F6395"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C457D"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B7B634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040302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983AC71" w14:textId="77777777" w:rsidR="00F40AF4" w:rsidRPr="00F40AF4" w:rsidRDefault="00F40AF4" w:rsidP="004B0DE6">
            <w:pPr>
              <w:spacing w:before="100" w:beforeAutospacing="1"/>
              <w:rPr>
                <w:rFonts w:cs="Tahoma"/>
                <w:szCs w:val="20"/>
              </w:rPr>
            </w:pPr>
            <w:r w:rsidRPr="00F40AF4">
              <w:rPr>
                <w:rFonts w:cs="Tahoma"/>
                <w:szCs w:val="20"/>
              </w:rPr>
              <w:t>Vila Rio Grande do Norte 1 Empreendimentos e Participações S.A.</w:t>
            </w:r>
          </w:p>
        </w:tc>
      </w:tr>
      <w:tr w:rsidR="00F40AF4" w:rsidRPr="00F40AF4" w14:paraId="3EA1504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79DBC1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944C75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899042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D9128D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91F77"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5F586D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1402F0C"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65996A8" w14:textId="77777777" w:rsidR="00F40AF4" w:rsidRPr="00F40AF4" w:rsidRDefault="00F40AF4" w:rsidP="004B0DE6">
            <w:pPr>
              <w:spacing w:before="100" w:beforeAutospacing="1"/>
              <w:rPr>
                <w:rFonts w:cs="Tahoma"/>
                <w:szCs w:val="20"/>
              </w:rPr>
            </w:pPr>
            <w:r w:rsidRPr="00F40AF4">
              <w:rPr>
                <w:rFonts w:cs="Tahoma"/>
                <w:szCs w:val="20"/>
              </w:rPr>
              <w:t>R$ 31.410.000,00 (trinta e um milhões, quatrocentos e dez mil reais)</w:t>
            </w:r>
          </w:p>
        </w:tc>
      </w:tr>
      <w:tr w:rsidR="00F40AF4" w:rsidRPr="00F40AF4" w14:paraId="6154313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41ED5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3A4420" w14:textId="77777777" w:rsidR="00F40AF4" w:rsidRPr="00F40AF4" w:rsidRDefault="00F40AF4" w:rsidP="004B0DE6">
            <w:pPr>
              <w:spacing w:before="100" w:beforeAutospacing="1"/>
              <w:rPr>
                <w:rFonts w:cs="Tahoma"/>
                <w:szCs w:val="20"/>
              </w:rPr>
            </w:pPr>
            <w:r w:rsidRPr="00F40AF4">
              <w:rPr>
                <w:rFonts w:cs="Tahoma"/>
                <w:szCs w:val="20"/>
              </w:rPr>
              <w:t>31.410.000 (trinta e um milhões, quatrocentos e dez mil)</w:t>
            </w:r>
          </w:p>
        </w:tc>
      </w:tr>
      <w:tr w:rsidR="00F40AF4" w:rsidRPr="00F40AF4" w14:paraId="08B8B60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16159"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8308705"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560C61E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12C74B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185D36B"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1B9C07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158176"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81466D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0A73E00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E1A3D59"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B0532D"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0EEB05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656D7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2545AC"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0FF03082"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1086F28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C81AD8B"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B5774"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357D11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13FD4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DE7DEB7" w14:textId="77777777" w:rsidR="00F40AF4" w:rsidRPr="00F40AF4" w:rsidRDefault="00F40AF4" w:rsidP="004B0DE6">
            <w:pPr>
              <w:spacing w:before="100" w:beforeAutospacing="1"/>
              <w:rPr>
                <w:rFonts w:cs="Tahoma"/>
                <w:szCs w:val="20"/>
              </w:rPr>
            </w:pPr>
            <w:r w:rsidRPr="00F40AF4">
              <w:rPr>
                <w:rFonts w:cs="Tahoma"/>
                <w:szCs w:val="20"/>
              </w:rPr>
              <w:t>Vila Rio Grande do Norte 2 Empreendimentos e Participações S.A.</w:t>
            </w:r>
          </w:p>
        </w:tc>
      </w:tr>
      <w:tr w:rsidR="00F40AF4" w:rsidRPr="00F40AF4" w14:paraId="79E52F9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AFE666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AB7CF3"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3799443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85FD8B2"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0915E2"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42B8782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DD9AB0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83BB61" w14:textId="77777777" w:rsidR="00F40AF4" w:rsidRPr="00F40AF4" w:rsidRDefault="00F40AF4" w:rsidP="004B0DE6">
            <w:pPr>
              <w:spacing w:before="100" w:beforeAutospacing="1"/>
              <w:rPr>
                <w:rFonts w:cs="Tahoma"/>
                <w:szCs w:val="20"/>
              </w:rPr>
            </w:pPr>
            <w:r w:rsidRPr="00F40AF4">
              <w:rPr>
                <w:rFonts w:cs="Tahoma"/>
                <w:szCs w:val="20"/>
              </w:rPr>
              <w:t>R$ 47.784.000,00 (quarenta e sete milhões, setecentos e oitenta e quatro mil reais)</w:t>
            </w:r>
          </w:p>
        </w:tc>
      </w:tr>
      <w:tr w:rsidR="00F40AF4" w:rsidRPr="00F40AF4" w14:paraId="341806E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9E5D95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1CEC2E8" w14:textId="77777777" w:rsidR="00F40AF4" w:rsidRPr="00F40AF4" w:rsidRDefault="00F40AF4" w:rsidP="004B0DE6">
            <w:pPr>
              <w:spacing w:before="100" w:beforeAutospacing="1"/>
              <w:rPr>
                <w:rFonts w:cs="Tahoma"/>
                <w:szCs w:val="20"/>
              </w:rPr>
            </w:pPr>
            <w:r w:rsidRPr="00F40AF4">
              <w:rPr>
                <w:rFonts w:cs="Tahoma"/>
                <w:szCs w:val="20"/>
              </w:rPr>
              <w:t>47.784.000 (quarenta e sete milhões, setecentos e oitenta e quatro mil)</w:t>
            </w:r>
          </w:p>
        </w:tc>
      </w:tr>
      <w:tr w:rsidR="00F40AF4" w:rsidRPr="00F40AF4" w14:paraId="0C7ADD9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CD0CA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D6C3D5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7D3CEFB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092FA2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192F13A"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3E0A7A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C65CA3"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DCADF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6B93EA0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30C584D"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BA45D1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36B8A8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863B6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A1BA0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7FAEE011"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91F91B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2D6E9D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55B62"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B324B8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B25445C"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BC7070" w14:textId="77777777" w:rsidR="00F40AF4" w:rsidRPr="00F40AF4" w:rsidRDefault="00F40AF4" w:rsidP="004B0DE6">
            <w:pPr>
              <w:spacing w:before="100" w:beforeAutospacing="1"/>
              <w:rPr>
                <w:rFonts w:cs="Tahoma"/>
                <w:szCs w:val="20"/>
              </w:rPr>
            </w:pPr>
            <w:r w:rsidRPr="00F40AF4">
              <w:rPr>
                <w:rFonts w:cs="Tahoma"/>
                <w:szCs w:val="20"/>
              </w:rPr>
              <w:t>Vila Sergipe 1 Empreendimentos e Participações S.A.</w:t>
            </w:r>
          </w:p>
        </w:tc>
      </w:tr>
      <w:tr w:rsidR="00F40AF4" w:rsidRPr="00F40AF4" w14:paraId="752E2D6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38982BF" w14:textId="77777777" w:rsidR="00F40AF4" w:rsidRPr="00F40AF4" w:rsidRDefault="00F40AF4" w:rsidP="004B0DE6">
            <w:pPr>
              <w:spacing w:before="100" w:beforeAutospacing="1"/>
              <w:rPr>
                <w:rFonts w:cs="Tahoma"/>
                <w:b/>
                <w:szCs w:val="20"/>
              </w:rPr>
            </w:pPr>
            <w:r w:rsidRPr="00F40AF4">
              <w:rPr>
                <w:rFonts w:cs="Tahoma"/>
                <w:b/>
                <w:szCs w:val="20"/>
              </w:rPr>
              <w:lastRenderedPageBreak/>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D698C0A"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1469B8C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8FC29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2931D6"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D262F1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6E39D6A"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1AB888" w14:textId="77777777" w:rsidR="00F40AF4" w:rsidRPr="00F40AF4" w:rsidRDefault="00F40AF4" w:rsidP="004B0DE6">
            <w:pPr>
              <w:spacing w:before="100" w:beforeAutospacing="1"/>
              <w:rPr>
                <w:rFonts w:cs="Tahoma"/>
                <w:szCs w:val="20"/>
              </w:rPr>
            </w:pPr>
            <w:r w:rsidRPr="00F40AF4">
              <w:rPr>
                <w:rFonts w:cs="Tahoma"/>
                <w:szCs w:val="20"/>
              </w:rPr>
              <w:t>R$ 48.057.000,00 (quarenta e oito milhões e cinquenta e sete mil reais)</w:t>
            </w:r>
          </w:p>
        </w:tc>
      </w:tr>
      <w:tr w:rsidR="00F40AF4" w:rsidRPr="00F40AF4" w14:paraId="22CC1F0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EA797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420BD2" w14:textId="77777777" w:rsidR="00F40AF4" w:rsidRPr="00F40AF4" w:rsidRDefault="00F40AF4" w:rsidP="004B0DE6">
            <w:pPr>
              <w:spacing w:before="100" w:beforeAutospacing="1"/>
              <w:rPr>
                <w:rFonts w:cs="Tahoma"/>
                <w:szCs w:val="20"/>
              </w:rPr>
            </w:pPr>
            <w:r w:rsidRPr="00F40AF4">
              <w:rPr>
                <w:rFonts w:cs="Tahoma"/>
                <w:szCs w:val="20"/>
              </w:rPr>
              <w:t>48.057.000 (quarenta e oito milhões e cinquenta e sete mil)</w:t>
            </w:r>
          </w:p>
        </w:tc>
      </w:tr>
      <w:tr w:rsidR="00F40AF4" w:rsidRPr="00F40AF4" w14:paraId="6F52019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CE272F"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EC1E3E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4EE5E6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13FFDB"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4B541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20671DC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4D7D8CC"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7A502BE"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59C2F1B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EEEEEBB"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F494AB0"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03797C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6C0DB85"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FB23A75"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6B31727"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31A9EBD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F8C31B8"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C5807"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8A9880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CA8FFE"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02F624" w14:textId="77777777" w:rsidR="00F40AF4" w:rsidRPr="00F40AF4" w:rsidRDefault="00F40AF4" w:rsidP="004B0DE6">
            <w:pPr>
              <w:spacing w:before="100" w:beforeAutospacing="1"/>
              <w:rPr>
                <w:rFonts w:cs="Tahoma"/>
                <w:szCs w:val="20"/>
              </w:rPr>
            </w:pPr>
            <w:r w:rsidRPr="00F40AF4">
              <w:rPr>
                <w:rFonts w:cs="Tahoma"/>
                <w:szCs w:val="20"/>
              </w:rPr>
              <w:t>Vila Sergipe 2 Empreendimentos e Participações S.A.</w:t>
            </w:r>
          </w:p>
        </w:tc>
      </w:tr>
      <w:tr w:rsidR="00F40AF4" w:rsidRPr="00F40AF4" w14:paraId="359A7B9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AD3B920"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71D8E5"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A5BE0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2853F9C"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E5E3AA"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9599F3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1B13324"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603C2EC" w14:textId="77777777" w:rsidR="00F40AF4" w:rsidRPr="00F40AF4" w:rsidRDefault="00F40AF4" w:rsidP="004B0DE6">
            <w:pPr>
              <w:spacing w:before="100" w:beforeAutospacing="1"/>
              <w:rPr>
                <w:rFonts w:cs="Tahoma"/>
                <w:szCs w:val="20"/>
              </w:rPr>
            </w:pPr>
            <w:r w:rsidRPr="00F40AF4">
              <w:rPr>
                <w:rFonts w:cs="Tahoma"/>
                <w:szCs w:val="20"/>
              </w:rPr>
              <w:t>R$ 30.948.000,00 (trinta milhões, novecentos e quarenta e oito mil reais)</w:t>
            </w:r>
          </w:p>
        </w:tc>
      </w:tr>
      <w:tr w:rsidR="00F40AF4" w:rsidRPr="00F40AF4" w14:paraId="5FCBA9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3DE5C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7A42928" w14:textId="77777777" w:rsidR="00F40AF4" w:rsidRPr="00F40AF4" w:rsidRDefault="00F40AF4" w:rsidP="004B0DE6">
            <w:pPr>
              <w:spacing w:before="100" w:beforeAutospacing="1"/>
              <w:rPr>
                <w:rFonts w:cs="Tahoma"/>
                <w:szCs w:val="20"/>
              </w:rPr>
            </w:pPr>
            <w:r w:rsidRPr="00F40AF4">
              <w:rPr>
                <w:rFonts w:cs="Tahoma"/>
                <w:szCs w:val="20"/>
              </w:rPr>
              <w:t>30.948.000,00 (trinta milhões, novecentos e quarenta e oito mil)</w:t>
            </w:r>
          </w:p>
        </w:tc>
      </w:tr>
      <w:tr w:rsidR="00F40AF4" w:rsidRPr="00F40AF4" w14:paraId="0A4D115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33B991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6C001C"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2FB40E0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99EB794"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F5907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B6BEF8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98C0D59"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E8D623"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1835AF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6D00C3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67095F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21724F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A9C080"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4AE650"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9628873"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CA1DC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4196E69"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D6253"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7823A4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8868685"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BE3A6C8" w14:textId="77777777" w:rsidR="00F40AF4" w:rsidRPr="00F40AF4" w:rsidRDefault="00F40AF4" w:rsidP="004B0DE6">
            <w:pPr>
              <w:spacing w:before="100" w:beforeAutospacing="1"/>
              <w:rPr>
                <w:rFonts w:cs="Tahoma"/>
                <w:szCs w:val="20"/>
              </w:rPr>
            </w:pPr>
            <w:r w:rsidRPr="00F40AF4">
              <w:rPr>
                <w:rFonts w:cs="Tahoma"/>
                <w:szCs w:val="20"/>
              </w:rPr>
              <w:t>Vila Sergipe 3 Empreendimentos e Participações S.A.</w:t>
            </w:r>
          </w:p>
        </w:tc>
      </w:tr>
      <w:tr w:rsidR="00F40AF4" w:rsidRPr="00F40AF4" w14:paraId="1053DBD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A024D5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55D1DF9"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5BCC99E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C255650"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6D366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D9BFEA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33A261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8D4FA87" w14:textId="77777777" w:rsidR="00F40AF4" w:rsidRPr="00F40AF4" w:rsidRDefault="00F40AF4" w:rsidP="004B0DE6">
            <w:pPr>
              <w:spacing w:before="100" w:beforeAutospacing="1"/>
              <w:rPr>
                <w:rFonts w:cs="Tahoma"/>
                <w:szCs w:val="20"/>
              </w:rPr>
            </w:pPr>
            <w:r w:rsidRPr="00F40AF4">
              <w:rPr>
                <w:rFonts w:cs="Tahoma"/>
                <w:szCs w:val="20"/>
              </w:rPr>
              <w:t>R$ 17.352.000,00 (dezessete milhões, trezentos s e cinquenta e dois mil reais)</w:t>
            </w:r>
          </w:p>
        </w:tc>
      </w:tr>
      <w:tr w:rsidR="00F40AF4" w:rsidRPr="00F40AF4" w14:paraId="305E9E4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48474C8"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80CDA8" w14:textId="77777777" w:rsidR="00F40AF4" w:rsidRPr="00F40AF4" w:rsidRDefault="00F40AF4" w:rsidP="004B0DE6">
            <w:pPr>
              <w:spacing w:before="100" w:beforeAutospacing="1"/>
              <w:rPr>
                <w:rFonts w:cs="Tahoma"/>
                <w:szCs w:val="20"/>
              </w:rPr>
            </w:pPr>
            <w:r w:rsidRPr="00F40AF4">
              <w:rPr>
                <w:rFonts w:cs="Tahoma"/>
                <w:szCs w:val="20"/>
              </w:rPr>
              <w:t>17.352.000,00 (dezessete milhões, trezentos s e cinquenta e dois mil)</w:t>
            </w:r>
          </w:p>
        </w:tc>
      </w:tr>
      <w:tr w:rsidR="00F40AF4" w:rsidRPr="00F40AF4" w14:paraId="2FC0254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EB6B2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A7B8593"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02B673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962FC91"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5803678"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539A8C9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C82BA7B"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E38C998"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7AF0AD0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B100B17"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1865ED3"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42618B7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2AC05A"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9224298"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3307B06"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617F2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5EC556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4D0B8"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5C8F06A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B3295A"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7463C95" w14:textId="77777777" w:rsidR="00F40AF4" w:rsidRPr="00F40AF4" w:rsidRDefault="00F40AF4" w:rsidP="004B0DE6">
            <w:pPr>
              <w:spacing w:before="100" w:beforeAutospacing="1"/>
              <w:rPr>
                <w:rFonts w:cs="Tahoma"/>
                <w:szCs w:val="20"/>
              </w:rPr>
            </w:pPr>
            <w:r w:rsidRPr="00F40AF4">
              <w:rPr>
                <w:rFonts w:cs="Tahoma"/>
                <w:szCs w:val="20"/>
              </w:rPr>
              <w:t>Ventos de São Clemente Holding</w:t>
            </w:r>
          </w:p>
        </w:tc>
      </w:tr>
      <w:tr w:rsidR="00F40AF4" w:rsidRPr="00F40AF4" w14:paraId="2D0ACFD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E3AE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526D01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6066BF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D51745"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3EA7E92" w14:textId="77777777" w:rsidR="00F40AF4" w:rsidRPr="00F40AF4" w:rsidRDefault="00F40AF4" w:rsidP="004B0DE6">
            <w:pPr>
              <w:spacing w:before="100" w:beforeAutospacing="1"/>
              <w:rPr>
                <w:rFonts w:cs="Tahoma"/>
                <w:szCs w:val="20"/>
              </w:rPr>
            </w:pPr>
            <w:r w:rsidRPr="00F40AF4">
              <w:rPr>
                <w:rFonts w:cs="Tahoma"/>
                <w:szCs w:val="20"/>
              </w:rPr>
              <w:t>Segunda / Série Única</w:t>
            </w:r>
          </w:p>
        </w:tc>
      </w:tr>
      <w:tr w:rsidR="00F40AF4" w:rsidRPr="00F40AF4" w14:paraId="56451F6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690D7E"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C37730A" w14:textId="77777777" w:rsidR="00F40AF4" w:rsidRPr="00F40AF4" w:rsidRDefault="00F40AF4" w:rsidP="004B0DE6">
            <w:pPr>
              <w:spacing w:before="100" w:beforeAutospacing="1"/>
              <w:rPr>
                <w:rFonts w:cs="Tahoma"/>
                <w:szCs w:val="20"/>
              </w:rPr>
            </w:pPr>
            <w:r w:rsidRPr="00F40AF4">
              <w:rPr>
                <w:rFonts w:cs="Tahoma"/>
                <w:szCs w:val="20"/>
              </w:rPr>
              <w:t>R$ 20.000.000,00 (vinte milhões de reais)</w:t>
            </w:r>
          </w:p>
        </w:tc>
      </w:tr>
      <w:tr w:rsidR="00F40AF4" w:rsidRPr="00F40AF4" w14:paraId="487403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D35571" w14:textId="77777777" w:rsidR="00F40AF4" w:rsidRPr="00F40AF4" w:rsidRDefault="00F40AF4" w:rsidP="004B0DE6">
            <w:pPr>
              <w:spacing w:before="100" w:beforeAutospacing="1"/>
              <w:rPr>
                <w:rFonts w:cs="Tahoma"/>
                <w:b/>
                <w:szCs w:val="20"/>
              </w:rPr>
            </w:pPr>
            <w:r w:rsidRPr="00F40AF4">
              <w:rPr>
                <w:rFonts w:cs="Tahoma"/>
                <w:b/>
                <w:szCs w:val="20"/>
              </w:rPr>
              <w:lastRenderedPageBreak/>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A819669" w14:textId="77777777" w:rsidR="00F40AF4" w:rsidRPr="00F40AF4" w:rsidRDefault="00F40AF4" w:rsidP="004B0DE6">
            <w:pPr>
              <w:spacing w:before="100" w:beforeAutospacing="1"/>
              <w:rPr>
                <w:rFonts w:cs="Tahoma"/>
                <w:szCs w:val="20"/>
              </w:rPr>
            </w:pPr>
            <w:r w:rsidRPr="00F40AF4">
              <w:rPr>
                <w:rFonts w:cs="Tahoma"/>
                <w:szCs w:val="20"/>
              </w:rPr>
              <w:t>20.000 (vinte mil)</w:t>
            </w:r>
          </w:p>
        </w:tc>
      </w:tr>
      <w:tr w:rsidR="00F40AF4" w:rsidRPr="00F40AF4" w14:paraId="52B001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A8B95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A3855" w14:textId="77777777" w:rsidR="00F40AF4" w:rsidRPr="00F40AF4" w:rsidRDefault="00F40AF4" w:rsidP="004B0DE6">
            <w:pPr>
              <w:spacing w:before="100" w:beforeAutospacing="1"/>
              <w:rPr>
                <w:rFonts w:cs="Tahoma"/>
                <w:szCs w:val="20"/>
              </w:rPr>
            </w:pPr>
            <w:r w:rsidRPr="00F40AF4">
              <w:rPr>
                <w:rFonts w:cs="Tahoma"/>
                <w:szCs w:val="20"/>
              </w:rPr>
              <w:t>Quirografária</w:t>
            </w:r>
          </w:p>
        </w:tc>
      </w:tr>
      <w:tr w:rsidR="00F40AF4" w:rsidRPr="00F40AF4" w14:paraId="1414D9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545B968"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EE6B75B" w14:textId="77777777" w:rsidR="00F40AF4" w:rsidRPr="00F40AF4" w:rsidRDefault="00F40AF4" w:rsidP="004B0DE6">
            <w:pPr>
              <w:spacing w:before="100" w:beforeAutospacing="1"/>
              <w:rPr>
                <w:rFonts w:cs="Tahoma"/>
                <w:szCs w:val="20"/>
              </w:rPr>
            </w:pPr>
            <w:r w:rsidRPr="00F40AF4">
              <w:rPr>
                <w:rFonts w:cs="Tahoma"/>
                <w:szCs w:val="20"/>
              </w:rPr>
              <w:t>09 de abril de 2020</w:t>
            </w:r>
          </w:p>
        </w:tc>
      </w:tr>
      <w:tr w:rsidR="00F40AF4" w:rsidRPr="00F40AF4" w14:paraId="6B4EFFE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D9996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DDFD65" w14:textId="77777777" w:rsidR="00F40AF4" w:rsidRPr="00F40AF4" w:rsidRDefault="00F40AF4" w:rsidP="004B0DE6">
            <w:pPr>
              <w:spacing w:before="100" w:beforeAutospacing="1"/>
              <w:rPr>
                <w:rFonts w:cs="Tahoma"/>
                <w:szCs w:val="20"/>
              </w:rPr>
            </w:pPr>
            <w:r w:rsidRPr="00F40AF4">
              <w:rPr>
                <w:rFonts w:cs="Tahoma"/>
                <w:szCs w:val="20"/>
              </w:rPr>
              <w:t>15 de dezembro de 2029</w:t>
            </w:r>
          </w:p>
        </w:tc>
      </w:tr>
      <w:tr w:rsidR="00F40AF4" w:rsidRPr="00F40AF4" w14:paraId="1859886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0BC36A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88A61D" w14:textId="77777777" w:rsidR="00F40AF4" w:rsidRPr="00F40AF4" w:rsidRDefault="00F40AF4" w:rsidP="004B0DE6">
            <w:pPr>
              <w:spacing w:before="100" w:beforeAutospacing="1"/>
              <w:rPr>
                <w:rFonts w:cs="Tahoma"/>
                <w:szCs w:val="20"/>
              </w:rPr>
            </w:pPr>
            <w:r w:rsidRPr="00F40AF4">
              <w:rPr>
                <w:rFonts w:cs="Tahoma"/>
                <w:szCs w:val="20"/>
              </w:rPr>
              <w:t>IPCA + 7,0590% a.a.</w:t>
            </w:r>
          </w:p>
        </w:tc>
      </w:tr>
      <w:tr w:rsidR="00F40AF4" w:rsidRPr="00F40AF4" w14:paraId="6C3D432B" w14:textId="77777777" w:rsidTr="00F40AF4">
        <w:trPr>
          <w:trHeight w:val="38"/>
        </w:trPr>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D246B6"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6EF7A8D"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8B78FA3" w14:textId="77777777" w:rsidR="00F40AF4" w:rsidRDefault="00F40AF4" w:rsidP="00F40AF4">
      <w:pPr>
        <w:pStyle w:val="roman4"/>
        <w:numPr>
          <w:ilvl w:val="0"/>
          <w:numId w:val="0"/>
        </w:numPr>
        <w:rPr>
          <w:rFonts w:cs="Tahoma"/>
        </w:rPr>
      </w:pPr>
    </w:p>
    <w:p w14:paraId="2C4DDF6B" w14:textId="77777777" w:rsidR="00DD716F" w:rsidRPr="00D61FD1" w:rsidRDefault="006A509E" w:rsidP="00955E4F">
      <w:pPr>
        <w:pStyle w:val="Level1"/>
        <w:numPr>
          <w:ilvl w:val="0"/>
          <w:numId w:val="6"/>
        </w:numPr>
        <w:rPr>
          <w:rFonts w:cs="Tahoma"/>
          <w:b/>
        </w:rPr>
      </w:pPr>
      <w:bookmarkStart w:id="443" w:name="_DV_M373"/>
      <w:bookmarkStart w:id="444" w:name="_Toc261004491"/>
      <w:bookmarkStart w:id="445" w:name="_Ref368491849"/>
      <w:bookmarkEnd w:id="443"/>
      <w:r w:rsidRPr="00D61FD1">
        <w:rPr>
          <w:rFonts w:cs="Tahoma"/>
          <w:b/>
        </w:rPr>
        <w:t>ASSEMBLEIA GERAL DE DEBENTURISTAS</w:t>
      </w:r>
      <w:bookmarkEnd w:id="444"/>
      <w:bookmarkEnd w:id="445"/>
    </w:p>
    <w:p w14:paraId="4280DBAB" w14:textId="77777777" w:rsidR="00DD716F" w:rsidRPr="00960BA0" w:rsidRDefault="00DD716F" w:rsidP="00955E4F">
      <w:pPr>
        <w:pStyle w:val="Level2"/>
        <w:numPr>
          <w:ilvl w:val="1"/>
          <w:numId w:val="6"/>
        </w:numPr>
        <w:rPr>
          <w:rFonts w:cs="Tahoma"/>
          <w:i/>
        </w:rPr>
      </w:pPr>
      <w:bookmarkStart w:id="446" w:name="_Ref447756814"/>
      <w:r w:rsidRPr="00960BA0">
        <w:rPr>
          <w:rFonts w:cs="Tahoma"/>
          <w:i/>
        </w:rPr>
        <w:t>Disposições Gerais</w:t>
      </w:r>
      <w:bookmarkEnd w:id="446"/>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447" w:name="_DV_M388"/>
      <w:bookmarkEnd w:id="447"/>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32144DB5" w:rsidR="00DD716F" w:rsidRPr="00960BA0" w:rsidRDefault="00DD716F" w:rsidP="00955E4F">
      <w:pPr>
        <w:pStyle w:val="Level3"/>
        <w:numPr>
          <w:ilvl w:val="2"/>
          <w:numId w:val="6"/>
        </w:numPr>
        <w:rPr>
          <w:rFonts w:cs="Tahoma"/>
        </w:rPr>
      </w:pPr>
      <w:r w:rsidRPr="00960BA0">
        <w:rPr>
          <w:rFonts w:cs="Tahoma"/>
        </w:rPr>
        <w:t xml:space="preserve">A </w:t>
      </w:r>
      <w:r w:rsidR="009E7A39" w:rsidRPr="00A652F9">
        <w:rPr>
          <w:rFonts w:cs="Tahoma"/>
          <w:color w:val="000000"/>
          <w:szCs w:val="20"/>
        </w:rPr>
        <w:t>convocação das Assembleias Gerais de Debenturistas se dará mediante anúncio publicado nos termos da Cláusula 6.17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448" w:name="_DV_M389"/>
      <w:bookmarkEnd w:id="448"/>
      <w:r w:rsidRPr="00960BA0">
        <w:rPr>
          <w:rFonts w:cs="Tahoma"/>
          <w:i/>
        </w:rPr>
        <w:lastRenderedPageBreak/>
        <w:t>Quórum de Instalação</w:t>
      </w:r>
    </w:p>
    <w:p w14:paraId="3BED483F" w14:textId="77777777" w:rsidR="00DD716F" w:rsidRDefault="00DD716F" w:rsidP="00955E4F">
      <w:pPr>
        <w:pStyle w:val="Level3"/>
        <w:numPr>
          <w:ilvl w:val="2"/>
          <w:numId w:val="6"/>
        </w:numPr>
        <w:rPr>
          <w:rFonts w:cs="Tahoma"/>
        </w:rPr>
      </w:pPr>
      <w:bookmarkStart w:id="449" w:name="_DV_M390"/>
      <w:bookmarkEnd w:id="449"/>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450" w:name="_DV_M391"/>
      <w:bookmarkStart w:id="451" w:name="_DV_M392"/>
      <w:bookmarkStart w:id="452" w:name="_DV_M393"/>
      <w:bookmarkStart w:id="453" w:name="_Ref447756836"/>
      <w:bookmarkEnd w:id="450"/>
      <w:bookmarkEnd w:id="451"/>
      <w:bookmarkEnd w:id="452"/>
      <w:r w:rsidRPr="00960BA0">
        <w:rPr>
          <w:rFonts w:cs="Tahoma"/>
          <w:i/>
        </w:rPr>
        <w:t>Quórum de Deliberação</w:t>
      </w:r>
      <w:bookmarkEnd w:id="453"/>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454"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455" w:name="_Ref447758418"/>
      <w:bookmarkEnd w:id="454"/>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455"/>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lastRenderedPageBreak/>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456" w:name="_BPDC_LN_INS_1007"/>
      <w:bookmarkStart w:id="457" w:name="_BPDC_PR_INS_1008"/>
      <w:bookmarkStart w:id="458" w:name="_DV_M384"/>
      <w:bookmarkStart w:id="459" w:name="_DV_M387"/>
      <w:bookmarkStart w:id="460" w:name="_Toc261004493"/>
      <w:bookmarkEnd w:id="456"/>
      <w:bookmarkEnd w:id="457"/>
      <w:bookmarkEnd w:id="458"/>
      <w:bookmarkEnd w:id="459"/>
      <w:r w:rsidRPr="006A509E">
        <w:rPr>
          <w:rFonts w:cs="Tahoma"/>
          <w:b/>
        </w:rPr>
        <w:t>DECLARAÇÕES E GARANTIAS DA EMISSORA</w:t>
      </w:r>
      <w:bookmarkEnd w:id="460"/>
    </w:p>
    <w:p w14:paraId="280C0EF1" w14:textId="77777777" w:rsidR="00DD716F" w:rsidRPr="00960BA0" w:rsidRDefault="00DD716F" w:rsidP="00955E4F">
      <w:pPr>
        <w:pStyle w:val="Level2"/>
        <w:numPr>
          <w:ilvl w:val="1"/>
          <w:numId w:val="6"/>
        </w:numPr>
        <w:rPr>
          <w:rFonts w:eastAsia="Arial Unicode MS" w:cs="Tahoma"/>
        </w:rPr>
      </w:pPr>
      <w:bookmarkStart w:id="461" w:name="_DV_M394"/>
      <w:bookmarkEnd w:id="461"/>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 xml:space="preserve">Emissão e as obrigações aqui previstas constituem obrigações lícitas, válidas, vinculantes e eficazes da Emissora, exequíveis de acordo com os </w:t>
      </w:r>
      <w:r w:rsidRPr="00A956CE">
        <w:rPr>
          <w:rFonts w:cstheme="minorHAnsi"/>
        </w:rPr>
        <w:lastRenderedPageBreak/>
        <w:t>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lastRenderedPageBreak/>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62" w:name="_DV_M131"/>
      <w:bookmarkEnd w:id="462"/>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lastRenderedPageBreak/>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463" w:name="_DV_M402"/>
      <w:bookmarkStart w:id="464" w:name="_DV_M403"/>
      <w:bookmarkStart w:id="465" w:name="_DV_M404"/>
      <w:bookmarkStart w:id="466" w:name="_DV_M405"/>
      <w:bookmarkEnd w:id="463"/>
      <w:bookmarkEnd w:id="464"/>
      <w:bookmarkEnd w:id="465"/>
      <w:bookmarkEnd w:id="466"/>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67" w:name="_DV_C340"/>
      <w:r w:rsidRPr="00960BA0">
        <w:rPr>
          <w:rFonts w:eastAsia="Arial Unicode MS" w:cs="Tahoma"/>
        </w:rPr>
        <w:t xml:space="preserve"> da comunicação à CVM</w:t>
      </w:r>
      <w:bookmarkEnd w:id="467"/>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468" w:name="_DV_M410"/>
      <w:bookmarkEnd w:id="468"/>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469" w:name="_DV_M165"/>
      <w:bookmarkStart w:id="470" w:name="_Ref322622615"/>
      <w:bookmarkEnd w:id="469"/>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70"/>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471" w:name="_DV_M166"/>
      <w:bookmarkEnd w:id="471"/>
      <w:r w:rsidRPr="006E4ABE">
        <w:rPr>
          <w:rFonts w:eastAsia="Arial Unicode MS" w:cs="Tahoma"/>
        </w:rPr>
        <w:lastRenderedPageBreak/>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6"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472" w:name="_DV_M174"/>
      <w:bookmarkStart w:id="473" w:name="_DV_M180"/>
      <w:bookmarkEnd w:id="472"/>
      <w:bookmarkEnd w:id="473"/>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7"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021E2F76" w14:textId="7E511DC4" w:rsidR="0017670C" w:rsidRPr="0017670C" w:rsidRDefault="0017670C" w:rsidP="00F56E2D">
      <w:pPr>
        <w:pStyle w:val="Body3"/>
        <w:spacing w:after="0" w:line="240" w:lineRule="auto"/>
        <w:ind w:left="1134"/>
        <w:jc w:val="left"/>
        <w:rPr>
          <w:rFonts w:eastAsia="Arial Unicode MS" w:cs="Tahoma"/>
          <w:w w:val="0"/>
        </w:rPr>
      </w:pPr>
      <w:r>
        <w:rPr>
          <w:rFonts w:cs="Tahoma"/>
          <w:b/>
        </w:rPr>
        <w:t>Banco Bradesco S.A.</w:t>
      </w:r>
      <w:r w:rsidR="00DD716F" w:rsidRPr="00960BA0">
        <w:rPr>
          <w:rFonts w:cs="Tahoma"/>
          <w:b/>
        </w:rPr>
        <w:br/>
      </w:r>
      <w:r w:rsidRPr="0017670C">
        <w:rPr>
          <w:rFonts w:eastAsia="Arial Unicode MS" w:cs="Tahoma"/>
          <w:w w:val="0"/>
        </w:rPr>
        <w:t>Departamento de Ações e Custódia</w:t>
      </w:r>
    </w:p>
    <w:p w14:paraId="5B0F6FA6"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 xml:space="preserve">Núcleo Cidade de Deus, s/nº, Prédio Amarelo, 1º andar </w:t>
      </w:r>
    </w:p>
    <w:p w14:paraId="7A3B0C78"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Vila Yara –  Osasco – SP</w:t>
      </w:r>
    </w:p>
    <w:p w14:paraId="2D258372" w14:textId="64647AC6" w:rsidR="00DD716F" w:rsidRDefault="0017670C" w:rsidP="0017670C">
      <w:pPr>
        <w:pStyle w:val="Body3"/>
        <w:spacing w:after="0" w:line="240" w:lineRule="auto"/>
        <w:ind w:left="1134"/>
        <w:jc w:val="left"/>
        <w:rPr>
          <w:rFonts w:eastAsia="Arial Unicode MS" w:cs="Tahoma"/>
          <w:w w:val="0"/>
        </w:rPr>
      </w:pPr>
      <w:r w:rsidRPr="0017670C">
        <w:rPr>
          <w:rFonts w:eastAsia="Arial Unicode MS" w:cs="Tahoma"/>
          <w:w w:val="0"/>
        </w:rPr>
        <w:t xml:space="preserve">CEP 06029-900 </w:t>
      </w:r>
    </w:p>
    <w:p w14:paraId="59995F95" w14:textId="77777777" w:rsidR="0017670C" w:rsidRPr="00960BA0" w:rsidRDefault="0017670C" w:rsidP="00F56E2D">
      <w:pPr>
        <w:pStyle w:val="Body3"/>
        <w:spacing w:after="0" w:line="240" w:lineRule="auto"/>
        <w:ind w:left="1134"/>
        <w:jc w:val="left"/>
        <w:rPr>
          <w:rFonts w:eastAsia="Arial Unicode MS" w:cs="Tahoma"/>
          <w:w w:val="0"/>
        </w:rPr>
      </w:pP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8"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474" w:name="_DV_M182"/>
      <w:bookmarkStart w:id="475" w:name="_DV_M183"/>
      <w:bookmarkEnd w:id="474"/>
      <w:bookmarkEnd w:id="475"/>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476" w:name="_DV_M412"/>
      <w:bookmarkEnd w:id="476"/>
      <w:r w:rsidRPr="00960BA0">
        <w:rPr>
          <w:rFonts w:eastAsia="Arial Unicode MS" w:cs="Tahoma"/>
          <w:w w:val="0"/>
        </w:rPr>
        <w:lastRenderedPageBreak/>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w:t>
      </w:r>
      <w:r w:rsidRPr="00960BA0">
        <w:rPr>
          <w:rFonts w:cs="Tahoma"/>
        </w:rPr>
        <w:lastRenderedPageBreak/>
        <w:t>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477" w:name="_DV_M413"/>
      <w:bookmarkStart w:id="478" w:name="_Toc261004495"/>
      <w:bookmarkEnd w:id="477"/>
      <w:r w:rsidRPr="006A509E">
        <w:rPr>
          <w:rFonts w:cs="Tahoma"/>
          <w:b/>
        </w:rPr>
        <w:t>LEI E FORO</w:t>
      </w:r>
      <w:bookmarkEnd w:id="478"/>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479" w:name="_DV_M414"/>
      <w:bookmarkEnd w:id="479"/>
      <w:r w:rsidRPr="00960BA0">
        <w:rPr>
          <w:rFonts w:cs="Tahoma"/>
          <w:w w:val="0"/>
        </w:rPr>
        <w:t>Fica</w:t>
      </w:r>
      <w:r w:rsidRPr="00960BA0">
        <w:rPr>
          <w:rFonts w:eastAsia="Arial Unicode MS" w:cs="Tahoma"/>
          <w:w w:val="0"/>
        </w:rPr>
        <w:t xml:space="preserve"> eleito o Foro</w:t>
      </w:r>
      <w:bookmarkStart w:id="480" w:name="_DV_C683"/>
      <w:r w:rsidRPr="00960BA0">
        <w:rPr>
          <w:rFonts w:eastAsia="Arial Unicode MS" w:cs="Tahoma"/>
          <w:w w:val="0"/>
        </w:rPr>
        <w:t xml:space="preserve"> da </w:t>
      </w:r>
      <w:bookmarkStart w:id="481" w:name="_DV_M415"/>
      <w:bookmarkEnd w:id="480"/>
      <w:bookmarkEnd w:id="481"/>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482" w:name="_DV_M416"/>
      <w:bookmarkEnd w:id="482"/>
    </w:p>
    <w:p w14:paraId="4C19F0C0" w14:textId="7D5BE67E"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00670EF0">
        <w:rPr>
          <w:rFonts w:cs="Tahoma"/>
        </w:rPr>
        <w:t>[●]</w:t>
      </w:r>
      <w:r w:rsidR="007C3D02">
        <w:rPr>
          <w:rFonts w:cs="Tahoma"/>
        </w:rPr>
        <w:t> de dezembro de 2021</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7D302413" w:rsidR="00DD716F" w:rsidRPr="00960BA0" w:rsidRDefault="00DD716F" w:rsidP="00955E4F">
      <w:pPr>
        <w:pStyle w:val="Body"/>
        <w:jc w:val="center"/>
        <w:rPr>
          <w:rFonts w:eastAsia="Arial Unicode MS" w:cs="Tahoma"/>
        </w:rPr>
      </w:pPr>
      <w:r w:rsidRPr="00960BA0">
        <w:rPr>
          <w:rFonts w:eastAsia="Arial Unicode MS" w:cs="Tahoma"/>
        </w:rPr>
        <w:t xml:space="preserve">(AS ASSINATURAS SE ENCONTRAM NAS </w:t>
      </w:r>
      <w:r w:rsidR="00205DAD">
        <w:rPr>
          <w:rFonts w:eastAsia="Arial Unicode MS" w:cs="Tahoma"/>
        </w:rPr>
        <w:t>3</w:t>
      </w:r>
      <w:r w:rsidRPr="00960BA0">
        <w:rPr>
          <w:rFonts w:eastAsia="Arial Unicode MS" w:cs="Tahoma"/>
        </w:rPr>
        <w:t xml:space="preserve"> (</w:t>
      </w:r>
      <w:r w:rsidR="00F866E2">
        <w:rPr>
          <w:rFonts w:eastAsia="Arial Unicode MS" w:cs="Tahoma"/>
        </w:rPr>
        <w:t>TRÊS</w:t>
      </w:r>
      <w:r w:rsidRPr="00960BA0">
        <w:rPr>
          <w:rFonts w:eastAsia="Arial Unicode MS" w:cs="Tahoma"/>
        </w:rPr>
        <w:t>)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10031743" w:rsidR="00DD716F" w:rsidRPr="00960BA0" w:rsidRDefault="00DD716F" w:rsidP="00955E4F">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r w:rsidR="00670EF0">
        <w:rPr>
          <w:rFonts w:eastAsia="Arial Unicode MS" w:cs="Tahoma"/>
          <w:i/>
        </w:rPr>
        <w:t>o</w:t>
      </w:r>
      <w:r w:rsidR="00C750F6"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483"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04E0DEC4"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r w:rsidR="00670EF0">
        <w:rPr>
          <w:rFonts w:eastAsia="Arial Unicode MS" w:cs="Tahoma"/>
          <w:i/>
        </w:rPr>
        <w:t>o</w:t>
      </w:r>
      <w:r w:rsidR="00C750F6"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03FB8226" w14:textId="77777777" w:rsidR="006131F4"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r>
    </w:p>
    <w:p w14:paraId="763AC13A" w14:textId="77777777" w:rsidR="006131F4" w:rsidRDefault="00DD716F" w:rsidP="00955E4F">
      <w:pPr>
        <w:pStyle w:val="Body"/>
        <w:rPr>
          <w:rFonts w:cs="Tahoma"/>
          <w:color w:val="000000"/>
          <w:w w:val="0"/>
        </w:rPr>
      </w:pPr>
      <w:r w:rsidRPr="00960BA0">
        <w:rPr>
          <w:rFonts w:cs="Tahoma"/>
          <w:color w:val="000000"/>
          <w:w w:val="0"/>
        </w:rP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19ACA23C" w14:textId="62BC8B59" w:rsidR="00DD716F" w:rsidRPr="00960BA0" w:rsidRDefault="00DD716F" w:rsidP="00955E4F">
      <w:pPr>
        <w:pStyle w:val="Body"/>
        <w:rPr>
          <w:rFonts w:eastAsia="Arial Unicode MS" w:cs="Tahoma"/>
          <w:i/>
        </w:rPr>
      </w:pPr>
      <w:r w:rsidRPr="00960BA0">
        <w:rPr>
          <w:rFonts w:cs="Tahoma"/>
          <w:color w:val="000000"/>
          <w:w w:val="0"/>
        </w:rP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2677ED9D"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w:t>
      </w:r>
      <w:r w:rsidR="00670EF0">
        <w:rPr>
          <w:rFonts w:eastAsia="Arial Unicode MS" w:cs="Tahoma"/>
          <w:i/>
        </w:rPr>
        <w:t>o</w:t>
      </w:r>
      <w:r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Pr="00960BA0">
        <w:rPr>
          <w:rFonts w:eastAsia="Arial Unicode MS" w:cs="Tahoma"/>
          <w:i/>
        </w:rPr>
        <w:t xml:space="preserve">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26D6F676"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83"/>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52DF402E" w:rsidR="00084017" w:rsidRDefault="00084017" w:rsidP="00955E4F">
      <w:pPr>
        <w:spacing w:after="140" w:line="290" w:lineRule="auto"/>
        <w:jc w:val="center"/>
        <w:rPr>
          <w:rFonts w:eastAsia="Arial Unicode MS"/>
          <w:b/>
          <w:bCs/>
        </w:rPr>
      </w:pPr>
      <w:r w:rsidRPr="00E467C3">
        <w:rPr>
          <w:rFonts w:eastAsia="Arial Unicode MS"/>
          <w:b/>
          <w:bCs/>
        </w:rPr>
        <w:lastRenderedPageBreak/>
        <w:t xml:space="preserve">ANEXO I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Pr="00E467C3">
        <w:rPr>
          <w:rFonts w:eastAsia="Arial Unicode MS"/>
          <w:b/>
          <w:bCs/>
        </w:rPr>
        <w:t xml:space="preserve">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056E448" w:rsidR="00084017" w:rsidRDefault="00F73FB3" w:rsidP="00955E4F">
      <w:pPr>
        <w:spacing w:after="140" w:line="290" w:lineRule="auto"/>
        <w:jc w:val="center"/>
        <w:rPr>
          <w:rFonts w:eastAsia="Arial Unicode MS"/>
          <w:b/>
          <w:bCs/>
        </w:rPr>
      </w:pPr>
      <w:r>
        <w:rPr>
          <w:rFonts w:eastAsia="Arial Unicode MS"/>
          <w:b/>
          <w:bCs/>
        </w:rPr>
        <w:t>FIADORES AUTORIZADOS</w:t>
      </w:r>
    </w:p>
    <w:p w14:paraId="50809777" w14:textId="703F8D10" w:rsidR="0017670C" w:rsidRDefault="0017670C" w:rsidP="00955E4F">
      <w:pPr>
        <w:spacing w:after="140" w:line="290" w:lineRule="auto"/>
        <w:jc w:val="center"/>
        <w:rPr>
          <w:rFonts w:eastAsia="Arial Unicode MS"/>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5442"/>
      </w:tblGrid>
      <w:tr w:rsidR="0017670C" w14:paraId="0266CB23" w14:textId="77777777" w:rsidTr="00F56E2D">
        <w:trPr>
          <w:trHeight w:val="300"/>
          <w:jc w:val="center"/>
        </w:trPr>
        <w:tc>
          <w:tcPr>
            <w:tcW w:w="0" w:type="auto"/>
            <w:noWrap/>
            <w:tcMar>
              <w:top w:w="0" w:type="dxa"/>
              <w:left w:w="70" w:type="dxa"/>
              <w:bottom w:w="0" w:type="dxa"/>
              <w:right w:w="70" w:type="dxa"/>
            </w:tcMar>
            <w:vAlign w:val="bottom"/>
            <w:hideMark/>
          </w:tcPr>
          <w:p w14:paraId="341AC791" w14:textId="77777777" w:rsidR="0017670C" w:rsidRDefault="0017670C" w:rsidP="00F56E2D">
            <w:pPr>
              <w:rPr>
                <w:rFonts w:ascii="Calibri" w:hAnsi="Calibri"/>
                <w:color w:val="000000"/>
                <w:szCs w:val="22"/>
                <w:lang w:eastAsia="pt-BR"/>
              </w:rPr>
            </w:pPr>
            <w:r>
              <w:rPr>
                <w:color w:val="000000"/>
              </w:rPr>
              <w:t>BANCO ALFA S.A.</w:t>
            </w:r>
          </w:p>
        </w:tc>
      </w:tr>
      <w:tr w:rsidR="0017670C" w14:paraId="5849FD41" w14:textId="77777777" w:rsidTr="00F56E2D">
        <w:trPr>
          <w:trHeight w:val="300"/>
          <w:jc w:val="center"/>
        </w:trPr>
        <w:tc>
          <w:tcPr>
            <w:tcW w:w="0" w:type="auto"/>
            <w:noWrap/>
            <w:tcMar>
              <w:top w:w="0" w:type="dxa"/>
              <w:left w:w="70" w:type="dxa"/>
              <w:bottom w:w="0" w:type="dxa"/>
              <w:right w:w="70" w:type="dxa"/>
            </w:tcMar>
            <w:vAlign w:val="bottom"/>
            <w:hideMark/>
          </w:tcPr>
          <w:p w14:paraId="3C8BBFCD" w14:textId="77777777" w:rsidR="0017670C" w:rsidRDefault="0017670C" w:rsidP="00F56E2D">
            <w:pPr>
              <w:rPr>
                <w:color w:val="000000"/>
              </w:rPr>
            </w:pPr>
            <w:r>
              <w:rPr>
                <w:color w:val="000000"/>
              </w:rPr>
              <w:t>BANCO ABC BRASIL S.A.</w:t>
            </w:r>
          </w:p>
        </w:tc>
      </w:tr>
      <w:tr w:rsidR="0017670C" w14:paraId="054C8966" w14:textId="77777777" w:rsidTr="00F56E2D">
        <w:trPr>
          <w:trHeight w:val="300"/>
          <w:jc w:val="center"/>
        </w:trPr>
        <w:tc>
          <w:tcPr>
            <w:tcW w:w="0" w:type="auto"/>
            <w:noWrap/>
            <w:tcMar>
              <w:top w:w="0" w:type="dxa"/>
              <w:left w:w="70" w:type="dxa"/>
              <w:bottom w:w="0" w:type="dxa"/>
              <w:right w:w="70" w:type="dxa"/>
            </w:tcMar>
            <w:vAlign w:val="bottom"/>
            <w:hideMark/>
          </w:tcPr>
          <w:p w14:paraId="29859908" w14:textId="77777777" w:rsidR="0017670C" w:rsidRDefault="0017670C" w:rsidP="00F56E2D">
            <w:pPr>
              <w:rPr>
                <w:color w:val="000000"/>
              </w:rPr>
            </w:pPr>
            <w:r>
              <w:rPr>
                <w:color w:val="000000"/>
              </w:rPr>
              <w:t>BANCO ABN AMRO S.A.</w:t>
            </w:r>
          </w:p>
        </w:tc>
      </w:tr>
      <w:tr w:rsidR="0017670C" w14:paraId="7B86205F" w14:textId="77777777" w:rsidTr="00F56E2D">
        <w:trPr>
          <w:trHeight w:val="300"/>
          <w:jc w:val="center"/>
        </w:trPr>
        <w:tc>
          <w:tcPr>
            <w:tcW w:w="0" w:type="auto"/>
            <w:noWrap/>
            <w:tcMar>
              <w:top w:w="0" w:type="dxa"/>
              <w:left w:w="70" w:type="dxa"/>
              <w:bottom w:w="0" w:type="dxa"/>
              <w:right w:w="70" w:type="dxa"/>
            </w:tcMar>
            <w:vAlign w:val="bottom"/>
            <w:hideMark/>
          </w:tcPr>
          <w:p w14:paraId="643FB816" w14:textId="77777777" w:rsidR="0017670C" w:rsidRDefault="0017670C" w:rsidP="00F56E2D">
            <w:pPr>
              <w:rPr>
                <w:color w:val="000000"/>
              </w:rPr>
            </w:pPr>
            <w:r>
              <w:rPr>
                <w:color w:val="000000"/>
              </w:rPr>
              <w:t>BANCO BNP PARIBAS BRASIL S.A.</w:t>
            </w:r>
          </w:p>
        </w:tc>
      </w:tr>
      <w:tr w:rsidR="0017670C" w14:paraId="5E26C9C8" w14:textId="77777777" w:rsidTr="00F56E2D">
        <w:trPr>
          <w:trHeight w:val="300"/>
          <w:jc w:val="center"/>
        </w:trPr>
        <w:tc>
          <w:tcPr>
            <w:tcW w:w="0" w:type="auto"/>
            <w:noWrap/>
            <w:tcMar>
              <w:top w:w="0" w:type="dxa"/>
              <w:left w:w="70" w:type="dxa"/>
              <w:bottom w:w="0" w:type="dxa"/>
              <w:right w:w="70" w:type="dxa"/>
            </w:tcMar>
            <w:vAlign w:val="bottom"/>
            <w:hideMark/>
          </w:tcPr>
          <w:p w14:paraId="6394CA6E" w14:textId="77777777" w:rsidR="0017670C" w:rsidRDefault="0017670C" w:rsidP="00F56E2D">
            <w:pPr>
              <w:rPr>
                <w:color w:val="000000"/>
              </w:rPr>
            </w:pPr>
            <w:r>
              <w:rPr>
                <w:color w:val="000000"/>
              </w:rPr>
              <w:t>BANCO BRADESCO S.A.</w:t>
            </w:r>
          </w:p>
        </w:tc>
      </w:tr>
      <w:tr w:rsidR="0017670C" w14:paraId="5CE37B97" w14:textId="77777777" w:rsidTr="00F56E2D">
        <w:trPr>
          <w:trHeight w:val="300"/>
          <w:jc w:val="center"/>
        </w:trPr>
        <w:tc>
          <w:tcPr>
            <w:tcW w:w="0" w:type="auto"/>
            <w:noWrap/>
            <w:tcMar>
              <w:top w:w="0" w:type="dxa"/>
              <w:left w:w="70" w:type="dxa"/>
              <w:bottom w:w="0" w:type="dxa"/>
              <w:right w:w="70" w:type="dxa"/>
            </w:tcMar>
            <w:vAlign w:val="bottom"/>
            <w:hideMark/>
          </w:tcPr>
          <w:p w14:paraId="1117E61C" w14:textId="77777777" w:rsidR="0017670C" w:rsidRDefault="0017670C" w:rsidP="00F56E2D">
            <w:pPr>
              <w:rPr>
                <w:color w:val="000000"/>
              </w:rPr>
            </w:pPr>
            <w:r>
              <w:rPr>
                <w:color w:val="000000"/>
              </w:rPr>
              <w:t>BANCO BTG PACTUAL S.A.</w:t>
            </w:r>
          </w:p>
        </w:tc>
      </w:tr>
      <w:tr w:rsidR="0017670C" w14:paraId="60CDC09E" w14:textId="77777777" w:rsidTr="00F56E2D">
        <w:trPr>
          <w:trHeight w:val="300"/>
          <w:jc w:val="center"/>
        </w:trPr>
        <w:tc>
          <w:tcPr>
            <w:tcW w:w="0" w:type="auto"/>
            <w:noWrap/>
            <w:tcMar>
              <w:top w:w="0" w:type="dxa"/>
              <w:left w:w="70" w:type="dxa"/>
              <w:bottom w:w="0" w:type="dxa"/>
              <w:right w:w="70" w:type="dxa"/>
            </w:tcMar>
            <w:vAlign w:val="bottom"/>
            <w:hideMark/>
          </w:tcPr>
          <w:p w14:paraId="1E092B45" w14:textId="77777777" w:rsidR="0017670C" w:rsidRDefault="0017670C" w:rsidP="00F56E2D">
            <w:pPr>
              <w:rPr>
                <w:color w:val="000000"/>
              </w:rPr>
            </w:pPr>
            <w:r>
              <w:rPr>
                <w:color w:val="000000"/>
              </w:rPr>
              <w:t>BANCO CITIBANK S.A.</w:t>
            </w:r>
          </w:p>
        </w:tc>
      </w:tr>
      <w:tr w:rsidR="0017670C" w14:paraId="0FE6B057" w14:textId="77777777" w:rsidTr="00F56E2D">
        <w:trPr>
          <w:trHeight w:val="300"/>
          <w:jc w:val="center"/>
        </w:trPr>
        <w:tc>
          <w:tcPr>
            <w:tcW w:w="0" w:type="auto"/>
            <w:noWrap/>
            <w:tcMar>
              <w:top w:w="0" w:type="dxa"/>
              <w:left w:w="70" w:type="dxa"/>
              <w:bottom w:w="0" w:type="dxa"/>
              <w:right w:w="70" w:type="dxa"/>
            </w:tcMar>
            <w:vAlign w:val="bottom"/>
            <w:hideMark/>
          </w:tcPr>
          <w:p w14:paraId="50636356" w14:textId="77777777" w:rsidR="0017670C" w:rsidRDefault="0017670C" w:rsidP="00F56E2D">
            <w:pPr>
              <w:rPr>
                <w:color w:val="000000"/>
              </w:rPr>
            </w:pPr>
            <w:r>
              <w:rPr>
                <w:color w:val="000000"/>
              </w:rPr>
              <w:t>BANCO DO BRASIL S.A.</w:t>
            </w:r>
          </w:p>
        </w:tc>
      </w:tr>
      <w:tr w:rsidR="0017670C" w14:paraId="5FD5C3D4" w14:textId="77777777" w:rsidTr="00F56E2D">
        <w:trPr>
          <w:trHeight w:val="300"/>
          <w:jc w:val="center"/>
        </w:trPr>
        <w:tc>
          <w:tcPr>
            <w:tcW w:w="0" w:type="auto"/>
            <w:noWrap/>
            <w:tcMar>
              <w:top w:w="0" w:type="dxa"/>
              <w:left w:w="70" w:type="dxa"/>
              <w:bottom w:w="0" w:type="dxa"/>
              <w:right w:w="70" w:type="dxa"/>
            </w:tcMar>
            <w:vAlign w:val="bottom"/>
            <w:hideMark/>
          </w:tcPr>
          <w:p w14:paraId="2007A1C5" w14:textId="77777777" w:rsidR="0017670C" w:rsidRDefault="0017670C" w:rsidP="00F56E2D">
            <w:pPr>
              <w:rPr>
                <w:color w:val="000000"/>
              </w:rPr>
            </w:pPr>
            <w:r>
              <w:rPr>
                <w:color w:val="000000"/>
              </w:rPr>
              <w:t>BANCO J.P. MORGAN S.A.</w:t>
            </w:r>
          </w:p>
        </w:tc>
      </w:tr>
      <w:tr w:rsidR="0017670C" w:rsidRPr="007C3D02" w14:paraId="27D7B665" w14:textId="77777777" w:rsidTr="00F56E2D">
        <w:trPr>
          <w:trHeight w:val="300"/>
          <w:jc w:val="center"/>
        </w:trPr>
        <w:tc>
          <w:tcPr>
            <w:tcW w:w="0" w:type="auto"/>
            <w:noWrap/>
            <w:tcMar>
              <w:top w:w="0" w:type="dxa"/>
              <w:left w:w="70" w:type="dxa"/>
              <w:bottom w:w="0" w:type="dxa"/>
              <w:right w:w="70" w:type="dxa"/>
            </w:tcMar>
            <w:vAlign w:val="bottom"/>
            <w:hideMark/>
          </w:tcPr>
          <w:p w14:paraId="26C67DE0" w14:textId="2CE1C189" w:rsidR="0017670C" w:rsidRDefault="0017670C" w:rsidP="00F56E2D">
            <w:pPr>
              <w:rPr>
                <w:color w:val="000000"/>
                <w:lang w:val="en-US"/>
              </w:rPr>
            </w:pPr>
            <w:r>
              <w:rPr>
                <w:color w:val="000000"/>
                <w:lang w:val="en-US"/>
              </w:rPr>
              <w:t>BANCO MORGAN STANLEY S.A.</w:t>
            </w:r>
          </w:p>
        </w:tc>
      </w:tr>
      <w:tr w:rsidR="0017670C" w14:paraId="6C872692" w14:textId="77777777" w:rsidTr="00F56E2D">
        <w:trPr>
          <w:trHeight w:val="300"/>
          <w:jc w:val="center"/>
        </w:trPr>
        <w:tc>
          <w:tcPr>
            <w:tcW w:w="0" w:type="auto"/>
            <w:noWrap/>
            <w:tcMar>
              <w:top w:w="0" w:type="dxa"/>
              <w:left w:w="70" w:type="dxa"/>
              <w:bottom w:w="0" w:type="dxa"/>
              <w:right w:w="70" w:type="dxa"/>
            </w:tcMar>
            <w:vAlign w:val="bottom"/>
            <w:hideMark/>
          </w:tcPr>
          <w:p w14:paraId="197D0720" w14:textId="6BCA6E0C" w:rsidR="0017670C" w:rsidRDefault="0017670C" w:rsidP="00F56E2D">
            <w:pPr>
              <w:rPr>
                <w:color w:val="000000"/>
              </w:rPr>
            </w:pPr>
            <w:r>
              <w:rPr>
                <w:color w:val="000000"/>
              </w:rPr>
              <w:t>BANCO RABOBANK INTERNATIONAL BRASIL S.A.</w:t>
            </w:r>
          </w:p>
        </w:tc>
      </w:tr>
      <w:tr w:rsidR="0017670C" w14:paraId="7A3BDBE3" w14:textId="77777777" w:rsidTr="00F56E2D">
        <w:trPr>
          <w:trHeight w:val="300"/>
          <w:jc w:val="center"/>
        </w:trPr>
        <w:tc>
          <w:tcPr>
            <w:tcW w:w="0" w:type="auto"/>
            <w:noWrap/>
            <w:tcMar>
              <w:top w:w="0" w:type="dxa"/>
              <w:left w:w="70" w:type="dxa"/>
              <w:bottom w:w="0" w:type="dxa"/>
              <w:right w:w="70" w:type="dxa"/>
            </w:tcMar>
            <w:vAlign w:val="bottom"/>
            <w:hideMark/>
          </w:tcPr>
          <w:p w14:paraId="17DFA7FA" w14:textId="77777777" w:rsidR="0017670C" w:rsidRDefault="0017670C" w:rsidP="00F56E2D">
            <w:pPr>
              <w:rPr>
                <w:color w:val="000000"/>
              </w:rPr>
            </w:pPr>
            <w:r>
              <w:rPr>
                <w:color w:val="000000"/>
              </w:rPr>
              <w:t>BANCO SAFRA S.A.</w:t>
            </w:r>
          </w:p>
        </w:tc>
      </w:tr>
      <w:tr w:rsidR="0017670C" w14:paraId="03308814" w14:textId="77777777" w:rsidTr="00F56E2D">
        <w:trPr>
          <w:trHeight w:val="300"/>
          <w:jc w:val="center"/>
        </w:trPr>
        <w:tc>
          <w:tcPr>
            <w:tcW w:w="0" w:type="auto"/>
            <w:noWrap/>
            <w:tcMar>
              <w:top w:w="0" w:type="dxa"/>
              <w:left w:w="70" w:type="dxa"/>
              <w:bottom w:w="0" w:type="dxa"/>
              <w:right w:w="70" w:type="dxa"/>
            </w:tcMar>
            <w:vAlign w:val="bottom"/>
            <w:hideMark/>
          </w:tcPr>
          <w:p w14:paraId="656F8AE6" w14:textId="77777777" w:rsidR="0017670C" w:rsidRDefault="0017670C" w:rsidP="00F56E2D">
            <w:pPr>
              <w:rPr>
                <w:color w:val="000000"/>
              </w:rPr>
            </w:pPr>
            <w:r>
              <w:rPr>
                <w:color w:val="000000"/>
              </w:rPr>
              <w:t>BANCO SANTANDER (BRASIL) S.A.</w:t>
            </w:r>
          </w:p>
        </w:tc>
      </w:tr>
      <w:tr w:rsidR="0017670C" w14:paraId="1155E201" w14:textId="77777777" w:rsidTr="00F56E2D">
        <w:trPr>
          <w:trHeight w:val="300"/>
          <w:jc w:val="center"/>
        </w:trPr>
        <w:tc>
          <w:tcPr>
            <w:tcW w:w="0" w:type="auto"/>
            <w:noWrap/>
            <w:tcMar>
              <w:top w:w="0" w:type="dxa"/>
              <w:left w:w="70" w:type="dxa"/>
              <w:bottom w:w="0" w:type="dxa"/>
              <w:right w:w="70" w:type="dxa"/>
            </w:tcMar>
            <w:vAlign w:val="bottom"/>
            <w:hideMark/>
          </w:tcPr>
          <w:p w14:paraId="77E117AB" w14:textId="4FECB4ED" w:rsidR="0017670C" w:rsidRDefault="0017670C" w:rsidP="00F56E2D">
            <w:pPr>
              <w:rPr>
                <w:color w:val="000000"/>
              </w:rPr>
            </w:pPr>
            <w:r>
              <w:rPr>
                <w:color w:val="000000"/>
              </w:rPr>
              <w:t>BANCO SOCIETE GENERALE BRASIL S.A.</w:t>
            </w:r>
          </w:p>
        </w:tc>
      </w:tr>
      <w:tr w:rsidR="0017670C" w14:paraId="794AD14B" w14:textId="77777777" w:rsidTr="00F56E2D">
        <w:trPr>
          <w:trHeight w:val="300"/>
          <w:jc w:val="center"/>
        </w:trPr>
        <w:tc>
          <w:tcPr>
            <w:tcW w:w="0" w:type="auto"/>
            <w:noWrap/>
            <w:tcMar>
              <w:top w:w="0" w:type="dxa"/>
              <w:left w:w="70" w:type="dxa"/>
              <w:bottom w:w="0" w:type="dxa"/>
              <w:right w:w="70" w:type="dxa"/>
            </w:tcMar>
            <w:vAlign w:val="bottom"/>
            <w:hideMark/>
          </w:tcPr>
          <w:p w14:paraId="26CBF38B" w14:textId="46E5B799" w:rsidR="0017670C" w:rsidRDefault="0017670C" w:rsidP="00F56E2D">
            <w:pPr>
              <w:rPr>
                <w:color w:val="000000"/>
              </w:rPr>
            </w:pPr>
            <w:r>
              <w:rPr>
                <w:color w:val="000000"/>
              </w:rPr>
              <w:t>BANCO SUMITOMO MITSUI BRASILEIRO S.A.</w:t>
            </w:r>
          </w:p>
        </w:tc>
      </w:tr>
      <w:tr w:rsidR="0017670C" w14:paraId="6FACB610" w14:textId="77777777" w:rsidTr="00F56E2D">
        <w:trPr>
          <w:trHeight w:val="300"/>
          <w:jc w:val="center"/>
        </w:trPr>
        <w:tc>
          <w:tcPr>
            <w:tcW w:w="0" w:type="auto"/>
            <w:noWrap/>
            <w:tcMar>
              <w:top w:w="0" w:type="dxa"/>
              <w:left w:w="70" w:type="dxa"/>
              <w:bottom w:w="0" w:type="dxa"/>
              <w:right w:w="70" w:type="dxa"/>
            </w:tcMar>
            <w:vAlign w:val="bottom"/>
            <w:hideMark/>
          </w:tcPr>
          <w:p w14:paraId="464C141F" w14:textId="77777777" w:rsidR="0017670C" w:rsidRDefault="0017670C" w:rsidP="00F56E2D">
            <w:pPr>
              <w:rPr>
                <w:color w:val="000000"/>
              </w:rPr>
            </w:pPr>
            <w:r>
              <w:rPr>
                <w:color w:val="000000"/>
              </w:rPr>
              <w:t>BANCO VOTORANTIM S.A.</w:t>
            </w:r>
          </w:p>
        </w:tc>
      </w:tr>
      <w:tr w:rsidR="0017670C" w:rsidRPr="007C3D02" w14:paraId="2F0DF550" w14:textId="77777777" w:rsidTr="00F56E2D">
        <w:trPr>
          <w:trHeight w:val="300"/>
          <w:jc w:val="center"/>
        </w:trPr>
        <w:tc>
          <w:tcPr>
            <w:tcW w:w="0" w:type="auto"/>
            <w:noWrap/>
            <w:tcMar>
              <w:top w:w="0" w:type="dxa"/>
              <w:left w:w="70" w:type="dxa"/>
              <w:bottom w:w="0" w:type="dxa"/>
              <w:right w:w="70" w:type="dxa"/>
            </w:tcMar>
            <w:vAlign w:val="bottom"/>
            <w:hideMark/>
          </w:tcPr>
          <w:p w14:paraId="4FD1649F" w14:textId="77777777" w:rsidR="0017670C" w:rsidRDefault="0017670C" w:rsidP="00F56E2D">
            <w:pPr>
              <w:rPr>
                <w:color w:val="000000"/>
                <w:lang w:val="en-US"/>
              </w:rPr>
            </w:pPr>
            <w:r>
              <w:rPr>
                <w:color w:val="000000"/>
                <w:lang w:val="en-US"/>
              </w:rPr>
              <w:t>BANK OF AMERICA MERRILL LYNCH BANCO MÚLTIPLO S.A.</w:t>
            </w:r>
          </w:p>
        </w:tc>
      </w:tr>
      <w:tr w:rsidR="0017670C" w14:paraId="2DCCAAB8" w14:textId="77777777" w:rsidTr="00F56E2D">
        <w:trPr>
          <w:trHeight w:val="300"/>
          <w:jc w:val="center"/>
        </w:trPr>
        <w:tc>
          <w:tcPr>
            <w:tcW w:w="0" w:type="auto"/>
            <w:noWrap/>
            <w:tcMar>
              <w:top w:w="0" w:type="dxa"/>
              <w:left w:w="70" w:type="dxa"/>
              <w:bottom w:w="0" w:type="dxa"/>
              <w:right w:w="70" w:type="dxa"/>
            </w:tcMar>
            <w:vAlign w:val="bottom"/>
            <w:hideMark/>
          </w:tcPr>
          <w:p w14:paraId="4588D7D4" w14:textId="77777777" w:rsidR="0017670C" w:rsidRDefault="0017670C" w:rsidP="00F56E2D">
            <w:pPr>
              <w:rPr>
                <w:color w:val="000000"/>
              </w:rPr>
            </w:pPr>
            <w:r>
              <w:rPr>
                <w:color w:val="000000"/>
              </w:rPr>
              <w:t>DEUTSCHE BANK S.A. – BANCO ALEMAO</w:t>
            </w:r>
          </w:p>
        </w:tc>
      </w:tr>
      <w:tr w:rsidR="0017670C" w14:paraId="5E9E9AE8" w14:textId="77777777" w:rsidTr="00F56E2D">
        <w:trPr>
          <w:trHeight w:val="300"/>
          <w:jc w:val="center"/>
        </w:trPr>
        <w:tc>
          <w:tcPr>
            <w:tcW w:w="0" w:type="auto"/>
            <w:noWrap/>
            <w:tcMar>
              <w:top w:w="0" w:type="dxa"/>
              <w:left w:w="70" w:type="dxa"/>
              <w:bottom w:w="0" w:type="dxa"/>
              <w:right w:w="70" w:type="dxa"/>
            </w:tcMar>
            <w:vAlign w:val="bottom"/>
            <w:hideMark/>
          </w:tcPr>
          <w:p w14:paraId="1FBE325B" w14:textId="75C137B4" w:rsidR="0017670C" w:rsidRDefault="0017670C" w:rsidP="00F56E2D">
            <w:pPr>
              <w:rPr>
                <w:color w:val="000000"/>
              </w:rPr>
            </w:pPr>
            <w:r>
              <w:rPr>
                <w:color w:val="000000"/>
              </w:rPr>
              <w:t>GOLDMAN SACHS DO BRASIL BANCO MULTIPLO S.A.</w:t>
            </w:r>
          </w:p>
        </w:tc>
      </w:tr>
      <w:tr w:rsidR="0017670C" w14:paraId="593536F4" w14:textId="77777777" w:rsidTr="00F56E2D">
        <w:trPr>
          <w:trHeight w:val="300"/>
          <w:jc w:val="center"/>
        </w:trPr>
        <w:tc>
          <w:tcPr>
            <w:tcW w:w="0" w:type="auto"/>
            <w:noWrap/>
            <w:tcMar>
              <w:top w:w="0" w:type="dxa"/>
              <w:left w:w="70" w:type="dxa"/>
              <w:bottom w:w="0" w:type="dxa"/>
              <w:right w:w="70" w:type="dxa"/>
            </w:tcMar>
            <w:vAlign w:val="bottom"/>
            <w:hideMark/>
          </w:tcPr>
          <w:p w14:paraId="05A9ABEC" w14:textId="77777777" w:rsidR="0017670C" w:rsidRDefault="0017670C" w:rsidP="00F56E2D">
            <w:pPr>
              <w:rPr>
                <w:color w:val="000000"/>
              </w:rPr>
            </w:pPr>
            <w:r>
              <w:rPr>
                <w:color w:val="000000"/>
              </w:rPr>
              <w:t>HAITONG BANCO DE INVESTIMENTO DO BRASIL S.A.</w:t>
            </w:r>
          </w:p>
        </w:tc>
      </w:tr>
      <w:tr w:rsidR="0017670C" w14:paraId="703A7F6E" w14:textId="77777777" w:rsidTr="00F56E2D">
        <w:trPr>
          <w:trHeight w:val="300"/>
          <w:jc w:val="center"/>
        </w:trPr>
        <w:tc>
          <w:tcPr>
            <w:tcW w:w="0" w:type="auto"/>
            <w:noWrap/>
            <w:tcMar>
              <w:top w:w="0" w:type="dxa"/>
              <w:left w:w="70" w:type="dxa"/>
              <w:bottom w:w="0" w:type="dxa"/>
              <w:right w:w="70" w:type="dxa"/>
            </w:tcMar>
            <w:vAlign w:val="bottom"/>
            <w:hideMark/>
          </w:tcPr>
          <w:p w14:paraId="698A0DA6" w14:textId="77777777" w:rsidR="0017670C" w:rsidRDefault="0017670C" w:rsidP="00F56E2D">
            <w:pPr>
              <w:rPr>
                <w:color w:val="000000"/>
              </w:rPr>
            </w:pPr>
            <w:r>
              <w:rPr>
                <w:color w:val="000000"/>
              </w:rPr>
              <w:t>ING BANK N.V.</w:t>
            </w:r>
          </w:p>
        </w:tc>
      </w:tr>
      <w:tr w:rsidR="0017670C" w14:paraId="61721C24" w14:textId="77777777" w:rsidTr="00F56E2D">
        <w:trPr>
          <w:trHeight w:val="300"/>
          <w:jc w:val="center"/>
        </w:trPr>
        <w:tc>
          <w:tcPr>
            <w:tcW w:w="0" w:type="auto"/>
            <w:noWrap/>
            <w:tcMar>
              <w:top w:w="0" w:type="dxa"/>
              <w:left w:w="70" w:type="dxa"/>
              <w:bottom w:w="0" w:type="dxa"/>
              <w:right w:w="70" w:type="dxa"/>
            </w:tcMar>
            <w:vAlign w:val="bottom"/>
            <w:hideMark/>
          </w:tcPr>
          <w:p w14:paraId="0F378EE8" w14:textId="77777777" w:rsidR="0017670C" w:rsidRDefault="0017670C" w:rsidP="00F56E2D">
            <w:pPr>
              <w:rPr>
                <w:color w:val="000000"/>
              </w:rPr>
            </w:pPr>
            <w:r>
              <w:rPr>
                <w:color w:val="000000"/>
              </w:rPr>
              <w:t>ITAÚ UNIBANCO S.A.</w:t>
            </w:r>
          </w:p>
        </w:tc>
      </w:tr>
      <w:tr w:rsidR="0017670C" w14:paraId="4F16FF33" w14:textId="77777777" w:rsidTr="00F56E2D">
        <w:trPr>
          <w:trHeight w:val="300"/>
          <w:jc w:val="center"/>
        </w:trPr>
        <w:tc>
          <w:tcPr>
            <w:tcW w:w="0" w:type="auto"/>
            <w:noWrap/>
            <w:tcMar>
              <w:top w:w="0" w:type="dxa"/>
              <w:left w:w="70" w:type="dxa"/>
              <w:bottom w:w="0" w:type="dxa"/>
              <w:right w:w="70" w:type="dxa"/>
            </w:tcMar>
            <w:vAlign w:val="bottom"/>
            <w:hideMark/>
          </w:tcPr>
          <w:p w14:paraId="71AE8451" w14:textId="1082ED67" w:rsidR="0017670C" w:rsidRDefault="0017670C" w:rsidP="00F56E2D">
            <w:pPr>
              <w:rPr>
                <w:color w:val="000000"/>
              </w:rPr>
            </w:pPr>
            <w:r>
              <w:rPr>
                <w:color w:val="000000"/>
              </w:rPr>
              <w:t>SCOTIABANK BRASIL S.A. BANCO MÚLTIPLO</w:t>
            </w:r>
          </w:p>
        </w:tc>
      </w:tr>
    </w:tbl>
    <w:p w14:paraId="5113A10A" w14:textId="77777777" w:rsidR="0017670C" w:rsidRDefault="0017670C" w:rsidP="00955E4F">
      <w:pPr>
        <w:spacing w:after="140" w:line="290" w:lineRule="auto"/>
        <w:jc w:val="center"/>
        <w:rPr>
          <w:rFonts w:eastAsia="Arial Unicode MS"/>
          <w:b/>
          <w:bCs/>
        </w:rPr>
      </w:pP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27C7D302" w:rsidR="00E97722" w:rsidRDefault="00E97722" w:rsidP="00955E4F">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w:t>
      </w:r>
      <w:r w:rsidRPr="00E467C3">
        <w:rPr>
          <w:rFonts w:eastAsia="Arial Unicode MS"/>
          <w:b/>
          <w:bCs/>
        </w:rPr>
        <w:t xml:space="preserve">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00670EF0" w:rsidRPr="00E467C3">
        <w:rPr>
          <w:rFonts w:eastAsia="Arial Unicode MS"/>
          <w:b/>
          <w:bCs/>
        </w:rPr>
        <w:t xml:space="preserve"> </w:t>
      </w:r>
      <w:r w:rsidRPr="00E467C3">
        <w:rPr>
          <w:rFonts w:eastAsia="Arial Unicode MS"/>
          <w:b/>
          <w:bCs/>
        </w:rPr>
        <w:t>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F40AF4">
      <w:pPr>
        <w:rPr>
          <w:rFonts w:eastAsia="Arial Unicode MS"/>
        </w:rPr>
      </w:pPr>
    </w:p>
    <w:p w14:paraId="012EC8A5" w14:textId="1DC04F13" w:rsidR="00E27C15" w:rsidRDefault="00E27C15" w:rsidP="00F40AF4">
      <w:pPr>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r w:rsidR="00DD61FA">
        <w:rPr>
          <w:rFonts w:cs="Tahoma"/>
        </w:rPr>
        <w:t>Echoenergia Participações S.A.</w:t>
      </w:r>
      <w:r w:rsidR="00670EF0">
        <w:rPr>
          <w:rFonts w:cs="Tahoma"/>
        </w:rPr>
        <w:t>, conforme aditada de tempos em tempos </w:t>
      </w:r>
      <w:r w:rsidR="00F40AF4">
        <w:rPr>
          <w:rFonts w:cs="Tahoma"/>
        </w:rPr>
        <w:t>(“</w:t>
      </w:r>
      <w:r w:rsidR="00F40AF4">
        <w:rPr>
          <w:rFonts w:cs="Tahoma"/>
          <w:b/>
          <w:bCs/>
        </w:rPr>
        <w:t>ESCRITURA</w:t>
      </w:r>
      <w:r w:rsidR="00F40AF4">
        <w:rPr>
          <w:rFonts w:cs="Tahoma"/>
        </w:rPr>
        <w:t>”)</w:t>
      </w:r>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6034DAAA" w14:textId="77777777" w:rsidR="00F40AF4" w:rsidRPr="00E27C15" w:rsidRDefault="00F40AF4" w:rsidP="00F40AF4">
      <w:pPr>
        <w:jc w:val="both"/>
        <w:rPr>
          <w:rFonts w:eastAsia="Arial Unicode MS"/>
        </w:rPr>
      </w:pPr>
    </w:p>
    <w:p w14:paraId="3637F0AF" w14:textId="0DFCE243" w:rsidR="00E27C15" w:rsidRDefault="00E27C15"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3980CA54" w14:textId="77777777" w:rsidR="00F40AF4" w:rsidRPr="00E27C15" w:rsidRDefault="00F40AF4" w:rsidP="00F40AF4">
      <w:pPr>
        <w:jc w:val="both"/>
        <w:rPr>
          <w:rFonts w:eastAsia="Arial Unicode MS"/>
        </w:rPr>
      </w:pPr>
    </w:p>
    <w:p w14:paraId="2F033BCF" w14:textId="1CDED5E1" w:rsidR="00E27C15" w:rsidRDefault="00E27C15"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2BBFD8A7" w14:textId="77777777" w:rsidR="00F40AF4" w:rsidRPr="00E27C15" w:rsidRDefault="00F40AF4" w:rsidP="00F40AF4">
      <w:pPr>
        <w:jc w:val="both"/>
        <w:rPr>
          <w:rFonts w:eastAsia="Arial Unicode MS"/>
        </w:rPr>
      </w:pPr>
    </w:p>
    <w:p w14:paraId="4A9E906E" w14:textId="79E7562E" w:rsidR="00E27C15" w:rsidRDefault="00E27C15"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3AE228E8" w14:textId="77777777" w:rsidR="00F40AF4" w:rsidRPr="00E27C15" w:rsidRDefault="00F40AF4" w:rsidP="00F40AF4">
      <w:pPr>
        <w:jc w:val="both"/>
        <w:rPr>
          <w:rFonts w:eastAsia="Arial Unicode MS"/>
        </w:rPr>
      </w:pPr>
    </w:p>
    <w:p w14:paraId="671AF150" w14:textId="11483269" w:rsidR="00E27C15" w:rsidRDefault="00E27C15"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19C2AFBA" w14:textId="77777777" w:rsidR="00F40AF4" w:rsidRPr="00E27C15" w:rsidRDefault="00F40AF4" w:rsidP="00F40AF4">
      <w:pPr>
        <w:jc w:val="both"/>
        <w:rPr>
          <w:rFonts w:eastAsia="Arial Unicode MS"/>
        </w:rPr>
      </w:pPr>
    </w:p>
    <w:p w14:paraId="4ECA7004" w14:textId="5CDC3448" w:rsidR="00E27C15" w:rsidRDefault="00E27C15" w:rsidP="00F40AF4">
      <w:pPr>
        <w:jc w:val="both"/>
        <w:rPr>
          <w:rFonts w:eastAsia="Arial Unicode MS"/>
        </w:rPr>
      </w:pPr>
      <w:r w:rsidRPr="00E27C15">
        <w:rPr>
          <w:rFonts w:eastAsia="Arial Unicode MS"/>
        </w:rPr>
        <w:lastRenderedPageBreak/>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06CE9377" w14:textId="77777777" w:rsidR="00F40AF4" w:rsidRPr="00E27C15" w:rsidRDefault="00F40AF4" w:rsidP="00F40AF4">
      <w:pPr>
        <w:jc w:val="both"/>
        <w:rPr>
          <w:rFonts w:eastAsia="Arial Unicode MS"/>
        </w:rPr>
      </w:pPr>
    </w:p>
    <w:p w14:paraId="035602D0" w14:textId="3DFBDF86" w:rsidR="00FE32DB" w:rsidRDefault="0017670C" w:rsidP="00F40AF4">
      <w:pPr>
        <w:pStyle w:val="Level2"/>
        <w:numPr>
          <w:ilvl w:val="0"/>
          <w:numId w:val="0"/>
        </w:numPr>
        <w:spacing w:after="0" w:line="240" w:lineRule="auto"/>
        <w:rPr>
          <w:rFonts w:eastAsia="Arial Unicode MS" w:cs="Tahoma"/>
          <w:w w:val="0"/>
        </w:rPr>
      </w:pPr>
      <w:r>
        <w:rPr>
          <w:rFonts w:eastAsia="Arial Unicode MS"/>
        </w:rPr>
        <w:t>[</w:t>
      </w:r>
      <w:r w:rsidR="00E27C15" w:rsidRPr="00F56E2D">
        <w:rPr>
          <w:rFonts w:eastAsia="Arial Unicode MS"/>
          <w:highlight w:val="lightGray"/>
        </w:rPr>
        <w:t>7.</w:t>
      </w:r>
      <w:r w:rsidR="00E27C15" w:rsidRPr="00F56E2D">
        <w:rPr>
          <w:rFonts w:eastAsia="Arial Unicode MS"/>
          <w:highlight w:val="lightGray"/>
        </w:rPr>
        <w:tab/>
      </w:r>
      <w:r w:rsidR="00BD3DB0" w:rsidRPr="00F56E2D">
        <w:rPr>
          <w:rFonts w:cs="Tahoma"/>
          <w:w w:val="0"/>
          <w:highlight w:val="lightGray"/>
        </w:rPr>
        <w:t>Fica</w:t>
      </w:r>
      <w:r w:rsidR="00BD3DB0" w:rsidRPr="00F56E2D">
        <w:rPr>
          <w:rFonts w:eastAsia="Arial Unicode MS" w:cs="Tahoma"/>
          <w:w w:val="0"/>
          <w:highlight w:val="lightGray"/>
        </w:rPr>
        <w:t xml:space="preserve"> eleito o Foro da Comarca da Capital do Estado de São Paulo para </w:t>
      </w:r>
      <w:r w:rsidR="00BD3DB0" w:rsidRPr="00F56E2D">
        <w:rPr>
          <w:rFonts w:cs="Tahoma"/>
          <w:highlight w:val="lightGray"/>
        </w:rPr>
        <w:t>dirimir</w:t>
      </w:r>
      <w:r w:rsidR="00BD3DB0" w:rsidRPr="00F56E2D">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r w:rsidR="00FE32DB">
        <w:rPr>
          <w:rFonts w:eastAsia="Arial Unicode MS" w:cs="Tahoma"/>
          <w:w w:val="0"/>
        </w:rPr>
        <w:t xml:space="preserve"> </w:t>
      </w:r>
    </w:p>
    <w:p w14:paraId="02BAE05D" w14:textId="77777777" w:rsidR="00F40AF4" w:rsidRDefault="00F40AF4" w:rsidP="00F40AF4">
      <w:pPr>
        <w:pStyle w:val="Level2"/>
        <w:numPr>
          <w:ilvl w:val="0"/>
          <w:numId w:val="0"/>
        </w:numPr>
        <w:spacing w:after="0" w:line="240" w:lineRule="auto"/>
        <w:rPr>
          <w:rFonts w:eastAsia="Arial Unicode MS" w:cs="Tahoma"/>
          <w:w w:val="0"/>
        </w:rPr>
      </w:pPr>
    </w:p>
    <w:p w14:paraId="27B67452" w14:textId="563E0A9A" w:rsidR="0017670C"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2529A658" w14:textId="77777777" w:rsidR="00F40AF4" w:rsidRDefault="00F40AF4" w:rsidP="00F40AF4">
      <w:pPr>
        <w:pStyle w:val="Level2"/>
        <w:numPr>
          <w:ilvl w:val="0"/>
          <w:numId w:val="0"/>
        </w:numPr>
        <w:spacing w:after="0" w:line="240" w:lineRule="auto"/>
        <w:rPr>
          <w:rFonts w:eastAsia="Arial Unicode MS" w:cs="Tahoma"/>
          <w:w w:val="0"/>
        </w:rPr>
      </w:pPr>
    </w:p>
    <w:p w14:paraId="4DB4DCAE" w14:textId="49DF33C4" w:rsidR="00E27C15" w:rsidRDefault="0017670C" w:rsidP="00F40AF4">
      <w:pPr>
        <w:pStyle w:val="Level2"/>
        <w:numPr>
          <w:ilvl w:val="0"/>
          <w:numId w:val="0"/>
        </w:numPr>
        <w:spacing w:after="0" w:line="240" w:lineRule="auto"/>
        <w:rPr>
          <w:rFonts w:eastAsia="Arial Unicode MS"/>
          <w:highlight w:val="lightGray"/>
        </w:rPr>
      </w:pPr>
      <w:r>
        <w:rPr>
          <w:rFonts w:eastAsia="Arial Unicode MS"/>
        </w:rPr>
        <w:t>[</w:t>
      </w:r>
      <w:r w:rsidRPr="00F56E2D">
        <w:rPr>
          <w:rFonts w:eastAsia="Arial Unicode MS"/>
          <w:highlight w:val="lightGray"/>
        </w:rPr>
        <w:t>7.</w:t>
      </w:r>
      <w:r w:rsidRPr="00F56E2D">
        <w:rPr>
          <w:rFonts w:eastAsia="Arial Unicode MS"/>
          <w:highlight w:val="lightGray"/>
        </w:rPr>
        <w:tab/>
      </w:r>
      <w:r w:rsidR="00E27C15" w:rsidRPr="00F56E2D">
        <w:rPr>
          <w:rFonts w:eastAsia="Arial Unicode MS"/>
          <w:highlight w:val="lightGray"/>
        </w:rPr>
        <w:t xml:space="preserve">Fica convencionado que toda e qualquer </w:t>
      </w:r>
      <w:r w:rsidR="00DD61FA" w:rsidRPr="00F56E2D">
        <w:rPr>
          <w:rFonts w:eastAsia="Arial Unicode MS"/>
          <w:highlight w:val="lightGray"/>
        </w:rPr>
        <w:t>c</w:t>
      </w:r>
      <w:r w:rsidR="00E27C15" w:rsidRPr="00F56E2D">
        <w:rPr>
          <w:rFonts w:eastAsia="Arial Unicode MS"/>
          <w:highlight w:val="lightGray"/>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F56E2D">
        <w:rPr>
          <w:rFonts w:eastAsia="Arial Unicode MS"/>
          <w:b/>
          <w:bCs/>
          <w:highlight w:val="lightGray"/>
        </w:rPr>
        <w:t>TRIBUNAL ARBITRAL</w:t>
      </w:r>
      <w:r w:rsidR="00E27C15" w:rsidRPr="00F56E2D">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F56E2D">
        <w:rPr>
          <w:rFonts w:eastAsia="Arial Unicode MS"/>
          <w:b/>
          <w:bCs/>
          <w:highlight w:val="lightGray"/>
        </w:rPr>
        <w:t xml:space="preserve">TRIBUNAL ARBITRAL </w:t>
      </w:r>
      <w:r w:rsidR="00E27C15" w:rsidRPr="00F56E2D">
        <w:rPr>
          <w:rFonts w:eastAsia="Arial Unicode MS"/>
          <w:highlight w:val="lightGray"/>
        </w:rPr>
        <w:t xml:space="preserve">deverá aplicar primeiro as disposições desta </w:t>
      </w:r>
      <w:r w:rsidR="00E27C15" w:rsidRPr="00F56E2D">
        <w:rPr>
          <w:rFonts w:eastAsia="Arial Unicode MS"/>
          <w:b/>
          <w:bCs/>
          <w:highlight w:val="lightGray"/>
        </w:rPr>
        <w:t>FIANÇA</w:t>
      </w:r>
      <w:r w:rsidR="00E27C15" w:rsidRPr="00F56E2D">
        <w:rPr>
          <w:rFonts w:eastAsia="Arial Unicode MS"/>
          <w:highlight w:val="lightGray"/>
        </w:rPr>
        <w:t xml:space="preserve"> e, na omissão, o disposto na legislação brasileira. </w:t>
      </w:r>
    </w:p>
    <w:p w14:paraId="12D1D014" w14:textId="77777777" w:rsidR="00F40AF4" w:rsidRPr="00F56E2D" w:rsidRDefault="00F40AF4" w:rsidP="00F40AF4">
      <w:pPr>
        <w:pStyle w:val="Level2"/>
        <w:numPr>
          <w:ilvl w:val="0"/>
          <w:numId w:val="0"/>
        </w:numPr>
        <w:spacing w:after="0" w:line="240" w:lineRule="auto"/>
        <w:rPr>
          <w:rFonts w:eastAsia="Arial Unicode MS" w:cs="Tahoma"/>
          <w:w w:val="0"/>
          <w:highlight w:val="lightGray"/>
        </w:rPr>
      </w:pPr>
    </w:p>
    <w:p w14:paraId="6C326060" w14:textId="16285BFF" w:rsidR="00E27C15" w:rsidRDefault="00E27C15" w:rsidP="00F40AF4">
      <w:pPr>
        <w:jc w:val="both"/>
        <w:rPr>
          <w:rFonts w:eastAsia="Arial Unicode MS"/>
          <w:highlight w:val="lightGray"/>
        </w:rPr>
      </w:pPr>
      <w:r w:rsidRPr="00F56E2D">
        <w:rPr>
          <w:rFonts w:eastAsia="Arial Unicode MS"/>
          <w:highlight w:val="lightGray"/>
        </w:rPr>
        <w:t>7.1</w:t>
      </w:r>
      <w:r w:rsidRPr="00F56E2D">
        <w:rPr>
          <w:rFonts w:eastAsia="Arial Unicode MS"/>
          <w:highlight w:val="lightGray"/>
        </w:rPr>
        <w:tab/>
        <w:t xml:space="preserve">A parte interessada notificará a Câmara sobre sua intenção de começar a arbitragem, conforme as normas do Regulamento. </w:t>
      </w:r>
    </w:p>
    <w:p w14:paraId="255DF91D" w14:textId="77777777" w:rsidR="00F40AF4" w:rsidRPr="00F56E2D" w:rsidRDefault="00F40AF4" w:rsidP="00F40AF4">
      <w:pPr>
        <w:jc w:val="both"/>
        <w:rPr>
          <w:rFonts w:eastAsia="Arial Unicode MS"/>
          <w:highlight w:val="lightGray"/>
        </w:rPr>
      </w:pPr>
    </w:p>
    <w:p w14:paraId="47EBB5FB" w14:textId="212A9F36" w:rsidR="00E27C15" w:rsidRDefault="00E27C15" w:rsidP="00F40AF4">
      <w:pPr>
        <w:jc w:val="both"/>
        <w:rPr>
          <w:rFonts w:eastAsia="Arial Unicode MS"/>
          <w:highlight w:val="lightGray"/>
        </w:rPr>
      </w:pPr>
      <w:r w:rsidRPr="00F56E2D">
        <w:rPr>
          <w:rFonts w:eastAsia="Arial Unicode MS"/>
          <w:highlight w:val="lightGray"/>
        </w:rPr>
        <w:t>7.2</w:t>
      </w:r>
      <w:r w:rsidRPr="00F56E2D">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7B2A8DA4" w14:textId="77777777" w:rsidR="00F40AF4" w:rsidRPr="00F56E2D" w:rsidRDefault="00F40AF4" w:rsidP="00F40AF4">
      <w:pPr>
        <w:jc w:val="both"/>
        <w:rPr>
          <w:rFonts w:eastAsia="Arial Unicode MS"/>
          <w:highlight w:val="lightGray"/>
        </w:rPr>
      </w:pPr>
    </w:p>
    <w:p w14:paraId="006EBEFD" w14:textId="2A88C12B" w:rsidR="00E27C15" w:rsidRDefault="00E27C15" w:rsidP="00F40AF4">
      <w:pPr>
        <w:jc w:val="both"/>
        <w:rPr>
          <w:rFonts w:eastAsia="Arial Unicode MS"/>
          <w:highlight w:val="lightGray"/>
        </w:rPr>
      </w:pPr>
      <w:r w:rsidRPr="00F56E2D">
        <w:rPr>
          <w:rFonts w:eastAsia="Arial Unicode MS"/>
          <w:highlight w:val="lightGray"/>
        </w:rPr>
        <w:t>7.3</w:t>
      </w:r>
      <w:r w:rsidRPr="00F56E2D">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5B675A5F" w14:textId="77777777" w:rsidR="00F40AF4" w:rsidRPr="00F56E2D" w:rsidRDefault="00F40AF4" w:rsidP="00F40AF4">
      <w:pPr>
        <w:jc w:val="both"/>
        <w:rPr>
          <w:rFonts w:eastAsia="Arial Unicode MS"/>
          <w:highlight w:val="lightGray"/>
        </w:rPr>
      </w:pPr>
    </w:p>
    <w:p w14:paraId="58795BFE" w14:textId="2702E0DB" w:rsidR="00E27C15" w:rsidRDefault="00E27C15" w:rsidP="00F40AF4">
      <w:pPr>
        <w:jc w:val="both"/>
        <w:rPr>
          <w:rFonts w:eastAsia="Arial Unicode MS"/>
        </w:rPr>
      </w:pPr>
      <w:r w:rsidRPr="00F56E2D">
        <w:rPr>
          <w:rFonts w:eastAsia="Arial Unicode MS"/>
          <w:highlight w:val="lightGray"/>
        </w:rPr>
        <w:t>7.4</w:t>
      </w:r>
      <w:r w:rsidRPr="00F56E2D">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2"/>
      </w:r>
    </w:p>
    <w:p w14:paraId="3478EC14" w14:textId="77777777" w:rsidR="00F40AF4" w:rsidRPr="00E27C15" w:rsidRDefault="00F40AF4" w:rsidP="00F40AF4">
      <w:pPr>
        <w:jc w:val="both"/>
        <w:rPr>
          <w:rFonts w:eastAsia="Arial Unicode MS"/>
        </w:rPr>
      </w:pPr>
    </w:p>
    <w:p w14:paraId="03A1E29F" w14:textId="3BBA637C" w:rsidR="00E27C15" w:rsidRPr="00E27C15" w:rsidRDefault="00E27C15" w:rsidP="00F40AF4">
      <w:pPr>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F40AF4">
      <w:pPr>
        <w:rPr>
          <w:rFonts w:eastAsia="Arial Unicode MS"/>
        </w:rPr>
      </w:pPr>
    </w:p>
    <w:p w14:paraId="6630050A" w14:textId="77777777" w:rsidR="00E27C15" w:rsidRPr="00E27C15" w:rsidRDefault="00E27C15" w:rsidP="00F40AF4">
      <w:pPr>
        <w:rPr>
          <w:rFonts w:eastAsia="Arial Unicode MS"/>
        </w:rPr>
      </w:pPr>
      <w:r w:rsidRPr="00E27C15">
        <w:rPr>
          <w:rFonts w:eastAsia="Arial Unicode MS"/>
        </w:rPr>
        <w:t>[FIADOR]</w:t>
      </w:r>
    </w:p>
    <w:p w14:paraId="5B3E3E2D" w14:textId="77777777" w:rsidR="00E27C15" w:rsidRPr="00E27C15" w:rsidRDefault="00E27C15" w:rsidP="00F40AF4">
      <w:pPr>
        <w:rPr>
          <w:rFonts w:eastAsia="Arial Unicode MS"/>
        </w:rPr>
      </w:pPr>
    </w:p>
    <w:p w14:paraId="7DE4339D" w14:textId="42190415" w:rsidR="00E27C15" w:rsidRPr="00E27C15" w:rsidRDefault="00E27C15"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70B57F7C" w14:textId="77777777" w:rsidR="00E27C15" w:rsidRPr="00E27C15" w:rsidRDefault="00E27C15"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5436E74D" w:rsidR="00E97722" w:rsidRDefault="00E97722" w:rsidP="00F40AF4">
      <w:pPr>
        <w:jc w:val="center"/>
        <w:rPr>
          <w:rFonts w:eastAsia="Arial Unicode MS"/>
          <w:b/>
          <w:bCs/>
        </w:rPr>
      </w:pPr>
      <w:r w:rsidRPr="00E467C3">
        <w:rPr>
          <w:rFonts w:eastAsia="Arial Unicode MS"/>
          <w:b/>
          <w:bCs/>
        </w:rPr>
        <w:lastRenderedPageBreak/>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00670EF0" w:rsidRPr="00E467C3">
        <w:rPr>
          <w:rFonts w:eastAsia="Arial Unicode MS"/>
          <w:b/>
          <w:bCs/>
        </w:rPr>
        <w:t xml:space="preserve"> </w:t>
      </w:r>
      <w:r w:rsidRPr="00E467C3">
        <w:rPr>
          <w:rFonts w:eastAsia="Arial Unicode MS"/>
          <w:b/>
          <w:bCs/>
        </w:rPr>
        <w:t>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F40AF4">
      <w:pPr>
        <w:jc w:val="center"/>
        <w:rPr>
          <w:rFonts w:eastAsia="Arial Unicode MS"/>
          <w:b/>
          <w:bCs/>
        </w:rPr>
      </w:pPr>
    </w:p>
    <w:p w14:paraId="3744DBC2" w14:textId="77777777" w:rsidR="00E97722" w:rsidRDefault="00E97722" w:rsidP="00F40AF4">
      <w:pPr>
        <w:jc w:val="center"/>
        <w:rPr>
          <w:rFonts w:eastAsia="Arial Unicode MS"/>
          <w:b/>
          <w:bCs/>
        </w:rPr>
      </w:pPr>
      <w:r>
        <w:rPr>
          <w:rFonts w:eastAsia="Arial Unicode MS"/>
          <w:b/>
          <w:bCs/>
        </w:rPr>
        <w:t>MODELO DE CARTA DE FIANÇA ICSD</w:t>
      </w:r>
    </w:p>
    <w:p w14:paraId="710B6DCD" w14:textId="77777777" w:rsidR="00DD61FA" w:rsidRPr="00E27C15" w:rsidRDefault="00DD61FA" w:rsidP="00F40AF4">
      <w:pPr>
        <w:rPr>
          <w:rFonts w:eastAsia="Arial Unicode MS"/>
        </w:rPr>
      </w:pPr>
    </w:p>
    <w:p w14:paraId="5E8049E2" w14:textId="77777777" w:rsidR="00DD61FA" w:rsidRPr="00E27C15" w:rsidRDefault="00DD61FA"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F40AF4">
      <w:pPr>
        <w:rPr>
          <w:rFonts w:eastAsia="Arial Unicode MS"/>
        </w:rPr>
      </w:pPr>
    </w:p>
    <w:p w14:paraId="495C41F3" w14:textId="59DF549D" w:rsidR="00DD61FA" w:rsidRDefault="00DD61FA" w:rsidP="00F40AF4">
      <w:pPr>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r w:rsidR="00670EF0">
        <w:rPr>
          <w:rFonts w:cs="Tahoma"/>
        </w:rPr>
        <w:t>, conforme aditada de tempos em tempos </w:t>
      </w:r>
      <w:r w:rsidR="00F40AF4">
        <w:rPr>
          <w:rFonts w:cs="Tahoma"/>
        </w:rPr>
        <w:t>(“</w:t>
      </w:r>
      <w:r w:rsidR="00F40AF4" w:rsidRPr="00F40AF4">
        <w:rPr>
          <w:rFonts w:cs="Tahoma"/>
          <w:b/>
        </w:rPr>
        <w:t>ESCRITURA</w:t>
      </w:r>
      <w:r w:rsidR="00F40AF4">
        <w:rPr>
          <w:rFonts w:cs="Tahoma"/>
        </w:rPr>
        <w:t>”)</w:t>
      </w:r>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5D31EA12" w14:textId="77777777" w:rsidR="00F40AF4" w:rsidRPr="00E27C15" w:rsidRDefault="00F40AF4" w:rsidP="00F40AF4">
      <w:pPr>
        <w:jc w:val="both"/>
        <w:rPr>
          <w:rFonts w:eastAsia="Arial Unicode MS"/>
        </w:rPr>
      </w:pPr>
    </w:p>
    <w:p w14:paraId="735AD0EE" w14:textId="223562E0" w:rsidR="00DD61FA" w:rsidRDefault="00DD61FA"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51EE032" w14:textId="77777777" w:rsidR="00F40AF4" w:rsidRPr="00E27C15" w:rsidRDefault="00F40AF4" w:rsidP="00F40AF4">
      <w:pPr>
        <w:jc w:val="both"/>
        <w:rPr>
          <w:rFonts w:eastAsia="Arial Unicode MS"/>
        </w:rPr>
      </w:pPr>
    </w:p>
    <w:p w14:paraId="7E0E2980" w14:textId="4F38D26E" w:rsidR="00DD61FA" w:rsidRDefault="00DD61FA"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51ED9336" w14:textId="77777777" w:rsidR="00F40AF4" w:rsidRPr="00E27C15" w:rsidRDefault="00F40AF4" w:rsidP="00F40AF4">
      <w:pPr>
        <w:jc w:val="both"/>
        <w:rPr>
          <w:rFonts w:eastAsia="Arial Unicode MS"/>
        </w:rPr>
      </w:pPr>
    </w:p>
    <w:p w14:paraId="005B1B33" w14:textId="551A7E30" w:rsidR="00DD61FA" w:rsidRDefault="00DD61FA"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7467DA91" w14:textId="77777777" w:rsidR="00F40AF4" w:rsidRPr="00E27C15" w:rsidRDefault="00F40AF4" w:rsidP="00F40AF4">
      <w:pPr>
        <w:jc w:val="both"/>
        <w:rPr>
          <w:rFonts w:eastAsia="Arial Unicode MS"/>
        </w:rPr>
      </w:pPr>
    </w:p>
    <w:p w14:paraId="422F2534" w14:textId="6923FAAB" w:rsidR="00DD61FA" w:rsidRDefault="00DD61FA"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45467B0" w14:textId="77777777" w:rsidR="00F40AF4" w:rsidRPr="00E27C15" w:rsidRDefault="00F40AF4" w:rsidP="00F40AF4">
      <w:pPr>
        <w:jc w:val="both"/>
        <w:rPr>
          <w:rFonts w:eastAsia="Arial Unicode MS"/>
        </w:rPr>
      </w:pPr>
    </w:p>
    <w:p w14:paraId="25B32624" w14:textId="392596F7" w:rsidR="00DD61FA" w:rsidRDefault="00DD61FA" w:rsidP="00F40AF4">
      <w:pPr>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721D4D1B" w14:textId="77777777" w:rsidR="00F40AF4" w:rsidRPr="00E27C15" w:rsidRDefault="00F40AF4" w:rsidP="00F40AF4">
      <w:pPr>
        <w:jc w:val="both"/>
        <w:rPr>
          <w:rFonts w:eastAsia="Arial Unicode MS"/>
        </w:rPr>
      </w:pPr>
    </w:p>
    <w:p w14:paraId="54A86329" w14:textId="6F29F951" w:rsidR="0017670C" w:rsidRDefault="0017670C" w:rsidP="00F40AF4">
      <w:pPr>
        <w:jc w:val="both"/>
        <w:rPr>
          <w:rFonts w:eastAsia="Arial Unicode MS" w:cs="Tahoma"/>
          <w:w w:val="0"/>
        </w:rPr>
      </w:pPr>
      <w:r>
        <w:rPr>
          <w:rFonts w:eastAsia="Arial Unicode MS"/>
        </w:rPr>
        <w:lastRenderedPageBreak/>
        <w:t>[</w:t>
      </w:r>
      <w:r w:rsidR="00DD61FA" w:rsidRPr="0017670C">
        <w:rPr>
          <w:rFonts w:eastAsia="Arial Unicode MS"/>
          <w:highlight w:val="lightGray"/>
        </w:rPr>
        <w:t>7.</w:t>
      </w:r>
      <w:r w:rsidR="00DD61FA" w:rsidRPr="0017670C">
        <w:rPr>
          <w:rFonts w:eastAsia="Arial Unicode MS"/>
          <w:highlight w:val="lightGray"/>
        </w:rPr>
        <w:tab/>
      </w:r>
      <w:r w:rsidR="00BD3DB0" w:rsidRPr="0017670C">
        <w:rPr>
          <w:rFonts w:cs="Tahoma"/>
          <w:w w:val="0"/>
          <w:highlight w:val="lightGray"/>
        </w:rPr>
        <w:t>Fica</w:t>
      </w:r>
      <w:r w:rsidR="00BD3DB0" w:rsidRPr="0017670C">
        <w:rPr>
          <w:rFonts w:eastAsia="Arial Unicode MS" w:cs="Tahoma"/>
          <w:w w:val="0"/>
          <w:highlight w:val="lightGray"/>
        </w:rPr>
        <w:t xml:space="preserve"> eleito o Foro da Comarca da Capital do Estado de São Paulo para </w:t>
      </w:r>
      <w:r w:rsidR="00BD3DB0" w:rsidRPr="0017670C">
        <w:rPr>
          <w:rFonts w:cs="Tahoma"/>
          <w:highlight w:val="lightGray"/>
        </w:rPr>
        <w:t>dirimir</w:t>
      </w:r>
      <w:r w:rsidR="00BD3DB0" w:rsidRPr="0017670C">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p>
    <w:p w14:paraId="384E9136" w14:textId="77777777" w:rsidR="00F40AF4" w:rsidRDefault="00F40AF4" w:rsidP="00F40AF4">
      <w:pPr>
        <w:jc w:val="both"/>
        <w:rPr>
          <w:rFonts w:eastAsia="Arial Unicode MS" w:cs="Tahoma"/>
          <w:w w:val="0"/>
        </w:rPr>
      </w:pPr>
    </w:p>
    <w:p w14:paraId="5A170052" w14:textId="30B44BBF" w:rsidR="00FE32DB"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0FCAB90E" w14:textId="77777777" w:rsidR="00F40AF4" w:rsidRDefault="00F40AF4" w:rsidP="00F40AF4">
      <w:pPr>
        <w:pStyle w:val="Level2"/>
        <w:numPr>
          <w:ilvl w:val="0"/>
          <w:numId w:val="0"/>
        </w:numPr>
        <w:spacing w:after="0" w:line="240" w:lineRule="auto"/>
        <w:rPr>
          <w:rFonts w:eastAsia="Arial Unicode MS" w:cs="Tahoma"/>
          <w:w w:val="0"/>
        </w:rPr>
      </w:pPr>
    </w:p>
    <w:p w14:paraId="64CB0AAB" w14:textId="43EA8612" w:rsidR="00DD61FA" w:rsidRDefault="0017670C" w:rsidP="00F40AF4">
      <w:pPr>
        <w:jc w:val="both"/>
        <w:rPr>
          <w:rFonts w:eastAsia="Arial Unicode MS"/>
          <w:highlight w:val="lightGray"/>
        </w:rPr>
      </w:pPr>
      <w:r>
        <w:rPr>
          <w:rFonts w:eastAsia="Arial Unicode MS"/>
        </w:rPr>
        <w:t>[</w:t>
      </w:r>
      <w:r w:rsidRPr="0017670C">
        <w:rPr>
          <w:rFonts w:eastAsia="Arial Unicode MS"/>
          <w:highlight w:val="lightGray"/>
        </w:rPr>
        <w:t>7.</w:t>
      </w:r>
      <w:r w:rsidRPr="0017670C">
        <w:rPr>
          <w:rFonts w:eastAsia="Arial Unicode MS"/>
          <w:highlight w:val="lightGray"/>
        </w:rPr>
        <w:tab/>
      </w:r>
      <w:r w:rsidR="00DD61FA" w:rsidRPr="0017670C">
        <w:rPr>
          <w:rFonts w:eastAsia="Arial Unicode MS"/>
          <w:highlight w:val="lightGray"/>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17670C">
        <w:rPr>
          <w:rFonts w:eastAsia="Arial Unicode MS"/>
          <w:b/>
          <w:bCs/>
          <w:highlight w:val="lightGray"/>
        </w:rPr>
        <w:t>TRIBUNAL ARBITRAL</w:t>
      </w:r>
      <w:r w:rsidR="00DD61FA" w:rsidRPr="0017670C">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17670C">
        <w:rPr>
          <w:rFonts w:eastAsia="Arial Unicode MS"/>
          <w:b/>
          <w:bCs/>
          <w:highlight w:val="lightGray"/>
        </w:rPr>
        <w:t xml:space="preserve">TRIBUNAL ARBITRAL </w:t>
      </w:r>
      <w:r w:rsidR="00DD61FA" w:rsidRPr="0017670C">
        <w:rPr>
          <w:rFonts w:eastAsia="Arial Unicode MS"/>
          <w:highlight w:val="lightGray"/>
        </w:rPr>
        <w:t xml:space="preserve">deverá aplicar primeiro as disposições desta </w:t>
      </w:r>
      <w:r w:rsidR="00DD61FA" w:rsidRPr="0017670C">
        <w:rPr>
          <w:rFonts w:eastAsia="Arial Unicode MS"/>
          <w:b/>
          <w:bCs/>
          <w:highlight w:val="lightGray"/>
        </w:rPr>
        <w:t>FIANÇA</w:t>
      </w:r>
      <w:r w:rsidR="00DD61FA" w:rsidRPr="0017670C">
        <w:rPr>
          <w:rFonts w:eastAsia="Arial Unicode MS"/>
          <w:highlight w:val="lightGray"/>
        </w:rPr>
        <w:t xml:space="preserve"> e, na omissão, o disposto na legislação brasileira. </w:t>
      </w:r>
    </w:p>
    <w:p w14:paraId="17263B0E" w14:textId="77777777" w:rsidR="00F40AF4" w:rsidRPr="0017670C" w:rsidRDefault="00F40AF4" w:rsidP="00F40AF4">
      <w:pPr>
        <w:jc w:val="both"/>
        <w:rPr>
          <w:rFonts w:eastAsia="Arial Unicode MS"/>
          <w:highlight w:val="lightGray"/>
        </w:rPr>
      </w:pPr>
    </w:p>
    <w:p w14:paraId="5C6528EC" w14:textId="73CD8F71" w:rsidR="00DD61FA" w:rsidRDefault="00DD61FA" w:rsidP="00F40AF4">
      <w:pPr>
        <w:jc w:val="both"/>
        <w:rPr>
          <w:rFonts w:eastAsia="Arial Unicode MS"/>
          <w:highlight w:val="lightGray"/>
        </w:rPr>
      </w:pPr>
      <w:r w:rsidRPr="0017670C">
        <w:rPr>
          <w:rFonts w:eastAsia="Arial Unicode MS"/>
          <w:highlight w:val="lightGray"/>
        </w:rPr>
        <w:t>7.1</w:t>
      </w:r>
      <w:r w:rsidRPr="0017670C">
        <w:rPr>
          <w:rFonts w:eastAsia="Arial Unicode MS"/>
          <w:highlight w:val="lightGray"/>
        </w:rPr>
        <w:tab/>
        <w:t xml:space="preserve">A parte interessada notificará a Câmara sobre sua intenção de começar a arbitragem, conforme as normas do Regulamento. </w:t>
      </w:r>
    </w:p>
    <w:p w14:paraId="3004D19F" w14:textId="77777777" w:rsidR="00F40AF4" w:rsidRPr="0017670C" w:rsidRDefault="00F40AF4" w:rsidP="00F40AF4">
      <w:pPr>
        <w:jc w:val="both"/>
        <w:rPr>
          <w:rFonts w:eastAsia="Arial Unicode MS"/>
          <w:highlight w:val="lightGray"/>
        </w:rPr>
      </w:pPr>
    </w:p>
    <w:p w14:paraId="2FDFC7AB" w14:textId="2BEF37EE" w:rsidR="00DD61FA" w:rsidRPr="0017670C" w:rsidRDefault="00DD61FA" w:rsidP="00F40AF4">
      <w:pPr>
        <w:jc w:val="both"/>
        <w:rPr>
          <w:rFonts w:eastAsia="Arial Unicode MS"/>
          <w:highlight w:val="lightGray"/>
        </w:rPr>
      </w:pPr>
      <w:r w:rsidRPr="0017670C">
        <w:rPr>
          <w:rFonts w:eastAsia="Arial Unicode MS"/>
          <w:highlight w:val="lightGray"/>
        </w:rPr>
        <w:t>7.2</w:t>
      </w:r>
      <w:r w:rsidRPr="0017670C">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17D6C911" w:rsidR="00DD61FA" w:rsidRDefault="00DD61FA" w:rsidP="00F40AF4">
      <w:pPr>
        <w:jc w:val="both"/>
        <w:rPr>
          <w:rFonts w:eastAsia="Arial Unicode MS"/>
          <w:highlight w:val="lightGray"/>
        </w:rPr>
      </w:pPr>
      <w:r w:rsidRPr="0017670C">
        <w:rPr>
          <w:rFonts w:eastAsia="Arial Unicode MS"/>
          <w:highlight w:val="lightGray"/>
        </w:rPr>
        <w:t>7.3</w:t>
      </w:r>
      <w:r w:rsidRPr="0017670C">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25EC42DB" w14:textId="77777777" w:rsidR="00F40AF4" w:rsidRPr="0017670C" w:rsidRDefault="00F40AF4" w:rsidP="00F40AF4">
      <w:pPr>
        <w:jc w:val="both"/>
        <w:rPr>
          <w:rFonts w:eastAsia="Arial Unicode MS"/>
          <w:highlight w:val="lightGray"/>
        </w:rPr>
      </w:pPr>
    </w:p>
    <w:p w14:paraId="70532A7B" w14:textId="2A5C1631" w:rsidR="00DD61FA" w:rsidRDefault="00DD61FA" w:rsidP="00F40AF4">
      <w:pPr>
        <w:jc w:val="both"/>
        <w:rPr>
          <w:rFonts w:eastAsia="Arial Unicode MS"/>
        </w:rPr>
      </w:pPr>
      <w:r w:rsidRPr="0017670C">
        <w:rPr>
          <w:rFonts w:eastAsia="Arial Unicode MS"/>
          <w:highlight w:val="lightGray"/>
        </w:rPr>
        <w:t>7.4</w:t>
      </w:r>
      <w:r w:rsidRPr="0017670C">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3"/>
      </w:r>
    </w:p>
    <w:p w14:paraId="29CC25E7" w14:textId="77777777" w:rsidR="00F40AF4" w:rsidRPr="00E27C15" w:rsidRDefault="00F40AF4" w:rsidP="00F40AF4">
      <w:pPr>
        <w:jc w:val="both"/>
        <w:rPr>
          <w:rFonts w:eastAsia="Arial Unicode MS"/>
        </w:rPr>
      </w:pPr>
    </w:p>
    <w:p w14:paraId="4191A75F" w14:textId="77777777" w:rsidR="00DD61FA" w:rsidRPr="00E27C15" w:rsidRDefault="00DD61FA" w:rsidP="00F40AF4">
      <w:pPr>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F40AF4">
      <w:pPr>
        <w:rPr>
          <w:rFonts w:eastAsia="Arial Unicode MS"/>
        </w:rPr>
      </w:pPr>
    </w:p>
    <w:p w14:paraId="143E7DFE" w14:textId="77777777" w:rsidR="00DD61FA" w:rsidRPr="00E27C15" w:rsidRDefault="00DD61FA" w:rsidP="00F40AF4">
      <w:pPr>
        <w:rPr>
          <w:rFonts w:eastAsia="Arial Unicode MS"/>
        </w:rPr>
      </w:pPr>
      <w:r w:rsidRPr="00E27C15">
        <w:rPr>
          <w:rFonts w:eastAsia="Arial Unicode MS"/>
        </w:rPr>
        <w:t>[FIADOR]</w:t>
      </w:r>
    </w:p>
    <w:p w14:paraId="3C743E48" w14:textId="77777777" w:rsidR="00DD61FA" w:rsidRPr="00E27C15" w:rsidRDefault="00DD61FA" w:rsidP="00F40AF4">
      <w:pPr>
        <w:rPr>
          <w:rFonts w:eastAsia="Arial Unicode MS"/>
        </w:rPr>
      </w:pPr>
    </w:p>
    <w:p w14:paraId="52863529" w14:textId="77777777" w:rsidR="00DD61FA" w:rsidRPr="00E27C15" w:rsidRDefault="00DD61FA"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2D696ACD" w14:textId="77777777" w:rsidR="00DD61FA" w:rsidRPr="00E27C15" w:rsidRDefault="00DD61FA"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67AF61FD" w14:textId="77777777" w:rsidR="00084017" w:rsidRPr="000E4ED3" w:rsidRDefault="00084017" w:rsidP="00F40AF4">
      <w:pPr>
        <w:rPr>
          <w:rFonts w:eastAsia="Arial Unicode MS"/>
          <w:b/>
          <w:bCs/>
        </w:rPr>
      </w:pPr>
    </w:p>
    <w:sectPr w:rsidR="00084017" w:rsidRPr="000E4ED3" w:rsidSect="006C6684">
      <w:headerReference w:type="default" r:id="rId19"/>
      <w:footerReference w:type="default" r:id="rId20"/>
      <w:headerReference w:type="first" r:id="rId21"/>
      <w:footerReference w:type="first" r:id="rId22"/>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FE7A" w14:textId="77777777" w:rsidR="001E7A69" w:rsidRDefault="001E7A69" w:rsidP="00B53614">
      <w:r>
        <w:separator/>
      </w:r>
    </w:p>
  </w:endnote>
  <w:endnote w:type="continuationSeparator" w:id="0">
    <w:p w14:paraId="7B751F02" w14:textId="77777777" w:rsidR="001E7A69" w:rsidRDefault="001E7A69" w:rsidP="00B53614">
      <w:r>
        <w:continuationSeparator/>
      </w:r>
    </w:p>
  </w:endnote>
  <w:endnote w:type="continuationNotice" w:id="1">
    <w:p w14:paraId="6EDDBDF3" w14:textId="77777777" w:rsidR="001E7A69" w:rsidRDefault="001E7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27885"/>
      <w:docPartObj>
        <w:docPartGallery w:val="Page Numbers (Bottom of Page)"/>
        <w:docPartUnique/>
      </w:docPartObj>
    </w:sdtPr>
    <w:sdtEndPr>
      <w:rPr>
        <w:rFonts w:cs="Tahoma"/>
        <w:sz w:val="20"/>
        <w:szCs w:val="20"/>
      </w:rPr>
    </w:sdtEndPr>
    <w:sdtContent>
      <w:p w14:paraId="09F307A7" w14:textId="08F0A273" w:rsidR="003D3F42" w:rsidRPr="00E9283D" w:rsidRDefault="003D3F42"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45</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6A47" w14:textId="77777777" w:rsidR="003D3F42" w:rsidRPr="009B24DB" w:rsidRDefault="003D3F42"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9D16" w14:textId="77777777" w:rsidR="001E7A69" w:rsidRDefault="001E7A69" w:rsidP="00B53614">
      <w:r>
        <w:separator/>
      </w:r>
    </w:p>
  </w:footnote>
  <w:footnote w:type="continuationSeparator" w:id="0">
    <w:p w14:paraId="6A525628" w14:textId="77777777" w:rsidR="001E7A69" w:rsidRDefault="001E7A69" w:rsidP="00B53614">
      <w:r>
        <w:continuationSeparator/>
      </w:r>
    </w:p>
  </w:footnote>
  <w:footnote w:type="continuationNotice" w:id="1">
    <w:p w14:paraId="2BC52512" w14:textId="77777777" w:rsidR="001E7A69" w:rsidRDefault="001E7A69"/>
  </w:footnote>
  <w:footnote w:id="2">
    <w:p w14:paraId="1D660C02" w14:textId="2B8DF779" w:rsidR="003D3F42" w:rsidRDefault="003D3F42">
      <w:pPr>
        <w:pStyle w:val="Textodenotaderodap"/>
      </w:pPr>
      <w:r>
        <w:rPr>
          <w:rStyle w:val="Refdenotaderodap"/>
        </w:rPr>
        <w:footnoteRef/>
      </w:r>
      <w:r>
        <w:t xml:space="preserve"> Opção por foro comum ou arbitragem sujeita a confirmação pela Emissora quando da emissão da Carta de Fiança.</w:t>
      </w:r>
    </w:p>
  </w:footnote>
  <w:footnote w:id="3">
    <w:p w14:paraId="493804B8" w14:textId="502FB15C" w:rsidR="003D3F42" w:rsidRDefault="003D3F42" w:rsidP="0017670C">
      <w:pPr>
        <w:pStyle w:val="Textodenotaderodap"/>
      </w:pPr>
      <w:r>
        <w:rPr>
          <w:rStyle w:val="Refdenotaderodap"/>
        </w:rPr>
        <w:footnoteRef/>
      </w:r>
      <w:r>
        <w:t xml:space="preserve"> Opção por foro comum ou arbitragem sujeita a confirmação pela Emissora quando da emissão da Carta de Fiança.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FCF" w14:textId="77777777" w:rsidR="003D3F42" w:rsidRPr="00932A99" w:rsidRDefault="003D3F42"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449F" w14:textId="77777777" w:rsidR="003D3F42" w:rsidRDefault="003D3F42"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0930FA0C" w14:textId="532BF651" w:rsidR="003D3F42" w:rsidRPr="00D44C1D" w:rsidRDefault="003D3F42" w:rsidP="001175E6">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2F000011"/>
    <w:multiLevelType w:val="multilevel"/>
    <w:tmpl w:val="34F4F6EE"/>
    <w:lvl w:ilvl="0">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19" w15:restartNumberingAfterBreak="0">
    <w:nsid w:val="2F000023"/>
    <w:multiLevelType w:val="hybridMultilevel"/>
    <w:tmpl w:val="35EB963F"/>
    <w:lvl w:ilvl="0" w:tplc="0980F85E">
      <w:start w:val="1"/>
      <w:numFmt w:val="upperLetter"/>
      <w:lvlText w:val="(%1)"/>
      <w:lvlJc w:val="left"/>
      <w:pPr>
        <w:tabs>
          <w:tab w:val="left" w:pos="567"/>
        </w:tabs>
        <w:ind w:firstLine="0"/>
        <w:jc w:val="both"/>
      </w:pPr>
      <w:rPr>
        <w:w w:val="100"/>
        <w:sz w:val="20"/>
        <w:szCs w:val="20"/>
        <w:shd w:val="clear" w:color="auto" w:fill="auto"/>
      </w:rPr>
    </w:lvl>
    <w:lvl w:ilvl="1" w:tplc="B91ACAD8">
      <w:start w:val="1"/>
      <w:numFmt w:val="lowerLetter"/>
      <w:lvlText w:val="%2."/>
      <w:lvlJc w:val="left"/>
      <w:pPr>
        <w:tabs>
          <w:tab w:val="left" w:pos="1440"/>
        </w:tabs>
        <w:ind w:left="1440" w:hanging="360"/>
        <w:jc w:val="both"/>
      </w:pPr>
    </w:lvl>
    <w:lvl w:ilvl="2" w:tplc="5C5C98F6">
      <w:start w:val="1"/>
      <w:numFmt w:val="lowerRoman"/>
      <w:lvlText w:val="%3."/>
      <w:lvlJc w:val="right"/>
      <w:pPr>
        <w:tabs>
          <w:tab w:val="left" w:pos="2160"/>
        </w:tabs>
        <w:ind w:left="2160" w:hanging="180"/>
        <w:jc w:val="both"/>
      </w:pPr>
    </w:lvl>
    <w:lvl w:ilvl="3" w:tplc="A9440E18">
      <w:start w:val="1"/>
      <w:numFmt w:val="decimal"/>
      <w:lvlText w:val="%4."/>
      <w:lvlJc w:val="left"/>
      <w:pPr>
        <w:tabs>
          <w:tab w:val="left" w:pos="2880"/>
        </w:tabs>
        <w:ind w:left="2880" w:hanging="360"/>
        <w:jc w:val="both"/>
      </w:pPr>
    </w:lvl>
    <w:lvl w:ilvl="4" w:tplc="F3EA10C2">
      <w:start w:val="1"/>
      <w:numFmt w:val="lowerLetter"/>
      <w:lvlText w:val="%5."/>
      <w:lvlJc w:val="left"/>
      <w:pPr>
        <w:tabs>
          <w:tab w:val="left" w:pos="3600"/>
        </w:tabs>
        <w:ind w:left="3600" w:hanging="360"/>
        <w:jc w:val="both"/>
      </w:pPr>
    </w:lvl>
    <w:lvl w:ilvl="5" w:tplc="2612EF66">
      <w:start w:val="1"/>
      <w:numFmt w:val="lowerRoman"/>
      <w:lvlText w:val="%6."/>
      <w:lvlJc w:val="right"/>
      <w:pPr>
        <w:tabs>
          <w:tab w:val="left" w:pos="4320"/>
        </w:tabs>
        <w:ind w:left="4320" w:hanging="180"/>
        <w:jc w:val="both"/>
      </w:pPr>
    </w:lvl>
    <w:lvl w:ilvl="6" w:tplc="B546E018">
      <w:start w:val="1"/>
      <w:numFmt w:val="decimal"/>
      <w:lvlText w:val="%7."/>
      <w:lvlJc w:val="left"/>
      <w:pPr>
        <w:tabs>
          <w:tab w:val="left" w:pos="5040"/>
        </w:tabs>
        <w:ind w:left="5040" w:hanging="360"/>
        <w:jc w:val="both"/>
      </w:pPr>
    </w:lvl>
    <w:lvl w:ilvl="7" w:tplc="7AD4B878">
      <w:start w:val="1"/>
      <w:numFmt w:val="lowerLetter"/>
      <w:lvlText w:val="%8."/>
      <w:lvlJc w:val="left"/>
      <w:pPr>
        <w:tabs>
          <w:tab w:val="left" w:pos="5760"/>
        </w:tabs>
        <w:ind w:left="5760" w:hanging="360"/>
        <w:jc w:val="both"/>
      </w:pPr>
    </w:lvl>
    <w:lvl w:ilvl="8" w:tplc="85966EDA">
      <w:start w:val="1"/>
      <w:numFmt w:val="lowerRoman"/>
      <w:lvlText w:val="%9."/>
      <w:lvlJc w:val="right"/>
      <w:pPr>
        <w:tabs>
          <w:tab w:val="left" w:pos="6480"/>
        </w:tabs>
        <w:ind w:left="6480" w:hanging="180"/>
        <w:jc w:val="both"/>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4"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4E7EB93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4"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7"/>
  </w:num>
  <w:num w:numId="4">
    <w:abstractNumId w:val="51"/>
  </w:num>
  <w:num w:numId="5">
    <w:abstractNumId w:val="1"/>
  </w:num>
  <w:num w:numId="6">
    <w:abstractNumId w:val="8"/>
  </w:num>
  <w:num w:numId="7">
    <w:abstractNumId w:val="32"/>
  </w:num>
  <w:num w:numId="8">
    <w:abstractNumId w:val="49"/>
  </w:num>
  <w:num w:numId="9">
    <w:abstractNumId w:val="20"/>
  </w:num>
  <w:num w:numId="10">
    <w:abstractNumId w:val="10"/>
  </w:num>
  <w:num w:numId="11">
    <w:abstractNumId w:val="30"/>
  </w:num>
  <w:num w:numId="12">
    <w:abstractNumId w:val="22"/>
  </w:num>
  <w:num w:numId="13">
    <w:abstractNumId w:val="56"/>
  </w:num>
  <w:num w:numId="14">
    <w:abstractNumId w:val="54"/>
  </w:num>
  <w:num w:numId="15">
    <w:abstractNumId w:val="12"/>
  </w:num>
  <w:num w:numId="16">
    <w:abstractNumId w:val="28"/>
  </w:num>
  <w:num w:numId="17">
    <w:abstractNumId w:val="33"/>
  </w:num>
  <w:num w:numId="18">
    <w:abstractNumId w:val="31"/>
  </w:num>
  <w:num w:numId="19">
    <w:abstractNumId w:val="9"/>
  </w:num>
  <w:num w:numId="20">
    <w:abstractNumId w:val="52"/>
  </w:num>
  <w:num w:numId="21">
    <w:abstractNumId w:val="57"/>
  </w:num>
  <w:num w:numId="22">
    <w:abstractNumId w:val="39"/>
  </w:num>
  <w:num w:numId="23">
    <w:abstractNumId w:val="26"/>
  </w:num>
  <w:num w:numId="24">
    <w:abstractNumId w:val="58"/>
  </w:num>
  <w:num w:numId="25">
    <w:abstractNumId w:val="48"/>
  </w:num>
  <w:num w:numId="26">
    <w:abstractNumId w:val="45"/>
  </w:num>
  <w:num w:numId="27">
    <w:abstractNumId w:val="8"/>
  </w:num>
  <w:num w:numId="28">
    <w:abstractNumId w:val="6"/>
  </w:num>
  <w:num w:numId="29">
    <w:abstractNumId w:val="41"/>
  </w:num>
  <w:num w:numId="30">
    <w:abstractNumId w:val="38"/>
  </w:num>
  <w:num w:numId="31">
    <w:abstractNumId w:val="55"/>
  </w:num>
  <w:num w:numId="32">
    <w:abstractNumId w:val="42"/>
  </w:num>
  <w:num w:numId="33">
    <w:abstractNumId w:val="36"/>
  </w:num>
  <w:num w:numId="34">
    <w:abstractNumId w:val="50"/>
  </w:num>
  <w:num w:numId="35">
    <w:abstractNumId w:val="47"/>
  </w:num>
  <w:num w:numId="36">
    <w:abstractNumId w:val="7"/>
  </w:num>
  <w:num w:numId="37">
    <w:abstractNumId w:val="15"/>
  </w:num>
  <w:num w:numId="38">
    <w:abstractNumId w:val="40"/>
  </w:num>
  <w:num w:numId="39">
    <w:abstractNumId w:val="43"/>
  </w:num>
  <w:num w:numId="40">
    <w:abstractNumId w:val="3"/>
  </w:num>
  <w:num w:numId="41">
    <w:abstractNumId w:val="21"/>
  </w:num>
  <w:num w:numId="42">
    <w:abstractNumId w:val="44"/>
  </w:num>
  <w:num w:numId="43">
    <w:abstractNumId w:val="14"/>
  </w:num>
  <w:num w:numId="44">
    <w:abstractNumId w:val="25"/>
  </w:num>
  <w:num w:numId="45">
    <w:abstractNumId w:val="46"/>
  </w:num>
  <w:num w:numId="46">
    <w:abstractNumId w:val="13"/>
  </w:num>
  <w:num w:numId="47">
    <w:abstractNumId w:val="34"/>
  </w:num>
  <w:num w:numId="48">
    <w:abstractNumId w:val="42"/>
    <w:lvlOverride w:ilvl="0">
      <w:startOverride w:val="1"/>
    </w:lvlOverride>
  </w:num>
  <w:num w:numId="49">
    <w:abstractNumId w:val="10"/>
    <w:lvlOverride w:ilvl="0">
      <w:startOverride w:val="1"/>
    </w:lvlOverride>
  </w:num>
  <w:num w:numId="50">
    <w:abstractNumId w:val="36"/>
    <w:lvlOverride w:ilvl="0">
      <w:startOverride w:val="1"/>
    </w:lvlOverride>
  </w:num>
  <w:num w:numId="51">
    <w:abstractNumId w:val="42"/>
    <w:lvlOverride w:ilvl="0">
      <w:startOverride w:val="9"/>
    </w:lvlOverride>
  </w:num>
  <w:num w:numId="52">
    <w:abstractNumId w:val="17"/>
  </w:num>
  <w:num w:numId="53">
    <w:abstractNumId w:val="42"/>
    <w:lvlOverride w:ilvl="0">
      <w:startOverride w:val="1"/>
    </w:lvlOverride>
  </w:num>
  <w:num w:numId="54">
    <w:abstractNumId w:val="42"/>
  </w:num>
  <w:num w:numId="55">
    <w:abstractNumId w:val="36"/>
    <w:lvlOverride w:ilvl="0">
      <w:startOverride w:val="1"/>
    </w:lvlOverride>
  </w:num>
  <w:num w:numId="56">
    <w:abstractNumId w:val="42"/>
    <w:lvlOverride w:ilvl="0">
      <w:startOverride w:val="1"/>
    </w:lvlOverride>
  </w:num>
  <w:num w:numId="57">
    <w:abstractNumId w:val="16"/>
  </w:num>
  <w:num w:numId="58">
    <w:abstractNumId w:val="42"/>
    <w:lvlOverride w:ilvl="0">
      <w:startOverride w:val="1"/>
    </w:lvlOverride>
  </w:num>
  <w:num w:numId="59">
    <w:abstractNumId w:val="42"/>
    <w:lvlOverride w:ilvl="0">
      <w:startOverride w:val="1"/>
    </w:lvlOverride>
  </w:num>
  <w:num w:numId="60">
    <w:abstractNumId w:val="8"/>
  </w:num>
  <w:num w:numId="61">
    <w:abstractNumId w:val="37"/>
  </w:num>
  <w:num w:numId="62">
    <w:abstractNumId w:val="42"/>
  </w:num>
  <w:num w:numId="63">
    <w:abstractNumId w:val="42"/>
  </w:num>
  <w:num w:numId="64">
    <w:abstractNumId w:val="42"/>
  </w:num>
  <w:num w:numId="65">
    <w:abstractNumId w:val="42"/>
    <w:lvlOverride w:ilvl="0">
      <w:startOverride w:val="1"/>
    </w:lvlOverride>
  </w:num>
  <w:num w:numId="66">
    <w:abstractNumId w:val="10"/>
    <w:lvlOverride w:ilvl="0">
      <w:startOverride w:val="1"/>
    </w:lvlOverride>
  </w:num>
  <w:num w:numId="67">
    <w:abstractNumId w:val="24"/>
  </w:num>
  <w:num w:numId="68">
    <w:abstractNumId w:val="42"/>
  </w:num>
  <w:num w:numId="69">
    <w:abstractNumId w:val="42"/>
  </w:num>
  <w:num w:numId="70">
    <w:abstractNumId w:val="4"/>
  </w:num>
  <w:num w:numId="71">
    <w:abstractNumId w:val="42"/>
  </w:num>
  <w:num w:numId="72">
    <w:abstractNumId w:val="42"/>
    <w:lvlOverride w:ilvl="0">
      <w:startOverride w:val="1"/>
    </w:lvlOverride>
  </w:num>
  <w:num w:numId="73">
    <w:abstractNumId w:val="42"/>
    <w:lvlOverride w:ilvl="0">
      <w:startOverride w:val="1"/>
    </w:lvlOverride>
  </w:num>
  <w:num w:numId="74">
    <w:abstractNumId w:val="42"/>
  </w:num>
  <w:num w:numId="75">
    <w:abstractNumId w:val="42"/>
  </w:num>
  <w:num w:numId="76">
    <w:abstractNumId w:val="8"/>
  </w:num>
  <w:num w:numId="77">
    <w:abstractNumId w:val="2"/>
  </w:num>
  <w:num w:numId="78">
    <w:abstractNumId w:val="8"/>
  </w:num>
  <w:num w:numId="79">
    <w:abstractNumId w:val="8"/>
  </w:num>
  <w:num w:numId="80">
    <w:abstractNumId w:val="42"/>
  </w:num>
  <w:num w:numId="81">
    <w:abstractNumId w:val="42"/>
  </w:num>
  <w:num w:numId="82">
    <w:abstractNumId w:val="8"/>
  </w:num>
  <w:num w:numId="83">
    <w:abstractNumId w:val="29"/>
  </w:num>
  <w:num w:numId="84">
    <w:abstractNumId w:val="59"/>
  </w:num>
  <w:num w:numId="85">
    <w:abstractNumId w:val="35"/>
  </w:num>
  <w:num w:numId="86">
    <w:abstractNumId w:val="8"/>
  </w:num>
  <w:num w:numId="87">
    <w:abstractNumId w:val="8"/>
  </w:num>
  <w:num w:numId="88">
    <w:abstractNumId w:val="53"/>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18"/>
  </w:num>
  <w:num w:numId="107">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788"/>
    <w:rsid w:val="00017921"/>
    <w:rsid w:val="00017FE9"/>
    <w:rsid w:val="0002004B"/>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A77B9"/>
    <w:rsid w:val="000B0A43"/>
    <w:rsid w:val="000B0D96"/>
    <w:rsid w:val="000B1150"/>
    <w:rsid w:val="000B1B02"/>
    <w:rsid w:val="000B31FB"/>
    <w:rsid w:val="000B3507"/>
    <w:rsid w:val="000B36E1"/>
    <w:rsid w:val="000B3CF6"/>
    <w:rsid w:val="000B3FE2"/>
    <w:rsid w:val="000B4EB8"/>
    <w:rsid w:val="000B5261"/>
    <w:rsid w:val="000B5BE6"/>
    <w:rsid w:val="000B60AC"/>
    <w:rsid w:val="000B6840"/>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49C"/>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1B2D"/>
    <w:rsid w:val="001724CA"/>
    <w:rsid w:val="00173270"/>
    <w:rsid w:val="00173A0B"/>
    <w:rsid w:val="0017626F"/>
    <w:rsid w:val="001762E0"/>
    <w:rsid w:val="0017670C"/>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2C43"/>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0A7"/>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E7A69"/>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5DA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0A4"/>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305"/>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21"/>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1E55"/>
    <w:rsid w:val="0037252F"/>
    <w:rsid w:val="00373CC7"/>
    <w:rsid w:val="00374A14"/>
    <w:rsid w:val="00375957"/>
    <w:rsid w:val="00375B14"/>
    <w:rsid w:val="00375C1B"/>
    <w:rsid w:val="0037700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6B"/>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B90"/>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3F42"/>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6FDF"/>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DE6"/>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6E46"/>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4F76F3"/>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4EF"/>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A2"/>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1F4"/>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473E4"/>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0EF0"/>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BEA"/>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2C"/>
    <w:rsid w:val="00741FC3"/>
    <w:rsid w:val="007420F7"/>
    <w:rsid w:val="007426E9"/>
    <w:rsid w:val="0074356F"/>
    <w:rsid w:val="00743AE4"/>
    <w:rsid w:val="0074432B"/>
    <w:rsid w:val="00744482"/>
    <w:rsid w:val="007447BD"/>
    <w:rsid w:val="007451DB"/>
    <w:rsid w:val="00745220"/>
    <w:rsid w:val="00745297"/>
    <w:rsid w:val="0074557E"/>
    <w:rsid w:val="00747100"/>
    <w:rsid w:val="0075153F"/>
    <w:rsid w:val="00751599"/>
    <w:rsid w:val="00751B86"/>
    <w:rsid w:val="00751F02"/>
    <w:rsid w:val="0075254C"/>
    <w:rsid w:val="00753CE4"/>
    <w:rsid w:val="007551DD"/>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02"/>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1A1B"/>
    <w:rsid w:val="008021AB"/>
    <w:rsid w:val="00803B35"/>
    <w:rsid w:val="00803C37"/>
    <w:rsid w:val="00804B94"/>
    <w:rsid w:val="00805111"/>
    <w:rsid w:val="0080521A"/>
    <w:rsid w:val="0080550B"/>
    <w:rsid w:val="00805930"/>
    <w:rsid w:val="00805FBE"/>
    <w:rsid w:val="00806ECE"/>
    <w:rsid w:val="00807290"/>
    <w:rsid w:val="00807BF8"/>
    <w:rsid w:val="00807FF1"/>
    <w:rsid w:val="008105FD"/>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2FCC"/>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666A"/>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A8B"/>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7BF"/>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E7A39"/>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027"/>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3DB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454A"/>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0E6"/>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50A"/>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953"/>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6DB6"/>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3FB6"/>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0AF4"/>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6E2D"/>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66E2"/>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2DB"/>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 w:type="character" w:styleId="MenoPendente">
    <w:name w:val="Unresolved Mention"/>
    <w:basedOn w:val="Fontepargpadro"/>
    <w:uiPriority w:val="99"/>
    <w:semiHidden/>
    <w:unhideWhenUsed/>
    <w:rsid w:val="0017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58854502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projectfinance@echo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hoenergia.com.br/relacao-com-investido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hoenergia.com.br/relacao-com-investidor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877374-B9F8-4471-9E63-85747758E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D86BD-F867-42F6-B3EE-E2FDAB32B972}">
  <ds:schemaRefs>
    <ds:schemaRef ds:uri="http://schemas.openxmlformats.org/officeDocument/2006/bibliography"/>
  </ds:schemaRefs>
</ds:datastoreItem>
</file>

<file path=customXml/itemProps3.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4.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65</Pages>
  <Words>25845</Words>
  <Characters>139569</Characters>
  <Application>Microsoft Office Word</Application>
  <DocSecurity>0</DocSecurity>
  <Lines>1163</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165084</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Alexandre Simões de Mello</cp:lastModifiedBy>
  <cp:revision>31</cp:revision>
  <cp:lastPrinted>2020-06-08T22:50:00Z</cp:lastPrinted>
  <dcterms:created xsi:type="dcterms:W3CDTF">2020-06-08T22:43:00Z</dcterms:created>
  <dcterms:modified xsi:type="dcterms:W3CDTF">2021-12-14T19:15:00Z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0x010100DC9A1307BE5B7B4D9AB534BF6D9D465B</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