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EE7922D"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 xml:space="preserve">EDITAL DE </w:t>
      </w:r>
      <w:r w:rsidR="00CD20E2">
        <w:rPr>
          <w:rFonts w:ascii="Tahoma" w:hAnsi="Tahoma" w:cs="Tahoma"/>
          <w:b/>
          <w:bCs/>
          <w:sz w:val="20"/>
          <w:szCs w:val="20"/>
        </w:rPr>
        <w:t xml:space="preserve">SEGUNDA </w:t>
      </w:r>
      <w:r w:rsidRPr="00DF2D04">
        <w:rPr>
          <w:rFonts w:ascii="Tahoma" w:hAnsi="Tahoma" w:cs="Tahoma"/>
          <w:b/>
          <w:bCs/>
          <w:sz w:val="20"/>
          <w:szCs w:val="20"/>
        </w:rPr>
        <w:t>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 xml:space="preserve">ASSEMBLEIA GERAL DE DEBENTURISTAS DA </w:t>
      </w:r>
      <w:r w:rsidR="00333A10">
        <w:rPr>
          <w:rFonts w:ascii="Tahoma" w:hAnsi="Tahoma" w:cs="Tahoma"/>
          <w:b/>
          <w:smallCaps/>
          <w:sz w:val="20"/>
          <w:szCs w:val="20"/>
        </w:rPr>
        <w:t>2</w:t>
      </w:r>
      <w:r w:rsidR="00BA34C2" w:rsidRPr="002105A6">
        <w:rPr>
          <w:rFonts w:ascii="Tahoma" w:hAnsi="Tahoma" w:cs="Tahoma"/>
          <w:b/>
          <w:smallCaps/>
          <w:sz w:val="20"/>
          <w:szCs w:val="20"/>
        </w:rPr>
        <w:t>ª (</w:t>
      </w:r>
      <w:r w:rsidR="00333A10">
        <w:rPr>
          <w:rFonts w:ascii="Tahoma" w:hAnsi="Tahoma" w:cs="Tahoma"/>
          <w:b/>
          <w:smallCaps/>
          <w:sz w:val="20"/>
          <w:szCs w:val="20"/>
        </w:rPr>
        <w:t>SEGUNDA</w:t>
      </w:r>
      <w:r w:rsidR="00BA34C2" w:rsidRPr="002105A6">
        <w:rPr>
          <w:rFonts w:ascii="Tahoma" w:hAnsi="Tahoma" w:cs="Tahoma"/>
          <w:b/>
          <w:smallCaps/>
          <w:sz w:val="20"/>
          <w:szCs w:val="20"/>
        </w:rPr>
        <w:t>)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3804F744"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 xml:space="preserve">Escritura Particular da </w:t>
      </w:r>
      <w:r w:rsidR="00333A10">
        <w:rPr>
          <w:rFonts w:ascii="Tahoma" w:hAnsi="Tahoma" w:cs="Tahoma"/>
          <w:sz w:val="20"/>
          <w:szCs w:val="20"/>
        </w:rPr>
        <w:t>2</w:t>
      </w:r>
      <w:r w:rsidR="00BA34C2" w:rsidRPr="002105A6">
        <w:rPr>
          <w:rFonts w:ascii="Tahoma" w:hAnsi="Tahoma" w:cs="Tahoma"/>
          <w:sz w:val="20"/>
          <w:szCs w:val="20"/>
        </w:rPr>
        <w:t>ª (</w:t>
      </w:r>
      <w:r w:rsidR="00333A10">
        <w:rPr>
          <w:rFonts w:ascii="Tahoma" w:hAnsi="Tahoma" w:cs="Tahoma"/>
          <w:sz w:val="20"/>
          <w:szCs w:val="20"/>
        </w:rPr>
        <w:t>Segunda</w:t>
      </w:r>
      <w:r w:rsidR="00BA34C2" w:rsidRPr="002105A6">
        <w:rPr>
          <w:rFonts w:ascii="Tahoma" w:hAnsi="Tahoma" w:cs="Tahoma"/>
          <w:sz w:val="20"/>
          <w:szCs w:val="20"/>
        </w:rPr>
        <w:t>)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 xml:space="preserve">exclusivamente de forma digital e remota, em </w:t>
      </w:r>
      <w:r w:rsidR="00333A10">
        <w:rPr>
          <w:rFonts w:ascii="Tahoma" w:hAnsi="Tahoma" w:cs="Tahoma"/>
          <w:sz w:val="20"/>
          <w:szCs w:val="20"/>
        </w:rPr>
        <w:t>segunda</w:t>
      </w:r>
      <w:r w:rsidR="005C034D" w:rsidRPr="00DF2D04">
        <w:rPr>
          <w:rFonts w:ascii="Tahoma" w:hAnsi="Tahoma" w:cs="Tahoma"/>
          <w:sz w:val="20"/>
          <w:szCs w:val="20"/>
        </w:rPr>
        <w:t xml:space="preserve">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33A10">
        <w:rPr>
          <w:rFonts w:ascii="Tahoma" w:hAnsi="Tahoma" w:cs="Tahoma"/>
          <w:b/>
          <w:bCs/>
          <w:sz w:val="20"/>
          <w:szCs w:val="20"/>
        </w:rPr>
        <w:t>[14]</w:t>
      </w:r>
      <w:r w:rsidR="0032789C">
        <w:rPr>
          <w:rFonts w:ascii="Tahoma" w:hAnsi="Tahoma" w:cs="Tahoma"/>
          <w:b/>
          <w:bCs/>
          <w:sz w:val="20"/>
          <w:szCs w:val="20"/>
        </w:rPr>
        <w:t> de</w:t>
      </w:r>
      <w:r w:rsidR="00333A10">
        <w:rPr>
          <w:rFonts w:ascii="Tahoma" w:hAnsi="Tahoma" w:cs="Tahoma"/>
          <w:b/>
          <w:bCs/>
          <w:sz w:val="20"/>
          <w:szCs w:val="20"/>
        </w:rPr>
        <w:t> dezembro </w:t>
      </w:r>
      <w:r w:rsidR="0032789C">
        <w:rPr>
          <w:rFonts w:ascii="Tahoma" w:hAnsi="Tahoma" w:cs="Tahoma"/>
          <w:b/>
          <w:bCs/>
          <w:sz w:val="20"/>
          <w:szCs w:val="20"/>
        </w:rPr>
        <w:t>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0" w:name="_Hlk87546216"/>
      <w:r w:rsidR="000B4BAC">
        <w:rPr>
          <w:rFonts w:ascii="Tahoma" w:hAnsi="Tahoma" w:cs="Tahoma"/>
          <w:b/>
          <w:bCs/>
          <w:sz w:val="20"/>
          <w:szCs w:val="20"/>
        </w:rPr>
        <w:t xml:space="preserve">via videoconferência </w:t>
      </w:r>
      <w:bookmarkEnd w:id="0"/>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1" w:name="_Hlk87546280"/>
      <w:r>
        <w:rPr>
          <w:rFonts w:ascii="Tahoma" w:hAnsi="Tahoma" w:cs="Tahoma"/>
          <w:sz w:val="20"/>
          <w:szCs w:val="20"/>
        </w:rPr>
        <w:t>Aprovar</w:t>
      </w:r>
      <w:bookmarkEnd w:id="1"/>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2"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2"/>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0ACF5590"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33A10">
        <w:rPr>
          <w:rFonts w:ascii="Tahoma" w:hAnsi="Tahoma" w:cs="Tahoma"/>
          <w:sz w:val="20"/>
          <w:szCs w:val="20"/>
        </w:rPr>
        <w:t>[30]</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514B" w14:textId="77777777" w:rsidR="006262D2" w:rsidRDefault="006262D2">
      <w:r>
        <w:separator/>
      </w:r>
    </w:p>
  </w:endnote>
  <w:endnote w:type="continuationSeparator" w:id="0">
    <w:p w14:paraId="1388605B" w14:textId="77777777" w:rsidR="006262D2" w:rsidRDefault="006262D2">
      <w:r>
        <w:continuationSeparator/>
      </w:r>
    </w:p>
  </w:endnote>
  <w:endnote w:type="continuationNotice" w:id="1">
    <w:p w14:paraId="0013E6D6" w14:textId="77777777" w:rsidR="006262D2" w:rsidRDefault="0062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73BA" w14:textId="77777777" w:rsidR="006262D2" w:rsidRDefault="006262D2">
      <w:r>
        <w:separator/>
      </w:r>
    </w:p>
  </w:footnote>
  <w:footnote w:type="continuationSeparator" w:id="0">
    <w:p w14:paraId="00BD7FDA" w14:textId="77777777" w:rsidR="006262D2" w:rsidRDefault="006262D2">
      <w:r>
        <w:continuationSeparator/>
      </w:r>
    </w:p>
  </w:footnote>
  <w:footnote w:type="continuationNotice" w:id="1">
    <w:p w14:paraId="755A9B8C" w14:textId="77777777" w:rsidR="006262D2" w:rsidRDefault="00626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435A6"/>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3A10"/>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62D2"/>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20E2"/>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2.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17</cp:revision>
  <cp:lastPrinted>2013-04-11T17:48:00Z</cp:lastPrinted>
  <dcterms:created xsi:type="dcterms:W3CDTF">2021-11-08T17:29:00Z</dcterms:created>
  <dcterms:modified xsi:type="dcterms:W3CDTF">2021-11-23T17:47:00Z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