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6F" w:rsidRPr="00BE5F05" w:rsidRDefault="00DD716F" w:rsidP="005302FC">
      <w:pPr>
        <w:pStyle w:val="DeltaViewTableBody"/>
        <w:pBdr>
          <w:bottom w:val="double" w:sz="6" w:space="4" w:color="auto"/>
        </w:pBdr>
        <w:autoSpaceDE/>
        <w:autoSpaceDN/>
        <w:adjustRightInd/>
        <w:spacing w:line="290" w:lineRule="auto"/>
        <w:rPr>
          <w:rFonts w:ascii="Tahoma" w:hAnsi="Tahoma" w:cs="Tahoma"/>
          <w:smallCaps/>
          <w:color w:val="000000"/>
          <w:sz w:val="22"/>
          <w:szCs w:val="22"/>
          <w:lang w:val="pt-BR"/>
        </w:rPr>
      </w:pPr>
    </w:p>
    <w:p w:rsidR="00F22D4A" w:rsidRPr="00F22D4A" w:rsidRDefault="00F22D4A" w:rsidP="005302FC">
      <w:pPr>
        <w:pStyle w:val="Ttulo"/>
        <w:spacing w:before="0" w:after="140"/>
        <w:rPr>
          <w:rFonts w:cs="Tahoma"/>
          <w:szCs w:val="22"/>
        </w:rPr>
      </w:pPr>
    </w:p>
    <w:p w:rsidR="00DD716F" w:rsidRPr="003E3D7A" w:rsidRDefault="00DD716F" w:rsidP="005302FC">
      <w:pPr>
        <w:pStyle w:val="Ttulo"/>
        <w:spacing w:before="0" w:after="140"/>
        <w:rPr>
          <w:rFonts w:cs="Tahoma"/>
          <w:szCs w:val="22"/>
        </w:rPr>
      </w:pPr>
      <w:r w:rsidRPr="003E3D7A">
        <w:rPr>
          <w:rFonts w:cs="Tahoma"/>
          <w:szCs w:val="22"/>
        </w:rPr>
        <w:t xml:space="preserve">ESCRITURA PARTICULAR DA </w:t>
      </w:r>
      <w:r w:rsidR="00AA5DF1">
        <w:rPr>
          <w:rFonts w:cs="Tahoma"/>
          <w:szCs w:val="22"/>
        </w:rPr>
        <w:t>1</w:t>
      </w:r>
      <w:r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Pr="00D42BA3">
        <w:rPr>
          <w:rFonts w:cs="Tahoma"/>
          <w:szCs w:val="22"/>
        </w:rPr>
        <w:t xml:space="preserve"> EMISSÃO DE DEBÊNTURES </w:t>
      </w:r>
      <w:bookmarkStart w:id="0" w:name="_DV_C5"/>
      <w:r w:rsidRPr="00D42BA3">
        <w:rPr>
          <w:rFonts w:cs="Tahoma"/>
          <w:szCs w:val="22"/>
        </w:rPr>
        <w:t xml:space="preserve">SIMPLES, </w:t>
      </w:r>
      <w:bookmarkStart w:id="1" w:name="_DV_M1"/>
      <w:bookmarkEnd w:id="0"/>
      <w:bookmarkEnd w:id="1"/>
      <w:r w:rsidRPr="00D42BA3">
        <w:rPr>
          <w:rFonts w:cs="Tahoma"/>
          <w:szCs w:val="22"/>
        </w:rPr>
        <w:t>NÃO CONVERSÍVEIS EM AÇÕES</w:t>
      </w:r>
      <w:r w:rsidRPr="00DD4E1B">
        <w:rPr>
          <w:rFonts w:cs="Tahoma"/>
          <w:szCs w:val="22"/>
        </w:rPr>
        <w:t xml:space="preserve">, </w:t>
      </w:r>
      <w:bookmarkStart w:id="2" w:name="_DV_C6"/>
      <w:r w:rsidRPr="00DD4E1B">
        <w:rPr>
          <w:rFonts w:cs="Tahoma"/>
          <w:szCs w:val="22"/>
        </w:rPr>
        <w:t xml:space="preserve">DA ESPÉCIE QUIROGRAFÁRIA, </w:t>
      </w:r>
      <w:bookmarkStart w:id="3" w:name="_DV_M2"/>
      <w:bookmarkEnd w:id="2"/>
      <w:bookmarkEnd w:id="3"/>
      <w:r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bookmarkStart w:id="4" w:name="_GoBack"/>
      <w:bookmarkEnd w:id="4"/>
      <w:r w:rsidR="00CC6EE6" w:rsidRPr="00BE5F05">
        <w:rPr>
          <w:rFonts w:cs="Tahoma"/>
          <w:szCs w:val="22"/>
        </w:rPr>
        <w:t>S.A.</w:t>
      </w:r>
    </w:p>
    <w:p w:rsidR="00DD716F" w:rsidRDefault="00DD716F" w:rsidP="005302FC">
      <w:pPr>
        <w:pStyle w:val="Ttulo"/>
        <w:keepNext w:val="0"/>
        <w:spacing w:before="0" w:after="140"/>
        <w:rPr>
          <w:rFonts w:cs="Tahoma"/>
          <w:szCs w:val="22"/>
        </w:rPr>
      </w:pPr>
    </w:p>
    <w:p w:rsidR="00CC6EE6" w:rsidRDefault="00CC6EE6" w:rsidP="005302FC">
      <w:pPr>
        <w:pStyle w:val="Body"/>
      </w:pPr>
    </w:p>
    <w:p w:rsidR="00CC6EE6" w:rsidRPr="00CC6EE6" w:rsidRDefault="00CC6EE6" w:rsidP="005302FC">
      <w:pPr>
        <w:pStyle w:val="Body"/>
      </w:pPr>
    </w:p>
    <w:p w:rsidR="00DD716F" w:rsidRPr="00BE5F05" w:rsidRDefault="00DD716F" w:rsidP="005302FC">
      <w:pPr>
        <w:pStyle w:val="Ttulo"/>
        <w:keepNext w:val="0"/>
        <w:spacing w:before="0" w:after="140"/>
        <w:jc w:val="center"/>
        <w:rPr>
          <w:rFonts w:cs="Tahoma"/>
          <w:szCs w:val="22"/>
        </w:rPr>
      </w:pPr>
      <w:r w:rsidRPr="00BE5F05">
        <w:rPr>
          <w:rFonts w:cs="Tahoma"/>
          <w:b w:val="0"/>
          <w:szCs w:val="22"/>
        </w:rPr>
        <w:t>entre</w:t>
      </w:r>
    </w:p>
    <w:p w:rsidR="00DD716F" w:rsidRDefault="00DD716F" w:rsidP="005302FC">
      <w:pPr>
        <w:pStyle w:val="Ttulo"/>
        <w:keepNext w:val="0"/>
        <w:spacing w:before="0" w:after="140"/>
        <w:rPr>
          <w:rFonts w:cs="Tahoma"/>
          <w:szCs w:val="22"/>
        </w:rPr>
      </w:pPr>
    </w:p>
    <w:p w:rsidR="00CC6EE6" w:rsidRDefault="00CC6EE6" w:rsidP="005302FC">
      <w:pPr>
        <w:pStyle w:val="Body"/>
      </w:pPr>
    </w:p>
    <w:p w:rsidR="00CC6EE6" w:rsidRPr="00CC6EE6" w:rsidRDefault="00CC6EE6" w:rsidP="005302FC">
      <w:pPr>
        <w:pStyle w:val="Body"/>
      </w:pPr>
    </w:p>
    <w:p w:rsidR="00DD716F" w:rsidRPr="003E3D7A" w:rsidRDefault="00CC6EE6" w:rsidP="005302FC">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rsidR="00DD716F" w:rsidRDefault="00DD716F" w:rsidP="005302FC">
      <w:pPr>
        <w:pStyle w:val="Ttulo"/>
        <w:keepNext w:val="0"/>
        <w:spacing w:before="0" w:after="140"/>
        <w:rPr>
          <w:rFonts w:cs="Tahoma"/>
          <w:szCs w:val="22"/>
        </w:rPr>
      </w:pPr>
    </w:p>
    <w:p w:rsidR="00CC6EE6" w:rsidRPr="00CC6EE6" w:rsidRDefault="00CC6EE6" w:rsidP="005302FC">
      <w:pPr>
        <w:pStyle w:val="Body"/>
      </w:pPr>
    </w:p>
    <w:p w:rsidR="00CC6EE6" w:rsidRPr="00CC6EE6" w:rsidRDefault="00CC6EE6" w:rsidP="005302FC">
      <w:pPr>
        <w:pStyle w:val="Body"/>
      </w:pPr>
    </w:p>
    <w:p w:rsidR="00DD716F" w:rsidRPr="00BE5F05" w:rsidRDefault="00DD716F" w:rsidP="005302FC">
      <w:pPr>
        <w:pStyle w:val="Ttulo"/>
        <w:keepNext w:val="0"/>
        <w:spacing w:before="0" w:after="140"/>
        <w:jc w:val="center"/>
        <w:rPr>
          <w:rFonts w:cs="Tahoma"/>
          <w:szCs w:val="22"/>
        </w:rPr>
      </w:pPr>
      <w:r w:rsidRPr="00BE5F05">
        <w:rPr>
          <w:rFonts w:cs="Tahoma"/>
          <w:szCs w:val="22"/>
        </w:rPr>
        <w:t>e</w:t>
      </w:r>
    </w:p>
    <w:p w:rsidR="00DD716F" w:rsidRDefault="00DD716F" w:rsidP="005302FC">
      <w:pPr>
        <w:pStyle w:val="Ttulo"/>
        <w:keepNext w:val="0"/>
        <w:spacing w:before="0" w:after="140"/>
        <w:rPr>
          <w:rFonts w:cs="Tahoma"/>
          <w:szCs w:val="22"/>
        </w:rPr>
      </w:pPr>
    </w:p>
    <w:p w:rsidR="00CC6EE6" w:rsidRDefault="00CC6EE6" w:rsidP="005302FC">
      <w:pPr>
        <w:pStyle w:val="Body"/>
      </w:pPr>
    </w:p>
    <w:p w:rsidR="00CC6EE6" w:rsidRPr="00CC6EE6" w:rsidRDefault="00CC6EE6" w:rsidP="005302FC">
      <w:pPr>
        <w:pStyle w:val="Body"/>
      </w:pPr>
    </w:p>
    <w:p w:rsidR="00DD716F" w:rsidRPr="00BE5F05" w:rsidRDefault="00DD716F" w:rsidP="005302FC">
      <w:pPr>
        <w:pStyle w:val="Ttulo"/>
        <w:keepNext w:val="0"/>
        <w:spacing w:before="0" w:after="140"/>
        <w:jc w:val="center"/>
        <w:rPr>
          <w:rFonts w:cs="Tahoma"/>
          <w:b w:val="0"/>
          <w:szCs w:val="22"/>
        </w:rPr>
      </w:pPr>
      <w:r w:rsidRPr="00BE5F05">
        <w:rPr>
          <w:rFonts w:cs="Tahoma"/>
          <w:szCs w:val="22"/>
        </w:rPr>
        <w:t>[•]</w:t>
      </w:r>
      <w:r w:rsidRPr="00BE5F05">
        <w:rPr>
          <w:rFonts w:cs="Tahoma"/>
          <w:smallCaps/>
          <w:szCs w:val="22"/>
        </w:rPr>
        <w:br/>
      </w:r>
      <w:r w:rsidRPr="00BE5F05">
        <w:rPr>
          <w:rFonts w:cs="Tahoma"/>
          <w:b w:val="0"/>
          <w:i/>
          <w:iCs/>
          <w:szCs w:val="22"/>
        </w:rPr>
        <w:t>como Agente Fiduciário, representando a comunhão de Debenturistas</w:t>
      </w:r>
    </w:p>
    <w:p w:rsidR="00DD716F" w:rsidRPr="00BE5F05" w:rsidRDefault="00DD716F" w:rsidP="005302FC">
      <w:pPr>
        <w:pStyle w:val="Ttulo"/>
        <w:keepNext w:val="0"/>
        <w:spacing w:before="0" w:after="140"/>
        <w:jc w:val="center"/>
        <w:rPr>
          <w:rFonts w:cs="Tahoma"/>
          <w:szCs w:val="22"/>
        </w:rPr>
      </w:pPr>
    </w:p>
    <w:p w:rsidR="00DD716F" w:rsidRPr="00BE5F05" w:rsidRDefault="00DD716F" w:rsidP="005302FC">
      <w:pPr>
        <w:pStyle w:val="Ttulo"/>
        <w:keepNext w:val="0"/>
        <w:spacing w:before="0" w:after="140"/>
        <w:jc w:val="center"/>
        <w:rPr>
          <w:rFonts w:cs="Tahoma"/>
          <w:szCs w:val="22"/>
        </w:rPr>
      </w:pPr>
    </w:p>
    <w:p w:rsidR="00DD716F" w:rsidRPr="00BE5F05" w:rsidRDefault="00DD716F" w:rsidP="005302FC">
      <w:pPr>
        <w:pStyle w:val="Ttulo"/>
        <w:keepNext w:val="0"/>
        <w:spacing w:before="0" w:after="140"/>
        <w:jc w:val="center"/>
        <w:rPr>
          <w:rFonts w:cs="Tahoma"/>
          <w:szCs w:val="22"/>
        </w:rPr>
      </w:pPr>
      <w:r w:rsidRPr="00BE5F05">
        <w:rPr>
          <w:rFonts w:cs="Tahoma"/>
          <w:szCs w:val="22"/>
        </w:rPr>
        <w:t>________________________</w:t>
      </w:r>
    </w:p>
    <w:p w:rsidR="00DD716F" w:rsidRPr="00BE5F05" w:rsidRDefault="00DD716F" w:rsidP="005302FC">
      <w:pPr>
        <w:pStyle w:val="Ttulo"/>
        <w:keepNext w:val="0"/>
        <w:spacing w:before="0" w:after="140"/>
        <w:jc w:val="center"/>
        <w:rPr>
          <w:rFonts w:cs="Tahoma"/>
          <w:szCs w:val="22"/>
        </w:rPr>
      </w:pPr>
      <w:r w:rsidRPr="00BE5F05">
        <w:rPr>
          <w:rFonts w:cs="Tahoma"/>
          <w:szCs w:val="22"/>
        </w:rPr>
        <w:t>Datado de</w:t>
      </w:r>
    </w:p>
    <w:p w:rsidR="00DD716F" w:rsidRPr="00BE5F05" w:rsidRDefault="00DD716F" w:rsidP="005302FC">
      <w:pPr>
        <w:pStyle w:val="Ttulo"/>
        <w:keepNext w:val="0"/>
        <w:spacing w:before="0" w:after="140"/>
        <w:jc w:val="center"/>
        <w:rPr>
          <w:rFonts w:cs="Tahoma"/>
          <w:szCs w:val="22"/>
        </w:rPr>
      </w:pPr>
      <w:r w:rsidRPr="00BE5F05">
        <w:rPr>
          <w:rFonts w:cs="Tahoma"/>
          <w:szCs w:val="22"/>
        </w:rPr>
        <w:t>[•] de [•] de 20</w:t>
      </w:r>
      <w:r w:rsidR="00A542D1">
        <w:rPr>
          <w:rFonts w:cs="Tahoma"/>
          <w:szCs w:val="22"/>
        </w:rPr>
        <w:t>20</w:t>
      </w:r>
    </w:p>
    <w:p w:rsidR="00DD716F" w:rsidRPr="00BE5F05" w:rsidRDefault="00DD716F" w:rsidP="005302FC">
      <w:pPr>
        <w:pStyle w:val="Ttulo"/>
        <w:keepNext w:val="0"/>
        <w:spacing w:before="0" w:after="140"/>
        <w:jc w:val="center"/>
        <w:rPr>
          <w:rFonts w:cs="Tahoma"/>
          <w:szCs w:val="22"/>
        </w:rPr>
      </w:pPr>
      <w:r w:rsidRPr="00BE5F05">
        <w:rPr>
          <w:rFonts w:cs="Tahoma"/>
          <w:szCs w:val="22"/>
        </w:rPr>
        <w:t>________________________</w:t>
      </w:r>
    </w:p>
    <w:p w:rsidR="00DD716F" w:rsidRPr="00960BA0" w:rsidRDefault="00DD716F" w:rsidP="005302FC">
      <w:pPr>
        <w:pStyle w:val="TtuloAnexo"/>
        <w:jc w:val="both"/>
        <w:rPr>
          <w:rFonts w:cs="Tahoma"/>
          <w:smallCaps/>
        </w:rPr>
      </w:pPr>
      <w:r w:rsidRPr="00960BA0">
        <w:rPr>
          <w:rFonts w:cs="Tahoma"/>
        </w:rPr>
        <w:lastRenderedPageBreak/>
        <w:t xml:space="preserve">ESCRITURA PARTICULAR DA </w:t>
      </w:r>
      <w:r w:rsidR="00CC6EE6">
        <w:rPr>
          <w:rFonts w:cs="Tahoma"/>
        </w:rPr>
        <w:t>1</w:t>
      </w:r>
      <w:r w:rsidRPr="00960BA0">
        <w:rPr>
          <w:rFonts w:cs="Tahoma"/>
        </w:rPr>
        <w:t>ª (</w:t>
      </w:r>
      <w:r w:rsidR="00CC6EE6">
        <w:rPr>
          <w:rFonts w:cs="Tahoma"/>
        </w:rPr>
        <w:t>PRIMEIRA</w:t>
      </w:r>
      <w:r w:rsidRPr="00960BA0">
        <w:rPr>
          <w:rFonts w:cs="Tahoma"/>
        </w:rPr>
        <w:t xml:space="preserve">) EMISSÃO DE DEBÊNTURES SIMPLES, NÃO CONVERSÍVEIS EM AÇÕES, DA ESPÉCIE QUIROGRAFÁRIA, 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rsidR="00DD716F" w:rsidRPr="00960BA0" w:rsidRDefault="00DD716F" w:rsidP="005302FC">
      <w:pPr>
        <w:pStyle w:val="Body"/>
        <w:rPr>
          <w:rFonts w:cs="Tahoma"/>
        </w:rPr>
      </w:pPr>
      <w:r w:rsidRPr="00960BA0">
        <w:rPr>
          <w:rFonts w:cs="Tahoma"/>
        </w:rPr>
        <w:t>São partes (“</w:t>
      </w:r>
      <w:r w:rsidRPr="00960BA0">
        <w:rPr>
          <w:rFonts w:cs="Tahoma"/>
          <w:b/>
        </w:rPr>
        <w:t>Partes</w:t>
      </w:r>
      <w:r w:rsidRPr="00960BA0">
        <w:rPr>
          <w:rFonts w:cs="Tahoma"/>
        </w:rPr>
        <w:t xml:space="preserve">”) nesta “Escritura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 (“</w:t>
      </w:r>
      <w:r w:rsidRPr="00960BA0">
        <w:rPr>
          <w:rFonts w:cs="Tahoma"/>
          <w:b/>
        </w:rPr>
        <w:t>Escritura de Emissão</w:t>
      </w:r>
      <w:r w:rsidRPr="00960BA0">
        <w:rPr>
          <w:rFonts w:cs="Tahoma"/>
        </w:rPr>
        <w:t>”):</w:t>
      </w:r>
    </w:p>
    <w:p w:rsidR="00DD716F" w:rsidRPr="00960BA0" w:rsidRDefault="00DD716F" w:rsidP="005302FC">
      <w:pPr>
        <w:pStyle w:val="UCRoman1"/>
        <w:rPr>
          <w:rFonts w:cs="Tahoma"/>
        </w:rPr>
      </w:pPr>
      <w:r w:rsidRPr="00960BA0">
        <w:rPr>
          <w:rFonts w:cs="Tahoma"/>
        </w:rPr>
        <w:t>como emissora das Debêntures (conforme abaixo definido):</w:t>
      </w:r>
    </w:p>
    <w:p w:rsidR="00DD716F" w:rsidRPr="00960BA0" w:rsidRDefault="00CC6EE6" w:rsidP="005302FC">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rsidR="00DD716F" w:rsidRPr="00960BA0" w:rsidRDefault="00DD716F" w:rsidP="005302FC">
      <w:pPr>
        <w:pStyle w:val="UCRoman1"/>
        <w:rPr>
          <w:rFonts w:cs="Tahoma"/>
        </w:rPr>
      </w:pPr>
      <w:r w:rsidRPr="00960BA0">
        <w:rPr>
          <w:rFonts w:cs="Tahoma"/>
        </w:rPr>
        <w:t>como agente fiduciário, nomeado nesta Escritura de Emissão e nela interveniente, representando a comunhão dos Debenturistas (conforme abaixo definido):</w:t>
      </w:r>
    </w:p>
    <w:p w:rsidR="00DD716F" w:rsidRPr="00960BA0" w:rsidRDefault="00DD716F" w:rsidP="005302FC">
      <w:pPr>
        <w:pStyle w:val="Body"/>
        <w:rPr>
          <w:rFonts w:cs="Tahoma"/>
          <w:b/>
          <w:color w:val="000000"/>
        </w:rPr>
      </w:pPr>
      <w:r w:rsidRPr="00960BA0">
        <w:rPr>
          <w:rFonts w:eastAsia="MS Mincho" w:cs="Tahoma"/>
          <w:b/>
          <w:smallCaps/>
        </w:rPr>
        <w:t>[•]</w:t>
      </w:r>
      <w:r w:rsidRPr="00960BA0">
        <w:rPr>
          <w:rFonts w:cs="Tahoma"/>
        </w:rPr>
        <w:t>, instituição financeira, com sede na Cidade de [•], Estado de [•], na [•], inscrita perante o CNPJ/ME sob o nº [•], neste ato representada por seus representantes legais constituídos na forma do seu estatuto social e identificados na respectiva página de assinatura deste instrumento</w:t>
      </w:r>
      <w:r w:rsidRPr="00960BA0">
        <w:rPr>
          <w:rFonts w:cs="Tahoma"/>
          <w:color w:val="000000"/>
        </w:rPr>
        <w:t xml:space="preserve"> (“</w:t>
      </w:r>
      <w:r w:rsidRPr="00960BA0">
        <w:rPr>
          <w:rFonts w:cs="Tahoma"/>
          <w:b/>
          <w:color w:val="000000"/>
        </w:rPr>
        <w:t>Agente Fiduciário</w:t>
      </w:r>
      <w:r w:rsidRPr="00960BA0">
        <w:rPr>
          <w:rFonts w:cs="Tahoma"/>
          <w:color w:val="000000"/>
        </w:rPr>
        <w:t xml:space="preserve">”). </w:t>
      </w:r>
    </w:p>
    <w:p w:rsidR="00DD716F" w:rsidRPr="00960BA0" w:rsidRDefault="00DD716F" w:rsidP="005302FC">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rsidR="00BD75BA" w:rsidRDefault="00BD75BA" w:rsidP="005302FC">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"Aditamento"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5.7.1.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rsidTr="00F14B0D">
        <w:trPr>
          <w:trHeight w:val="5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"Avisos aos Debenturistas"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rsidTr="00F14B0D">
        <w:trPr>
          <w:trHeight w:val="1425"/>
        </w:trPr>
        <w:tc>
          <w:tcPr>
            <w:tcW w:w="3119" w:type="dxa"/>
            <w:shd w:val="clear" w:color="auto" w:fill="auto"/>
            <w:vAlign w:val="center"/>
            <w:hideMark/>
          </w:tcPr>
          <w:p w:rsidR="00BD75BA" w:rsidRPr="009437E1" w:rsidRDefault="00BD75BA" w:rsidP="002522A7">
            <w:pPr>
              <w:widowControl w:val="0"/>
              <w:spacing w:before="120" w:after="12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rsidR="00BD75BA" w:rsidRPr="009437E1" w:rsidRDefault="00BD75BA" w:rsidP="002522A7">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rsidTr="00F14B0D">
        <w:trPr>
          <w:trHeight w:val="855"/>
        </w:trPr>
        <w:tc>
          <w:tcPr>
            <w:tcW w:w="3119" w:type="dxa"/>
            <w:shd w:val="clear" w:color="auto" w:fill="auto"/>
            <w:vAlign w:val="center"/>
            <w:hideMark/>
          </w:tcPr>
          <w:p w:rsidR="00BD75BA" w:rsidRPr="00C62A81" w:rsidRDefault="00BD75BA" w:rsidP="00B85D15">
            <w:pPr>
              <w:widowControl w:val="0"/>
              <w:spacing w:before="120" w:after="12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rsidR="00BD75BA" w:rsidRPr="00C62A81" w:rsidRDefault="00BD75BA" w:rsidP="00B85D15">
            <w:pPr>
              <w:widowControl w:val="0"/>
              <w:spacing w:before="120" w:after="12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401564" w:rsidRPr="009437E1" w:rsidTr="00F14B0D">
        <w:trPr>
          <w:trHeight w:val="300"/>
        </w:trPr>
        <w:tc>
          <w:tcPr>
            <w:tcW w:w="3119" w:type="dxa"/>
            <w:shd w:val="clear" w:color="auto" w:fill="auto"/>
            <w:vAlign w:val="center"/>
          </w:tcPr>
          <w:p w:rsidR="00401564" w:rsidRPr="009437E1" w:rsidRDefault="00401564"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"Contrato</w:t>
            </w:r>
            <w:r>
              <w:rPr>
                <w:rFonts w:cs="Tahoma"/>
                <w:b/>
                <w:bCs/>
                <w:color w:val="000000" w:themeColor="text1"/>
                <w:szCs w:val="20"/>
              </w:rPr>
              <w:t>s</w:t>
            </w:r>
            <w:r w:rsidRPr="009437E1">
              <w:rPr>
                <w:rFonts w:cs="Tahoma"/>
                <w:b/>
                <w:bCs/>
                <w:color w:val="000000" w:themeColor="text1"/>
                <w:szCs w:val="20"/>
              </w:rPr>
              <w:t xml:space="preserve"> d</w:t>
            </w:r>
            <w:r>
              <w:rPr>
                <w:rFonts w:cs="Tahoma"/>
                <w:b/>
                <w:bCs/>
                <w:color w:val="000000" w:themeColor="text1"/>
                <w:szCs w:val="20"/>
              </w:rPr>
              <w:t>o</w:t>
            </w:r>
            <w:r w:rsidRPr="009437E1">
              <w:rPr>
                <w:rFonts w:cs="Tahoma"/>
                <w:b/>
                <w:bCs/>
                <w:color w:val="000000" w:themeColor="text1"/>
                <w:szCs w:val="20"/>
              </w:rPr>
              <w:t xml:space="preserve"> </w:t>
            </w:r>
            <w:r>
              <w:rPr>
                <w:rFonts w:cs="Tahoma"/>
                <w:b/>
                <w:bCs/>
                <w:color w:val="000000" w:themeColor="text1"/>
                <w:szCs w:val="20"/>
              </w:rPr>
              <w:t>Projeto</w:t>
            </w:r>
            <w:r w:rsidRPr="009437E1">
              <w:rPr>
                <w:rFonts w:cs="Tahoma"/>
                <w:b/>
                <w:bCs/>
                <w:color w:val="000000" w:themeColor="text1"/>
                <w:szCs w:val="20"/>
              </w:rPr>
              <w:t>"</w:t>
            </w:r>
          </w:p>
        </w:tc>
        <w:tc>
          <w:tcPr>
            <w:tcW w:w="5612" w:type="dxa"/>
            <w:shd w:val="clear" w:color="auto" w:fill="auto"/>
            <w:vAlign w:val="center"/>
          </w:tcPr>
          <w:p w:rsidR="00401564" w:rsidRPr="009437E1" w:rsidRDefault="00401564" w:rsidP="00B85D15">
            <w:pPr>
              <w:widowControl w:val="0"/>
              <w:spacing w:before="120" w:after="120" w:line="290" w:lineRule="auto"/>
              <w:rPr>
                <w:rFonts w:cs="Tahoma"/>
                <w:color w:val="000000" w:themeColor="text1"/>
                <w:szCs w:val="20"/>
              </w:rPr>
            </w:pPr>
            <w:r>
              <w:rPr>
                <w:rFonts w:cs="Tahoma"/>
                <w:color w:val="000000" w:themeColor="text1"/>
                <w:szCs w:val="20"/>
              </w:rPr>
              <w:t>Significa [</w:t>
            </w:r>
            <w:r w:rsidRPr="00D61FD1">
              <w:rPr>
                <w:rFonts w:cs="Tahoma"/>
                <w:i/>
                <w:color w:val="000000" w:themeColor="text1"/>
                <w:szCs w:val="20"/>
                <w:highlight w:val="lightGray"/>
              </w:rPr>
              <w:t>descrição a ser incluída</w:t>
            </w:r>
            <w:r>
              <w:rPr>
                <w:rFonts w:cs="Tahoma"/>
                <w:color w:val="000000" w:themeColor="text1"/>
                <w:szCs w:val="20"/>
              </w:rPr>
              <w:t>].</w:t>
            </w:r>
          </w:p>
        </w:tc>
      </w:tr>
      <w:tr w:rsidR="00AB224F" w:rsidRPr="009437E1" w:rsidTr="00F14B0D">
        <w:trPr>
          <w:trHeight w:val="855"/>
        </w:trPr>
        <w:tc>
          <w:tcPr>
            <w:tcW w:w="3119" w:type="dxa"/>
            <w:shd w:val="clear" w:color="auto" w:fill="auto"/>
            <w:vAlign w:val="center"/>
          </w:tcPr>
          <w:p w:rsidR="00AB224F" w:rsidRPr="009437E1" w:rsidRDefault="00AB224F" w:rsidP="00B85D15">
            <w:pPr>
              <w:widowControl w:val="0"/>
              <w:spacing w:before="120" w:after="12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rsidR="00AB224F" w:rsidRDefault="00AB224F"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rsidTr="00F14B0D">
        <w:trPr>
          <w:trHeight w:val="855"/>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"Controladas</w:t>
            </w:r>
            <w:r w:rsidR="00C64FB3">
              <w:rPr>
                <w:rFonts w:cs="Tahoma"/>
                <w:b/>
                <w:bCs/>
                <w:color w:val="000000" w:themeColor="text1"/>
                <w:szCs w:val="20"/>
              </w:rPr>
              <w:t xml:space="preserve"> Relevantes</w:t>
            </w:r>
            <w:r w:rsidRPr="009437E1">
              <w:rPr>
                <w:rFonts w:cs="Tahoma"/>
                <w:b/>
                <w:bCs/>
                <w:color w:val="000000" w:themeColor="text1"/>
                <w:szCs w:val="20"/>
              </w:rPr>
              <w:t>"</w:t>
            </w:r>
          </w:p>
        </w:tc>
        <w:tc>
          <w:tcPr>
            <w:tcW w:w="5612" w:type="dxa"/>
            <w:shd w:val="clear" w:color="auto" w:fill="auto"/>
            <w:vAlign w:val="center"/>
            <w:hideMark/>
          </w:tcPr>
          <w:p w:rsidR="00BD75BA" w:rsidRPr="009437E1" w:rsidRDefault="00BD75BA" w:rsidP="002F3EFB">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r w:rsidR="00C5475E">
              <w:rPr>
                <w:rFonts w:cs="Tahoma"/>
                <w:color w:val="000000" w:themeColor="text1"/>
                <w:szCs w:val="20"/>
              </w:rPr>
              <w:t xml:space="preserve"> que representem </w:t>
            </w:r>
            <w:r w:rsidR="00086969">
              <w:rPr>
                <w:rFonts w:cs="Tahoma"/>
                <w:color w:val="000000" w:themeColor="text1"/>
                <w:szCs w:val="20"/>
              </w:rPr>
              <w:t xml:space="preserve">individualmente </w:t>
            </w:r>
            <w:r w:rsidR="00C5475E">
              <w:rPr>
                <w:rFonts w:cs="Tahoma"/>
                <w:color w:val="000000" w:themeColor="text1"/>
                <w:szCs w:val="20"/>
              </w:rPr>
              <w:t xml:space="preserve">mais do que </w:t>
            </w:r>
            <w:r w:rsidR="007B35AA" w:rsidRPr="007D1927">
              <w:rPr>
                <w:rFonts w:cs="Tahoma"/>
                <w:color w:val="000000" w:themeColor="text1"/>
                <w:szCs w:val="20"/>
              </w:rPr>
              <w:t>15</w:t>
            </w:r>
            <w:r w:rsidR="00C5475E" w:rsidRPr="007D1927">
              <w:rPr>
                <w:rFonts w:cs="Tahoma"/>
                <w:color w:val="000000" w:themeColor="text1"/>
                <w:szCs w:val="20"/>
              </w:rPr>
              <w:t>% (</w:t>
            </w:r>
            <w:r w:rsidR="007B35AA" w:rsidRPr="007D1927">
              <w:rPr>
                <w:rFonts w:cs="Tahoma"/>
                <w:color w:val="000000" w:themeColor="text1"/>
                <w:szCs w:val="20"/>
              </w:rPr>
              <w:t>quinze po</w:t>
            </w:r>
            <w:r w:rsidR="007D1927">
              <w:rPr>
                <w:rFonts w:cs="Tahoma"/>
                <w:color w:val="000000" w:themeColor="text1"/>
                <w:szCs w:val="20"/>
              </w:rPr>
              <w:t>r</w:t>
            </w:r>
            <w:r w:rsidR="007B35AA" w:rsidRPr="007D1927">
              <w:rPr>
                <w:rFonts w:cs="Tahoma"/>
                <w:color w:val="000000" w:themeColor="text1"/>
                <w:szCs w:val="20"/>
              </w:rPr>
              <w:t xml:space="preserve"> cento</w:t>
            </w:r>
            <w:r w:rsidR="00C5475E" w:rsidRPr="007D1927">
              <w:rPr>
                <w:rFonts w:cs="Tahoma"/>
                <w:color w:val="000000" w:themeColor="text1"/>
                <w:szCs w:val="20"/>
              </w:rPr>
              <w:t>)</w:t>
            </w:r>
            <w:r w:rsidR="00C5475E">
              <w:rPr>
                <w:rFonts w:cs="Tahoma"/>
                <w:color w:val="000000" w:themeColor="text1"/>
                <w:szCs w:val="20"/>
              </w:rPr>
              <w:t xml:space="preserve"> do EBITDA consolidado da Emissora</w:t>
            </w:r>
            <w:r w:rsidRPr="009437E1">
              <w:rPr>
                <w:rFonts w:cs="Tahoma"/>
                <w:color w:val="000000" w:themeColor="text1"/>
                <w:szCs w:val="20"/>
              </w:rPr>
              <w:t>.</w:t>
            </w:r>
            <w:r w:rsidR="00C5475E">
              <w:rPr>
                <w:rFonts w:cs="Tahoma"/>
                <w:color w:val="000000" w:themeColor="text1"/>
                <w:szCs w:val="20"/>
              </w:rPr>
              <w:t xml:space="preserve"> </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"Coordenadores"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"Data de Vencimento"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rsidTr="00F14B0D">
        <w:trPr>
          <w:trHeight w:val="5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rsidTr="00F14B0D">
        <w:trPr>
          <w:trHeight w:val="443"/>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rsidTr="00F14B0D">
        <w:trPr>
          <w:trHeight w:val="399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rsidR="00AB224F" w:rsidRPr="00086738" w:rsidRDefault="00BD75BA" w:rsidP="00B85D15">
            <w:pPr>
              <w:widowControl w:val="0"/>
              <w:spacing w:before="120" w:after="12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(ii) para demais finalidades, os dias em que os bancos comerciais não estão abertos ou estão autorizados, obrigados ou sob ordem regulatória de permanecerem fechados na Cidade de São Paulo, Estado de São Paulo; ou (iii)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rsidTr="002522A7">
        <w:trPr>
          <w:trHeight w:val="2127"/>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bookmarkStart w:id="5"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r w:rsidR="002F3EFB" w:rsidRPr="007D7AD4">
              <w:rPr>
                <w:rFonts w:cs="Tahoma"/>
                <w:bCs/>
                <w:color w:val="000000" w:themeColor="text1"/>
                <w:szCs w:val="20"/>
              </w:rPr>
              <w:t>[</w:t>
            </w:r>
            <w:r w:rsidR="002F3EFB" w:rsidRPr="007D7AD4">
              <w:rPr>
                <w:rFonts w:cs="Tahoma"/>
                <w:b/>
                <w:bCs/>
                <w:color w:val="000000" w:themeColor="text1"/>
                <w:szCs w:val="20"/>
                <w:highlight w:val="yellow"/>
              </w:rPr>
              <w:t xml:space="preserve">Nota LDR: </w:t>
            </w:r>
            <w:r w:rsidR="002F3EFB" w:rsidRPr="007D7AD4">
              <w:rPr>
                <w:rFonts w:cs="Tahoma"/>
                <w:bCs/>
                <w:color w:val="000000" w:themeColor="text1"/>
                <w:szCs w:val="20"/>
                <w:highlight w:val="yellow"/>
              </w:rPr>
              <w:t xml:space="preserve">Sob </w:t>
            </w:r>
            <w:r w:rsidR="000F7F11">
              <w:rPr>
                <w:rFonts w:cs="Tahoma"/>
                <w:bCs/>
                <w:color w:val="000000" w:themeColor="text1"/>
                <w:szCs w:val="20"/>
                <w:highlight w:val="yellow"/>
              </w:rPr>
              <w:t>revisão</w:t>
            </w:r>
            <w:r w:rsidR="002F3EFB" w:rsidRPr="007D7AD4">
              <w:rPr>
                <w:rFonts w:cs="Tahoma"/>
                <w:bCs/>
                <w:color w:val="000000" w:themeColor="text1"/>
                <w:szCs w:val="20"/>
              </w:rPr>
              <w:t>]</w:t>
            </w:r>
          </w:p>
        </w:tc>
        <w:tc>
          <w:tcPr>
            <w:tcW w:w="5612" w:type="dxa"/>
            <w:shd w:val="clear" w:color="auto" w:fill="auto"/>
            <w:vAlign w:val="center"/>
            <w:hideMark/>
          </w:tcPr>
          <w:p w:rsidR="00833330" w:rsidRPr="00086738" w:rsidRDefault="00833330" w:rsidP="00B85D15">
            <w:pPr>
              <w:widowControl w:val="0"/>
              <w:spacing w:before="120" w:after="120" w:line="290" w:lineRule="auto"/>
              <w:jc w:val="both"/>
              <w:rPr>
                <w:rFonts w:cs="Tahoma"/>
                <w:w w:val="0"/>
                <w:lang w:eastAsia="pt-BR"/>
              </w:rPr>
            </w:pPr>
            <w:r w:rsidRPr="00086738">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Pr="00086738">
              <w:rPr>
                <w:rFonts w:cs="Tahoma"/>
                <w:w w:val="0"/>
                <w:lang w:eastAsia="pt-BR"/>
              </w:rPr>
              <w:t xml:space="preserve"> </w:t>
            </w:r>
            <w:r w:rsidRPr="00C03633">
              <w:rPr>
                <w:rFonts w:cs="Tahoma"/>
                <w:w w:val="0"/>
                <w:lang w:eastAsia="pt-BR"/>
              </w:rPr>
              <w:t xml:space="preserve">Dívida Líquida </w:t>
            </w:r>
            <w:r w:rsidR="00B1451C">
              <w:rPr>
                <w:rFonts w:cs="Tahoma"/>
                <w:w w:val="0"/>
                <w:lang w:eastAsia="pt-BR"/>
              </w:rPr>
              <w:t>pelo</w:t>
            </w:r>
            <w:r w:rsidRPr="00086738">
              <w:rPr>
                <w:rFonts w:cs="Tahoma"/>
                <w:w w:val="0"/>
                <w:lang w:eastAsia="pt-BR"/>
              </w:rPr>
              <w:t xml:space="preserve"> </w:t>
            </w:r>
            <w:r w:rsidRPr="00C03633">
              <w:rPr>
                <w:rFonts w:cs="Tahoma"/>
                <w:w w:val="0"/>
                <w:lang w:eastAsia="pt-BR"/>
              </w:rPr>
              <w:t>EB</w:t>
            </w:r>
            <w:r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rsidR="00833330" w:rsidRPr="00C03633" w:rsidRDefault="00B1451C" w:rsidP="00B85D15">
            <w:pPr>
              <w:widowControl w:val="0"/>
              <w:spacing w:before="120" w:after="120" w:line="290" w:lineRule="auto"/>
              <w:jc w:val="both"/>
              <w:rPr>
                <w:rFonts w:cs="Tahoma"/>
                <w:w w:val="0"/>
                <w:lang w:eastAsia="pt-BR"/>
              </w:rPr>
            </w:pPr>
            <w:r>
              <w:rPr>
                <w:rFonts w:cs="Tahoma"/>
                <w:w w:val="0"/>
                <w:lang w:eastAsia="pt-BR"/>
              </w:rPr>
              <w:t>Onde</w:t>
            </w:r>
            <w:r w:rsidR="00833330" w:rsidRPr="00086738">
              <w:rPr>
                <w:rFonts w:cs="Tahoma"/>
                <w:w w:val="0"/>
                <w:lang w:eastAsia="pt-BR"/>
              </w:rPr>
              <w:t>:</w:t>
            </w:r>
          </w:p>
          <w:p w:rsidR="00B1451C" w:rsidRPr="00B85D15" w:rsidRDefault="00B1451C" w:rsidP="00B85D15">
            <w:pPr>
              <w:widowControl w:val="0"/>
              <w:spacing w:before="120" w:after="12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de empréstimos e financiamentos de curto e longo prazo, debêntures de curto e longo prazo contratados com </w:t>
            </w:r>
            <w:r w:rsidR="001C6796">
              <w:rPr>
                <w:rFonts w:eastAsia="Calibri" w:cs="Tahoma"/>
                <w:szCs w:val="20"/>
                <w:lang w:eastAsia="pt-BR"/>
              </w:rPr>
              <w:t xml:space="preserve">o Banco Nacional de Desenvolvimento Econômico e Social - </w:t>
            </w:r>
            <w:r w:rsidR="001C6796">
              <w:rPr>
                <w:rFonts w:eastAsia="Calibri" w:cs="Tahoma"/>
                <w:szCs w:val="20"/>
                <w:lang w:eastAsia="pt-BR"/>
              </w:rPr>
              <w:t xml:space="preserve">BNDES, </w:t>
            </w:r>
            <w:r w:rsidR="001C6796">
              <w:rPr>
                <w:rFonts w:eastAsia="Calibri" w:cs="Tahoma"/>
                <w:szCs w:val="20"/>
                <w:lang w:eastAsia="pt-BR"/>
              </w:rPr>
              <w:t>o Banco do Nordeste do Brasil (</w:t>
            </w:r>
            <w:r w:rsidR="001C6796">
              <w:rPr>
                <w:rFonts w:eastAsia="Calibri" w:cs="Tahoma"/>
                <w:szCs w:val="20"/>
                <w:lang w:eastAsia="pt-BR"/>
              </w:rPr>
              <w:t>BNB</w:t>
            </w:r>
            <w:r w:rsidR="001C6796">
              <w:rPr>
                <w:rFonts w:eastAsia="Calibri" w:cs="Tahoma"/>
                <w:szCs w:val="20"/>
                <w:lang w:eastAsia="pt-BR"/>
              </w:rPr>
              <w:t>) e com b</w:t>
            </w:r>
            <w:r w:rsidR="001C6796">
              <w:rPr>
                <w:rFonts w:eastAsia="Calibri" w:cs="Tahoma"/>
                <w:szCs w:val="20"/>
                <w:lang w:eastAsia="pt-BR"/>
              </w:rPr>
              <w:t xml:space="preserve">ancos </w:t>
            </w:r>
            <w:r w:rsidR="001C6796">
              <w:rPr>
                <w:rFonts w:eastAsia="Calibri" w:cs="Tahoma"/>
                <w:szCs w:val="20"/>
                <w:lang w:eastAsia="pt-BR"/>
              </w:rPr>
              <w:t>c</w:t>
            </w:r>
            <w:r w:rsidR="001C6796">
              <w:rPr>
                <w:rFonts w:eastAsia="Calibri" w:cs="Tahoma"/>
                <w:szCs w:val="20"/>
                <w:lang w:eastAsia="pt-BR"/>
              </w:rPr>
              <w:t>omerciais</w:t>
            </w:r>
            <w:r w:rsidR="001C6796">
              <w:rPr>
                <w:rFonts w:eastAsia="Calibri" w:cs="Tahoma"/>
                <w:szCs w:val="20"/>
                <w:lang w:eastAsia="pt-BR"/>
              </w:rPr>
              <w:t xml:space="preserve">,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r w:rsidRPr="00B85D15">
              <w:rPr>
                <w:rFonts w:eastAsia="Calibri" w:cs="Tahoma"/>
                <w:i/>
                <w:iCs/>
                <w:szCs w:val="20"/>
                <w:lang w:eastAsia="pt-BR"/>
              </w:rPr>
              <w:t>seller financing</w:t>
            </w:r>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stock exchange</w:t>
            </w:r>
            <w:r w:rsidRPr="00B85D15">
              <w:rPr>
                <w:rFonts w:eastAsia="Calibri" w:cs="Tahoma"/>
                <w:szCs w:val="20"/>
                <w:lang w:eastAsia="pt-BR"/>
              </w:rPr>
              <w:t>)</w:t>
            </w:r>
            <w:r>
              <w:rPr>
                <w:rFonts w:eastAsia="Calibri" w:cs="Tahoma"/>
                <w:szCs w:val="20"/>
                <w:lang w:eastAsia="pt-BR"/>
              </w:rPr>
              <w:t>.</w:t>
            </w:r>
          </w:p>
          <w:p w:rsidR="00833330" w:rsidRPr="002A7700" w:rsidRDefault="00833330" w:rsidP="00B85D15">
            <w:pPr>
              <w:widowControl w:val="0"/>
              <w:spacing w:before="120" w:after="12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lastRenderedPageBreak/>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rsidR="00BD75BA" w:rsidRPr="002A7700" w:rsidRDefault="00B1451C" w:rsidP="00B85D15">
            <w:pPr>
              <w:autoSpaceDE w:val="0"/>
              <w:autoSpaceDN w:val="0"/>
              <w:adjustRightInd w:val="0"/>
              <w:spacing w:before="120" w:after="12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r w:rsidR="001C6796" w:rsidRPr="001C6796">
              <w:rPr>
                <w:rFonts w:cs="Tahoma"/>
                <w:i/>
                <w:w w:val="0"/>
                <w:lang w:eastAsia="pt-BR"/>
              </w:rPr>
              <w:t>seller financing</w:t>
            </w:r>
            <w:r w:rsidR="001C6796" w:rsidRPr="001C6796">
              <w:rPr>
                <w:rFonts w:cs="Tahoma"/>
                <w:w w:val="0"/>
                <w:lang w:eastAsia="pt-BR"/>
              </w:rPr>
              <w:t xml:space="preserve"> no cálculo de Dívida</w:t>
            </w:r>
            <w:r w:rsidRPr="004812E6">
              <w:rPr>
                <w:rFonts w:cs="Tahoma"/>
                <w:w w:val="0"/>
                <w:lang w:eastAsia="pt-BR"/>
              </w:rPr>
              <w:t>.</w:t>
            </w:r>
          </w:p>
        </w:tc>
      </w:tr>
      <w:bookmarkEnd w:id="5"/>
      <w:tr w:rsidR="00BD75BA" w:rsidRPr="009437E1" w:rsidTr="00F14B0D">
        <w:trPr>
          <w:trHeight w:val="300"/>
        </w:trPr>
        <w:tc>
          <w:tcPr>
            <w:tcW w:w="3119" w:type="dxa"/>
            <w:shd w:val="clear" w:color="auto" w:fill="auto"/>
            <w:vAlign w:val="center"/>
            <w:hideMark/>
          </w:tcPr>
          <w:p w:rsidR="00BD75BA" w:rsidRPr="009437E1" w:rsidRDefault="00AB224F"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rsidR="00BD75BA" w:rsidRPr="00C03633"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rsidTr="00F14B0D">
        <w:trPr>
          <w:trHeight w:val="2565"/>
        </w:trPr>
        <w:tc>
          <w:tcPr>
            <w:tcW w:w="3119" w:type="dxa"/>
            <w:shd w:val="clear" w:color="auto" w:fill="auto"/>
            <w:vAlign w:val="center"/>
            <w:hideMark/>
          </w:tcPr>
          <w:p w:rsidR="00BD75BA" w:rsidRPr="009437E1" w:rsidRDefault="00BD75BA" w:rsidP="00B85D15">
            <w:pPr>
              <w:widowControl w:val="0"/>
              <w:spacing w:before="120" w:after="12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rsidR="00BD75BA" w:rsidRPr="002A7700" w:rsidRDefault="00401564" w:rsidP="00B85D15">
            <w:pPr>
              <w:widowControl w:val="0"/>
              <w:spacing w:before="120" w:after="12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rsidR="00BD75BA" w:rsidRPr="00086738"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rsidR="00BD75BA" w:rsidRPr="00C03633"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rsidR="00BD75BA" w:rsidRPr="00086738"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rsidTr="00F14B0D">
        <w:trPr>
          <w:trHeight w:val="5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114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rsidR="00BD75BA" w:rsidRPr="009437E1" w:rsidRDefault="00BD75BA"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r w:rsidRPr="009437E1">
              <w:rPr>
                <w:rFonts w:cs="Tahoma"/>
                <w:color w:val="000000" w:themeColor="text1"/>
                <w:szCs w:val="20"/>
              </w:rPr>
              <w:t xml:space="preserve">Multiestratégia, fundo de Investimento em Participações, inscrito no CNPJ/ME sob o nº 20.213.311/0001-46. </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"IBGE"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o Instituto Brasileiro de Geografia e Estatística. </w:t>
            </w:r>
          </w:p>
        </w:tc>
      </w:tr>
      <w:tr w:rsidR="00BD75BA" w:rsidRPr="009437E1" w:rsidTr="00F14B0D">
        <w:trPr>
          <w:trHeight w:val="570"/>
        </w:trPr>
        <w:tc>
          <w:tcPr>
            <w:tcW w:w="3119" w:type="dxa"/>
            <w:shd w:val="clear" w:color="auto" w:fill="auto"/>
            <w:vAlign w:val="center"/>
            <w:hideMark/>
          </w:tcPr>
          <w:p w:rsidR="00BD75BA" w:rsidRPr="00861C47" w:rsidRDefault="00BD75BA" w:rsidP="00B85D15">
            <w:pPr>
              <w:widowControl w:val="0"/>
              <w:spacing w:before="120" w:after="120" w:line="290" w:lineRule="auto"/>
              <w:rPr>
                <w:rFonts w:cs="Tahoma"/>
                <w:b/>
                <w:bCs/>
                <w:color w:val="000000" w:themeColor="text1"/>
                <w:szCs w:val="20"/>
              </w:rPr>
            </w:pPr>
            <w:r w:rsidRPr="00861C47">
              <w:rPr>
                <w:rFonts w:cs="Tahoma"/>
                <w:b/>
                <w:bCs/>
                <w:color w:val="000000" w:themeColor="text1"/>
                <w:szCs w:val="20"/>
              </w:rPr>
              <w:t>"ICSD Consolidado”</w:t>
            </w:r>
          </w:p>
        </w:tc>
        <w:tc>
          <w:tcPr>
            <w:tcW w:w="5612" w:type="dxa"/>
            <w:shd w:val="clear" w:color="auto" w:fill="auto"/>
            <w:vAlign w:val="center"/>
            <w:hideMark/>
          </w:tcPr>
          <w:p w:rsidR="003A76F4" w:rsidRPr="002522A7" w:rsidRDefault="003A76F4" w:rsidP="003A76F4">
            <w:pPr>
              <w:widowControl w:val="0"/>
              <w:spacing w:before="120" w:after="120" w:line="290" w:lineRule="auto"/>
              <w:jc w:val="both"/>
              <w:rPr>
                <w:rFonts w:cs="Tahoma"/>
                <w:color w:val="000000" w:themeColor="text1"/>
                <w:szCs w:val="20"/>
              </w:rPr>
            </w:pPr>
            <w:r w:rsidRPr="002522A7">
              <w:rPr>
                <w:rFonts w:cs="Tahoma"/>
                <w:color w:val="000000" w:themeColor="text1"/>
                <w:szCs w:val="20"/>
              </w:rPr>
              <w:t>significa o índice de cobertura do serviço da dívida consolidado a ser calculado</w:t>
            </w:r>
            <w:r w:rsidR="00BB60B4" w:rsidRPr="002522A7">
              <w:rPr>
                <w:rFonts w:cs="Tahoma"/>
                <w:color w:val="000000" w:themeColor="text1"/>
                <w:szCs w:val="20"/>
              </w:rPr>
              <w:t xml:space="preserve"> anualmente</w:t>
            </w:r>
            <w:r w:rsidR="002522A7">
              <w:rPr>
                <w:rFonts w:cs="Tahoma"/>
                <w:color w:val="000000" w:themeColor="text1"/>
                <w:szCs w:val="20"/>
              </w:rPr>
              <w:t>,</w:t>
            </w:r>
            <w:r w:rsidRPr="002522A7">
              <w:rPr>
                <w:rFonts w:cs="Tahoma"/>
                <w:color w:val="000000" w:themeColor="text1"/>
                <w:szCs w:val="20"/>
              </w:rPr>
              <w:t xml:space="preserve"> </w:t>
            </w:r>
            <w:r w:rsidR="002522A7">
              <w:rPr>
                <w:rFonts w:cs="Tahoma"/>
                <w:color w:val="000000" w:themeColor="text1"/>
                <w:szCs w:val="20"/>
              </w:rPr>
              <w:t xml:space="preserve">com base nas demonstrações financeiras </w:t>
            </w:r>
            <w:r w:rsidR="001C6796">
              <w:rPr>
                <w:rFonts w:cs="Tahoma"/>
                <w:color w:val="000000" w:themeColor="text1"/>
                <w:szCs w:val="20"/>
              </w:rPr>
              <w:t xml:space="preserve">consolidadas </w:t>
            </w:r>
            <w:r w:rsidR="002522A7">
              <w:rPr>
                <w:rFonts w:cs="Tahoma"/>
                <w:color w:val="000000" w:themeColor="text1"/>
                <w:szCs w:val="20"/>
              </w:rPr>
              <w:t xml:space="preserve">auditadas da Emissora, </w:t>
            </w:r>
            <w:r w:rsidRPr="002522A7">
              <w:rPr>
                <w:rFonts w:cs="Tahoma"/>
                <w:color w:val="000000" w:themeColor="text1"/>
                <w:szCs w:val="20"/>
              </w:rPr>
              <w:t>da seguinte forma:</w:t>
            </w:r>
          </w:p>
          <w:p w:rsidR="003A76F4" w:rsidRPr="002522A7" w:rsidRDefault="003A76F4" w:rsidP="003A76F4">
            <w:pPr>
              <w:pStyle w:val="xxxxmsonormal"/>
              <w:spacing w:line="290" w:lineRule="auto"/>
              <w:jc w:val="center"/>
              <w:rPr>
                <w:rFonts w:ascii="Tahoma" w:hAnsi="Tahoma" w:cs="Tahoma"/>
                <w:sz w:val="20"/>
                <w:szCs w:val="20"/>
              </w:rPr>
            </w:pPr>
            <w:r w:rsidRPr="002522A7">
              <w:rPr>
                <w:rFonts w:ascii="Tahoma" w:hAnsi="Tahoma" w:cs="Tahoma"/>
                <w:b/>
                <w:sz w:val="20"/>
                <w:szCs w:val="20"/>
              </w:rPr>
              <w:t>ICSD</w:t>
            </w:r>
            <w:r w:rsidRPr="002522A7">
              <w:rPr>
                <w:rFonts w:ascii="Tahoma" w:hAnsi="Tahoma" w:cs="Tahoma"/>
                <w:sz w:val="20"/>
                <w:szCs w:val="20"/>
              </w:rPr>
              <w:t xml:space="preserve"> = </w:t>
            </w:r>
            <w:r w:rsidRPr="002522A7">
              <w:rPr>
                <w:rFonts w:ascii="Tahoma" w:hAnsi="Tahoma" w:cs="Tahoma"/>
                <w:sz w:val="20"/>
                <w:szCs w:val="20"/>
              </w:rPr>
              <w:tab/>
            </w:r>
            <w:r w:rsidRPr="002522A7">
              <w:rPr>
                <w:rFonts w:ascii="Tahoma" w:hAnsi="Tahoma" w:cs="Tahoma"/>
                <w:sz w:val="20"/>
                <w:szCs w:val="20"/>
                <w:u w:val="single"/>
              </w:rPr>
              <w:t>(EBITDA-Impostos)</w:t>
            </w:r>
            <w:r w:rsidRPr="001C6796">
              <w:rPr>
                <w:rFonts w:ascii="Tahoma" w:hAnsi="Tahoma" w:cs="Tahoma"/>
                <w:sz w:val="20"/>
                <w:szCs w:val="20"/>
              </w:rPr>
              <w:t xml:space="preserve"> &gt;</w:t>
            </w:r>
            <w:r w:rsidR="001C6796" w:rsidRPr="001C6796">
              <w:rPr>
                <w:rFonts w:ascii="Tahoma" w:hAnsi="Tahoma" w:cs="Tahoma"/>
                <w:sz w:val="20"/>
                <w:szCs w:val="20"/>
              </w:rPr>
              <w:t xml:space="preserve"> =</w:t>
            </w:r>
            <w:r w:rsidRPr="001C6796">
              <w:rPr>
                <w:rFonts w:ascii="Tahoma" w:hAnsi="Tahoma" w:cs="Tahoma"/>
                <w:sz w:val="20"/>
                <w:szCs w:val="20"/>
              </w:rPr>
              <w:t xml:space="preserve"> 1,20 vezes</w:t>
            </w:r>
          </w:p>
          <w:p w:rsidR="003A76F4" w:rsidRPr="002522A7" w:rsidRDefault="003A76F4" w:rsidP="003A76F4">
            <w:pPr>
              <w:pStyle w:val="xxxxmsonormal"/>
              <w:spacing w:line="290" w:lineRule="auto"/>
              <w:rPr>
                <w:rFonts w:ascii="Tahoma" w:hAnsi="Tahoma" w:cs="Tahoma"/>
                <w:sz w:val="20"/>
                <w:szCs w:val="20"/>
              </w:rPr>
            </w:pPr>
            <w:r w:rsidRPr="002522A7">
              <w:rPr>
                <w:rFonts w:ascii="Tahoma" w:hAnsi="Tahoma" w:cs="Tahoma"/>
                <w:sz w:val="20"/>
                <w:szCs w:val="20"/>
              </w:rPr>
              <w:t xml:space="preserve">                                (Principal+Juros)</w:t>
            </w:r>
          </w:p>
          <w:p w:rsidR="00F93E03" w:rsidRPr="002522A7" w:rsidRDefault="00F93E03" w:rsidP="003A76F4">
            <w:pPr>
              <w:tabs>
                <w:tab w:val="left" w:pos="4599"/>
              </w:tabs>
              <w:spacing w:line="290" w:lineRule="auto"/>
              <w:rPr>
                <w:rFonts w:cs="Tahoma"/>
                <w:b/>
                <w:szCs w:val="20"/>
              </w:rPr>
            </w:pPr>
          </w:p>
          <w:p w:rsidR="003A76F4" w:rsidRPr="002522A7" w:rsidRDefault="003A76F4" w:rsidP="003A76F4">
            <w:pPr>
              <w:tabs>
                <w:tab w:val="left" w:pos="4599"/>
              </w:tabs>
              <w:spacing w:line="290" w:lineRule="auto"/>
              <w:rPr>
                <w:rFonts w:eastAsia="Arial Unicode MS" w:cs="Tahoma"/>
                <w:w w:val="0"/>
                <w:kern w:val="20"/>
                <w:szCs w:val="20"/>
              </w:rPr>
            </w:pPr>
            <w:r w:rsidRPr="002522A7">
              <w:rPr>
                <w:rFonts w:cs="Tahoma"/>
                <w:b/>
                <w:szCs w:val="20"/>
              </w:rPr>
              <w:t>Valor de Complementação ICSD</w:t>
            </w:r>
            <w:r w:rsidRPr="002522A7">
              <w:rPr>
                <w:rFonts w:cs="Tahoma"/>
                <w:szCs w:val="20"/>
              </w:rPr>
              <w:t xml:space="preserve"> = [</w:t>
            </w:r>
            <w:r w:rsidRPr="002522A7">
              <w:rPr>
                <w:rFonts w:cs="Tahoma"/>
                <w:szCs w:val="20"/>
                <w:highlight w:val="lightGray"/>
              </w:rPr>
              <w:t>(1,2 – ICSD) x (Principal + Juros)</w:t>
            </w:r>
            <w:r w:rsidRPr="002522A7">
              <w:rPr>
                <w:rFonts w:cs="Tahoma"/>
                <w:szCs w:val="20"/>
              </w:rPr>
              <w:t>]</w:t>
            </w:r>
          </w:p>
          <w:p w:rsidR="00F93E03" w:rsidRPr="002522A7" w:rsidRDefault="00F93E03" w:rsidP="003A76F4">
            <w:pPr>
              <w:spacing w:line="290" w:lineRule="auto"/>
              <w:rPr>
                <w:rFonts w:eastAsia="Arial Unicode MS" w:cs="Tahoma"/>
                <w:w w:val="0"/>
                <w:kern w:val="20"/>
                <w:szCs w:val="20"/>
                <w:u w:val="single"/>
              </w:rPr>
            </w:pPr>
          </w:p>
          <w:p w:rsidR="003A76F4" w:rsidRPr="002522A7" w:rsidRDefault="003A76F4" w:rsidP="003A76F4">
            <w:pPr>
              <w:spacing w:line="290" w:lineRule="auto"/>
              <w:rPr>
                <w:rFonts w:eastAsia="Arial Unicode MS" w:cs="Tahoma"/>
                <w:w w:val="0"/>
                <w:kern w:val="20"/>
                <w:szCs w:val="20"/>
              </w:rPr>
            </w:pPr>
            <w:r w:rsidRPr="002522A7">
              <w:rPr>
                <w:rFonts w:eastAsia="Arial Unicode MS" w:cs="Tahoma"/>
                <w:w w:val="0"/>
                <w:kern w:val="20"/>
                <w:szCs w:val="20"/>
                <w:u w:val="single"/>
              </w:rPr>
              <w:t>Onde</w:t>
            </w:r>
            <w:r w:rsidRPr="002522A7">
              <w:rPr>
                <w:rFonts w:eastAsia="Arial Unicode MS" w:cs="Tahoma"/>
                <w:w w:val="0"/>
                <w:kern w:val="20"/>
                <w:szCs w:val="20"/>
              </w:rPr>
              <w:t>:</w:t>
            </w:r>
          </w:p>
          <w:p w:rsidR="00BB60B4" w:rsidRPr="002522A7" w:rsidRDefault="00BB60B4" w:rsidP="003A76F4">
            <w:pPr>
              <w:spacing w:line="290" w:lineRule="auto"/>
              <w:rPr>
                <w:rFonts w:eastAsia="Arial Unicode MS" w:cs="Tahoma"/>
                <w:w w:val="0"/>
                <w:kern w:val="20"/>
                <w:szCs w:val="20"/>
              </w:rPr>
            </w:pPr>
          </w:p>
          <w:p w:rsidR="003A76F4" w:rsidRDefault="003A76F4" w:rsidP="003A76F4">
            <w:pPr>
              <w:spacing w:line="290" w:lineRule="auto"/>
              <w:jc w:val="both"/>
              <w:rPr>
                <w:rFonts w:eastAsia="Arial Unicode MS" w:cs="Tahoma"/>
                <w:w w:val="0"/>
                <w:kern w:val="20"/>
                <w:szCs w:val="20"/>
              </w:rPr>
            </w:pPr>
            <w:r w:rsidRPr="002522A7">
              <w:rPr>
                <w:rFonts w:eastAsia="Arial Unicode MS" w:cs="Tahoma"/>
                <w:w w:val="0"/>
                <w:kern w:val="20"/>
                <w:szCs w:val="20"/>
                <w:u w:val="single"/>
              </w:rPr>
              <w:t>EBITDA</w:t>
            </w:r>
            <w:r w:rsidRPr="002522A7">
              <w:rPr>
                <w:rFonts w:eastAsia="Arial Unicode MS" w:cs="Tahoma"/>
                <w:w w:val="0"/>
                <w:kern w:val="20"/>
                <w:szCs w:val="20"/>
              </w:rPr>
              <w:t>: significa lucro operacional</w:t>
            </w:r>
            <w:r w:rsidR="001C6796">
              <w:rPr>
                <w:rFonts w:eastAsia="Arial Unicode MS" w:cs="Tahoma"/>
                <w:w w:val="0"/>
                <w:kern w:val="20"/>
                <w:szCs w:val="20"/>
              </w:rPr>
              <w:t xml:space="preserve"> consolidado</w:t>
            </w:r>
            <w:r w:rsidRPr="00B85D15">
              <w:rPr>
                <w:rFonts w:eastAsia="Arial Unicode MS" w:cs="Tahoma"/>
                <w:w w:val="0"/>
                <w:kern w:val="20"/>
                <w:szCs w:val="20"/>
              </w:rPr>
              <w:t xml:space="preserve"> antes do resultado financeiro, acrescido das depreciações e amortizações, sempre considerados os 12</w:t>
            </w:r>
            <w:r w:rsidR="00BB60B4">
              <w:rPr>
                <w:rFonts w:eastAsia="Arial Unicode MS" w:cs="Tahoma"/>
                <w:w w:val="0"/>
                <w:kern w:val="20"/>
                <w:szCs w:val="20"/>
              </w:rPr>
              <w:t xml:space="preserve"> (d</w:t>
            </w:r>
            <w:r w:rsidR="00186EB2">
              <w:rPr>
                <w:rFonts w:eastAsia="Arial Unicode MS" w:cs="Tahoma"/>
                <w:w w:val="0"/>
                <w:kern w:val="20"/>
                <w:szCs w:val="20"/>
              </w:rPr>
              <w:t>o</w:t>
            </w:r>
            <w:r w:rsidR="00BB60B4">
              <w:rPr>
                <w:rFonts w:eastAsia="Arial Unicode MS" w:cs="Tahoma"/>
                <w:w w:val="0"/>
                <w:kern w:val="20"/>
                <w:szCs w:val="20"/>
              </w:rPr>
              <w:t>ze)</w:t>
            </w:r>
            <w:r w:rsidRPr="00B85D15">
              <w:rPr>
                <w:rFonts w:eastAsia="Arial Unicode MS" w:cs="Tahoma"/>
                <w:w w:val="0"/>
                <w:kern w:val="20"/>
                <w:szCs w:val="20"/>
              </w:rPr>
              <w:t xml:space="preserve"> meses anteriores ao da apuração.</w:t>
            </w:r>
          </w:p>
          <w:p w:rsidR="00F93E03" w:rsidRPr="00B85D15" w:rsidRDefault="00F93E03" w:rsidP="003A76F4">
            <w:pPr>
              <w:spacing w:line="290" w:lineRule="auto"/>
              <w:jc w:val="both"/>
              <w:rPr>
                <w:rFonts w:eastAsia="Arial Unicode MS" w:cs="Tahoma"/>
                <w:w w:val="0"/>
                <w:kern w:val="20"/>
                <w:szCs w:val="20"/>
              </w:rPr>
            </w:pPr>
          </w:p>
          <w:p w:rsidR="003A76F4" w:rsidRDefault="003A76F4" w:rsidP="003A76F4">
            <w:pPr>
              <w:spacing w:line="290" w:lineRule="auto"/>
              <w:jc w:val="both"/>
              <w:rPr>
                <w:rFonts w:eastAsia="Arial Unicode MS" w:cs="Tahoma"/>
                <w:w w:val="0"/>
                <w:kern w:val="20"/>
                <w:szCs w:val="20"/>
              </w:rPr>
            </w:pPr>
            <w:r w:rsidRPr="00B85D15">
              <w:rPr>
                <w:rFonts w:eastAsia="Arial Unicode MS" w:cs="Tahoma"/>
                <w:w w:val="0"/>
                <w:kern w:val="20"/>
                <w:szCs w:val="20"/>
                <w:u w:val="single"/>
              </w:rPr>
              <w:t>Impostos</w:t>
            </w:r>
            <w:r w:rsidRPr="00B85D15">
              <w:rPr>
                <w:rFonts w:eastAsia="Arial Unicode MS" w:cs="Tahoma"/>
                <w:w w:val="0"/>
                <w:kern w:val="20"/>
                <w:szCs w:val="20"/>
              </w:rPr>
              <w:t xml:space="preserve">: </w:t>
            </w:r>
            <w:r>
              <w:rPr>
                <w:rFonts w:eastAsia="Arial Unicode MS" w:cs="Tahoma"/>
                <w:w w:val="0"/>
                <w:kern w:val="20"/>
                <w:szCs w:val="20"/>
              </w:rPr>
              <w:t>significa i</w:t>
            </w:r>
            <w:r w:rsidRPr="00B85D15">
              <w:rPr>
                <w:rFonts w:eastAsia="Arial Unicode MS" w:cs="Tahoma"/>
                <w:w w:val="0"/>
                <w:kern w:val="20"/>
                <w:szCs w:val="20"/>
              </w:rPr>
              <w:t xml:space="preserve">mposto de renda </w:t>
            </w:r>
            <w:r>
              <w:rPr>
                <w:rFonts w:eastAsia="Arial Unicode MS" w:cs="Tahoma"/>
                <w:w w:val="0"/>
                <w:kern w:val="20"/>
                <w:szCs w:val="20"/>
              </w:rPr>
              <w:t xml:space="preserve">pessoa jurídica </w:t>
            </w:r>
            <w:r w:rsidRPr="00B85D15">
              <w:rPr>
                <w:rFonts w:eastAsia="Arial Unicode MS" w:cs="Tahoma"/>
                <w:w w:val="0"/>
                <w:kern w:val="20"/>
                <w:szCs w:val="20"/>
              </w:rPr>
              <w:t xml:space="preserve">e </w:t>
            </w:r>
            <w:r w:rsidRPr="00186EB2">
              <w:rPr>
                <w:rFonts w:eastAsia="Arial Unicode MS" w:cs="Tahoma"/>
                <w:w w:val="0"/>
                <w:kern w:val="20"/>
                <w:szCs w:val="20"/>
              </w:rPr>
              <w:t>contribuição social sobre o lucro líquido apurado no ano de referência.</w:t>
            </w:r>
          </w:p>
          <w:p w:rsidR="00F93E03" w:rsidRPr="00186EB2" w:rsidRDefault="00F93E03" w:rsidP="003A76F4">
            <w:pPr>
              <w:spacing w:line="290" w:lineRule="auto"/>
              <w:jc w:val="both"/>
              <w:rPr>
                <w:rFonts w:eastAsia="Arial Unicode MS" w:cs="Tahoma"/>
                <w:w w:val="0"/>
                <w:kern w:val="20"/>
                <w:szCs w:val="20"/>
              </w:rPr>
            </w:pPr>
          </w:p>
          <w:p w:rsidR="00F93E03" w:rsidRDefault="003A76F4" w:rsidP="00F93E03">
            <w:pPr>
              <w:spacing w:line="290" w:lineRule="auto"/>
              <w:jc w:val="both"/>
              <w:rPr>
                <w:rFonts w:eastAsia="Arial Unicode MS" w:cs="Tahoma"/>
                <w:w w:val="0"/>
                <w:kern w:val="20"/>
                <w:szCs w:val="20"/>
              </w:rPr>
            </w:pPr>
            <w:r w:rsidRPr="00186EB2">
              <w:rPr>
                <w:rFonts w:eastAsia="Arial Unicode MS" w:cs="Tahoma"/>
                <w:w w:val="0"/>
                <w:kern w:val="20"/>
                <w:szCs w:val="20"/>
                <w:u w:val="single"/>
              </w:rPr>
              <w:t>Principal</w:t>
            </w:r>
            <w:r w:rsidRPr="00186EB2">
              <w:rPr>
                <w:rFonts w:eastAsia="Arial Unicode MS" w:cs="Tahoma"/>
                <w:w w:val="0"/>
                <w:kern w:val="20"/>
                <w:szCs w:val="20"/>
              </w:rPr>
              <w:t>: significa amortização do principal</w:t>
            </w:r>
            <w:r w:rsidR="001C6796">
              <w:rPr>
                <w:rFonts w:eastAsia="Arial Unicode MS" w:cs="Tahoma"/>
                <w:w w:val="0"/>
                <w:kern w:val="20"/>
                <w:szCs w:val="20"/>
              </w:rPr>
              <w:t xml:space="preserve"> </w:t>
            </w:r>
            <w:r w:rsidR="001C6796">
              <w:rPr>
                <w:rFonts w:eastAsia="Arial Unicode MS" w:cs="Tahoma"/>
                <w:w w:val="0"/>
                <w:kern w:val="20"/>
                <w:szCs w:val="20"/>
              </w:rPr>
              <w:t>consolidado</w:t>
            </w:r>
            <w:r w:rsidRPr="00186EB2">
              <w:rPr>
                <w:rFonts w:eastAsia="Arial Unicode MS" w:cs="Tahoma"/>
                <w:w w:val="0"/>
                <w:kern w:val="20"/>
                <w:szCs w:val="20"/>
              </w:rPr>
              <w:t xml:space="preserve"> [do endividamento financeiro no ano de referência] excluindo amortizações extraordinárias, pagamentos antecipados de dívidas e prêmios e </w:t>
            </w:r>
            <w:r w:rsidR="00BB60B4">
              <w:rPr>
                <w:rFonts w:eastAsia="Arial Unicode MS" w:cs="Tahoma"/>
                <w:w w:val="0"/>
                <w:kern w:val="20"/>
                <w:szCs w:val="20"/>
              </w:rPr>
              <w:t>comissões</w:t>
            </w:r>
            <w:r w:rsidRPr="00186EB2">
              <w:rPr>
                <w:rFonts w:eastAsia="Arial Unicode MS" w:cs="Tahoma"/>
                <w:w w:val="0"/>
                <w:kern w:val="20"/>
                <w:szCs w:val="20"/>
              </w:rPr>
              <w:t xml:space="preserve"> decorrentes dessas amortizações extraordinárias ou pagamentos antecipados</w:t>
            </w:r>
            <w:r w:rsidR="00F93E03" w:rsidRPr="00186EB2">
              <w:rPr>
                <w:rFonts w:eastAsia="Arial Unicode MS" w:cs="Tahoma"/>
                <w:w w:val="0"/>
                <w:kern w:val="20"/>
                <w:szCs w:val="20"/>
              </w:rPr>
              <w:t>.</w:t>
            </w:r>
            <w:r w:rsidRPr="00B45B92">
              <w:rPr>
                <w:rFonts w:eastAsia="Arial Unicode MS" w:cs="Tahoma"/>
                <w:w w:val="0"/>
                <w:kern w:val="20"/>
                <w:szCs w:val="20"/>
              </w:rPr>
              <w:t xml:space="preserve"> </w:t>
            </w:r>
          </w:p>
          <w:p w:rsidR="00F93E03" w:rsidRDefault="00F93E03" w:rsidP="00F93E03">
            <w:pPr>
              <w:spacing w:line="290" w:lineRule="auto"/>
              <w:jc w:val="both"/>
              <w:rPr>
                <w:rFonts w:eastAsia="Arial Unicode MS" w:cs="Tahoma"/>
                <w:w w:val="0"/>
                <w:kern w:val="20"/>
                <w:szCs w:val="20"/>
              </w:rPr>
            </w:pPr>
          </w:p>
          <w:p w:rsidR="00BD75BA" w:rsidRPr="00861C47" w:rsidRDefault="003A76F4" w:rsidP="00186EB2">
            <w:pPr>
              <w:spacing w:line="290" w:lineRule="auto"/>
              <w:jc w:val="both"/>
              <w:rPr>
                <w:rFonts w:cs="Tahoma"/>
                <w:color w:val="000000" w:themeColor="text1"/>
                <w:szCs w:val="20"/>
              </w:rPr>
            </w:pPr>
            <w:r w:rsidRPr="00B85D15">
              <w:rPr>
                <w:rFonts w:eastAsia="Arial Unicode MS" w:cs="Tahoma"/>
                <w:w w:val="0"/>
                <w:kern w:val="20"/>
                <w:szCs w:val="20"/>
                <w:u w:val="single"/>
              </w:rPr>
              <w:t>Juros</w:t>
            </w:r>
            <w:r w:rsidRPr="00B85D15">
              <w:rPr>
                <w:rFonts w:eastAsia="Arial Unicode MS" w:cs="Tahoma"/>
                <w:w w:val="0"/>
                <w:kern w:val="20"/>
                <w:szCs w:val="20"/>
              </w:rPr>
              <w:t xml:space="preserve">: </w:t>
            </w:r>
            <w:r>
              <w:rPr>
                <w:rFonts w:eastAsia="Arial Unicode MS" w:cs="Tahoma"/>
                <w:w w:val="0"/>
                <w:kern w:val="20"/>
                <w:szCs w:val="20"/>
              </w:rPr>
              <w:t xml:space="preserve">significa </w:t>
            </w:r>
            <w:r w:rsidRPr="00B85D15">
              <w:rPr>
                <w:rFonts w:eastAsia="Arial Unicode MS" w:cs="Tahoma"/>
                <w:w w:val="0"/>
                <w:kern w:val="20"/>
                <w:szCs w:val="20"/>
              </w:rPr>
              <w:t xml:space="preserve">juros </w:t>
            </w:r>
            <w:r w:rsidR="001C6796">
              <w:rPr>
                <w:rFonts w:eastAsia="Arial Unicode MS" w:cs="Tahoma"/>
                <w:w w:val="0"/>
                <w:kern w:val="20"/>
                <w:szCs w:val="20"/>
              </w:rPr>
              <w:t>consolidado</w:t>
            </w:r>
            <w:r w:rsidR="001C6796">
              <w:rPr>
                <w:rFonts w:eastAsia="Arial Unicode MS" w:cs="Tahoma"/>
                <w:w w:val="0"/>
                <w:kern w:val="20"/>
                <w:szCs w:val="20"/>
              </w:rPr>
              <w:t xml:space="preserve">s </w:t>
            </w:r>
            <w:r>
              <w:rPr>
                <w:rFonts w:eastAsia="Arial Unicode MS" w:cs="Tahoma"/>
                <w:w w:val="0"/>
                <w:kern w:val="20"/>
                <w:szCs w:val="20"/>
              </w:rPr>
              <w:t>do [endividamento financeiro no ano de referência]</w:t>
            </w:r>
            <w:r w:rsidR="00BB60B4">
              <w:rPr>
                <w:rFonts w:eastAsia="Arial Unicode MS" w:cs="Tahoma"/>
                <w:w w:val="0"/>
                <w:kern w:val="20"/>
                <w:szCs w:val="20"/>
              </w:rPr>
              <w:t>.</w:t>
            </w:r>
          </w:p>
        </w:tc>
      </w:tr>
      <w:tr w:rsidR="003A76F4" w:rsidRPr="009437E1" w:rsidTr="00F14B0D">
        <w:trPr>
          <w:trHeight w:val="570"/>
        </w:trPr>
        <w:tc>
          <w:tcPr>
            <w:tcW w:w="3119" w:type="dxa"/>
            <w:shd w:val="clear" w:color="auto" w:fill="auto"/>
            <w:vAlign w:val="center"/>
          </w:tcPr>
          <w:p w:rsidR="003A76F4" w:rsidRPr="009437E1" w:rsidRDefault="003A76F4" w:rsidP="003A76F4">
            <w:pPr>
              <w:widowControl w:val="0"/>
              <w:spacing w:before="120" w:after="120" w:line="290" w:lineRule="auto"/>
              <w:rPr>
                <w:rFonts w:cs="Tahoma"/>
                <w:b/>
                <w:bCs/>
                <w:color w:val="000000" w:themeColor="text1"/>
                <w:szCs w:val="20"/>
              </w:rPr>
            </w:pPr>
            <w:r>
              <w:rPr>
                <w:rFonts w:cs="Tahoma"/>
                <w:b/>
                <w:bCs/>
                <w:color w:val="000000" w:themeColor="text1"/>
                <w:szCs w:val="20"/>
              </w:rPr>
              <w:t>“ICSD Gatilho”</w:t>
            </w:r>
          </w:p>
        </w:tc>
        <w:tc>
          <w:tcPr>
            <w:tcW w:w="5612" w:type="dxa"/>
            <w:shd w:val="clear" w:color="auto" w:fill="auto"/>
            <w:vAlign w:val="center"/>
          </w:tcPr>
          <w:p w:rsidR="003A76F4" w:rsidRPr="009437E1" w:rsidRDefault="003A76F4" w:rsidP="00186EB2">
            <w:pPr>
              <w:widowControl w:val="0"/>
              <w:spacing w:before="120" w:after="120" w:line="290" w:lineRule="auto"/>
              <w:jc w:val="both"/>
              <w:rPr>
                <w:rFonts w:cs="Tahoma"/>
                <w:color w:val="000000" w:themeColor="text1"/>
                <w:szCs w:val="20"/>
              </w:rPr>
            </w:pPr>
            <w:r>
              <w:rPr>
                <w:rFonts w:cs="Tahoma"/>
                <w:color w:val="000000" w:themeColor="text1"/>
                <w:szCs w:val="20"/>
              </w:rPr>
              <w:t xml:space="preserve">significa o ICSD Consolidado </w:t>
            </w:r>
            <w:r w:rsidRPr="0068568C">
              <w:rPr>
                <w:rFonts w:cs="Tahoma"/>
                <w:color w:val="000000" w:themeColor="text1"/>
                <w:szCs w:val="20"/>
              </w:rPr>
              <w:t>igual ou superior a 1,10 (um inteiro e dez centésimos) e inferior a 1,20 (um inteiro e vinte centésimos)</w:t>
            </w:r>
            <w:r>
              <w:rPr>
                <w:rFonts w:cs="Tahoma"/>
                <w:color w:val="000000" w:themeColor="text1"/>
                <w:szCs w:val="20"/>
              </w:rPr>
              <w:t>.</w:t>
            </w:r>
          </w:p>
        </w:tc>
      </w:tr>
      <w:tr w:rsidR="003A76F4" w:rsidRPr="009437E1" w:rsidTr="00F14B0D">
        <w:trPr>
          <w:trHeight w:val="570"/>
        </w:trPr>
        <w:tc>
          <w:tcPr>
            <w:tcW w:w="3119" w:type="dxa"/>
            <w:shd w:val="clear" w:color="auto" w:fill="auto"/>
            <w:vAlign w:val="center"/>
          </w:tcPr>
          <w:p w:rsidR="003A76F4" w:rsidRPr="009437E1" w:rsidRDefault="003A76F4" w:rsidP="003A76F4">
            <w:pPr>
              <w:widowControl w:val="0"/>
              <w:spacing w:before="120" w:after="120" w:line="290" w:lineRule="auto"/>
              <w:rPr>
                <w:rFonts w:cs="Tahoma"/>
                <w:b/>
                <w:bCs/>
                <w:color w:val="000000" w:themeColor="text1"/>
                <w:szCs w:val="20"/>
              </w:rPr>
            </w:pPr>
            <w:r>
              <w:rPr>
                <w:rFonts w:cs="Tahoma"/>
                <w:b/>
                <w:bCs/>
                <w:color w:val="000000" w:themeColor="text1"/>
                <w:szCs w:val="20"/>
              </w:rPr>
              <w:t>“ICSD Mínimo”</w:t>
            </w:r>
          </w:p>
        </w:tc>
        <w:tc>
          <w:tcPr>
            <w:tcW w:w="5612" w:type="dxa"/>
            <w:shd w:val="clear" w:color="auto" w:fill="auto"/>
            <w:vAlign w:val="center"/>
          </w:tcPr>
          <w:p w:rsidR="003A76F4" w:rsidRPr="009437E1" w:rsidRDefault="003A76F4" w:rsidP="003A76F4">
            <w:pPr>
              <w:widowControl w:val="0"/>
              <w:spacing w:before="120" w:after="120" w:line="290" w:lineRule="auto"/>
              <w:rPr>
                <w:rFonts w:cs="Tahoma"/>
                <w:color w:val="000000" w:themeColor="text1"/>
                <w:szCs w:val="20"/>
              </w:rPr>
            </w:pPr>
            <w:r>
              <w:rPr>
                <w:rFonts w:cs="Tahoma"/>
                <w:color w:val="000000" w:themeColor="text1"/>
                <w:szCs w:val="20"/>
              </w:rPr>
              <w:t xml:space="preserve">significa o ICSD Consolidado, correspondente a, no mínimo, </w:t>
            </w:r>
            <w:r w:rsidRPr="00D61FD1">
              <w:rPr>
                <w:rFonts w:cs="Tahoma"/>
              </w:rPr>
              <w:t>1,20 (um inteiro e vinte centésimos)</w:t>
            </w:r>
            <w:r>
              <w:rPr>
                <w:rFonts w:cs="Tahoma"/>
              </w:rPr>
              <w:t>.</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358"</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358, de 3 de janeiro de 2002, conforme alterada.</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476"</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476, de 16 de janeiro de 2009, conforme alterada.</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Instrução da CVM nº 539, de 13 de novembro de </w:t>
            </w:r>
            <w:r w:rsidRPr="009437E1">
              <w:rPr>
                <w:rFonts w:cs="Tahoma"/>
                <w:color w:val="000000" w:themeColor="text1"/>
                <w:szCs w:val="20"/>
              </w:rPr>
              <w:lastRenderedPageBreak/>
              <w:t>2013, conforme alterada.</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"Instrução CVM 583"</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6.9.1.</w:t>
            </w:r>
          </w:p>
        </w:tc>
      </w:tr>
      <w:tr w:rsidR="00BD75BA" w:rsidRPr="009437E1" w:rsidTr="00F14B0D">
        <w:trPr>
          <w:trHeight w:val="17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rsidR="00BD75BA" w:rsidRPr="009437E1" w:rsidRDefault="00BD75BA" w:rsidP="00B85D15">
            <w:pPr>
              <w:widowControl w:val="0"/>
              <w:spacing w:before="120" w:after="120" w:line="290" w:lineRule="auto"/>
              <w:jc w:val="both"/>
              <w:rPr>
                <w:rFonts w:cs="Tahoma"/>
                <w:color w:val="000000" w:themeColor="text1"/>
                <w:szCs w:val="20"/>
              </w:rPr>
            </w:pPr>
            <w:bookmarkStart w:id="6"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6"/>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w:t>
            </w:r>
            <w:r w:rsidR="00C62A81">
              <w:rPr>
                <w:rFonts w:cs="Tahoma"/>
                <w:color w:val="000000" w:themeColor="text1"/>
                <w:szCs w:val="20"/>
              </w:rPr>
              <w:t xml:space="preserve">a </w:t>
            </w:r>
            <w:r w:rsidR="00C62A81" w:rsidRPr="00220D54">
              <w:rPr>
                <w:rFonts w:cs="Tahoma"/>
              </w:rPr>
              <w:t>Lei nº</w:t>
            </w:r>
            <w:r w:rsidR="00C62A81">
              <w:rPr>
                <w:rFonts w:cs="Tahoma"/>
              </w:rPr>
              <w:t> </w:t>
            </w:r>
            <w:r w:rsidR="00C62A81" w:rsidRPr="00220D54">
              <w:rPr>
                <w:rFonts w:cs="Tahoma"/>
              </w:rPr>
              <w:t>12.431, de 24 de junho de 2011, conforme alterada</w:t>
            </w:r>
            <w:r w:rsidRPr="009437E1">
              <w:rPr>
                <w:rFonts w:cs="Tahoma"/>
                <w:color w:val="000000" w:themeColor="text1"/>
                <w:szCs w:val="20"/>
              </w:rPr>
              <w:t>.</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F73FB3" w:rsidRPr="009437E1" w:rsidTr="00F14B0D">
        <w:trPr>
          <w:trHeight w:val="300"/>
        </w:trPr>
        <w:tc>
          <w:tcPr>
            <w:tcW w:w="3119" w:type="dxa"/>
            <w:shd w:val="clear" w:color="auto" w:fill="auto"/>
            <w:vAlign w:val="center"/>
          </w:tcPr>
          <w:p w:rsidR="00F73FB3" w:rsidRPr="009437E1" w:rsidRDefault="00F73FB3" w:rsidP="005302FC">
            <w:pPr>
              <w:widowControl w:val="0"/>
              <w:spacing w:before="120" w:after="12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tcPr>
          <w:p w:rsidR="00F73FB3" w:rsidRPr="009437E1" w:rsidRDefault="00F73FB3" w:rsidP="005302FC">
            <w:pPr>
              <w:widowControl w:val="0"/>
              <w:spacing w:before="120" w:after="120" w:line="290" w:lineRule="auto"/>
              <w:rPr>
                <w:rFonts w:cs="Tahoma"/>
                <w:color w:val="000000" w:themeColor="text1"/>
                <w:szCs w:val="20"/>
              </w:rPr>
            </w:pPr>
            <w:r>
              <w:rPr>
                <w:rFonts w:cs="Tahoma"/>
                <w:color w:val="000000" w:themeColor="text1"/>
                <w:szCs w:val="20"/>
              </w:rPr>
              <w:t>tem o significado atribuído na Cláusula 5.10.</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bookmarkStart w:id="7" w:name="RANGE!B65"/>
            <w:r w:rsidRPr="009437E1">
              <w:rPr>
                <w:rFonts w:cs="Tahoma"/>
                <w:color w:val="000000" w:themeColor="text1"/>
                <w:szCs w:val="20"/>
              </w:rPr>
              <w:t xml:space="preserve">significa o Ministério de Minas e Energia. </w:t>
            </w:r>
            <w:bookmarkEnd w:id="7"/>
          </w:p>
        </w:tc>
      </w:tr>
      <w:tr w:rsidR="00BD75BA" w:rsidRPr="009437E1" w:rsidTr="00F14B0D">
        <w:trPr>
          <w:trHeight w:val="2565"/>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rsidR="00BD75BA" w:rsidRPr="009437E1" w:rsidRDefault="00C62A81" w:rsidP="00B85D15">
            <w:pPr>
              <w:widowControl w:val="0"/>
              <w:spacing w:before="120" w:after="12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rsidTr="00F14B0D">
        <w:trPr>
          <w:trHeight w:val="1995"/>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"Obrigação Financeira"</w:t>
            </w:r>
          </w:p>
        </w:tc>
        <w:tc>
          <w:tcPr>
            <w:tcW w:w="5612" w:type="dxa"/>
            <w:shd w:val="clear" w:color="auto" w:fill="auto"/>
            <w:vAlign w:val="center"/>
            <w:hideMark/>
          </w:tcPr>
          <w:p w:rsidR="00BD75BA" w:rsidRPr="009437E1" w:rsidRDefault="00BD75BA"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2.1.</w:t>
            </w:r>
          </w:p>
        </w:tc>
      </w:tr>
      <w:tr w:rsidR="00C62A81" w:rsidRPr="009437E1" w:rsidTr="00F14B0D">
        <w:trPr>
          <w:trHeight w:val="300"/>
        </w:trPr>
        <w:tc>
          <w:tcPr>
            <w:tcW w:w="3119" w:type="dxa"/>
            <w:shd w:val="clear" w:color="auto" w:fill="auto"/>
            <w:vAlign w:val="center"/>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tcPr>
          <w:p w:rsidR="00C62A81" w:rsidRPr="009437E1" w:rsidRDefault="00C62A81" w:rsidP="00B85D15">
            <w:pPr>
              <w:widowControl w:val="0"/>
              <w:spacing w:before="120" w:after="12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bookmarkStart w:id="8" w:name="RANGE!B71"/>
            <w:r w:rsidRPr="009437E1">
              <w:rPr>
                <w:rFonts w:cs="Tahoma"/>
                <w:color w:val="000000" w:themeColor="text1"/>
                <w:szCs w:val="20"/>
              </w:rPr>
              <w:t>tem o significado atribuído no preâmbulo deste Contrato.</w:t>
            </w:r>
            <w:bookmarkEnd w:id="8"/>
          </w:p>
        </w:tc>
      </w:tr>
      <w:tr w:rsidR="00C62A81" w:rsidRPr="009437E1" w:rsidTr="00F14B0D">
        <w:trPr>
          <w:trHeight w:val="85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6.12.</w:t>
            </w:r>
          </w:p>
        </w:tc>
      </w:tr>
      <w:tr w:rsidR="00C62A81" w:rsidRPr="009437E1" w:rsidTr="00F14B0D">
        <w:trPr>
          <w:trHeight w:val="85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bookmarkStart w:id="9" w:name="RANGE!B73"/>
            <w:r w:rsidRPr="009437E1">
              <w:rPr>
                <w:rFonts w:cs="Tahoma"/>
                <w:color w:val="000000" w:themeColor="text1"/>
                <w:szCs w:val="20"/>
              </w:rPr>
              <w:t>tem o significado previsto na Cláusula 6.12.</w:t>
            </w:r>
            <w:bookmarkEnd w:id="9"/>
          </w:p>
        </w:tc>
      </w:tr>
      <w:tr w:rsidR="00C62A81" w:rsidRPr="009437E1" w:rsidTr="00F14B0D">
        <w:trPr>
          <w:trHeight w:val="171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rsidR="00C62A81" w:rsidRPr="00B85D15" w:rsidRDefault="00A141C3" w:rsidP="00B85D15">
            <w:pPr>
              <w:autoSpaceDE w:val="0"/>
              <w:autoSpaceDN w:val="0"/>
              <w:adjustRightInd w:val="0"/>
              <w:spacing w:line="290" w:lineRule="auto"/>
              <w:jc w:val="both"/>
            </w:pPr>
            <w:r>
              <w:rPr>
                <w:rFonts w:cs="Tahoma"/>
                <w:color w:val="000000" w:themeColor="text1"/>
                <w:szCs w:val="20"/>
              </w:rPr>
              <w:t xml:space="preserve">Significa, em conjunto: (i) a </w:t>
            </w:r>
            <w:r w:rsidRPr="00B85D15">
              <w:rPr>
                <w:rFonts w:cs="Tahoma"/>
                <w:color w:val="000000" w:themeColor="text1"/>
                <w:szCs w:val="20"/>
              </w:rPr>
              <w:t xml:space="preserve">Portaria do MME nº 65, DE 14 </w:t>
            </w:r>
            <w:r w:rsidR="00B87D1A" w:rsidRPr="002A7700">
              <w:rPr>
                <w:rFonts w:cs="Tahoma"/>
                <w:color w:val="000000" w:themeColor="text1"/>
                <w:szCs w:val="20"/>
              </w:rPr>
              <w:t xml:space="preserve">de março de </w:t>
            </w:r>
            <w:r w:rsidRPr="00B85D15">
              <w:rPr>
                <w:rFonts w:cs="Tahoma"/>
                <w:color w:val="000000" w:themeColor="text1"/>
                <w:szCs w:val="20"/>
              </w:rPr>
              <w:t xml:space="preserve">2019, referente à Central Geradora Eólica denominada Vila Sergipe I; (ii) </w:t>
            </w:r>
            <w:r w:rsidR="00B87D1A" w:rsidRPr="002A7700">
              <w:rPr>
                <w:rFonts w:cs="Tahoma"/>
                <w:color w:val="000000" w:themeColor="text1"/>
                <w:szCs w:val="20"/>
              </w:rPr>
              <w:t xml:space="preserve">Portaria nº </w:t>
            </w:r>
            <w:r w:rsidRPr="00B85D15">
              <w:rPr>
                <w:rFonts w:cs="Tahoma"/>
                <w:color w:val="000000" w:themeColor="text1"/>
                <w:szCs w:val="20"/>
              </w:rPr>
              <w:t xml:space="preserve">104, </w:t>
            </w:r>
            <w:r w:rsidR="00B87D1A" w:rsidRPr="002A7700">
              <w:rPr>
                <w:rFonts w:cs="Tahoma"/>
                <w:color w:val="000000" w:themeColor="text1"/>
                <w:szCs w:val="20"/>
              </w:rPr>
              <w:t xml:space="preserve">de 17 de abril de </w:t>
            </w:r>
            <w:r w:rsidRPr="00B85D15">
              <w:rPr>
                <w:rFonts w:cs="Tahoma"/>
                <w:color w:val="000000" w:themeColor="text1"/>
                <w:szCs w:val="20"/>
              </w:rPr>
              <w:t xml:space="preserve">2019, referente à Central Geradora Eólica denominada Vila Sergipe II; (iii) </w:t>
            </w:r>
            <w:r w:rsidR="00B87D1A" w:rsidRPr="002A7700">
              <w:rPr>
                <w:rFonts w:cs="Tahoma"/>
                <w:color w:val="000000" w:themeColor="text1"/>
                <w:szCs w:val="20"/>
              </w:rPr>
              <w:t>Portaria n</w:t>
            </w:r>
            <w:r w:rsidRPr="00B85D15">
              <w:rPr>
                <w:rFonts w:cs="Tahoma"/>
                <w:color w:val="000000" w:themeColor="text1"/>
                <w:szCs w:val="20"/>
              </w:rPr>
              <w:t xml:space="preserve">º 105, </w:t>
            </w:r>
            <w:r w:rsidR="00B87D1A" w:rsidRPr="002A7700">
              <w:rPr>
                <w:rFonts w:cs="Tahoma"/>
                <w:color w:val="000000" w:themeColor="text1"/>
                <w:szCs w:val="20"/>
              </w:rPr>
              <w:t>de 17 de abril de 2019, referente à Central Geradora Eólica Denominada Vila Sergipe III; (iv) Portaria n° 66, de 14 de março de 2019, referente à Central Geradora Eólica denominada Vila Rio Grande Do Norte I; (v) Portaria n° 67, de 14 de março de 2019</w:t>
            </w:r>
            <w:r w:rsidR="00B87D1A" w:rsidRPr="00B85D15">
              <w:rPr>
                <w:rFonts w:cs="Tahoma"/>
                <w:color w:val="000000" w:themeColor="text1"/>
                <w:szCs w:val="20"/>
              </w:rPr>
              <w:t xml:space="preserve">, referente à Central Geradora Eólica denominada Vila Rio Grande do Norte II; e (vi) </w:t>
            </w:r>
            <w:r w:rsidR="00B87D1A" w:rsidRPr="002A7700">
              <w:rPr>
                <w:rFonts w:cs="Tahoma"/>
                <w:color w:val="000000" w:themeColor="text1"/>
                <w:szCs w:val="20"/>
              </w:rPr>
              <w:t xml:space="preserve">Portaria nº </w:t>
            </w:r>
            <w:r w:rsidR="00B87D1A" w:rsidRPr="00B85D15">
              <w:rPr>
                <w:rFonts w:cs="Tahoma"/>
                <w:color w:val="000000" w:themeColor="text1"/>
                <w:szCs w:val="20"/>
              </w:rPr>
              <w:t xml:space="preserve">103, </w:t>
            </w:r>
            <w:r w:rsidR="00B87D1A" w:rsidRPr="002A7700">
              <w:rPr>
                <w:rFonts w:cs="Tahoma"/>
                <w:color w:val="000000" w:themeColor="text1"/>
                <w:szCs w:val="20"/>
              </w:rPr>
              <w:t>de 17 de abril de 2019</w:t>
            </w:r>
            <w:r w:rsidR="00B87D1A" w:rsidRPr="00B85D15">
              <w:rPr>
                <w:rFonts w:cs="Tahoma"/>
                <w:color w:val="000000" w:themeColor="text1"/>
                <w:szCs w:val="20"/>
              </w:rPr>
              <w:t>, referente à Central Geradora Eólica denominada Vila Piauí III</w:t>
            </w:r>
            <w:r w:rsidR="00B87D1A">
              <w:rPr>
                <w:rFonts w:cs="Tahoma"/>
                <w:color w:val="000000" w:themeColor="text1"/>
                <w:szCs w:val="20"/>
              </w:rPr>
              <w:t>.</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5.8.</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"Primeira Data de Integralização"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"Procedimento de Bookbuilding"</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5.7.1.</w:t>
            </w:r>
          </w:p>
        </w:tc>
      </w:tr>
      <w:tr w:rsidR="00C62A81" w:rsidRPr="009437E1" w:rsidTr="00F14B0D">
        <w:trPr>
          <w:trHeight w:val="199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Pr>
                <w:rFonts w:cs="Tahoma"/>
                <w:color w:val="000000" w:themeColor="text1"/>
                <w:szCs w:val="20"/>
              </w:rPr>
              <w:t>tem o significado previsto na Cláusula 4.1.</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4.1.</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4.1.</w:t>
            </w:r>
          </w:p>
        </w:tc>
      </w:tr>
      <w:tr w:rsidR="005302FC" w:rsidRPr="009437E1" w:rsidTr="00F14B0D">
        <w:trPr>
          <w:trHeight w:val="300"/>
        </w:trPr>
        <w:tc>
          <w:tcPr>
            <w:tcW w:w="3119" w:type="dxa"/>
            <w:shd w:val="clear" w:color="auto" w:fill="auto"/>
            <w:vAlign w:val="center"/>
          </w:tcPr>
          <w:p w:rsidR="005302FC" w:rsidRPr="009437E1" w:rsidRDefault="00A20CA4" w:rsidP="00B85D15">
            <w:pPr>
              <w:widowControl w:val="0"/>
              <w:spacing w:before="120" w:after="120" w:line="290" w:lineRule="auto"/>
              <w:rPr>
                <w:rFonts w:cs="Tahoma"/>
                <w:b/>
                <w:bCs/>
                <w:color w:val="000000" w:themeColor="text1"/>
                <w:szCs w:val="20"/>
              </w:rPr>
            </w:pPr>
            <w:r w:rsidRPr="00EC4A6E">
              <w:rPr>
                <w:rFonts w:cs="Tahoma"/>
                <w:b/>
                <w:bCs/>
                <w:color w:val="000000" w:themeColor="text1"/>
                <w:szCs w:val="20"/>
              </w:rPr>
              <w:t>“Reorganizações Permitidas</w:t>
            </w:r>
            <w:r w:rsidR="000320E5" w:rsidRPr="00EC4A6E">
              <w:rPr>
                <w:rFonts w:cs="Tahoma"/>
                <w:b/>
                <w:bCs/>
                <w:color w:val="000000" w:themeColor="text1"/>
                <w:szCs w:val="20"/>
              </w:rPr>
              <w:t xml:space="preserve"> Controladas Relevantes</w:t>
            </w:r>
            <w:r w:rsidRPr="00EC4A6E">
              <w:rPr>
                <w:rFonts w:cs="Tahoma"/>
                <w:b/>
                <w:bCs/>
                <w:color w:val="000000" w:themeColor="text1"/>
                <w:szCs w:val="20"/>
              </w:rPr>
              <w:t>”</w:t>
            </w:r>
          </w:p>
        </w:tc>
        <w:tc>
          <w:tcPr>
            <w:tcW w:w="5612" w:type="dxa"/>
            <w:shd w:val="clear" w:color="auto" w:fill="auto"/>
            <w:vAlign w:val="center"/>
          </w:tcPr>
          <w:p w:rsidR="005302FC" w:rsidRPr="009437E1" w:rsidRDefault="005302FC" w:rsidP="00945F97">
            <w:pPr>
              <w:widowControl w:val="0"/>
              <w:spacing w:before="120" w:after="120" w:line="290" w:lineRule="auto"/>
              <w:jc w:val="both"/>
              <w:rPr>
                <w:rFonts w:cs="Tahoma"/>
                <w:color w:val="000000" w:themeColor="text1"/>
                <w:szCs w:val="20"/>
              </w:rPr>
            </w:pPr>
            <w:bookmarkStart w:id="10" w:name="_Hlk34069229"/>
            <w:r>
              <w:rPr>
                <w:rFonts w:eastAsia="Arial Unicode MS" w:cs="Tahoma"/>
                <w:w w:val="0"/>
              </w:rPr>
              <w:t>Significa</w:t>
            </w:r>
            <w:r w:rsidR="00945F97">
              <w:rPr>
                <w:rFonts w:eastAsia="Arial Unicode MS" w:cs="Tahoma"/>
                <w:w w:val="0"/>
              </w:rPr>
              <w:t xml:space="preserve">m </w:t>
            </w:r>
            <w:r w:rsidR="00BE2435">
              <w:rPr>
                <w:rFonts w:eastAsia="Arial Unicode MS" w:cs="Tahoma"/>
                <w:w w:val="0"/>
              </w:rPr>
              <w:t xml:space="preserve">(A) </w:t>
            </w:r>
            <w:r w:rsidR="00945F97">
              <w:rPr>
                <w:rFonts w:eastAsia="Arial Unicode MS" w:cs="Tahoma"/>
                <w:w w:val="0"/>
              </w:rPr>
              <w:t>operações de fusão,</w:t>
            </w:r>
            <w:r w:rsidR="00192EB0">
              <w:rPr>
                <w:rFonts w:eastAsia="Arial Unicode MS" w:cs="Tahoma"/>
                <w:w w:val="0"/>
              </w:rPr>
              <w:t xml:space="preserve"> cisão,</w:t>
            </w:r>
            <w:r w:rsidR="00945F97">
              <w:rPr>
                <w:rFonts w:eastAsia="Arial Unicode MS" w:cs="Tahoma"/>
                <w:w w:val="0"/>
              </w:rPr>
              <w:t xml:space="preserve">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w:t>
            </w:r>
            <w:r w:rsidR="00BE2435">
              <w:rPr>
                <w:rFonts w:eastAsia="Arial Unicode MS" w:cs="Tahoma"/>
                <w:w w:val="0"/>
              </w:rPr>
              <w:t xml:space="preserve"> (e respectiva entidade cindida, conforme aplicável)</w:t>
            </w:r>
            <w:r w:rsidR="00A5398A">
              <w:rPr>
                <w:rFonts w:eastAsia="Arial Unicode MS" w:cs="Tahoma"/>
                <w:w w:val="0"/>
              </w:rPr>
              <w:t xml:space="preserve"> </w:t>
            </w:r>
            <w:r w:rsidR="001161FF">
              <w:rPr>
                <w:rFonts w:eastAsia="Arial Unicode MS" w:cs="Tahoma"/>
                <w:w w:val="0"/>
              </w:rPr>
              <w:t>desde que tal reestruturação</w:t>
            </w:r>
            <w:r w:rsidR="00945F97">
              <w:rPr>
                <w:rFonts w:eastAsia="Arial Unicode MS" w:cs="Tahoma"/>
                <w:w w:val="0"/>
              </w:rPr>
              <w:t xml:space="preserve"> não implique em qualquer restrição ao fluxo de dividendos das Controladas Relevantes para a Emissora</w:t>
            </w:r>
            <w:r w:rsidR="00BE2435">
              <w:rPr>
                <w:rFonts w:eastAsia="Arial Unicode MS" w:cs="Tahoma"/>
                <w:w w:val="0"/>
              </w:rPr>
              <w:t xml:space="preserve">, observado que não será permitido que uma Controlada Relevante direta da Emissora se torne Controlada Relevante indireta da Emissora; (B) incorporação de Controladas Relevantes pela Emissora; </w:t>
            </w:r>
            <w:r w:rsidR="00427144">
              <w:rPr>
                <w:rFonts w:eastAsia="Arial Unicode MS" w:cs="Tahoma"/>
                <w:w w:val="0"/>
              </w:rPr>
              <w:t>ou</w:t>
            </w:r>
            <w:r w:rsidR="00BE2435">
              <w:rPr>
                <w:rFonts w:eastAsia="Arial Unicode MS" w:cs="Tahoma"/>
                <w:w w:val="0"/>
              </w:rPr>
              <w:t xml:space="preserve"> (C) </w:t>
            </w:r>
            <w:r w:rsidR="001C4816">
              <w:rPr>
                <w:rFonts w:eastAsia="Arial Unicode MS" w:cs="Tahoma"/>
                <w:w w:val="0"/>
              </w:rPr>
              <w:t xml:space="preserve">cisão de Controladas Relevantes desde que, no momento da cisão, a parcela cindida represente 15% (quinze) por cento </w:t>
            </w:r>
            <w:r w:rsidR="00427144">
              <w:rPr>
                <w:rFonts w:eastAsia="Arial Unicode MS" w:cs="Tahoma"/>
                <w:w w:val="0"/>
              </w:rPr>
              <w:t xml:space="preserve">ou menos </w:t>
            </w:r>
            <w:r w:rsidR="001C4816">
              <w:rPr>
                <w:rFonts w:eastAsia="Arial Unicode MS" w:cs="Tahoma"/>
                <w:w w:val="0"/>
              </w:rPr>
              <w:t>do EBITDA individual ou consolidado da Emissora</w:t>
            </w:r>
            <w:bookmarkEnd w:id="10"/>
            <w:r w:rsidR="00C87C84">
              <w:rPr>
                <w:rFonts w:eastAsia="Arial Unicode MS" w:cs="Tahoma"/>
                <w:w w:val="0"/>
              </w:rPr>
              <w:t>.</w:t>
            </w:r>
          </w:p>
        </w:tc>
      </w:tr>
      <w:tr w:rsidR="000320E5" w:rsidRPr="009437E1" w:rsidTr="00F14B0D">
        <w:trPr>
          <w:trHeight w:val="300"/>
        </w:trPr>
        <w:tc>
          <w:tcPr>
            <w:tcW w:w="3119" w:type="dxa"/>
            <w:shd w:val="clear" w:color="auto" w:fill="auto"/>
            <w:vAlign w:val="center"/>
          </w:tcPr>
          <w:p w:rsidR="000320E5" w:rsidRDefault="000320E5" w:rsidP="005302FC">
            <w:pPr>
              <w:widowControl w:val="0"/>
              <w:spacing w:before="120" w:after="120" w:line="290" w:lineRule="auto"/>
              <w:rPr>
                <w:rFonts w:cs="Tahoma"/>
                <w:b/>
                <w:bCs/>
                <w:color w:val="000000" w:themeColor="text1"/>
                <w:szCs w:val="20"/>
              </w:rPr>
            </w:pPr>
            <w:r>
              <w:rPr>
                <w:rFonts w:cs="Tahoma"/>
                <w:b/>
                <w:bCs/>
                <w:color w:val="000000" w:themeColor="text1"/>
                <w:szCs w:val="20"/>
              </w:rPr>
              <w:t>“Reorganizações Permitidas Emissora”</w:t>
            </w:r>
          </w:p>
        </w:tc>
        <w:tc>
          <w:tcPr>
            <w:tcW w:w="5612" w:type="dxa"/>
            <w:shd w:val="clear" w:color="auto" w:fill="auto"/>
            <w:vAlign w:val="center"/>
          </w:tcPr>
          <w:p w:rsidR="000320E5" w:rsidRDefault="000320E5" w:rsidP="005302FC">
            <w:pPr>
              <w:widowControl w:val="0"/>
              <w:spacing w:before="120" w:after="120" w:line="290" w:lineRule="auto"/>
              <w:jc w:val="both"/>
              <w:rPr>
                <w:rFonts w:eastAsia="Arial Unicode MS" w:cs="Tahoma"/>
                <w:w w:val="0"/>
              </w:rPr>
            </w:pPr>
            <w:r>
              <w:t xml:space="preserve">Significa </w:t>
            </w:r>
            <w:r>
              <w:rPr>
                <w:rFonts w:eastAsia="Arial Unicode MS" w:cs="Tahoma"/>
                <w:w w:val="0"/>
              </w:rPr>
              <w:t>em relação à Emissora, uma fusão, cisão ou incorporação</w:t>
            </w:r>
            <w:r w:rsidRPr="00A20CA4">
              <w:rPr>
                <w:rFonts w:eastAsia="Arial Unicode MS" w:cs="Tahoma"/>
                <w:w w:val="0"/>
              </w:rPr>
              <w:t xml:space="preserve"> </w:t>
            </w:r>
            <w:r>
              <w:rPr>
                <w:rFonts w:eastAsia="Arial Unicode MS" w:cs="Tahoma"/>
                <w:w w:val="0"/>
              </w:rPr>
              <w:t xml:space="preserve">em que </w:t>
            </w:r>
            <w:r w:rsidRPr="00523CDD">
              <w:rPr>
                <w:rFonts w:cstheme="minorHAnsi"/>
              </w:rPr>
              <w:t xml:space="preserve">tiver sido assegurado </w:t>
            </w:r>
            <w:r w:rsidR="002F3EFB">
              <w:rPr>
                <w:rFonts w:cstheme="minorHAnsi"/>
              </w:rPr>
              <w:t>à totalidade dos</w:t>
            </w:r>
            <w:r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2A6A53">
              <w:rPr>
                <w:rFonts w:cstheme="minorHAnsi"/>
              </w:rPr>
              <w:t>Atualizado</w:t>
            </w:r>
            <w:r w:rsidRPr="00523CDD">
              <w:rPr>
                <w:rFonts w:cstheme="minorHAnsi"/>
              </w:rPr>
              <w:t>, acrescido d</w:t>
            </w:r>
            <w:r w:rsidR="002A6A53">
              <w:rPr>
                <w:rFonts w:cstheme="minorHAnsi"/>
              </w:rPr>
              <w:t xml:space="preserve">os </w:t>
            </w:r>
            <w:r w:rsidRPr="00523CDD">
              <w:rPr>
                <w:rFonts w:cstheme="minorHAnsi"/>
              </w:rPr>
              <w:t xml:space="preserve"> </w:t>
            </w:r>
            <w:r w:rsidR="002A6A53">
              <w:rPr>
                <w:rFonts w:cstheme="minorHAnsi"/>
              </w:rPr>
              <w:t>Juros Remuneratórios</w:t>
            </w:r>
            <w:r w:rsidRPr="00523CDD">
              <w:rPr>
                <w:rFonts w:cstheme="minorHAnsi"/>
              </w:rPr>
              <w:t>, calculad</w:t>
            </w:r>
            <w:r w:rsidR="002A6A53">
              <w:rPr>
                <w:rFonts w:cstheme="minorHAnsi"/>
              </w:rPr>
              <w:t>os</w:t>
            </w:r>
            <w:r w:rsidRPr="00523CDD">
              <w:rPr>
                <w:rFonts w:cstheme="minorHAnsi"/>
              </w:rPr>
              <w:t xml:space="preserve"> </w:t>
            </w:r>
            <w:r w:rsidRPr="00523CDD">
              <w:rPr>
                <w:rFonts w:cstheme="minorHAnsi"/>
                <w:i/>
              </w:rPr>
              <w:t>pro rata temporis</w:t>
            </w:r>
            <w:r w:rsidRPr="00523CDD">
              <w:rPr>
                <w:rFonts w:cstheme="minorHAnsi"/>
              </w:rPr>
              <w:t xml:space="preserve">, desde a Primeira Data de Integralização ou a </w:t>
            </w:r>
            <w:r w:rsidR="002A6A53">
              <w:rPr>
                <w:rFonts w:cstheme="minorHAnsi"/>
              </w:rPr>
              <w:t>D</w:t>
            </w:r>
            <w:r w:rsidR="002A6A53" w:rsidRPr="00523CDD">
              <w:rPr>
                <w:rFonts w:cstheme="minorHAnsi"/>
              </w:rPr>
              <w:t xml:space="preserve">ata </w:t>
            </w:r>
            <w:r w:rsidRPr="00523CDD">
              <w:rPr>
                <w:rFonts w:cstheme="minorHAnsi"/>
              </w:rPr>
              <w:t xml:space="preserve">de </w:t>
            </w:r>
            <w:r w:rsidR="002A6A53">
              <w:rPr>
                <w:rFonts w:cstheme="minorHAnsi"/>
              </w:rPr>
              <w:t>P</w:t>
            </w:r>
            <w:r w:rsidR="002A6A53" w:rsidRPr="00523CDD">
              <w:rPr>
                <w:rFonts w:cstheme="minorHAnsi"/>
              </w:rPr>
              <w:t xml:space="preserve">agamento </w:t>
            </w:r>
            <w:r w:rsidR="002A6A53">
              <w:rPr>
                <w:rFonts w:cstheme="minorHAnsi"/>
              </w:rPr>
              <w:t>dos Juros Remuneratórios</w:t>
            </w:r>
            <w:r w:rsidRPr="00523CDD">
              <w:rPr>
                <w:rFonts w:cstheme="minorHAnsi"/>
              </w:rPr>
              <w:t xml:space="preserve"> imediatamente anterior, conforme o caso, até a data do efetivo pagamento, sem qualquer prêmio ou penalidade</w:t>
            </w:r>
            <w:r w:rsidRPr="00523CDD">
              <w:rPr>
                <w:rFonts w:eastAsia="Calibri"/>
                <w:lang w:eastAsia="pt-BR"/>
              </w:rPr>
              <w:t xml:space="preserve">, desde que observadas as restrições previstas </w:t>
            </w:r>
            <w:r w:rsidRPr="00523CDD">
              <w:rPr>
                <w:rFonts w:eastAsia="Calibri"/>
                <w:lang w:eastAsia="pt-BR"/>
              </w:rPr>
              <w:lastRenderedPageBreak/>
              <w:t>na Lei 12.431</w:t>
            </w:r>
            <w:r w:rsidR="00C87C84">
              <w:rPr>
                <w:rFonts w:eastAsia="Calibri"/>
                <w:lang w:eastAsia="pt-BR"/>
              </w:rPr>
              <w:t>.</w:t>
            </w:r>
            <w:r w:rsidR="001550FE">
              <w:rPr>
                <w:rFonts w:eastAsia="Calibri"/>
                <w:lang w:eastAsia="pt-BR"/>
              </w:rPr>
              <w:t xml:space="preserve"> </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"Relatório Anual do Agente Fiduciário"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9.2.1.</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6.20.1.</w:t>
            </w:r>
          </w:p>
        </w:tc>
      </w:tr>
      <w:tr w:rsidR="00C62A81" w:rsidRPr="009437E1" w:rsidTr="00F14B0D">
        <w:trPr>
          <w:trHeight w:val="85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"Resolução CMN 4751"</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Resolução CMN 4.751, de 26 de setembro de 2019, que regulamenta o artigo 1º, parágrafo 1º, inciso II da Lei nº 12.431.</w:t>
            </w:r>
          </w:p>
        </w:tc>
      </w:tr>
      <w:tr w:rsidR="00C62A81" w:rsidRPr="009437E1" w:rsidTr="00F14B0D">
        <w:trPr>
          <w:trHeight w:val="855"/>
        </w:trPr>
        <w:tc>
          <w:tcPr>
            <w:tcW w:w="3119" w:type="dxa"/>
            <w:shd w:val="clear" w:color="auto" w:fill="auto"/>
            <w:vAlign w:val="center"/>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"RTD Fiança"</w:t>
            </w:r>
          </w:p>
        </w:tc>
        <w:tc>
          <w:tcPr>
            <w:tcW w:w="5612" w:type="dxa"/>
            <w:shd w:val="clear" w:color="auto" w:fill="auto"/>
            <w:vAlign w:val="center"/>
          </w:tcPr>
          <w:p w:rsidR="00C62A81" w:rsidRPr="009437E1" w:rsidRDefault="00C62A81"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 xml:space="preserve">significa </w:t>
            </w:r>
            <w:r w:rsidR="00E05DD8">
              <w:rPr>
                <w:rFonts w:cs="Tahoma"/>
                <w:color w:val="000000" w:themeColor="text1"/>
                <w:szCs w:val="20"/>
              </w:rPr>
              <w:t>o cartório de registro de títulos e documentos do local de domicílio do Fiador.</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"Taxa Substitutiva"</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6.8.2.</w:t>
            </w:r>
          </w:p>
        </w:tc>
      </w:tr>
      <w:tr w:rsidR="00C62A81" w:rsidRPr="009437E1" w:rsidTr="00F14B0D">
        <w:trPr>
          <w:trHeight w:val="1425"/>
        </w:trPr>
        <w:tc>
          <w:tcPr>
            <w:tcW w:w="3119" w:type="dxa"/>
            <w:shd w:val="clear" w:color="auto" w:fill="auto"/>
            <w:vAlign w:val="center"/>
            <w:hideMark/>
          </w:tcPr>
          <w:p w:rsidR="00C62A81" w:rsidRPr="00C62A81" w:rsidRDefault="00C62A81" w:rsidP="00B85D15">
            <w:pPr>
              <w:widowControl w:val="0"/>
              <w:spacing w:before="120" w:after="120" w:line="290" w:lineRule="auto"/>
              <w:rPr>
                <w:rFonts w:cs="Tahoma"/>
                <w:b/>
                <w:bCs/>
                <w:color w:val="000000" w:themeColor="text1"/>
                <w:szCs w:val="20"/>
              </w:rPr>
            </w:pPr>
            <w:r w:rsidRPr="00C62A81">
              <w:rPr>
                <w:rFonts w:cs="Tahoma"/>
                <w:b/>
                <w:bCs/>
                <w:color w:val="000000" w:themeColor="text1"/>
                <w:szCs w:val="20"/>
              </w:rPr>
              <w:t xml:space="preserve">"Tesouro IPCA </w:t>
            </w:r>
            <w:r w:rsidR="00821C52" w:rsidRPr="00C62A81">
              <w:rPr>
                <w:rFonts w:cs="Tahoma"/>
                <w:b/>
                <w:bCs/>
                <w:color w:val="000000" w:themeColor="text1"/>
                <w:szCs w:val="20"/>
              </w:rPr>
              <w:t>202</w:t>
            </w:r>
            <w:r w:rsidR="00821C52">
              <w:rPr>
                <w:rFonts w:cs="Tahoma"/>
                <w:b/>
                <w:bCs/>
                <w:color w:val="000000" w:themeColor="text1"/>
                <w:szCs w:val="20"/>
              </w:rPr>
              <w:t>6</w:t>
            </w:r>
            <w:r w:rsidRPr="00C62A81">
              <w:rPr>
                <w:rFonts w:cs="Tahoma"/>
                <w:b/>
                <w:bCs/>
                <w:color w:val="000000" w:themeColor="text1"/>
                <w:szCs w:val="20"/>
              </w:rPr>
              <w:t>"</w:t>
            </w:r>
          </w:p>
        </w:tc>
        <w:tc>
          <w:tcPr>
            <w:tcW w:w="5612" w:type="dxa"/>
            <w:shd w:val="clear" w:color="auto" w:fill="auto"/>
            <w:vAlign w:val="center"/>
            <w:hideMark/>
          </w:tcPr>
          <w:p w:rsidR="00C62A81" w:rsidRPr="00C62A81" w:rsidRDefault="00C62A81" w:rsidP="00B85D15">
            <w:pPr>
              <w:widowControl w:val="0"/>
              <w:spacing w:before="120" w:after="120" w:line="290" w:lineRule="auto"/>
              <w:rPr>
                <w:rFonts w:cs="Tahoma"/>
                <w:color w:val="000000" w:themeColor="text1"/>
                <w:szCs w:val="20"/>
              </w:rPr>
            </w:pPr>
            <w:r w:rsidRPr="00C62A81">
              <w:rPr>
                <w:rFonts w:cs="Tahoma"/>
                <w:color w:val="000000" w:themeColor="text1"/>
                <w:szCs w:val="20"/>
              </w:rPr>
              <w:t xml:space="preserve">tem o significado previsto na Cláusula 6.9.1. </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w:t>
            </w:r>
          </w:p>
        </w:tc>
      </w:tr>
    </w:tbl>
    <w:p w:rsidR="003F1E23" w:rsidRPr="00960BA0" w:rsidRDefault="003F1E23" w:rsidP="005302FC">
      <w:pPr>
        <w:pStyle w:val="Body"/>
        <w:rPr>
          <w:rFonts w:cs="Tahoma"/>
        </w:rPr>
      </w:pPr>
    </w:p>
    <w:p w:rsidR="00DD716F" w:rsidRPr="006A509E" w:rsidRDefault="006A509E" w:rsidP="005302FC">
      <w:pPr>
        <w:pStyle w:val="Level1"/>
        <w:keepNext/>
        <w:numPr>
          <w:ilvl w:val="0"/>
          <w:numId w:val="6"/>
        </w:numPr>
        <w:rPr>
          <w:rFonts w:cs="Tahoma"/>
          <w:b/>
        </w:rPr>
      </w:pPr>
      <w:bookmarkStart w:id="11" w:name="_Toc261004484"/>
      <w:r w:rsidRPr="006A509E">
        <w:rPr>
          <w:rFonts w:cs="Tahoma"/>
          <w:b/>
        </w:rPr>
        <w:t>AUTORIZAÇÕES</w:t>
      </w:r>
      <w:bookmarkEnd w:id="11"/>
    </w:p>
    <w:p w:rsidR="0012777B" w:rsidRPr="0012777B" w:rsidRDefault="00DD716F" w:rsidP="005302FC">
      <w:pPr>
        <w:pStyle w:val="Level2"/>
        <w:rPr>
          <w:rFonts w:cs="Tahoma"/>
        </w:rPr>
      </w:pPr>
      <w:bookmarkStart w:id="12" w:name="_BPDC_LN_INS_1405"/>
      <w:bookmarkStart w:id="13" w:name="_BPDC_PR_INS_1406"/>
      <w:bookmarkStart w:id="14" w:name="_Hlk7533130"/>
      <w:bookmarkEnd w:id="12"/>
      <w:bookmarkEnd w:id="13"/>
      <w:r w:rsidRPr="00960BA0">
        <w:t xml:space="preserve">A Emissão (conforme abaixo definida) e a Oferta Restrita (conforme abaixo definida) serão realizadas, e esta Escritura de Emissão </w:t>
      </w:r>
      <w:r w:rsidR="0012777B">
        <w:t>e</w:t>
      </w:r>
      <w:r w:rsidR="00CC4D90">
        <w:t xml:space="preserve"> a emissão da </w:t>
      </w:r>
      <w:r w:rsidR="00985960">
        <w:t>Fiança</w:t>
      </w:r>
      <w:r w:rsidR="00CC4D90">
        <w:t xml:space="preserve"> Bancária</w:t>
      </w:r>
      <w:r w:rsidR="00D57C93">
        <w:t xml:space="preserve"> </w:t>
      </w:r>
      <w:r w:rsidR="0012777B">
        <w:t xml:space="preserve">(conforme abaixo definido) </w:t>
      </w:r>
      <w:r w:rsidR="00CC4D90">
        <w:t xml:space="preserve">foram autorizados </w:t>
      </w:r>
      <w:r w:rsidRPr="00960BA0">
        <w:t xml:space="preserve">com base nas deliberações tomadas </w:t>
      </w:r>
      <w:bookmarkEnd w:id="14"/>
      <w:r w:rsidRPr="00960BA0">
        <w:t xml:space="preserve">na Assembleia Geral Extraordinária de Acionistas da Emissora realizada em [•] de [•] 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(i) a aprovação </w:t>
      </w:r>
      <w:r w:rsidR="0012777B" w:rsidRPr="00D61FD1">
        <w:rPr>
          <w:rFonts w:cs="Tahoma"/>
        </w:rPr>
        <w:t xml:space="preserve">da Emissão e da Oferta Restrita, bem como de seus termos e condições; e (ii) </w:t>
      </w:r>
      <w:r w:rsidR="002341E7" w:rsidRPr="00D61FD1">
        <w:rPr>
          <w:rFonts w:cs="Tahoma"/>
        </w:rPr>
        <w:t xml:space="preserve">a </w:t>
      </w:r>
      <w:r w:rsidR="0012777B" w:rsidRPr="00D61FD1">
        <w:rPr>
          <w:rFonts w:cs="Tahoma"/>
        </w:rPr>
        <w:t xml:space="preserve">outorga da </w:t>
      </w:r>
      <w:r w:rsidR="00B21682" w:rsidRPr="00D61FD1">
        <w:rPr>
          <w:rFonts w:cs="Tahoma"/>
        </w:rPr>
        <w:t xml:space="preserve">Fiança Bancária </w:t>
      </w:r>
      <w:r w:rsidR="0012777B" w:rsidRPr="00D61FD1">
        <w:rPr>
          <w:rFonts w:cs="Tahoma"/>
        </w:rPr>
        <w:t>(conforme abaixo definido) a ser constituídas pela Emissora em favor dos Debenturistas, conforme aplicável, bem como os seus respectivos termos e condições.</w:t>
      </w:r>
      <w:r w:rsidR="00B21682" w:rsidRPr="00D61FD1">
        <w:rPr>
          <w:rFonts w:cs="Tahoma"/>
        </w:rPr>
        <w:t xml:space="preserve"> </w:t>
      </w:r>
    </w:p>
    <w:p w:rsidR="00DD716F" w:rsidRDefault="00DD716F" w:rsidP="005302FC">
      <w:pPr>
        <w:pStyle w:val="Level2"/>
        <w:numPr>
          <w:ilvl w:val="1"/>
          <w:numId w:val="6"/>
        </w:numPr>
        <w:rPr>
          <w:rFonts w:cs="Tahoma"/>
        </w:rPr>
      </w:pPr>
      <w:bookmarkStart w:id="15" w:name="_BPDC_LN_INS_1403"/>
      <w:bookmarkStart w:id="16" w:name="_BPDC_PR_INS_1404"/>
      <w:bookmarkEnd w:id="15"/>
      <w:bookmarkEnd w:id="16"/>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(ii) contratar os demais prestadores de serviços inerentes à Emissão, à Oferta Restrita e às Debêntures, incluindo, sem limitação, o escriturador, o banco liquidante, o Agente Fiduciário, os assessores legais, a B3</w:t>
      </w:r>
      <w:r w:rsidR="002341E7">
        <w:rPr>
          <w:rFonts w:cs="Tahoma"/>
        </w:rPr>
        <w:t xml:space="preserve"> S.A. – Brasil, </w:t>
      </w:r>
      <w:r w:rsidR="00985960">
        <w:rPr>
          <w:rFonts w:cs="Tahoma"/>
        </w:rPr>
        <w:t>Bolsa</w:t>
      </w:r>
      <w:r w:rsidR="002341E7">
        <w:rPr>
          <w:rFonts w:cs="Tahoma"/>
        </w:rPr>
        <w:t xml:space="preserve">, Balcão – Segmento CETIP UTVM </w:t>
      </w:r>
      <w:r w:rsidR="002341E7" w:rsidRPr="00C64FB3">
        <w:t>B3</w:t>
      </w:r>
      <w:r w:rsidRPr="00960BA0">
        <w:rPr>
          <w:rFonts w:cs="Tahoma"/>
        </w:rPr>
        <w:t>, dentre outros; e (iii) praticar todo e qualquer ato necessário à realização da Oferta Restrita e da Emissão,</w:t>
      </w:r>
      <w:r w:rsidRPr="00960BA0">
        <w:rPr>
          <w:rFonts w:cs="Tahoma"/>
          <w:color w:val="000000"/>
        </w:rPr>
        <w:t xml:space="preserve"> incluindo a celebração de todos os documentos necessários à </w:t>
      </w:r>
      <w:r w:rsidRPr="00960BA0">
        <w:rPr>
          <w:rFonts w:cs="Tahoma"/>
          <w:color w:val="000000"/>
        </w:rPr>
        <w:lastRenderedPageBreak/>
        <w:t xml:space="preserve">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0012777B">
        <w:rPr>
          <w:rFonts w:cs="Tahoma"/>
          <w:color w:val="000000"/>
        </w:rPr>
        <w:t xml:space="preserve"> e </w:t>
      </w:r>
      <w:r w:rsidR="00CC4D90">
        <w:rPr>
          <w:rFonts w:cs="Tahoma"/>
          <w:color w:val="000000"/>
        </w:rPr>
        <w:t>a</w:t>
      </w:r>
      <w:r w:rsidR="0015621B">
        <w:rPr>
          <w:rFonts w:cs="Tahoma"/>
          <w:color w:val="000000"/>
        </w:rPr>
        <w:t xml:space="preserve"> emissão da</w:t>
      </w:r>
      <w:r w:rsidR="00CC4D90">
        <w:rPr>
          <w:rFonts w:cs="Tahoma"/>
          <w:color w:val="000000"/>
        </w:rPr>
        <w:t xml:space="preserve"> </w:t>
      </w:r>
      <w:r w:rsidR="00985960">
        <w:rPr>
          <w:rFonts w:cs="Tahoma"/>
          <w:color w:val="000000"/>
        </w:rPr>
        <w:t>Fiança</w:t>
      </w:r>
      <w:r w:rsidR="00CC4D90">
        <w:rPr>
          <w:rFonts w:cs="Tahoma"/>
          <w:color w:val="000000"/>
        </w:rPr>
        <w:t xml:space="preserve"> Bancária</w:t>
      </w:r>
      <w:r w:rsidRPr="00960BA0">
        <w:rPr>
          <w:rFonts w:cs="Tahoma"/>
        </w:rPr>
        <w:t>.</w:t>
      </w:r>
    </w:p>
    <w:p w:rsidR="006E5EBA" w:rsidRPr="00960BA0" w:rsidRDefault="006E5EBA" w:rsidP="005302FC">
      <w:pPr>
        <w:pStyle w:val="Level2"/>
        <w:numPr>
          <w:ilvl w:val="0"/>
          <w:numId w:val="0"/>
        </w:numPr>
        <w:ind w:left="680"/>
        <w:rPr>
          <w:rFonts w:cs="Tahoma"/>
        </w:rPr>
      </w:pPr>
    </w:p>
    <w:p w:rsidR="00DD716F" w:rsidRPr="006A509E" w:rsidRDefault="006A509E" w:rsidP="005302FC">
      <w:pPr>
        <w:pStyle w:val="Level1"/>
        <w:numPr>
          <w:ilvl w:val="0"/>
          <w:numId w:val="6"/>
        </w:numPr>
        <w:rPr>
          <w:rFonts w:cs="Tahoma"/>
          <w:b/>
        </w:rPr>
      </w:pPr>
      <w:bookmarkStart w:id="17" w:name="_Toc261004485"/>
      <w:r w:rsidRPr="006A509E">
        <w:rPr>
          <w:rFonts w:cs="Tahoma"/>
          <w:b/>
        </w:rPr>
        <w:t>REQUISITOS</w:t>
      </w:r>
      <w:bookmarkEnd w:id="17"/>
    </w:p>
    <w:p w:rsidR="00DD716F" w:rsidRPr="00960BA0" w:rsidRDefault="00DD716F" w:rsidP="005302FC">
      <w:pPr>
        <w:pStyle w:val="Level2"/>
        <w:numPr>
          <w:ilvl w:val="1"/>
          <w:numId w:val="6"/>
        </w:numPr>
        <w:rPr>
          <w:rFonts w:cs="Tahoma"/>
        </w:rPr>
      </w:pPr>
      <w:bookmarkStart w:id="18" w:name="_BPDC_LN_INS_1401"/>
      <w:bookmarkStart w:id="19" w:name="_BPDC_PR_INS_1402"/>
      <w:bookmarkStart w:id="20" w:name="_Ref368388547"/>
      <w:bookmarkEnd w:id="18"/>
      <w:bookmarkEnd w:id="19"/>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20"/>
      <w:r w:rsidRPr="00960BA0">
        <w:rPr>
          <w:rFonts w:cs="Tahoma"/>
        </w:rPr>
        <w:t xml:space="preserve"> </w:t>
      </w:r>
    </w:p>
    <w:p w:rsidR="00DD716F" w:rsidRPr="0042637A" w:rsidRDefault="00DD716F" w:rsidP="00B85D15">
      <w:pPr>
        <w:pStyle w:val="Level2"/>
        <w:numPr>
          <w:ilvl w:val="1"/>
          <w:numId w:val="6"/>
        </w:numPr>
        <w:rPr>
          <w:b/>
          <w:u w:val="single"/>
        </w:rPr>
      </w:pPr>
      <w:bookmarkStart w:id="21" w:name="_BPDC_LN_INS_1399"/>
      <w:bookmarkStart w:id="22" w:name="_BPDC_PR_INS_1400"/>
      <w:bookmarkEnd w:id="21"/>
      <w:bookmarkEnd w:id="22"/>
      <w:r w:rsidRPr="00B85D15">
        <w:rPr>
          <w:rFonts w:cs="Tahoma"/>
        </w:rPr>
        <w:t>Arquivamento</w:t>
      </w:r>
      <w:r w:rsidRPr="0042637A">
        <w:rPr>
          <w:i/>
        </w:rPr>
        <w:t xml:space="preserve"> na JUCESP e publicação da ata da AGE da Emissão</w:t>
      </w:r>
      <w:r w:rsidRPr="00960BA0">
        <w:t xml:space="preserve">. A ata da AGE da Emissão </w:t>
      </w:r>
      <w:r w:rsidRPr="0042637A">
        <w:rPr>
          <w:color w:val="000000"/>
        </w:rPr>
        <w:t>deverá</w:t>
      </w:r>
      <w:r w:rsidRPr="00960BA0">
        <w:t xml:space="preserve"> ser devidamente arquivada na </w:t>
      </w:r>
      <w:r w:rsidRPr="00861C47">
        <w:t>JUCESP</w:t>
      </w:r>
      <w:r w:rsidRPr="00960BA0">
        <w:t xml:space="preserve"> e publicada</w:t>
      </w:r>
      <w:r w:rsidR="00AC3E0A">
        <w:t xml:space="preserve"> </w:t>
      </w:r>
      <w:r w:rsidR="00AC3E0A" w:rsidRPr="0042637A">
        <w:rPr>
          <w:rFonts w:cs="Tahoma"/>
        </w:rPr>
        <w:t>no D</w:t>
      </w:r>
      <w:r w:rsidR="00AC3E0A" w:rsidRPr="000E4ED3">
        <w:rPr>
          <w:rFonts w:cs="Tahoma"/>
        </w:rPr>
        <w:t>iário Oficial do Estado de São Paulo e no jornal “[●]</w:t>
      </w:r>
      <w:r w:rsidR="00544FA7">
        <w:rPr>
          <w:rFonts w:cs="Tahoma"/>
        </w:rPr>
        <w:t>”</w:t>
      </w:r>
      <w:r w:rsidR="00AC3E0A" w:rsidRPr="000E4ED3">
        <w:rPr>
          <w:rFonts w:cs="Tahoma"/>
        </w:rPr>
        <w:t xml:space="preserve"> (“</w:t>
      </w:r>
      <w:r w:rsidR="00AC3E0A" w:rsidRPr="000E4ED3">
        <w:rPr>
          <w:rFonts w:cs="Tahoma"/>
          <w:b/>
          <w:bCs/>
        </w:rPr>
        <w:t>Jornais de Publicação</w:t>
      </w:r>
      <w:r w:rsidR="00AC3E0A" w:rsidRPr="0042637A">
        <w:rPr>
          <w:rFonts w:cs="Tahoma"/>
        </w:rPr>
        <w:t>”)</w:t>
      </w:r>
      <w:r w:rsidRPr="00960BA0">
        <w:t>, conforme disposto no artigo 62, inciso I, da Lei das Sociedades por Ações, previamente à subscrição e integralização das Debêntures.</w:t>
      </w:r>
    </w:p>
    <w:p w:rsidR="00DD716F" w:rsidRPr="0012777B" w:rsidRDefault="00DD716F" w:rsidP="00B85D15">
      <w:pPr>
        <w:pStyle w:val="Level2"/>
        <w:numPr>
          <w:ilvl w:val="1"/>
          <w:numId w:val="6"/>
        </w:numPr>
        <w:rPr>
          <w:rFonts w:cs="Tahoma"/>
        </w:rPr>
      </w:pPr>
      <w:bookmarkStart w:id="23" w:name="_BPDC_LN_INS_1397"/>
      <w:bookmarkStart w:id="24" w:name="_BPDC_PR_INS_1398"/>
      <w:bookmarkEnd w:id="23"/>
      <w:bookmarkEnd w:id="24"/>
      <w:r w:rsidRPr="00960BA0">
        <w:rPr>
          <w:rFonts w:cs="Tahoma"/>
          <w:i/>
        </w:rPr>
        <w:t>Inscrição e registro desta Escritura de Emissão e seus aditamentos na JUCESP</w:t>
      </w:r>
      <w:r w:rsidRPr="00960BA0">
        <w:rPr>
          <w:rFonts w:cs="Tahoma"/>
        </w:rPr>
        <w:t xml:space="preserve">. Esta Escritura de Emissão e seus eventuais aditamentos deverão ser registrados na </w:t>
      </w:r>
      <w:r w:rsidRPr="0012777B">
        <w:rPr>
          <w:rFonts w:cs="Tahoma"/>
        </w:rPr>
        <w:t>JUCESP, conforme disposto no artigo 62, inciso II, d</w:t>
      </w:r>
      <w:r w:rsidR="00220D54" w:rsidRPr="0012777B">
        <w:rPr>
          <w:rFonts w:cs="Tahoma"/>
        </w:rPr>
        <w:t>a Lei das Sociedades por Ações.</w:t>
      </w:r>
    </w:p>
    <w:p w:rsidR="00220D54" w:rsidRPr="006E4ABE" w:rsidRDefault="00220D54" w:rsidP="00B85D15">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rsidR="00220D54" w:rsidRPr="00960BA0" w:rsidRDefault="00220D54" w:rsidP="00B85D15">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rsidR="00DD716F" w:rsidRPr="00220D54" w:rsidRDefault="00DD716F" w:rsidP="00B85D15">
      <w:pPr>
        <w:pStyle w:val="Level2"/>
        <w:numPr>
          <w:ilvl w:val="1"/>
          <w:numId w:val="6"/>
        </w:numPr>
        <w:rPr>
          <w:rFonts w:cs="Tahoma"/>
        </w:rPr>
      </w:pPr>
      <w:bookmarkStart w:id="25" w:name="_BPDC_LN_INS_1395"/>
      <w:bookmarkStart w:id="26" w:name="_BPDC_PR_INS_1396"/>
      <w:bookmarkStart w:id="27" w:name="_BPDC_LN_INS_1393"/>
      <w:bookmarkStart w:id="28" w:name="_BPDC_PR_INS_1394"/>
      <w:bookmarkStart w:id="29" w:name="_BPDC_LN_INS_1391"/>
      <w:bookmarkStart w:id="30" w:name="_BPDC_PR_INS_1392"/>
      <w:bookmarkStart w:id="31" w:name="_DV_M26"/>
      <w:bookmarkStart w:id="32" w:name="_DV_M42"/>
      <w:bookmarkStart w:id="33" w:name="_DV_M43"/>
      <w:bookmarkStart w:id="34" w:name="_DV_M44"/>
      <w:bookmarkStart w:id="35" w:name="_Ref368388540"/>
      <w:bookmarkStart w:id="36" w:name="_Hlk7540065"/>
      <w:bookmarkEnd w:id="25"/>
      <w:bookmarkEnd w:id="26"/>
      <w:bookmarkEnd w:id="27"/>
      <w:bookmarkEnd w:id="28"/>
      <w:bookmarkEnd w:id="29"/>
      <w:bookmarkEnd w:id="30"/>
      <w:bookmarkEnd w:id="31"/>
      <w:bookmarkEnd w:id="32"/>
      <w:bookmarkEnd w:id="33"/>
      <w:bookmarkEnd w:id="34"/>
      <w:r w:rsidRPr="00960BA0">
        <w:rPr>
          <w:rFonts w:cs="Tahoma"/>
          <w:i/>
        </w:rPr>
        <w:t xml:space="preserve">Depósito para Distribuição e Negociação. </w:t>
      </w:r>
      <w:r w:rsidRPr="00960BA0">
        <w:rPr>
          <w:rFonts w:cs="Tahoma"/>
        </w:rPr>
        <w:t>As Debêntures serão depositadas para (a) distribuição no mercado primário por meio do MDA – Módulo de Distribuição de Ativos, administrado e operacionalizado pela B3 S.A. – Brasil, Bolsa, Balcão – Segmento CETIP UTVM (“</w:t>
      </w:r>
      <w:r w:rsidRPr="00960BA0">
        <w:rPr>
          <w:rFonts w:cs="Tahoma"/>
          <w:b/>
        </w:rPr>
        <w:t>B3</w:t>
      </w:r>
      <w:r w:rsidRPr="00960BA0">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5"/>
      <w:r w:rsidRPr="00960BA0">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w:t>
      </w:r>
      <w:r w:rsidRPr="00960BA0">
        <w:rPr>
          <w:rFonts w:cs="Tahoma"/>
          <w:color w:val="000000"/>
        </w:rPr>
        <w:lastRenderedPageBreak/>
        <w:t xml:space="preserve">CVM 476, observado ainda o disposto no caput do artigo 15 da Instrução CVM 476 em relação à negociação das Debêntures entre investidores qualificados, nos termos definidos no artigo 9º-B da </w:t>
      </w:r>
      <w:r w:rsidRPr="00C64FB3">
        <w:rPr>
          <w:color w:val="000000" w:themeColor="text1"/>
        </w:rPr>
        <w:t xml:space="preserve">Instrução </w:t>
      </w:r>
      <w:r w:rsidRPr="00861C47">
        <w:rPr>
          <w:rFonts w:cs="Tahoma"/>
          <w:color w:val="000000" w:themeColor="text1"/>
        </w:rPr>
        <w:t>CVM 539</w:t>
      </w:r>
      <w:r w:rsidRPr="00960BA0">
        <w:rPr>
          <w:rFonts w:cs="Tahoma"/>
          <w:color w:val="000000"/>
        </w:rPr>
        <w:t xml:space="preserve">,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(conforme abaixo definido), nos termos do 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960BA0">
        <w:rPr>
          <w:rFonts w:cs="Tahoma"/>
          <w:i/>
          <w:color w:val="000000"/>
        </w:rPr>
        <w:t>pro rata temporis</w:t>
      </w:r>
      <w:r w:rsidRPr="00960BA0">
        <w:rPr>
          <w:rFonts w:cs="Tahoma"/>
          <w:color w:val="000000"/>
        </w:rPr>
        <w:t xml:space="preserve">, desde a </w:t>
      </w:r>
      <w:r>
        <w:rPr>
          <w:rFonts w:cs="Tahoma"/>
          <w:color w:val="000000"/>
        </w:rPr>
        <w:t xml:space="preserve">Primeira </w:t>
      </w:r>
      <w:r w:rsidRPr="00960BA0">
        <w:rPr>
          <w:rFonts w:cs="Tahoma"/>
          <w:color w:val="000000"/>
        </w:rPr>
        <w:t>Data de Integralização (conforme abaixo definido) até a data de sua efetiva negociação.</w:t>
      </w:r>
    </w:p>
    <w:p w:rsidR="00A141C3" w:rsidRPr="00960BA0" w:rsidRDefault="00220D54" w:rsidP="00186EB2">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6"/>
    <w:p w:rsidR="00DD716F" w:rsidRPr="006A509E" w:rsidRDefault="006A509E" w:rsidP="005302FC">
      <w:pPr>
        <w:pStyle w:val="Level1"/>
        <w:numPr>
          <w:ilvl w:val="0"/>
          <w:numId w:val="6"/>
        </w:numPr>
        <w:rPr>
          <w:rFonts w:cs="Tahoma"/>
          <w:b/>
        </w:rPr>
      </w:pPr>
      <w:r w:rsidRPr="006A509E">
        <w:rPr>
          <w:rFonts w:cs="Tahoma"/>
          <w:b/>
        </w:rPr>
        <w:t>OBJETO SOCIAL DA EMISSORA</w:t>
      </w:r>
    </w:p>
    <w:p w:rsidR="00DD716F" w:rsidRDefault="00DD716F" w:rsidP="005302FC">
      <w:pPr>
        <w:pStyle w:val="Level2"/>
        <w:rPr>
          <w:rFonts w:cs="Tahoma"/>
        </w:rPr>
      </w:pPr>
      <w:bookmarkStart w:id="37" w:name="_BPDC_LN_INS_1389"/>
      <w:bookmarkStart w:id="38" w:name="_BPDC_PR_INS_1390"/>
      <w:bookmarkEnd w:id="37"/>
      <w:bookmarkEnd w:id="38"/>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 xml:space="preserve">(i) a exploração de atividades de produção, geração, transmissão, distribuição e comercialização de energia elétrica; (ii)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(iii)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rsidR="006E5EBA" w:rsidRPr="00960BA0" w:rsidRDefault="006E5EBA" w:rsidP="005302FC">
      <w:pPr>
        <w:pStyle w:val="Level2"/>
        <w:numPr>
          <w:ilvl w:val="0"/>
          <w:numId w:val="0"/>
        </w:numPr>
        <w:ind w:left="680"/>
        <w:rPr>
          <w:rFonts w:cs="Tahoma"/>
        </w:rPr>
      </w:pPr>
    </w:p>
    <w:p w:rsidR="00DD716F" w:rsidRPr="006A509E" w:rsidRDefault="006A509E" w:rsidP="005302FC">
      <w:pPr>
        <w:pStyle w:val="Level1"/>
        <w:numPr>
          <w:ilvl w:val="0"/>
          <w:numId w:val="6"/>
        </w:numPr>
        <w:rPr>
          <w:rFonts w:cs="Tahoma"/>
          <w:b/>
        </w:rPr>
      </w:pPr>
      <w:r w:rsidRPr="006A509E">
        <w:rPr>
          <w:rFonts w:cs="Tahoma"/>
          <w:b/>
        </w:rPr>
        <w:t>DESTINAÇÃO DOS RECURSOS</w:t>
      </w:r>
    </w:p>
    <w:p w:rsidR="00F0048B" w:rsidRPr="003A0FDC" w:rsidRDefault="00F0048B" w:rsidP="005302FC">
      <w:pPr>
        <w:pStyle w:val="Level2"/>
        <w:numPr>
          <w:ilvl w:val="1"/>
          <w:numId w:val="6"/>
        </w:numPr>
        <w:rPr>
          <w:rFonts w:cs="Tahoma"/>
          <w:szCs w:val="20"/>
        </w:rPr>
      </w:pPr>
      <w:bookmarkStart w:id="39" w:name="_BPDC_LN_INS_1387"/>
      <w:bookmarkStart w:id="40" w:name="_BPDC_PR_INS_1388"/>
      <w:bookmarkStart w:id="41" w:name="_Ref368432278"/>
      <w:bookmarkEnd w:id="39"/>
      <w:bookmarkEnd w:id="40"/>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rsidR="004E4439" w:rsidRPr="008326EE" w:rsidRDefault="00F0048B"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rsidR="004E4439" w:rsidRPr="008326EE" w:rsidRDefault="004E4439" w:rsidP="005302FC">
            <w:pPr>
              <w:pStyle w:val="BNDES"/>
              <w:spacing w:after="140" w:line="290" w:lineRule="auto"/>
              <w:contextualSpacing/>
              <w:rPr>
                <w:rFonts w:ascii="Tahoma" w:hAnsi="Tahoma" w:cs="Tahoma"/>
                <w:kern w:val="20"/>
                <w:szCs w:val="28"/>
              </w:rPr>
            </w:pPr>
          </w:p>
          <w:p w:rsidR="00F0048B" w:rsidRPr="008326EE" w:rsidRDefault="004E4439"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lastRenderedPageBreak/>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xml:space="preserve">; (ii)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e (iii)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rsidR="004E4439" w:rsidRPr="008326EE" w:rsidRDefault="004E4439" w:rsidP="005302FC">
            <w:pPr>
              <w:pStyle w:val="BNDES"/>
              <w:spacing w:after="140" w:line="290" w:lineRule="auto"/>
              <w:contextualSpacing/>
              <w:rPr>
                <w:rFonts w:ascii="Tahoma" w:hAnsi="Tahoma" w:cs="Tahoma"/>
                <w:kern w:val="20"/>
                <w:szCs w:val="28"/>
              </w:rPr>
            </w:pPr>
          </w:p>
          <w:p w:rsidR="004E4439" w:rsidRPr="008326EE" w:rsidRDefault="004E4439"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(ii) 96,6 MW, sendo dividido em (i) 42,0 MW da Vila Piauí 3 Empreendimentos e Participações S.A.; (ii) 37,8 MW da Vila Sergipe 2 Empreendimentos e Participações S.A.; e (iii) 16,8 MW da Vila Sergipe 3 Empreendimentos e Participações S.A. (“</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rsidTr="00F0048B">
        <w:trPr>
          <w:trHeight w:val="17"/>
          <w:jc w:val="right"/>
        </w:trPr>
        <w:tc>
          <w:tcPr>
            <w:tcW w:w="1408" w:type="pct"/>
            <w:shd w:val="clear" w:color="auto" w:fill="auto"/>
            <w:vAlign w:val="center"/>
          </w:tcPr>
          <w:p w:rsidR="009F145B" w:rsidRPr="008326EE" w:rsidRDefault="00A141C3" w:rsidP="005302FC">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rsidR="009F145B" w:rsidRPr="008326EE" w:rsidRDefault="009F145B" w:rsidP="005302FC">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rsidTr="00F0048B">
        <w:trPr>
          <w:trHeight w:val="17"/>
          <w:jc w:val="right"/>
        </w:trPr>
        <w:tc>
          <w:tcPr>
            <w:tcW w:w="1408" w:type="pct"/>
            <w:shd w:val="clear" w:color="auto" w:fill="auto"/>
            <w:vAlign w:val="center"/>
          </w:tcPr>
          <w:p w:rsidR="009F145B" w:rsidRPr="008326EE" w:rsidRDefault="009F145B" w:rsidP="00B85D15">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rsidR="009F145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rsidR="00F0048B" w:rsidRPr="008326EE" w:rsidRDefault="009F145B" w:rsidP="005302FC">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rsidR="00F0048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rsidR="00F0048B" w:rsidRPr="008326EE" w:rsidRDefault="00F0048B"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rsidR="00F0048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~22%</w:t>
            </w:r>
          </w:p>
        </w:tc>
      </w:tr>
    </w:tbl>
    <w:p w:rsidR="00F0048B" w:rsidRPr="00CD063C" w:rsidRDefault="00F0048B" w:rsidP="005302FC">
      <w:pPr>
        <w:pStyle w:val="Lista2"/>
        <w:spacing w:after="140" w:line="290" w:lineRule="auto"/>
        <w:ind w:left="0" w:firstLine="0"/>
        <w:rPr>
          <w:rFonts w:cs="Tahoma"/>
          <w:szCs w:val="20"/>
        </w:rPr>
      </w:pPr>
    </w:p>
    <w:p w:rsidR="00F0048B" w:rsidRDefault="00F0048B" w:rsidP="005302FC">
      <w:pPr>
        <w:pStyle w:val="Level2"/>
        <w:numPr>
          <w:ilvl w:val="1"/>
          <w:numId w:val="6"/>
        </w:numPr>
        <w:rPr>
          <w:rFonts w:cs="Tahoma"/>
          <w:szCs w:val="20"/>
        </w:rPr>
      </w:pPr>
      <w:bookmarkStart w:id="42" w:name="_DV_M106"/>
      <w:bookmarkStart w:id="43" w:name="_DV_M113"/>
      <w:bookmarkEnd w:id="42"/>
      <w:bookmarkEnd w:id="43"/>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rsidR="006E5EBA" w:rsidRPr="00F0475C" w:rsidRDefault="006E5EBA" w:rsidP="005302FC">
      <w:pPr>
        <w:pStyle w:val="Level2"/>
        <w:numPr>
          <w:ilvl w:val="0"/>
          <w:numId w:val="0"/>
        </w:numPr>
        <w:ind w:left="680"/>
        <w:rPr>
          <w:rFonts w:cs="Tahoma"/>
          <w:szCs w:val="20"/>
        </w:rPr>
      </w:pPr>
    </w:p>
    <w:bookmarkEnd w:id="41"/>
    <w:p w:rsidR="00DD716F" w:rsidRPr="006A509E" w:rsidRDefault="006A509E" w:rsidP="005302FC">
      <w:pPr>
        <w:pStyle w:val="Level1"/>
        <w:numPr>
          <w:ilvl w:val="0"/>
          <w:numId w:val="6"/>
        </w:numPr>
        <w:rPr>
          <w:rFonts w:cs="Tahoma"/>
          <w:b/>
        </w:rPr>
      </w:pPr>
      <w:r w:rsidRPr="006A509E">
        <w:rPr>
          <w:rFonts w:cs="Tahoma"/>
          <w:b/>
        </w:rPr>
        <w:t>CARACTERÍSTICAS DA EMISSÃO E DA OFERTA RESTRITA</w:t>
      </w:r>
    </w:p>
    <w:p w:rsidR="00DD716F" w:rsidRPr="00960BA0" w:rsidRDefault="00DD716F" w:rsidP="005302FC">
      <w:pPr>
        <w:pStyle w:val="Level2"/>
        <w:numPr>
          <w:ilvl w:val="1"/>
          <w:numId w:val="6"/>
        </w:numPr>
        <w:rPr>
          <w:rFonts w:cs="Tahoma"/>
        </w:rPr>
      </w:pPr>
      <w:bookmarkStart w:id="44" w:name="_BPDC_LN_INS_1385"/>
      <w:bookmarkStart w:id="45" w:name="_BPDC_PR_INS_1386"/>
      <w:bookmarkEnd w:id="44"/>
      <w:bookmarkEnd w:id="45"/>
      <w:r w:rsidRPr="00960BA0">
        <w:rPr>
          <w:rFonts w:cs="Tahoma"/>
          <w:i/>
        </w:rPr>
        <w:lastRenderedPageBreak/>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rsidR="00DD716F" w:rsidRPr="00960BA0" w:rsidRDefault="00DD716F" w:rsidP="005302FC">
      <w:pPr>
        <w:pStyle w:val="Level2"/>
      </w:pPr>
      <w:bookmarkStart w:id="46" w:name="_BPDC_LN_INS_1383"/>
      <w:bookmarkStart w:id="47" w:name="_BPDC_PR_INS_1384"/>
      <w:bookmarkEnd w:id="46"/>
      <w:bookmarkEnd w:id="47"/>
      <w:r w:rsidRPr="00CF1F9C">
        <w:rPr>
          <w:i/>
        </w:rPr>
        <w:t>Valor Total da Emissão</w:t>
      </w:r>
      <w:r w:rsidRPr="00960BA0">
        <w:t>. O valor total da Emissão é de R$ </w:t>
      </w:r>
      <w:r w:rsidR="00220D54">
        <w:t>225.000.000,00</w:t>
      </w:r>
      <w:r w:rsidRPr="00960BA0">
        <w:t xml:space="preserve"> (</w:t>
      </w:r>
      <w:r w:rsidR="00220D54">
        <w:t>duzentos e vinte e cinco milhões</w:t>
      </w:r>
      <w:r w:rsidRPr="00960BA0">
        <w:t>), na Data de Emissão (conforme abaixo definida)</w:t>
      </w:r>
      <w:r w:rsidR="000104F6" w:rsidRPr="00CF1F9C">
        <w:rPr>
          <w:rFonts w:cs="Tahoma"/>
        </w:rPr>
        <w:t>.</w:t>
      </w:r>
    </w:p>
    <w:p w:rsidR="00DD716F" w:rsidRPr="00960BA0" w:rsidRDefault="00DD716F" w:rsidP="005302FC">
      <w:pPr>
        <w:pStyle w:val="Level2"/>
        <w:numPr>
          <w:ilvl w:val="1"/>
          <w:numId w:val="6"/>
        </w:numPr>
        <w:rPr>
          <w:rFonts w:cs="Tahoma"/>
        </w:rPr>
      </w:pPr>
      <w:bookmarkStart w:id="48" w:name="_BPDC_LN_INS_1381"/>
      <w:bookmarkStart w:id="49" w:name="_BPDC_PR_INS_1382"/>
      <w:bookmarkEnd w:id="48"/>
      <w:bookmarkEnd w:id="49"/>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rsidR="00DD716F" w:rsidRPr="00960BA0" w:rsidRDefault="00DD716F" w:rsidP="005302FC">
      <w:pPr>
        <w:pStyle w:val="Level2"/>
      </w:pPr>
      <w:bookmarkStart w:id="50" w:name="_BPDC_LN_INS_1379"/>
      <w:bookmarkStart w:id="51" w:name="_BPDC_PR_INS_1380"/>
      <w:bookmarkStart w:id="52" w:name="_BPDC_LN_INS_1377"/>
      <w:bookmarkStart w:id="53" w:name="_BPDC_PR_INS_1378"/>
      <w:bookmarkEnd w:id="50"/>
      <w:bookmarkEnd w:id="51"/>
      <w:bookmarkEnd w:id="52"/>
      <w:bookmarkEnd w:id="53"/>
      <w:r w:rsidRPr="00CF1F9C">
        <w:rPr>
          <w:i/>
        </w:rPr>
        <w:t>Quantidade de Debêntures</w:t>
      </w:r>
      <w:r w:rsidRPr="00960BA0">
        <w:t xml:space="preserve">. Serão emitidas </w:t>
      </w:r>
      <w:r w:rsidR="00220D54">
        <w:t>225.000</w:t>
      </w:r>
      <w:r w:rsidRPr="00960BA0">
        <w:t xml:space="preserve"> (</w:t>
      </w:r>
      <w:r w:rsidR="00220D54">
        <w:t>duzentas e vinte e cinco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rsidR="00DD716F" w:rsidRPr="00960BA0" w:rsidRDefault="00DD716F" w:rsidP="005302FC">
      <w:pPr>
        <w:pStyle w:val="Level2"/>
        <w:numPr>
          <w:ilvl w:val="1"/>
          <w:numId w:val="6"/>
        </w:numPr>
        <w:rPr>
          <w:rFonts w:cs="Tahoma"/>
          <w:color w:val="000000"/>
        </w:rPr>
      </w:pPr>
      <w:bookmarkStart w:id="54" w:name="_BPDC_LN_INS_1375"/>
      <w:bookmarkStart w:id="55" w:name="_BPDC_PR_INS_1376"/>
      <w:bookmarkEnd w:id="54"/>
      <w:bookmarkEnd w:id="55"/>
      <w:r w:rsidRPr="00960BA0">
        <w:rPr>
          <w:rFonts w:cs="Tahoma"/>
          <w:i/>
        </w:rPr>
        <w:t>Banco Liquidante e Escriturador</w:t>
      </w:r>
      <w:r w:rsidRPr="00960BA0">
        <w:rPr>
          <w:rFonts w:cs="Tahoma"/>
        </w:rPr>
        <w:t xml:space="preserve">. A instituição prestadora de serviços de banco liquidante da Emissão e de escrituração das Debêntures será o [•], instituição financeira com sede </w:t>
      </w:r>
      <w:r w:rsidR="00284C25" w:rsidRPr="00960BA0">
        <w:rPr>
          <w:rFonts w:cs="Tahoma"/>
        </w:rPr>
        <w:t>N</w:t>
      </w:r>
      <w:r w:rsidRPr="00960BA0">
        <w:rPr>
          <w:rFonts w:cs="Tahoma"/>
        </w:rPr>
        <w:t>a Cidade de [•], Estado de [•], inscrita no CNPJ/ME sob o nº [•] (“</w:t>
      </w:r>
      <w:r w:rsidRPr="00960BA0">
        <w:rPr>
          <w:rFonts w:cs="Tahoma"/>
          <w:b/>
        </w:rPr>
        <w:t>Banco Liquidante</w:t>
      </w:r>
      <w:r w:rsidRPr="00960BA0">
        <w:rPr>
          <w:rFonts w:cs="Tahoma"/>
        </w:rPr>
        <w:t>” e “</w:t>
      </w:r>
      <w:r w:rsidRPr="00960BA0">
        <w:rPr>
          <w:rFonts w:cs="Tahoma"/>
          <w:b/>
        </w:rPr>
        <w:t>Escriturador</w:t>
      </w:r>
      <w:r w:rsidRPr="00960BA0">
        <w:rPr>
          <w:rFonts w:cs="Tahoma"/>
        </w:rPr>
        <w:t>”, respectivamente, sendo que tais definições incluem quaisquer outras instituições que venham a suceder o Banco Liquidante como banco liquidante da Emissão e/ou o Escriturador como escriturador das Debêntures).</w:t>
      </w:r>
      <w:r w:rsidRPr="00960BA0">
        <w:rPr>
          <w:rFonts w:cs="Tahoma"/>
          <w:color w:val="000000"/>
        </w:rPr>
        <w:t xml:space="preserve"> </w:t>
      </w:r>
    </w:p>
    <w:p w:rsidR="00DD716F" w:rsidRPr="00960BA0" w:rsidRDefault="00DD716F" w:rsidP="005302FC">
      <w:pPr>
        <w:pStyle w:val="Level2"/>
        <w:numPr>
          <w:ilvl w:val="1"/>
          <w:numId w:val="6"/>
        </w:numPr>
      </w:pPr>
      <w:bookmarkStart w:id="56" w:name="_BPDC_LN_INS_1373"/>
      <w:bookmarkStart w:id="57" w:name="_BPDC_PR_INS_1374"/>
      <w:bookmarkStart w:id="58" w:name="_DV_M137"/>
      <w:bookmarkStart w:id="59" w:name="_BPDC_LN_INS_1371"/>
      <w:bookmarkStart w:id="60" w:name="_BPDC_PR_INS_1372"/>
      <w:bookmarkStart w:id="61" w:name="_BPDC_LN_INS_1369"/>
      <w:bookmarkStart w:id="62" w:name="_BPDC_PR_INS_1370"/>
      <w:bookmarkEnd w:id="56"/>
      <w:bookmarkEnd w:id="57"/>
      <w:bookmarkEnd w:id="58"/>
      <w:bookmarkEnd w:id="59"/>
      <w:bookmarkEnd w:id="60"/>
      <w:bookmarkEnd w:id="61"/>
      <w:bookmarkEnd w:id="62"/>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Pr>
          <w:szCs w:val="20"/>
        </w:rPr>
        <w:t>instituições</w:t>
      </w:r>
      <w:r w:rsidRPr="00960BA0">
        <w:rPr>
          <w:szCs w:val="20"/>
        </w:rPr>
        <w:t xml:space="preserve"> financeira</w:t>
      </w:r>
      <w:r>
        <w:rPr>
          <w:szCs w:val="20"/>
        </w:rPr>
        <w:t>s</w:t>
      </w:r>
      <w:r w:rsidRPr="00960BA0">
        <w:rPr>
          <w:szCs w:val="20"/>
        </w:rPr>
        <w:t xml:space="preserve"> integrante</w:t>
      </w:r>
      <w:r>
        <w:rPr>
          <w:szCs w:val="20"/>
        </w:rPr>
        <w:t>s</w:t>
      </w:r>
      <w:r w:rsidRPr="00960BA0">
        <w:rPr>
          <w:szCs w:val="20"/>
        </w:rPr>
        <w:t xml:space="preserve"> do sistema de distribuição de valores mobiliários </w:t>
      </w:r>
      <w:r w:rsidRPr="00960BA0">
        <w:t>(</w:t>
      </w:r>
      <w:r>
        <w:t>“</w:t>
      </w:r>
      <w:r w:rsidRPr="00960BA0">
        <w:rPr>
          <w:b/>
        </w:rPr>
        <w:t>Coordenadores</w:t>
      </w:r>
      <w:r>
        <w:t xml:space="preserve">”, sendo um deles o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rsidR="00DD716F" w:rsidRPr="007E5F34" w:rsidRDefault="00DD716F" w:rsidP="005302FC">
      <w:pPr>
        <w:pStyle w:val="Level2"/>
        <w:numPr>
          <w:ilvl w:val="1"/>
          <w:numId w:val="6"/>
        </w:numPr>
        <w:rPr>
          <w:rFonts w:cs="Tahoma"/>
        </w:rPr>
      </w:pPr>
      <w:bookmarkStart w:id="63" w:name="_BPDC_LN_INS_1367"/>
      <w:bookmarkStart w:id="64" w:name="_BPDC_PR_INS_1368"/>
      <w:bookmarkStart w:id="65" w:name="_BPDC_LN_INS_1358"/>
      <w:bookmarkStart w:id="66" w:name="_BPDC_PR_INS_1359"/>
      <w:bookmarkStart w:id="67" w:name="_BPDC_PR_INS_1360"/>
      <w:bookmarkStart w:id="68" w:name="_BPDC_PR_INS_1361"/>
      <w:bookmarkStart w:id="69" w:name="_BPDC_PR_INS_1362"/>
      <w:bookmarkStart w:id="70" w:name="_BPDC_PR_INS_1363"/>
      <w:bookmarkStart w:id="71" w:name="_BPDC_PR_INS_1364"/>
      <w:bookmarkStart w:id="72" w:name="_BPDC_PR_INS_1365"/>
      <w:bookmarkStart w:id="73" w:name="_BPDC_PR_INS_1366"/>
      <w:bookmarkStart w:id="74" w:name="_BPDC_LN_INS_1355"/>
      <w:bookmarkStart w:id="75" w:name="_BPDC_PR_INS_1356"/>
      <w:bookmarkStart w:id="76" w:name="_BPDC_PR_INS_1357"/>
      <w:bookmarkStart w:id="77" w:name="_BPDC_LN_INS_1352"/>
      <w:bookmarkStart w:id="78" w:name="_BPDC_PR_INS_1353"/>
      <w:bookmarkStart w:id="79" w:name="_BPDC_PR_INS_1354"/>
      <w:bookmarkStart w:id="80" w:name="_BPDC_LN_INS_1350"/>
      <w:bookmarkStart w:id="81" w:name="_BPDC_PR_INS_135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E5F34">
        <w:rPr>
          <w:rFonts w:cs="Tahoma"/>
          <w:i/>
        </w:rPr>
        <w:t>Procedimento de Distribuição</w:t>
      </w:r>
      <w:r w:rsidRPr="007E5F34">
        <w:rPr>
          <w:rFonts w:cs="Tahoma"/>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7E5F34">
        <w:rPr>
          <w:rFonts w:cs="Tahoma"/>
          <w:iCs/>
        </w:rPr>
        <w:t xml:space="preserve">. </w:t>
      </w:r>
    </w:p>
    <w:p w:rsidR="00DD716F" w:rsidRPr="007E5F34" w:rsidRDefault="00DD716F" w:rsidP="005302FC">
      <w:pPr>
        <w:pStyle w:val="Level3"/>
      </w:pPr>
      <w:bookmarkStart w:id="82" w:name="_BPDC_LN_INS_1348"/>
      <w:bookmarkStart w:id="83" w:name="_BPDC_PR_INS_1349"/>
      <w:bookmarkEnd w:id="82"/>
      <w:bookmarkEnd w:id="83"/>
      <w:r w:rsidRPr="007E5F34">
        <w:t xml:space="preserve">Não será (i) constituído fundo de sustentação de liquidez; ou (ii) firmado contrato de estabilização de preço das Debêntures no mercado secundário </w:t>
      </w:r>
      <w:r w:rsidRPr="007E5F34">
        <w:rPr>
          <w:bCs/>
        </w:rPr>
        <w:t>no</w:t>
      </w:r>
      <w:r w:rsidRPr="007E5F34">
        <w:t xml:space="preserve"> âmbito da Oferta </w:t>
      </w:r>
      <w:r w:rsidRPr="007E5F34">
        <w:rPr>
          <w:color w:val="000000" w:themeColor="text1"/>
        </w:rPr>
        <w:t>Restrita</w:t>
      </w:r>
      <w:r w:rsidRPr="007E5F34">
        <w:t>, bem como não existirão reservas antecipadas, nem fixação de lotes mínimos ou máximos, independentemente de ordem cronológica</w:t>
      </w:r>
      <w:r w:rsidR="008D3871">
        <w:t>.</w:t>
      </w:r>
      <w:r w:rsidR="00356971" w:rsidRPr="007E5F34">
        <w:t xml:space="preserve"> </w:t>
      </w:r>
      <w:r w:rsidR="008D3871" w:rsidRPr="008D3871">
        <w:rPr>
          <w:rFonts w:cs="Tahoma"/>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e para a definição dos Juros Remuneratórios (conforme definido abaixo), respeitando-se os limites estabelecidos na Cláusula</w:t>
      </w:r>
      <w:r w:rsidR="008D3871">
        <w:rPr>
          <w:rFonts w:cs="Tahoma"/>
        </w:rPr>
        <w:t xml:space="preserve"> 6.9.1 </w:t>
      </w:r>
      <w:r w:rsidR="008D3871" w:rsidRPr="008D3871">
        <w:rPr>
          <w:rFonts w:cs="Tahoma"/>
        </w:rPr>
        <w:t>abaixo</w:t>
      </w:r>
      <w:r w:rsidR="00356971" w:rsidRPr="007E5F34">
        <w:rPr>
          <w:rFonts w:cs="Tahoma"/>
        </w:rPr>
        <w:t xml:space="preserve"> (“</w:t>
      </w:r>
      <w:r w:rsidR="00356971" w:rsidRPr="007E5F34">
        <w:rPr>
          <w:rFonts w:cs="Tahoma"/>
          <w:b/>
        </w:rPr>
        <w:t>Procedimento de Bookbuilding</w:t>
      </w:r>
      <w:r w:rsidR="00356971" w:rsidRPr="007E5F34">
        <w:rPr>
          <w:rFonts w:cs="Tahoma"/>
        </w:rPr>
        <w:t>”). O resultado do Procedimento de Bookbuilding será ratificado por meio de aditamento a esta Escritura, nos termos do Anexo I à presente Escritura de Emissão (“</w:t>
      </w:r>
      <w:r w:rsidR="00356971" w:rsidRPr="007E5F34">
        <w:rPr>
          <w:rFonts w:cs="Tahoma"/>
          <w:b/>
        </w:rPr>
        <w:t>Aditamento</w:t>
      </w:r>
      <w:r w:rsidR="00356971" w:rsidRPr="007E5F34">
        <w:rPr>
          <w:rFonts w:cs="Tahoma"/>
        </w:rPr>
        <w:t xml:space="preserve">”), que deverá ser arquivado na JUCESP, conforme termos desta Escritura de Emissão no prazo de até </w:t>
      </w:r>
      <w:r w:rsidR="00544FA7">
        <w:rPr>
          <w:rFonts w:cs="Tahoma"/>
        </w:rPr>
        <w:t>2 (dois)</w:t>
      </w:r>
      <w:r w:rsidR="00356971" w:rsidRPr="007E5F34">
        <w:rPr>
          <w:rFonts w:cs="Tahoma"/>
        </w:rPr>
        <w:t xml:space="preserve"> Dias Úteis contados do </w:t>
      </w:r>
      <w:r w:rsidR="009F145B">
        <w:rPr>
          <w:rFonts w:cs="Tahoma"/>
        </w:rPr>
        <w:t xml:space="preserve">encerramento </w:t>
      </w:r>
      <w:r w:rsidR="00356971" w:rsidRPr="007E5F34">
        <w:rPr>
          <w:rFonts w:cs="Tahoma"/>
        </w:rPr>
        <w:t xml:space="preserve">Procedimento de Bookbuilding, estando as Partes autorizadas e obrigadas a celebrar o Aditamento sem a </w:t>
      </w:r>
      <w:r w:rsidR="00356971" w:rsidRPr="007E5F34">
        <w:rPr>
          <w:rFonts w:cs="Tahoma"/>
        </w:rPr>
        <w:lastRenderedPageBreak/>
        <w:t xml:space="preserve">necessidade de realização de deliberação societária pela Emissora (exceto se exigido pela JUCESP para registro do Aditamento) </w:t>
      </w:r>
      <w:r w:rsidR="00B21682">
        <w:rPr>
          <w:rFonts w:cs="Tahoma"/>
        </w:rPr>
        <w:t>ou</w:t>
      </w:r>
      <w:r w:rsidR="00B21682" w:rsidRPr="007E5F34">
        <w:rPr>
          <w:rFonts w:cs="Tahoma"/>
        </w:rPr>
        <w:t xml:space="preserve"> </w:t>
      </w:r>
      <w:r w:rsidR="00356971" w:rsidRPr="007E5F34">
        <w:rPr>
          <w:rFonts w:cs="Tahoma"/>
        </w:rPr>
        <w:t>de Assembleia Geral de Debenturistas</w:t>
      </w:r>
      <w:r w:rsidRPr="007E5F34">
        <w:t>.</w:t>
      </w:r>
    </w:p>
    <w:p w:rsidR="00DD716F" w:rsidRPr="00960BA0" w:rsidRDefault="00DD716F" w:rsidP="005302FC">
      <w:pPr>
        <w:pStyle w:val="Level3"/>
        <w:numPr>
          <w:ilvl w:val="2"/>
          <w:numId w:val="6"/>
        </w:numPr>
        <w:rPr>
          <w:rFonts w:cs="Tahoma"/>
        </w:rPr>
      </w:pPr>
      <w:bookmarkStart w:id="84" w:name="_BPDC_LN_INS_1346"/>
      <w:bookmarkStart w:id="85" w:name="_BPDC_PR_INS_1347"/>
      <w:bookmarkStart w:id="86" w:name="_Hlk7538266"/>
      <w:bookmarkEnd w:id="84"/>
      <w:bookmarkEnd w:id="85"/>
      <w:r w:rsidRPr="007E5F34">
        <w:rPr>
          <w:rFonts w:cs="Tahoma"/>
        </w:rPr>
        <w:t xml:space="preserve">No ato de cada subscrição e integralização das Debêntures, os Investidores Profissionais </w:t>
      </w:r>
      <w:r w:rsidRPr="007E5F34">
        <w:rPr>
          <w:rFonts w:cs="Tahoma"/>
          <w:bCs/>
        </w:rPr>
        <w:t>deverão</w:t>
      </w:r>
      <w:r w:rsidRPr="007E5F34">
        <w:rPr>
          <w:rFonts w:cs="Tahoma"/>
        </w:rPr>
        <w:t xml:space="preserve"> realizar a entrega de declaração devidamente assinada, afirmando estar cientes e concordar, no mínimo, que: </w:t>
      </w:r>
      <w:bookmarkStart w:id="87"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(ii) a Oferta Restrita não foi registrada perante a CVM; (iii)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(iv) as Debêntures estão sujeitas às restrições de negociação previstas na regulamentação aplicável, nesta Escritura de Emissão e no Contrato de Distribuição</w:t>
      </w:r>
      <w:bookmarkEnd w:id="87"/>
      <w:r w:rsidRPr="00960BA0">
        <w:rPr>
          <w:rFonts w:cs="Tahoma"/>
        </w:rPr>
        <w:t xml:space="preserve">. </w:t>
      </w:r>
    </w:p>
    <w:p w:rsidR="00DD716F" w:rsidRPr="00960BA0" w:rsidRDefault="00DD716F" w:rsidP="005302FC">
      <w:pPr>
        <w:pStyle w:val="Level3"/>
        <w:numPr>
          <w:ilvl w:val="2"/>
          <w:numId w:val="6"/>
        </w:numPr>
        <w:rPr>
          <w:rFonts w:cs="Tahoma"/>
          <w:color w:val="000000"/>
        </w:rPr>
      </w:pPr>
      <w:bookmarkStart w:id="88" w:name="_Ref475518981"/>
      <w:bookmarkStart w:id="89" w:name="_Ref475519349"/>
      <w:bookmarkEnd w:id="86"/>
      <w:r w:rsidRPr="00960BA0">
        <w:rPr>
          <w:rFonts w:cs="Tahoma"/>
        </w:rPr>
        <w:t>Não será admitida a distribuição parcial das Debêntures</w:t>
      </w:r>
      <w:bookmarkEnd w:id="88"/>
      <w:r w:rsidRPr="00960BA0">
        <w:rPr>
          <w:rFonts w:cs="Tahoma"/>
          <w:color w:val="000000"/>
        </w:rPr>
        <w:t>.</w:t>
      </w:r>
      <w:bookmarkEnd w:id="89"/>
    </w:p>
    <w:p w:rsidR="003356A9" w:rsidRDefault="00DD716F" w:rsidP="005302FC">
      <w:pPr>
        <w:pStyle w:val="Level2"/>
        <w:numPr>
          <w:ilvl w:val="1"/>
          <w:numId w:val="6"/>
        </w:numPr>
      </w:pPr>
      <w:bookmarkStart w:id="90" w:name="_BPDC_LN_INS_1344"/>
      <w:bookmarkStart w:id="91" w:name="_BPDC_PR_INS_1345"/>
      <w:bookmarkStart w:id="92" w:name="_BPDC_LN_INS_1342"/>
      <w:bookmarkStart w:id="93" w:name="_BPDC_PR_INS_1343"/>
      <w:bookmarkStart w:id="94" w:name="_BPDC_LN_INS_1340"/>
      <w:bookmarkStart w:id="95" w:name="_BPDC_PR_INS_1341"/>
      <w:bookmarkStart w:id="96" w:name="_BPDC_LN_INS_1338"/>
      <w:bookmarkStart w:id="97" w:name="_BPDC_PR_INS_1339"/>
      <w:bookmarkStart w:id="98" w:name="_Hlk7540052"/>
      <w:bookmarkEnd w:id="90"/>
      <w:bookmarkEnd w:id="91"/>
      <w:bookmarkEnd w:id="92"/>
      <w:bookmarkEnd w:id="93"/>
      <w:bookmarkEnd w:id="94"/>
      <w:bookmarkEnd w:id="95"/>
      <w:bookmarkEnd w:id="96"/>
      <w:bookmarkEnd w:id="97"/>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r w:rsidR="003356A9" w:rsidRPr="003356A9">
        <w:t>Caso aplicável, o ágio ou deságio será o mesmo para todas as Debêntures.</w:t>
      </w:r>
      <w:r w:rsidRPr="00960BA0">
        <w:t xml:space="preserve"> </w:t>
      </w:r>
    </w:p>
    <w:p w:rsidR="00DD716F" w:rsidRPr="00960BA0" w:rsidRDefault="003356A9" w:rsidP="005302FC">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pro rata temporis desde a Primeira Data de Integralização até a respectiva data de integralização</w:t>
      </w:r>
      <w:r w:rsidR="00B26A5D">
        <w:t>.</w:t>
      </w:r>
    </w:p>
    <w:p w:rsidR="00DD716F" w:rsidRPr="00960BA0" w:rsidRDefault="00DD716F" w:rsidP="005302FC">
      <w:pPr>
        <w:pStyle w:val="Level2"/>
        <w:numPr>
          <w:ilvl w:val="1"/>
          <w:numId w:val="6"/>
        </w:numPr>
        <w:rPr>
          <w:rFonts w:cs="Tahoma"/>
        </w:rPr>
      </w:pPr>
      <w:bookmarkStart w:id="99" w:name="_BPDC_LN_INS_1336"/>
      <w:bookmarkStart w:id="100" w:name="_BPDC_PR_INS_1337"/>
      <w:bookmarkEnd w:id="99"/>
      <w:bookmarkEnd w:id="100"/>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rsidR="00114E04" w:rsidRDefault="00114E04" w:rsidP="005302FC">
      <w:pPr>
        <w:pStyle w:val="Level2"/>
        <w:spacing w:after="0"/>
        <w:rPr>
          <w:rFonts w:cs="Tahoma"/>
        </w:rPr>
      </w:pPr>
      <w:r>
        <w:rPr>
          <w:rFonts w:cs="Tahoma"/>
          <w:i/>
        </w:rPr>
        <w:t>Fiança Bancária</w:t>
      </w:r>
      <w:r w:rsidR="00DD716F" w:rsidRPr="002E10C8">
        <w:rPr>
          <w:rFonts w:cs="Tahoma"/>
        </w:rPr>
        <w:t>.</w:t>
      </w:r>
      <w:r w:rsidR="00356971" w:rsidRPr="002E10C8">
        <w:rPr>
          <w:rFonts w:cs="Tahoma"/>
        </w:rPr>
        <w:t xml:space="preserve"> </w:t>
      </w:r>
      <w:r w:rsidR="002E10C8" w:rsidRPr="002E10C8">
        <w:rPr>
          <w:rFonts w:cs="Tahoma"/>
        </w:rPr>
        <w:t xml:space="preserve">Para assegurar o fiel, integral e pontual pagamento da dívida da Emissora representada pelas Debêntures e todos os seus acessórios, incluindo o Valor Nominal Unitário (ou o saldo do Valor Nominal Unitário, conforme o caso), acrescido </w:t>
      </w:r>
      <w:r w:rsidR="002A6A53">
        <w:rPr>
          <w:rFonts w:cs="Tahoma"/>
        </w:rPr>
        <w:t>dos Juros Remuneratórios</w:t>
      </w:r>
      <w:r w:rsidR="002E10C8" w:rsidRPr="002E10C8">
        <w:rPr>
          <w:rFonts w:cs="Tahoma"/>
        </w:rPr>
        <w:t xml:space="preserve"> e dos Encargos Moratórios, conforme aplicável, bem como das demais obrigações pecuniárias previstas nesta Escritura</w:t>
      </w:r>
      <w:r w:rsidR="002E10C8">
        <w:rPr>
          <w:rFonts w:cs="Tahoma"/>
        </w:rPr>
        <w:t xml:space="preserve"> de Emissão</w:t>
      </w:r>
      <w:r w:rsidR="002E10C8"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2E10C8">
        <w:rPr>
          <w:rFonts w:cs="Tahoma"/>
        </w:rPr>
        <w:t xml:space="preserve"> de Emissão</w:t>
      </w:r>
      <w:r w:rsidR="002E10C8" w:rsidRPr="002E10C8">
        <w:rPr>
          <w:rFonts w:cs="Tahoma"/>
        </w:rPr>
        <w:t xml:space="preserve"> e/ou da Garantia (</w:t>
      </w:r>
      <w:r w:rsidR="002E10C8">
        <w:rPr>
          <w:rFonts w:cs="Tahoma"/>
        </w:rPr>
        <w:t>“</w:t>
      </w:r>
      <w:r w:rsidR="002E10C8" w:rsidRPr="002E10C8">
        <w:rPr>
          <w:rFonts w:cs="Tahoma"/>
          <w:b/>
        </w:rPr>
        <w:t>Obrigações Garantidas</w:t>
      </w:r>
      <w:r w:rsidR="002E10C8">
        <w:rPr>
          <w:rFonts w:cs="Tahoma"/>
        </w:rPr>
        <w:t>”</w:t>
      </w:r>
      <w:r w:rsidR="002E10C8" w:rsidRPr="002E10C8">
        <w:rPr>
          <w:rFonts w:cs="Tahoma"/>
        </w:rPr>
        <w:t xml:space="preserve">), </w:t>
      </w:r>
      <w:r w:rsidR="007C78C9">
        <w:rPr>
          <w:rFonts w:cs="Tahoma"/>
          <w:szCs w:val="20"/>
        </w:rPr>
        <w:t>a Emissora deverá contratar ou fazer com que seja contratada</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das prestações de amortização do Valor Nominal Atualizado acrescido dos </w:t>
      </w:r>
      <w:r w:rsidR="00B91883" w:rsidRPr="00186EB2">
        <w:rPr>
          <w:rFonts w:cs="Tahoma"/>
          <w:szCs w:val="20"/>
        </w:rPr>
        <w:lastRenderedPageBreak/>
        <w:t>Juros Remuneratórios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E592F" w:rsidRPr="00D61FD1">
        <w:rPr>
          <w:rFonts w:cs="Tahoma"/>
          <w:szCs w:val="20"/>
        </w:rPr>
        <w:t xml:space="preserve">junto a uma instituição financeira </w:t>
      </w:r>
      <w:r w:rsidR="00C7583A" w:rsidRPr="00F73FB3">
        <w:rPr>
          <w:rFonts w:cs="Tahoma"/>
          <w:szCs w:val="20"/>
        </w:rPr>
        <w:t xml:space="preserve">que possua </w:t>
      </w:r>
      <w:r w:rsidR="00C7583A" w:rsidRPr="00B85D15">
        <w:rPr>
          <w:rFonts w:cs="Tahoma"/>
          <w:i/>
          <w:szCs w:val="20"/>
        </w:rPr>
        <w:t>rating</w:t>
      </w:r>
      <w:r w:rsidR="00C7583A" w:rsidRPr="00F73FB3">
        <w:rPr>
          <w:rFonts w:cs="Tahoma"/>
          <w:szCs w:val="20"/>
        </w:rPr>
        <w:t xml:space="preserve"> mínimo em escala local de AA</w:t>
      </w:r>
      <w:r w:rsidR="00A31591">
        <w:rPr>
          <w:rFonts w:cs="Tahoma"/>
          <w:szCs w:val="20"/>
        </w:rPr>
        <w:t>[</w:t>
      </w:r>
      <w:r w:rsidR="00A31591" w:rsidRPr="002A4630">
        <w:rPr>
          <w:rFonts w:cs="Tahoma"/>
          <w:szCs w:val="20"/>
          <w:highlight w:val="yellow"/>
        </w:rPr>
        <w:t>●</w:t>
      </w:r>
      <w:r w:rsidR="00C7583A" w:rsidRPr="00F73FB3">
        <w:rPr>
          <w:rFonts w:cs="Tahoma"/>
          <w:szCs w:val="20"/>
        </w:rPr>
        <w:t xml:space="preserve">] </w:t>
      </w:r>
      <w:r w:rsidR="00C7583A" w:rsidRPr="00F73FB3">
        <w:rPr>
          <w:rFonts w:eastAsia="Arial Unicode MS" w:cs="Tahoma"/>
          <w:w w:val="0"/>
        </w:rPr>
        <w:t>emitido pela Standard &amp; Poor's ou a Fitch Ratings, ou seu equivalente pela Moody’s</w:t>
      </w:r>
      <w:r w:rsidR="00C762A0">
        <w:rPr>
          <w:rFonts w:eastAsia="Arial Unicode MS" w:cs="Tahoma"/>
          <w:w w:val="0"/>
        </w:rPr>
        <w:t xml:space="preserve">, ou </w:t>
      </w:r>
      <w:r w:rsidR="008323C2">
        <w:rPr>
          <w:rFonts w:eastAsia="Arial Unicode MS" w:cs="Tahoma"/>
          <w:w w:val="0"/>
        </w:rPr>
        <w:t xml:space="preserve">que </w:t>
      </w:r>
      <w:r w:rsidR="00C762A0">
        <w:rPr>
          <w:rFonts w:eastAsia="Arial Unicode MS" w:cs="Tahoma"/>
          <w:w w:val="0"/>
        </w:rPr>
        <w:t>seja uma das instituições financeiras listadas no Anexo II</w:t>
      </w:r>
      <w:r w:rsidR="008323C2">
        <w:rPr>
          <w:rFonts w:eastAsia="Arial Unicode MS" w:cs="Tahoma"/>
          <w:w w:val="0"/>
        </w:rPr>
        <w:t xml:space="preserve"> </w:t>
      </w:r>
      <w:r w:rsidR="008E592F">
        <w:t>(“</w:t>
      </w:r>
      <w:r w:rsidR="008E592F" w:rsidRPr="007E6045">
        <w:rPr>
          <w:b/>
        </w:rPr>
        <w:t>Fiador</w:t>
      </w:r>
      <w:r w:rsidR="008E592F">
        <w:t>”</w:t>
      </w:r>
      <w:r w:rsidR="00ED67CD">
        <w:t xml:space="preserve"> e </w:t>
      </w:r>
      <w:r w:rsidR="00ED67CD">
        <w:rPr>
          <w:rFonts w:cs="Tahoma"/>
        </w:rPr>
        <w:t>“</w:t>
      </w:r>
      <w:r w:rsidR="00ED67CD">
        <w:rPr>
          <w:rFonts w:cs="Tahoma"/>
          <w:b/>
        </w:rPr>
        <w:t>Fiança Bancária</w:t>
      </w:r>
      <w:r w:rsidR="00ED67CD">
        <w:rPr>
          <w:rFonts w:cs="Tahoma"/>
        </w:rPr>
        <w:t>”</w:t>
      </w:r>
      <w:r w:rsidR="008E592F">
        <w:t>)</w:t>
      </w:r>
      <w:r w:rsidR="007C78C9">
        <w:rPr>
          <w:rFonts w:cs="Tahoma"/>
          <w:szCs w:val="20"/>
        </w:rPr>
        <w:t>, por meio de carta de fiança (“</w:t>
      </w:r>
      <w:r w:rsidR="007C78C9" w:rsidRPr="00B85D15">
        <w:rPr>
          <w:rFonts w:cs="Tahoma"/>
          <w:b/>
          <w:szCs w:val="20"/>
        </w:rPr>
        <w:t>Carta de Fiança</w:t>
      </w:r>
      <w:r w:rsidR="007C78C9">
        <w:rPr>
          <w:rFonts w:cs="Tahoma"/>
          <w:szCs w:val="20"/>
        </w:rPr>
        <w:t>”) a ser</w:t>
      </w:r>
      <w:r w:rsidR="007F7A9C">
        <w:rPr>
          <w:rFonts w:cs="Tahoma"/>
          <w:szCs w:val="20"/>
        </w:rPr>
        <w:t xml:space="preserve"> apresentada</w:t>
      </w:r>
      <w:r w:rsidR="00BA4791">
        <w:rPr>
          <w:rFonts w:cs="Tahoma"/>
          <w:szCs w:val="20"/>
        </w:rPr>
        <w:t xml:space="preserve"> </w:t>
      </w:r>
      <w:r w:rsidR="00F44FFE">
        <w:rPr>
          <w:rFonts w:cs="Tahoma"/>
          <w:szCs w:val="20"/>
        </w:rPr>
        <w:t xml:space="preserve">em </w:t>
      </w:r>
      <w:r w:rsidR="00BA4791">
        <w:rPr>
          <w:rFonts w:cs="Tahoma"/>
          <w:szCs w:val="20"/>
        </w:rPr>
        <w:t xml:space="preserve">até </w:t>
      </w:r>
      <w:r w:rsidR="00F44FFE">
        <w:rPr>
          <w:rFonts w:cs="Tahoma"/>
          <w:szCs w:val="20"/>
        </w:rPr>
        <w:t>6 (seis) meses contados d</w:t>
      </w:r>
      <w:r w:rsidR="00BA4791">
        <w:rPr>
          <w:rFonts w:cs="Tahoma"/>
          <w:szCs w:val="20"/>
        </w:rPr>
        <w:t xml:space="preserve">a </w:t>
      </w:r>
      <w:r w:rsidR="003A76F4">
        <w:rPr>
          <w:rFonts w:cs="Tahoma"/>
          <w:szCs w:val="20"/>
        </w:rPr>
        <w:t xml:space="preserve">Primeira </w:t>
      </w:r>
      <w:r w:rsidR="00BA4791">
        <w:rPr>
          <w:rFonts w:cs="Tahoma"/>
          <w:szCs w:val="20"/>
        </w:rPr>
        <w:t xml:space="preserve">Data de </w:t>
      </w:r>
      <w:r w:rsidR="00B91883">
        <w:rPr>
          <w:rFonts w:cs="Tahoma"/>
          <w:szCs w:val="20"/>
        </w:rPr>
        <w:t>Integralização</w:t>
      </w:r>
      <w:r w:rsidR="00BA4791">
        <w:rPr>
          <w:rFonts w:cs="Tahoma"/>
          <w:szCs w:val="20"/>
        </w:rPr>
        <w:t>, na forma prevista no Anexo II</w:t>
      </w:r>
      <w:r w:rsidR="00C762A0">
        <w:rPr>
          <w:rFonts w:cs="Tahoma"/>
          <w:szCs w:val="20"/>
        </w:rPr>
        <w:t xml:space="preserve">I </w:t>
      </w:r>
      <w:r w:rsidR="00BA4791">
        <w:rPr>
          <w:rFonts w:cs="Tahoma"/>
          <w:szCs w:val="20"/>
        </w:rPr>
        <w:t>à presente Escritura de Emissão</w:t>
      </w:r>
      <w:r w:rsidR="002E10C8">
        <w:rPr>
          <w:rFonts w:cs="Tahoma"/>
        </w:rPr>
        <w:t>.</w:t>
      </w:r>
      <w:r w:rsidR="008D3871">
        <w:rPr>
          <w:rFonts w:cs="Tahoma"/>
        </w:rPr>
        <w:t xml:space="preserve"> </w:t>
      </w:r>
      <w:r w:rsidR="00505020">
        <w:rPr>
          <w:rFonts w:cs="Tahoma"/>
        </w:rPr>
        <w:t>[</w:t>
      </w:r>
      <w:r w:rsidR="00505020" w:rsidRPr="007D7AD4">
        <w:rPr>
          <w:rFonts w:cs="Tahoma"/>
          <w:b/>
          <w:highlight w:val="yellow"/>
        </w:rPr>
        <w:t>Nota LDR</w:t>
      </w:r>
      <w:r w:rsidR="00505020" w:rsidRPr="007D7AD4">
        <w:rPr>
          <w:rFonts w:cs="Tahoma"/>
          <w:highlight w:val="yellow"/>
        </w:rPr>
        <w:t>: Pendente definição do rating da emissão para definição do rating do fiador</w:t>
      </w:r>
      <w:r w:rsidR="002A4630" w:rsidRPr="007D7AD4">
        <w:rPr>
          <w:rFonts w:cs="Tahoma"/>
          <w:highlight w:val="yellow"/>
        </w:rPr>
        <w:t xml:space="preserve"> e definição do timing de apresentação da Carta de Fiança</w:t>
      </w:r>
      <w:r w:rsidR="00505020">
        <w:rPr>
          <w:rFonts w:cs="Tahoma"/>
        </w:rPr>
        <w:t>]</w:t>
      </w:r>
    </w:p>
    <w:p w:rsidR="00114E04" w:rsidRDefault="00114E04" w:rsidP="007D7AD4">
      <w:pPr>
        <w:pStyle w:val="Level2"/>
        <w:numPr>
          <w:ilvl w:val="0"/>
          <w:numId w:val="0"/>
        </w:numPr>
        <w:spacing w:after="0"/>
        <w:ind w:left="680"/>
        <w:rPr>
          <w:rFonts w:cs="Tahoma"/>
        </w:rPr>
      </w:pPr>
    </w:p>
    <w:p w:rsidR="00114E04" w:rsidRPr="00521F51" w:rsidRDefault="00114E04" w:rsidP="007D7AD4">
      <w:pPr>
        <w:pStyle w:val="Level2"/>
        <w:spacing w:after="0"/>
      </w:pPr>
      <w:r w:rsidRPr="007D7AD4">
        <w:rPr>
          <w:rFonts w:cs="Tahoma"/>
          <w:i/>
          <w:iCs/>
        </w:rPr>
        <w:t>Fiança Bancária Complementação ICSD</w:t>
      </w:r>
      <w:r>
        <w:rPr>
          <w:rFonts w:cs="Tahoma"/>
        </w:rPr>
        <w:t>. Observada a Cláusula 7.2(xiii)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período da Emissão e até o pagamento integral das Obrigações Garantidas,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 (“</w:t>
      </w:r>
      <w:r w:rsidRPr="006775A6">
        <w:rPr>
          <w:rFonts w:cs="Tahoma"/>
          <w:b/>
          <w:bCs/>
        </w:rPr>
        <w:t>Carta de Fiança ICSD</w:t>
      </w:r>
      <w:r>
        <w:rPr>
          <w:rFonts w:cs="Tahoma"/>
        </w:rPr>
        <w:t xml:space="preserve">”), no prazo de 120 (cento e vinte dias) contados do final do </w:t>
      </w:r>
      <w:r>
        <w:rPr>
          <w:rFonts w:cstheme="minorBidi"/>
        </w:rPr>
        <w:t xml:space="preserve">exercício social de medição </w:t>
      </w:r>
      <w:r w:rsidRPr="00AA5BFC">
        <w:rPr>
          <w:rFonts w:cstheme="minorBidi"/>
        </w:rPr>
        <w:t>do ICSD Consolidado</w:t>
      </w:r>
      <w:r w:rsidR="000848A4">
        <w:rPr>
          <w:rFonts w:cs="Tahoma"/>
        </w:rPr>
        <w:t>.</w:t>
      </w:r>
    </w:p>
    <w:p w:rsidR="002E10C8" w:rsidRDefault="002E10C8" w:rsidP="007D7AD4">
      <w:pPr>
        <w:pStyle w:val="Level2"/>
        <w:numPr>
          <w:ilvl w:val="0"/>
          <w:numId w:val="0"/>
        </w:numPr>
        <w:spacing w:after="0"/>
        <w:ind w:left="680"/>
        <w:rPr>
          <w:rFonts w:cs="Tahoma"/>
        </w:rPr>
      </w:pPr>
    </w:p>
    <w:p w:rsidR="00505D0D" w:rsidRDefault="00114E04" w:rsidP="007D7AD4">
      <w:pPr>
        <w:pStyle w:val="Level2"/>
        <w:spacing w:after="0"/>
        <w:rPr>
          <w:rFonts w:cs="Tahoma"/>
          <w:i/>
          <w:iCs/>
        </w:rPr>
      </w:pPr>
      <w:r>
        <w:rPr>
          <w:rFonts w:cs="Tahoma"/>
          <w:i/>
          <w:iCs/>
        </w:rPr>
        <w:t xml:space="preserve">Características da Carta da Fiança e da </w:t>
      </w:r>
      <w:r w:rsidRPr="00114E04">
        <w:rPr>
          <w:rFonts w:cs="Tahoma"/>
          <w:i/>
          <w:iCs/>
        </w:rPr>
        <w:t>Carta de Fiança ICSD</w:t>
      </w:r>
    </w:p>
    <w:p w:rsidR="00114E04" w:rsidRDefault="00114E04" w:rsidP="007D7AD4">
      <w:pPr>
        <w:pStyle w:val="Level2"/>
        <w:numPr>
          <w:ilvl w:val="0"/>
          <w:numId w:val="0"/>
        </w:numPr>
        <w:spacing w:after="0"/>
        <w:ind w:left="680" w:hanging="680"/>
        <w:rPr>
          <w:rFonts w:cs="Tahoma"/>
        </w:rPr>
      </w:pPr>
    </w:p>
    <w:p w:rsidR="007F7A9C" w:rsidRPr="00521F51" w:rsidRDefault="007F7A9C" w:rsidP="005302FC">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114E04">
        <w:t>de acordo com o modelo previsto no Anexo III da presente Escritura de Emissão</w:t>
      </w:r>
      <w:r w:rsidR="000848A4">
        <w:t xml:space="preserve"> e, conforme o caso, a </w:t>
      </w:r>
      <w:r w:rsidR="000848A4" w:rsidRPr="002A7700">
        <w:t xml:space="preserve">Carta de Fiança </w:t>
      </w:r>
      <w:r w:rsidR="000848A4">
        <w:t>ICSD de acordo com o modelo previsto no Anexo IV da presente Escritura de Emissão</w:t>
      </w:r>
      <w:r w:rsidRPr="002A7700">
        <w:t>.</w:t>
      </w:r>
      <w:r w:rsidR="0084735B">
        <w:t xml:space="preserve"> </w:t>
      </w:r>
    </w:p>
    <w:p w:rsidR="007F7A9C" w:rsidRPr="00521F51" w:rsidRDefault="007F7A9C" w:rsidP="00BA4791">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 xml:space="preserve">um prazo de vigência de </w:t>
      </w:r>
      <w:r w:rsidR="00F44FFE">
        <w:t xml:space="preserve">no mínimo </w:t>
      </w:r>
      <w:r w:rsidR="00D57C93">
        <w:t>1 (um) ano</w:t>
      </w:r>
      <w:r w:rsidR="00BA4791">
        <w:t>, sendo que</w:t>
      </w:r>
      <w:r w:rsidR="000848A4">
        <w:t>(a)</w:t>
      </w:r>
      <w:r w:rsidR="00BA4791">
        <w:t xml:space="preserve"> a data de vencimento d</w:t>
      </w:r>
      <w:r w:rsidR="000848A4">
        <w:t xml:space="preserve">a </w:t>
      </w:r>
      <w:r w:rsidR="00BA4791">
        <w:t>Carta de Fiança deverá coincidir com o Dia Útil imediatamente subsequente à cada Data</w:t>
      </w:r>
      <w:r w:rsidR="00BA4791" w:rsidRPr="00BA4791">
        <w:t xml:space="preserve"> de Amortização das Debêntures</w:t>
      </w:r>
      <w:r w:rsidR="00BA4791">
        <w:t>,</w:t>
      </w:r>
      <w:r w:rsidR="00D57C93">
        <w:t xml:space="preserve"> e deverá ser substituída por nova carta a ser enviada pela Emissora ao Agente Fiduciário</w:t>
      </w:r>
      <w:r w:rsidR="00F96852">
        <w:t>,</w:t>
      </w:r>
      <w:r w:rsidR="00D57C93">
        <w:t xml:space="preserve"> anualmente, até </w:t>
      </w:r>
      <w:r w:rsidR="00505D0D">
        <w:t>a quitação final das Debêntures</w:t>
      </w:r>
      <w:r w:rsidR="00D57C93">
        <w:t>, sempre com, no mínimo, 30 (trinta) dias de antecedência da data de vencimento</w:t>
      </w:r>
      <w:r w:rsidR="00F96852">
        <w:t xml:space="preserve"> da Carta de Fianç</w:t>
      </w:r>
      <w:r w:rsidR="00D57C93">
        <w:t>a</w:t>
      </w:r>
      <w:r w:rsidR="000848A4">
        <w:t xml:space="preserve"> e deverá ser substituída por nova carta a ser enviada pela Emissora ao Agente Fiduciário, anualmente, até a quitação final das Debêntures, sempre com, no mínimo, 30 (trinta) dias de antecedência da data de vencimento da Carta de Fiança; e (b) a data de vencimento da Carta de Fiança ICSD deverá coincidir </w:t>
      </w:r>
      <w:r w:rsidR="00F44FFE">
        <w:t>ou ser posterior ao</w:t>
      </w:r>
      <w:r w:rsidR="000848A4">
        <w:t xml:space="preserve"> Dia Útil imediatamente subsequente ao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do ICSD Consolidado</w:t>
      </w:r>
      <w:r w:rsidR="000848A4">
        <w:t>.</w:t>
      </w:r>
    </w:p>
    <w:p w:rsidR="000947BC" w:rsidRDefault="007F7A9C" w:rsidP="005302FC">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rsidR="007F7A9C" w:rsidRPr="00521F51" w:rsidRDefault="007F7A9C" w:rsidP="005302FC">
      <w:pPr>
        <w:pStyle w:val="Level3"/>
      </w:pPr>
      <w:r w:rsidRPr="00521F51">
        <w:lastRenderedPageBreak/>
        <w:t>Os pagamentos referidos deverão ser realizados fora do âmbito da B3, observados os procedimentos estabelecidos nesta Escritura</w:t>
      </w:r>
      <w:r w:rsidR="00C5475E">
        <w:t xml:space="preserve"> de Emissão</w:t>
      </w:r>
      <w:r w:rsidRPr="00521F51">
        <w:t>.</w:t>
      </w:r>
    </w:p>
    <w:p w:rsidR="006E5EBA" w:rsidRPr="002E10C8" w:rsidRDefault="007F7A9C" w:rsidP="005302FC">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rsidR="00DD716F" w:rsidRPr="006A509E" w:rsidRDefault="006A509E" w:rsidP="005302FC">
      <w:pPr>
        <w:pStyle w:val="Level1"/>
        <w:numPr>
          <w:ilvl w:val="0"/>
          <w:numId w:val="6"/>
        </w:numPr>
        <w:rPr>
          <w:rFonts w:cs="Tahoma"/>
          <w:b/>
        </w:rPr>
      </w:pPr>
      <w:bookmarkStart w:id="101" w:name="_BPDC_LN_INS_1334"/>
      <w:bookmarkStart w:id="102" w:name="_BPDC_PR_INS_1335"/>
      <w:bookmarkStart w:id="103" w:name="_BPDC_LN_INS_1332"/>
      <w:bookmarkStart w:id="104" w:name="_BPDC_PR_INS_1333"/>
      <w:bookmarkStart w:id="105" w:name="_BPDC_LN_INS_1330"/>
      <w:bookmarkStart w:id="106" w:name="_BPDC_PR_INS_1331"/>
      <w:bookmarkStart w:id="107" w:name="_BPDC_LN_INS_1327"/>
      <w:bookmarkStart w:id="108" w:name="_BPDC_PR_INS_1328"/>
      <w:bookmarkStart w:id="109" w:name="_BPDC_PR_INS_1329"/>
      <w:bookmarkStart w:id="110" w:name="_BPDC_LN_INS_1325"/>
      <w:bookmarkStart w:id="111" w:name="_BPDC_PR_INS_1326"/>
      <w:bookmarkStart w:id="112" w:name="_BPDC_LN_INS_1323"/>
      <w:bookmarkStart w:id="113" w:name="_BPDC_PR_INS_1324"/>
      <w:bookmarkStart w:id="114" w:name="_Toc261004487"/>
      <w:bookmarkStart w:id="115" w:name="OLE_LINK5"/>
      <w:bookmarkStart w:id="116" w:name="OLE_LINK6"/>
      <w:bookmarkStart w:id="117" w:name="_DV_C91"/>
      <w:bookmarkEnd w:id="98"/>
      <w:bookmarkEnd w:id="101"/>
      <w:bookmarkEnd w:id="102"/>
      <w:bookmarkEnd w:id="103"/>
      <w:bookmarkEnd w:id="104"/>
      <w:bookmarkEnd w:id="105"/>
      <w:bookmarkEnd w:id="106"/>
      <w:bookmarkEnd w:id="107"/>
      <w:bookmarkEnd w:id="108"/>
      <w:bookmarkEnd w:id="109"/>
      <w:bookmarkEnd w:id="110"/>
      <w:bookmarkEnd w:id="111"/>
      <w:bookmarkEnd w:id="112"/>
      <w:bookmarkEnd w:id="113"/>
      <w:r w:rsidRPr="006A509E">
        <w:rPr>
          <w:rFonts w:cs="Tahoma"/>
          <w:b/>
        </w:rPr>
        <w:t>CARACTERÍSTICAS DAS DEBÊNTURES</w:t>
      </w:r>
      <w:bookmarkEnd w:id="114"/>
    </w:p>
    <w:p w:rsidR="00DD716F" w:rsidRPr="00960BA0" w:rsidRDefault="00DD716F" w:rsidP="005302FC">
      <w:pPr>
        <w:pStyle w:val="Level2"/>
        <w:numPr>
          <w:ilvl w:val="1"/>
          <w:numId w:val="6"/>
        </w:numPr>
        <w:rPr>
          <w:rFonts w:cs="Tahoma"/>
        </w:rPr>
      </w:pPr>
      <w:bookmarkStart w:id="118" w:name="_BPDC_LN_INS_1321"/>
      <w:bookmarkStart w:id="119" w:name="_BPDC_PR_INS_1322"/>
      <w:bookmarkEnd w:id="118"/>
      <w:bookmarkEnd w:id="119"/>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rsidR="00DD716F" w:rsidRPr="00960BA0" w:rsidRDefault="00DD716F" w:rsidP="005302FC">
      <w:pPr>
        <w:pStyle w:val="Level2"/>
        <w:numPr>
          <w:ilvl w:val="1"/>
          <w:numId w:val="6"/>
        </w:numPr>
        <w:rPr>
          <w:rFonts w:cs="Tahoma"/>
        </w:rPr>
      </w:pPr>
      <w:bookmarkStart w:id="120" w:name="_BPDC_LN_INS_1319"/>
      <w:bookmarkStart w:id="121" w:name="_BPDC_PR_INS_1320"/>
      <w:bookmarkEnd w:id="120"/>
      <w:bookmarkEnd w:id="121"/>
      <w:r w:rsidRPr="00960BA0">
        <w:rPr>
          <w:rFonts w:cs="Tahoma"/>
          <w:i/>
        </w:rPr>
        <w:t xml:space="preserve">Data de Emissão. </w:t>
      </w:r>
      <w:r w:rsidRPr="00960BA0">
        <w:rPr>
          <w:rFonts w:cs="Tahoma"/>
        </w:rPr>
        <w:t xml:space="preserve">Para todos os fins de direito e efeitos, a data de emissão das Debêntures será o dia </w:t>
      </w:r>
      <w:r>
        <w:rPr>
          <w:rFonts w:cs="Tahoma"/>
        </w:rPr>
        <w:t>[•]</w:t>
      </w:r>
      <w:r w:rsidRPr="00960BA0">
        <w:rPr>
          <w:rFonts w:cs="Tahoma"/>
        </w:rPr>
        <w:t xml:space="preserve"> de </w:t>
      </w:r>
      <w:r>
        <w:rPr>
          <w:rFonts w:cs="Tahoma"/>
        </w:rPr>
        <w:t xml:space="preserve">[•]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rsidR="00DD716F" w:rsidRPr="00960BA0" w:rsidRDefault="00DD716F" w:rsidP="005302FC">
      <w:pPr>
        <w:pStyle w:val="Level2"/>
        <w:numPr>
          <w:ilvl w:val="1"/>
          <w:numId w:val="6"/>
        </w:numPr>
        <w:rPr>
          <w:rFonts w:cs="Tahoma"/>
        </w:rPr>
      </w:pPr>
      <w:bookmarkStart w:id="122" w:name="_BPDC_LN_INS_1317"/>
      <w:bookmarkStart w:id="123" w:name="_BPDC_PR_INS_1318"/>
      <w:bookmarkEnd w:id="122"/>
      <w:bookmarkEnd w:id="123"/>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2731F0">
        <w:rPr>
          <w:rFonts w:cs="Tahoma"/>
        </w:rPr>
        <w:t>[•]</w:t>
      </w:r>
      <w:r w:rsidRPr="00960BA0">
        <w:rPr>
          <w:rFonts w:cs="Tahoma"/>
        </w:rPr>
        <w:t xml:space="preserve"> (</w:t>
      </w:r>
      <w:r w:rsidR="002731F0">
        <w:rPr>
          <w:rFonts w:cs="Tahoma"/>
        </w:rPr>
        <w:t>[•]</w:t>
      </w:r>
      <w:r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Pr>
          <w:rFonts w:cs="Tahoma"/>
        </w:rPr>
        <w:t xml:space="preserve">[•] </w:t>
      </w:r>
      <w:r w:rsidRPr="00960BA0">
        <w:rPr>
          <w:rFonts w:cs="Tahoma"/>
        </w:rPr>
        <w:t xml:space="preserve">de </w:t>
      </w:r>
      <w:r>
        <w:rPr>
          <w:rFonts w:cs="Tahoma"/>
        </w:rPr>
        <w:t xml:space="preserve">[•] </w:t>
      </w:r>
      <w:r w:rsidRPr="00960BA0">
        <w:rPr>
          <w:rFonts w:cs="Tahoma"/>
        </w:rPr>
        <w:t xml:space="preserve">de </w:t>
      </w:r>
      <w:r w:rsidR="002731F0">
        <w:rPr>
          <w:rFonts w:cs="Tahoma"/>
        </w:rPr>
        <w:t>2029</w:t>
      </w:r>
      <w:r w:rsidRPr="00960BA0">
        <w:rPr>
          <w:rFonts w:cs="Tahoma"/>
        </w:rPr>
        <w:t xml:space="preserve"> (“</w:t>
      </w:r>
      <w:r w:rsidRPr="00960BA0">
        <w:rPr>
          <w:rFonts w:cs="Tahoma"/>
          <w:b/>
        </w:rPr>
        <w:t>Data de Vencimento</w:t>
      </w:r>
      <w:r w:rsidRPr="00960BA0">
        <w:rPr>
          <w:rFonts w:cs="Tahoma"/>
        </w:rPr>
        <w:t>”)</w:t>
      </w:r>
      <w:r>
        <w:rPr>
          <w:rFonts w:cs="Tahoma"/>
        </w:rPr>
        <w:t>.</w:t>
      </w:r>
    </w:p>
    <w:p w:rsidR="00DD716F" w:rsidRPr="00960BA0" w:rsidRDefault="00DD716F" w:rsidP="005302FC">
      <w:pPr>
        <w:pStyle w:val="Level3"/>
        <w:numPr>
          <w:ilvl w:val="2"/>
          <w:numId w:val="6"/>
        </w:numPr>
        <w:rPr>
          <w:rFonts w:cs="Tahoma"/>
        </w:rPr>
      </w:pPr>
      <w:bookmarkStart w:id="124" w:name="_BPDC_LN_INS_1315"/>
      <w:bookmarkStart w:id="125" w:name="_BPDC_PR_INS_1316"/>
      <w:bookmarkStart w:id="126" w:name="_Ref301779135"/>
      <w:bookmarkEnd w:id="124"/>
      <w:bookmarkEnd w:id="125"/>
      <w:r w:rsidRPr="00960BA0">
        <w:rPr>
          <w:rFonts w:cs="Tahoma"/>
        </w:rPr>
        <w:t>Para os fins de fixação de quórum desta Escritura de Emissão, “</w:t>
      </w:r>
      <w:r w:rsidRPr="00960BA0">
        <w:rPr>
          <w:rFonts w:cs="Tahoma"/>
          <w:b/>
        </w:rPr>
        <w:t>Debêntures em Circulação</w:t>
      </w:r>
      <w:r w:rsidRPr="00960BA0">
        <w:rPr>
          <w:rFonts w:cs="Tahoma"/>
        </w:rPr>
        <w:t xml:space="preserve">” significam todas as Debêntures subscritas e integralizadas e não resgatadas, excluídas as Debêntures, conforme o caso, (i) mantidas em tesouraria pela Emissora; ou (ii)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6"/>
    </w:p>
    <w:p w:rsidR="00DD716F" w:rsidRPr="00960BA0" w:rsidRDefault="00DD716F" w:rsidP="005302FC">
      <w:pPr>
        <w:pStyle w:val="Level2"/>
        <w:numPr>
          <w:ilvl w:val="1"/>
          <w:numId w:val="6"/>
        </w:numPr>
        <w:rPr>
          <w:rFonts w:cs="Tahoma"/>
        </w:rPr>
      </w:pPr>
      <w:bookmarkStart w:id="127" w:name="_BPDC_LN_INS_1313"/>
      <w:bookmarkStart w:id="128" w:name="_BPDC_PR_INS_1314"/>
      <w:bookmarkStart w:id="129" w:name="_Hlk7540033"/>
      <w:bookmarkEnd w:id="127"/>
      <w:bookmarkEnd w:id="128"/>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rsidR="00DD716F" w:rsidRPr="00960BA0" w:rsidRDefault="00DD716F" w:rsidP="005302FC">
      <w:pPr>
        <w:pStyle w:val="Level2"/>
        <w:numPr>
          <w:ilvl w:val="1"/>
          <w:numId w:val="6"/>
        </w:numPr>
        <w:rPr>
          <w:rFonts w:cs="Tahoma"/>
        </w:rPr>
      </w:pPr>
      <w:bookmarkStart w:id="130" w:name="_BPDC_LN_INS_1311"/>
      <w:bookmarkStart w:id="131" w:name="_BPDC_PR_INS_1312"/>
      <w:bookmarkEnd w:id="129"/>
      <w:bookmarkEnd w:id="130"/>
      <w:bookmarkEnd w:id="131"/>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rsidR="00DD716F" w:rsidRPr="00960BA0" w:rsidRDefault="00DD716F" w:rsidP="005302FC">
      <w:pPr>
        <w:pStyle w:val="Level2"/>
        <w:numPr>
          <w:ilvl w:val="1"/>
          <w:numId w:val="6"/>
        </w:numPr>
        <w:rPr>
          <w:rFonts w:cs="Tahoma"/>
        </w:rPr>
      </w:pPr>
      <w:bookmarkStart w:id="132" w:name="_BPDC_LN_INS_1309"/>
      <w:bookmarkStart w:id="133" w:name="_BPDC_PR_INS_1310"/>
      <w:bookmarkEnd w:id="132"/>
      <w:bookmarkEnd w:id="133"/>
      <w:r w:rsidRPr="00960BA0">
        <w:rPr>
          <w:rFonts w:cs="Tahoma"/>
          <w:i/>
        </w:rPr>
        <w:t xml:space="preserve">Espécie. </w:t>
      </w:r>
      <w:r w:rsidRPr="00960BA0">
        <w:rPr>
          <w:rFonts w:cs="Tahoma"/>
        </w:rPr>
        <w:t>As Debêntures serão da espécie quirografária</w:t>
      </w:r>
      <w:r w:rsidR="002272A4">
        <w:rPr>
          <w:rFonts w:cs="Tahoma"/>
        </w:rPr>
        <w:t>, nos termos do artigo 58 da Lei das Sociedades por Ações.</w:t>
      </w:r>
    </w:p>
    <w:p w:rsidR="00DD716F" w:rsidRPr="00960BA0" w:rsidRDefault="00DD716F" w:rsidP="005302FC">
      <w:pPr>
        <w:pStyle w:val="Level2"/>
        <w:numPr>
          <w:ilvl w:val="1"/>
          <w:numId w:val="6"/>
        </w:numPr>
        <w:rPr>
          <w:rFonts w:cs="Tahoma"/>
        </w:rPr>
      </w:pPr>
      <w:bookmarkStart w:id="134" w:name="_BPDC_LN_INS_1307"/>
      <w:bookmarkStart w:id="135" w:name="_BPDC_PR_INS_1308"/>
      <w:bookmarkStart w:id="136" w:name="_BPDC_LN_INS_1305"/>
      <w:bookmarkStart w:id="137" w:name="_BPDC_PR_INS_1306"/>
      <w:bookmarkStart w:id="138" w:name="_DV_M117"/>
      <w:bookmarkStart w:id="139" w:name="_DV_M118"/>
      <w:bookmarkStart w:id="140" w:name="_DV_M119"/>
      <w:bookmarkEnd w:id="115"/>
      <w:bookmarkEnd w:id="116"/>
      <w:bookmarkEnd w:id="134"/>
      <w:bookmarkEnd w:id="135"/>
      <w:bookmarkEnd w:id="136"/>
      <w:bookmarkEnd w:id="137"/>
      <w:bookmarkEnd w:id="138"/>
      <w:bookmarkEnd w:id="139"/>
      <w:bookmarkEnd w:id="140"/>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rsidR="00DD716F" w:rsidRPr="00960BA0" w:rsidRDefault="00DD716F" w:rsidP="005302FC">
      <w:pPr>
        <w:pStyle w:val="Level2"/>
        <w:numPr>
          <w:ilvl w:val="1"/>
          <w:numId w:val="6"/>
        </w:numPr>
        <w:rPr>
          <w:rFonts w:eastAsia="Arial Unicode MS" w:cs="Tahoma"/>
          <w:i/>
        </w:rPr>
      </w:pPr>
      <w:bookmarkStart w:id="141" w:name="_BPDC_LN_INS_1303"/>
      <w:bookmarkStart w:id="142" w:name="_BPDC_PR_INS_1304"/>
      <w:bookmarkStart w:id="143" w:name="_Ref322636697"/>
      <w:bookmarkStart w:id="144" w:name="_Ref368499099"/>
      <w:bookmarkStart w:id="145" w:name="_Ref368431731"/>
      <w:bookmarkEnd w:id="141"/>
      <w:bookmarkEnd w:id="142"/>
      <w:r w:rsidRPr="00960BA0">
        <w:rPr>
          <w:rFonts w:eastAsia="Arial Unicode MS" w:cs="Tahoma"/>
          <w:i/>
        </w:rPr>
        <w:t>Atualização Monetária das Debêntures</w:t>
      </w:r>
      <w:bookmarkEnd w:id="143"/>
      <w:r w:rsidRPr="00960BA0">
        <w:rPr>
          <w:rFonts w:eastAsia="Arial Unicode MS" w:cs="Tahoma"/>
          <w:i/>
        </w:rPr>
        <w:t>.</w:t>
      </w:r>
      <w:bookmarkEnd w:id="144"/>
      <w:bookmarkEnd w:id="145"/>
      <w:r w:rsidRPr="00960BA0">
        <w:rPr>
          <w:rFonts w:eastAsia="Arial Unicode MS" w:cs="Tahoma"/>
          <w:i/>
        </w:rPr>
        <w:t xml:space="preserve"> </w:t>
      </w:r>
    </w:p>
    <w:p w:rsidR="009C75E0" w:rsidRPr="009C75E0" w:rsidRDefault="009C75E0" w:rsidP="005302FC">
      <w:pPr>
        <w:pStyle w:val="Level3"/>
        <w:rPr>
          <w:rFonts w:cs="Tahoma"/>
        </w:rPr>
      </w:pPr>
      <w:bookmarkStart w:id="146" w:name="_BPDC_LN_INS_1301"/>
      <w:bookmarkStart w:id="147" w:name="_BPDC_PR_INS_1302"/>
      <w:bookmarkEnd w:id="146"/>
      <w:bookmarkEnd w:id="147"/>
      <w:r w:rsidRPr="009C75E0">
        <w:rPr>
          <w:rFonts w:cs="Tahoma"/>
        </w:rPr>
        <w:t>As Debêntures terão o seu Valor Nominal Unitário ou o saldo do Valor Nominal Unitário (conforme abaixo definid</w:t>
      </w:r>
      <w:r>
        <w:rPr>
          <w:rFonts w:cs="Tahoma"/>
        </w:rPr>
        <w:t>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lastRenderedPageBreak/>
        <w:t xml:space="preserve">Data de </w:t>
      </w:r>
      <w:r w:rsidR="001D1302">
        <w:rPr>
          <w:rFonts w:cs="Tahoma"/>
        </w:rPr>
        <w:t>Integralização ou</w:t>
      </w:r>
      <w:r w:rsidR="003356A9">
        <w:rPr>
          <w:rFonts w:cs="Tahoma"/>
        </w:rPr>
        <w:t xml:space="preserve"> da última</w:t>
      </w:r>
      <w:r w:rsidR="001D1302">
        <w:rPr>
          <w:rFonts w:cs="Tahoma"/>
        </w:rPr>
        <w:t xml:space="preserve"> </w:t>
      </w:r>
      <w:r w:rsidR="002A6A53">
        <w:rPr>
          <w:rFonts w:cs="Tahoma"/>
        </w:rPr>
        <w:t xml:space="preserve">Data </w:t>
      </w:r>
      <w:r w:rsidR="001D1302">
        <w:rPr>
          <w:rFonts w:cs="Tahoma"/>
        </w:rPr>
        <w:t xml:space="preserve">de </w:t>
      </w:r>
      <w:r w:rsidR="002A6A53">
        <w:rPr>
          <w:rFonts w:cs="Tahoma"/>
        </w:rPr>
        <w:t xml:space="preserve">Pagamento </w:t>
      </w:r>
      <w:r w:rsidR="001D1302">
        <w:rPr>
          <w:rFonts w:cs="Tahoma"/>
        </w:rPr>
        <w:t>dos Juros Remuneratórios das Debêntures, conforme o caso,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pro rata temporis</w:t>
      </w:r>
      <w:r w:rsidRPr="009C75E0">
        <w:rPr>
          <w:rFonts w:cs="Tahoma"/>
        </w:rPr>
        <w:t xml:space="preserve"> por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rsidR="009C75E0" w:rsidRPr="009C75E0" w:rsidRDefault="009C75E0" w:rsidP="005302FC">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rsidR="009C75E0" w:rsidRPr="009C75E0" w:rsidRDefault="009C75E0" w:rsidP="005302FC">
      <w:pPr>
        <w:pStyle w:val="Level3"/>
        <w:numPr>
          <w:ilvl w:val="0"/>
          <w:numId w:val="0"/>
        </w:numPr>
        <w:ind w:left="1361"/>
        <w:rPr>
          <w:rFonts w:cs="Tahoma"/>
          <w:i/>
        </w:rPr>
      </w:pPr>
      <w:r w:rsidRPr="009C75E0">
        <w:rPr>
          <w:rFonts w:cs="Tahoma"/>
          <w:i/>
        </w:rPr>
        <w:t>onde:</w:t>
      </w:r>
    </w:p>
    <w:p w:rsidR="009C75E0" w:rsidRPr="009C75E0" w:rsidRDefault="009C75E0" w:rsidP="005302FC">
      <w:pPr>
        <w:pStyle w:val="Level3"/>
        <w:numPr>
          <w:ilvl w:val="0"/>
          <w:numId w:val="0"/>
        </w:numPr>
        <w:ind w:left="1361"/>
        <w:rPr>
          <w:rFonts w:cs="Tahoma"/>
        </w:rPr>
      </w:pPr>
      <w:r w:rsidRPr="009C75E0">
        <w:rPr>
          <w:rFonts w:cs="Tahoma"/>
          <w:b/>
        </w:rPr>
        <w:t>VNa</w:t>
      </w:r>
      <w:r>
        <w:rPr>
          <w:rFonts w:cs="Tahoma"/>
        </w:rPr>
        <w:t xml:space="preserve"> = </w:t>
      </w:r>
      <w:r w:rsidRPr="009C75E0">
        <w:rPr>
          <w:rFonts w:cs="Tahoma"/>
        </w:rPr>
        <w:t xml:space="preserve">Valor Nominal Atualizado das Debêntures, calculado com 8 (oito) casas decimais, sem arredondamento; </w:t>
      </w:r>
    </w:p>
    <w:p w:rsidR="009C75E0" w:rsidRPr="009C75E0" w:rsidRDefault="009C75E0" w:rsidP="005302FC">
      <w:pPr>
        <w:pStyle w:val="Level3"/>
        <w:numPr>
          <w:ilvl w:val="0"/>
          <w:numId w:val="0"/>
        </w:numPr>
        <w:ind w:left="1361"/>
        <w:rPr>
          <w:rFonts w:cs="Tahoma"/>
        </w:rPr>
      </w:pPr>
      <w:r w:rsidRPr="009C75E0">
        <w:rPr>
          <w:rFonts w:cs="Tahoma"/>
          <w:b/>
        </w:rPr>
        <w:t xml:space="preserve">VNe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rsidR="009C75E0" w:rsidRDefault="009C75E0" w:rsidP="005302FC">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rsidR="009C75E0" w:rsidRPr="00CD063C" w:rsidRDefault="009C75E0" w:rsidP="005302FC">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rsidR="009C75E0" w:rsidRPr="009C75E0" w:rsidRDefault="009C75E0" w:rsidP="005302FC">
      <w:pPr>
        <w:pStyle w:val="Level3"/>
        <w:numPr>
          <w:ilvl w:val="0"/>
          <w:numId w:val="0"/>
        </w:numPr>
        <w:ind w:left="1361"/>
        <w:rPr>
          <w:rFonts w:cs="Tahoma"/>
          <w:i/>
        </w:rPr>
      </w:pPr>
      <w:r w:rsidRPr="009C75E0">
        <w:rPr>
          <w:rFonts w:cs="Tahoma"/>
          <w:i/>
        </w:rPr>
        <w:t>onde:</w:t>
      </w:r>
    </w:p>
    <w:p w:rsidR="009C75E0" w:rsidRPr="009C75E0" w:rsidRDefault="009C75E0" w:rsidP="005302FC">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rsidR="009C75E0" w:rsidRPr="009C75E0" w:rsidRDefault="009C75E0" w:rsidP="005302FC">
      <w:pPr>
        <w:pStyle w:val="Level3"/>
        <w:numPr>
          <w:ilvl w:val="0"/>
          <w:numId w:val="0"/>
        </w:numPr>
        <w:ind w:left="1361"/>
        <w:rPr>
          <w:rFonts w:cs="Tahoma"/>
        </w:rPr>
      </w:pPr>
      <w:r w:rsidRPr="009C75E0">
        <w:rPr>
          <w:rFonts w:cs="Tahoma"/>
          <w:b/>
        </w:rPr>
        <w:t>dup</w:t>
      </w:r>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“dup” um número inteiro;</w:t>
      </w:r>
    </w:p>
    <w:p w:rsidR="009C75E0" w:rsidRPr="009C75E0" w:rsidRDefault="009C75E0" w:rsidP="005302FC">
      <w:pPr>
        <w:pStyle w:val="Level3"/>
        <w:numPr>
          <w:ilvl w:val="0"/>
          <w:numId w:val="0"/>
        </w:numPr>
        <w:ind w:left="1361"/>
        <w:rPr>
          <w:rFonts w:cs="Tahoma"/>
        </w:rPr>
      </w:pPr>
      <w:r w:rsidRPr="009C75E0">
        <w:rPr>
          <w:rFonts w:cs="Tahoma"/>
          <w:b/>
        </w:rPr>
        <w:t>dut</w:t>
      </w:r>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“dut” um número inteiro;</w:t>
      </w:r>
    </w:p>
    <w:p w:rsidR="009C75E0" w:rsidRPr="009C75E0" w:rsidRDefault="009C75E0" w:rsidP="005302FC">
      <w:pPr>
        <w:pStyle w:val="Level3"/>
        <w:numPr>
          <w:ilvl w:val="0"/>
          <w:numId w:val="0"/>
        </w:numPr>
        <w:ind w:left="1361"/>
        <w:rPr>
          <w:rFonts w:cs="Tahoma"/>
        </w:rPr>
      </w:pPr>
      <w:r w:rsidRPr="009C75E0">
        <w:rPr>
          <w:rFonts w:cs="Tahoma"/>
          <w:b/>
        </w:rPr>
        <w:t>NIk</w:t>
      </w:r>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rsidR="009C75E0" w:rsidRDefault="009C75E0" w:rsidP="005302FC">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rsidR="009C75E0" w:rsidRDefault="009C75E0" w:rsidP="005302FC">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rsidR="009C75E0" w:rsidRPr="009C75E0" w:rsidRDefault="009C75E0" w:rsidP="005302FC">
      <w:pPr>
        <w:pStyle w:val="Level3"/>
        <w:numPr>
          <w:ilvl w:val="0"/>
          <w:numId w:val="0"/>
        </w:numPr>
        <w:ind w:left="1361"/>
        <w:rPr>
          <w:rFonts w:cs="Tahoma"/>
          <w:i/>
        </w:rPr>
      </w:pPr>
      <w:r w:rsidRPr="009C75E0">
        <w:rPr>
          <w:rFonts w:cs="Tahoma"/>
          <w:i/>
        </w:rPr>
        <w:t>sendo que:</w:t>
      </w:r>
    </w:p>
    <w:p w:rsidR="009C75E0" w:rsidRPr="009C75E0" w:rsidRDefault="009C75E0" w:rsidP="005302FC">
      <w:pPr>
        <w:pStyle w:val="Level3"/>
        <w:numPr>
          <w:ilvl w:val="0"/>
          <w:numId w:val="0"/>
        </w:numPr>
        <w:ind w:left="1361"/>
        <w:rPr>
          <w:rFonts w:cs="Tahoma"/>
        </w:rPr>
      </w:pPr>
      <w:r w:rsidRPr="009C75E0">
        <w:rPr>
          <w:rFonts w:cs="Tahoma"/>
        </w:rPr>
        <w:lastRenderedPageBreak/>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rsidR="009C75E0" w:rsidRPr="009C75E0" w:rsidRDefault="009C75E0" w:rsidP="005302FC">
      <w:pPr>
        <w:pStyle w:val="Level3"/>
        <w:numPr>
          <w:ilvl w:val="0"/>
          <w:numId w:val="0"/>
        </w:numPr>
        <w:ind w:left="1361"/>
        <w:rPr>
          <w:rFonts w:cs="Tahoma"/>
        </w:rPr>
      </w:pPr>
      <w:r w:rsidRPr="009C75E0">
        <w:rPr>
          <w:rFonts w:cs="Tahoma"/>
        </w:rPr>
        <w:t>(ii)</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rsidR="009C75E0" w:rsidRPr="009C75E0" w:rsidRDefault="009C75E0" w:rsidP="005302FC">
      <w:pPr>
        <w:pStyle w:val="Level3"/>
        <w:numPr>
          <w:ilvl w:val="0"/>
          <w:numId w:val="0"/>
        </w:numPr>
        <w:ind w:left="1361"/>
        <w:rPr>
          <w:rFonts w:cs="Tahoma"/>
        </w:rPr>
      </w:pPr>
      <w:r w:rsidRPr="009C75E0">
        <w:rPr>
          <w:rFonts w:cs="Tahoma"/>
        </w:rPr>
        <w:t>(iii)</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rsidR="009C75E0" w:rsidRDefault="00744482" w:rsidP="005302FC">
      <w:pPr>
        <w:pStyle w:val="Level3"/>
        <w:numPr>
          <w:ilvl w:val="0"/>
          <w:numId w:val="0"/>
        </w:numPr>
        <w:ind w:left="1361"/>
        <w:rPr>
          <w:rFonts w:cs="Tahoma"/>
        </w:rPr>
      </w:pPr>
      <w:r>
        <w:rPr>
          <w:rFonts w:cs="Tahoma"/>
        </w:rPr>
        <w:t xml:space="preserve">(iv)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rsidR="00744482" w:rsidRPr="00744482" w:rsidRDefault="00F0618E" w:rsidP="005302FC">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rsidR="00744482" w:rsidRPr="00744482" w:rsidRDefault="00744482" w:rsidP="005302FC">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produtório é executado a partir do fator mais recente, acrescentando-se, em seguida, os mais remotos. Os resultados intermediários são calculados com 16 (dezesseis) casas decimais, sem arredondamento; e</w:t>
      </w:r>
    </w:p>
    <w:p w:rsidR="00744482" w:rsidRPr="00744482" w:rsidRDefault="00744482" w:rsidP="005302FC">
      <w:pPr>
        <w:pStyle w:val="Level3"/>
        <w:numPr>
          <w:ilvl w:val="0"/>
          <w:numId w:val="0"/>
        </w:numPr>
        <w:ind w:left="1361"/>
        <w:rPr>
          <w:rFonts w:cs="Tahoma"/>
        </w:rPr>
      </w:pPr>
      <w:r w:rsidRPr="00744482">
        <w:rPr>
          <w:rFonts w:cs="Tahoma"/>
        </w:rPr>
        <w:t>(vii)</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rsidR="00744482" w:rsidRDefault="00744482" w:rsidP="005302FC">
      <w:pPr>
        <w:pStyle w:val="Level3"/>
        <w:numPr>
          <w:ilvl w:val="0"/>
          <w:numId w:val="0"/>
        </w:numPr>
        <w:ind w:left="1361"/>
        <w:rPr>
          <w:rFonts w:cs="Tahoma"/>
        </w:rPr>
      </w:pPr>
      <w:r w:rsidRPr="00744482">
        <w:rPr>
          <w:rFonts w:cs="Tahoma"/>
        </w:rPr>
        <w:t>Caso até a Data de Aniversário, o NIk não tenha sido divulgado, deverá ser utilizado em substituição a</w:t>
      </w:r>
      <w:r w:rsidR="004323F5">
        <w:rPr>
          <w:rFonts w:cs="Tahoma"/>
        </w:rPr>
        <w:t>o</w:t>
      </w:r>
      <w:r w:rsidRPr="00744482">
        <w:rPr>
          <w:rFonts w:cs="Tahoma"/>
        </w:rPr>
        <w:t xml:space="preserve"> NIk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rsidR="00F0618E" w:rsidRPr="00655327" w:rsidRDefault="00F0618E" w:rsidP="005302FC">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0pt" o:ole="">
            <v:imagedata r:id="rId14" o:title=""/>
          </v:shape>
          <o:OLEObject Type="Embed" ProgID="Equation.3" ShapeID="_x0000_i1025" DrawAspect="Content" ObjectID="_1644815251" r:id="rId15"/>
        </w:object>
      </w:r>
    </w:p>
    <w:p w:rsidR="00F0618E" w:rsidRPr="00F0618E" w:rsidRDefault="00F0618E" w:rsidP="005302FC">
      <w:pPr>
        <w:pStyle w:val="Level3"/>
        <w:numPr>
          <w:ilvl w:val="0"/>
          <w:numId w:val="0"/>
        </w:numPr>
        <w:ind w:left="1361"/>
        <w:rPr>
          <w:rFonts w:cs="Tahoma"/>
          <w:i/>
        </w:rPr>
      </w:pPr>
      <w:r w:rsidRPr="00F0618E">
        <w:rPr>
          <w:rFonts w:cs="Tahoma"/>
          <w:i/>
        </w:rPr>
        <w:t>onde:</w:t>
      </w:r>
    </w:p>
    <w:p w:rsidR="00F0618E" w:rsidRPr="00F0618E" w:rsidRDefault="00F0618E" w:rsidP="005302FC">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rsidR="00F0618E" w:rsidRPr="00F0618E" w:rsidRDefault="00F0618E" w:rsidP="005302FC">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rsidR="004323F5" w:rsidRPr="009C75E0" w:rsidRDefault="004323F5" w:rsidP="005302FC">
      <w:pPr>
        <w:pStyle w:val="Level3"/>
        <w:numPr>
          <w:ilvl w:val="0"/>
          <w:numId w:val="0"/>
        </w:numPr>
        <w:ind w:left="1361"/>
        <w:rPr>
          <w:rFonts w:cs="Tahoma"/>
          <w:i/>
        </w:rPr>
      </w:pPr>
      <w:r w:rsidRPr="009C75E0">
        <w:rPr>
          <w:rFonts w:cs="Tahoma"/>
          <w:i/>
        </w:rPr>
        <w:t>sendo que:</w:t>
      </w:r>
    </w:p>
    <w:p w:rsidR="00F0618E" w:rsidRPr="00F0618E" w:rsidRDefault="00F0618E" w:rsidP="005302FC">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F0618E" w:rsidRPr="00F73FB3" w:rsidRDefault="00F0618E" w:rsidP="005302FC">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rsidR="009C75E0" w:rsidRPr="00F73FB3" w:rsidRDefault="009C75E0" w:rsidP="005302FC">
      <w:pPr>
        <w:pStyle w:val="Level3"/>
      </w:pPr>
      <w:bookmarkStart w:id="148" w:name="_Hlk33203503"/>
      <w:r w:rsidRPr="00F73FB3">
        <w:lastRenderedPageBreak/>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48"/>
    <w:p w:rsidR="00AA5BFC" w:rsidRPr="007D7AD4" w:rsidRDefault="00AA5BFC" w:rsidP="00AA5BFC">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149"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49"/>
    </w:p>
    <w:p w:rsidR="00F0618E" w:rsidRDefault="00F0618E" w:rsidP="005302FC">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rsidR="00CF1F9C" w:rsidRDefault="00CF1F9C" w:rsidP="005302FC">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lastRenderedPageBreak/>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rsidR="009C75E0" w:rsidRPr="009C75E0" w:rsidRDefault="009C75E0" w:rsidP="005302FC">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rsidR="00F0618E" w:rsidRPr="00960BA0" w:rsidRDefault="00F0618E" w:rsidP="005302FC">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rsidR="00215051" w:rsidRDefault="00472273" w:rsidP="005302FC">
      <w:pPr>
        <w:pStyle w:val="Level3"/>
      </w:pPr>
      <w:bookmarkStart w:id="150" w:name="_DV_M251"/>
      <w:bookmarkStart w:id="151" w:name="_DV_M253"/>
      <w:bookmarkStart w:id="152" w:name="_BPDC_LN_INS_1299"/>
      <w:bookmarkStart w:id="153" w:name="_BPDC_PR_INS_1300"/>
      <w:bookmarkStart w:id="154" w:name="_BPDC_LN_INS_1262"/>
      <w:bookmarkStart w:id="155" w:name="_BPDC_PR_INS_1263"/>
      <w:bookmarkStart w:id="156" w:name="_BPDC_PR_INS_1264"/>
      <w:bookmarkStart w:id="157" w:name="_Ref322633734"/>
      <w:bookmarkEnd w:id="150"/>
      <w:bookmarkEnd w:id="151"/>
      <w:bookmarkEnd w:id="152"/>
      <w:bookmarkEnd w:id="153"/>
      <w:bookmarkEnd w:id="154"/>
      <w:bookmarkEnd w:id="155"/>
      <w:bookmarkEnd w:id="156"/>
      <w:r w:rsidRPr="00472273">
        <w:t>Sobre o Valor Nominal Atualizado incidirão juros remuneratórios prefixados com base em 252 (duzentos e cinquenta e dois) Dias Úteis, a serem definidos de acordo com o Procedimento de Bookbuilding</w:t>
      </w:r>
      <w:r w:rsidR="00215051">
        <w:t>,</w:t>
      </w:r>
      <w:r w:rsidRPr="00472273">
        <w:t xml:space="preserve"> correspondentes </w:t>
      </w:r>
      <w:r w:rsidR="00215051">
        <w:t xml:space="preserve">ao maior entre: (i) percentual correspondente à taxa interna de retorno do título Tesouro IPCA+ com Juros Semestrais </w:t>
      </w:r>
      <w:r w:rsidR="00BB60B4">
        <w:t xml:space="preserve">2026 </w:t>
      </w:r>
      <w:r w:rsidR="00215051">
        <w:t xml:space="preserve">(denominação atual da antiga Nota do Tesouro Nacional, série B – NTN B), com vencimento em 15 de agosto de </w:t>
      </w:r>
      <w:r w:rsidR="00BB60B4">
        <w:t xml:space="preserve">2026 </w:t>
      </w:r>
      <w:r w:rsidR="00215051">
        <w:t>(“</w:t>
      </w:r>
      <w:r w:rsidR="00215051" w:rsidRPr="000E4ED3">
        <w:rPr>
          <w:b/>
          <w:bCs/>
        </w:rPr>
        <w:t xml:space="preserve">Tesouro IPCA </w:t>
      </w:r>
      <w:r w:rsidR="00BB60B4" w:rsidRPr="000E4ED3">
        <w:rPr>
          <w:b/>
          <w:bCs/>
        </w:rPr>
        <w:t>202</w:t>
      </w:r>
      <w:r w:rsidR="00BB60B4">
        <w:rPr>
          <w:b/>
          <w:bCs/>
        </w:rPr>
        <w:t>6</w:t>
      </w:r>
      <w:r w:rsidR="00215051">
        <w:t>”), a ser verificada no fechamento do Dia Útil imediatamente anterior à data de realização do Procedimento de Bookbuilding, conforme as taxas indicativas divulgadas pela ANBIMA em sua página na internet (http://www.anbima.com.br), acrescida exponencialmente de um spread de [</w:t>
      </w:r>
      <w:r w:rsidR="00215051" w:rsidRPr="00CF1F9C">
        <w:rPr>
          <w:rFonts w:cs="Tahoma"/>
        </w:rPr>
        <w:t>●]</w:t>
      </w:r>
      <w:r w:rsidR="00215051">
        <w:t>% ([</w:t>
      </w:r>
      <w:r w:rsidR="00215051" w:rsidRPr="00CF1F9C">
        <w:rPr>
          <w:rFonts w:cs="Tahoma"/>
        </w:rPr>
        <w:t xml:space="preserve">●] </w:t>
      </w:r>
      <w:r w:rsidR="00215051">
        <w:t>por cento) ao ano, base 252 (duzentos e cinquenta e dois) Dias Úteis; e (ii) [</w:t>
      </w:r>
      <w:r w:rsidR="00215051" w:rsidRPr="00CF1F9C">
        <w:rPr>
          <w:rFonts w:cs="Tahoma"/>
        </w:rPr>
        <w:t>●]</w:t>
      </w:r>
      <w:r w:rsidR="00215051">
        <w:t>% ([</w:t>
      </w:r>
      <w:r w:rsidR="00215051" w:rsidRPr="00CF1F9C">
        <w:rPr>
          <w:rFonts w:cs="Tahoma"/>
        </w:rPr>
        <w:t xml:space="preserve">●] </w:t>
      </w:r>
      <w:r w:rsidR="00215051">
        <w:t>por cento) ao ano, base 252 (duzentos e cinquenta e dois) Dias Úteis (“</w:t>
      </w:r>
      <w:r w:rsidR="00215051" w:rsidRPr="000E4ED3">
        <w:rPr>
          <w:b/>
          <w:bCs/>
        </w:rPr>
        <w:t>Juros Remuneratórios</w:t>
      </w:r>
      <w:r w:rsidR="00215051">
        <w:t>”).</w:t>
      </w:r>
    </w:p>
    <w:p w:rsidR="00472273" w:rsidRPr="00472273" w:rsidRDefault="00472273" w:rsidP="005302FC">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pro rata temporis</w:t>
      </w:r>
      <w:r w:rsidR="000104F6">
        <w:t xml:space="preserve"> por Dias Úteis decorridos, desde a Primeira Data de Integralização ou a </w:t>
      </w:r>
      <w:r w:rsidR="002A6A53">
        <w:t xml:space="preserve">Data </w:t>
      </w:r>
      <w:r w:rsidR="000104F6">
        <w:t xml:space="preserve">de </w:t>
      </w:r>
      <w:r w:rsidR="002A6A53">
        <w:t xml:space="preserve">Pagamento </w:t>
      </w:r>
      <w:r w:rsidR="000104F6">
        <w:t>dos Juros Remuneratórios anterior, conforme o caso, até a data do efetivo pagamento e de acordo com a seguinte fórmula</w:t>
      </w:r>
      <w:r w:rsidRPr="00472273">
        <w:rPr>
          <w:rFonts w:cs="Tahoma"/>
        </w:rPr>
        <w:t>:</w:t>
      </w:r>
    </w:p>
    <w:p w:rsidR="00DD716F" w:rsidRPr="00960BA0" w:rsidRDefault="00DD716F" w:rsidP="005302FC">
      <w:pPr>
        <w:pStyle w:val="Body2"/>
        <w:jc w:val="center"/>
        <w:rPr>
          <w:rFonts w:cs="Tahoma"/>
          <w:b/>
        </w:rPr>
      </w:pPr>
      <w:r w:rsidRPr="00960BA0">
        <w:rPr>
          <w:rFonts w:cs="Tahoma"/>
          <w:b/>
        </w:rPr>
        <w:t>J = VN</w:t>
      </w:r>
      <w:r w:rsidR="00472273">
        <w:rPr>
          <w:rFonts w:cs="Tahoma"/>
          <w:b/>
        </w:rPr>
        <w:t>a</w:t>
      </w:r>
      <w:r w:rsidRPr="00960BA0">
        <w:rPr>
          <w:rFonts w:cs="Tahoma"/>
          <w:b/>
        </w:rPr>
        <w:t xml:space="preserve"> x (Fator Juros – 1)</w:t>
      </w:r>
    </w:p>
    <w:p w:rsidR="00A25C02" w:rsidRPr="00A25C02" w:rsidRDefault="00DD716F" w:rsidP="005302FC">
      <w:pPr>
        <w:pStyle w:val="Body2"/>
        <w:keepNext/>
        <w:rPr>
          <w:rFonts w:cs="Tahoma"/>
          <w:i/>
        </w:rPr>
      </w:pPr>
      <w:r w:rsidRPr="00A25C02">
        <w:rPr>
          <w:rFonts w:cs="Tahoma"/>
          <w:i/>
        </w:rPr>
        <w:lastRenderedPageBreak/>
        <w:t>onde:</w:t>
      </w:r>
    </w:p>
    <w:p w:rsidR="00A25C02" w:rsidRPr="00A25C02" w:rsidRDefault="00A25C02" w:rsidP="005302FC">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rsidR="00A25C02" w:rsidRPr="00A25C02" w:rsidRDefault="00A25C02" w:rsidP="005302FC">
      <w:pPr>
        <w:pStyle w:val="Body2"/>
        <w:keepNext/>
        <w:rPr>
          <w:rFonts w:cs="Tahoma"/>
        </w:rPr>
      </w:pPr>
      <w:r w:rsidRPr="00A25C02">
        <w:rPr>
          <w:rFonts w:cs="Tahoma"/>
          <w:b/>
        </w:rPr>
        <w:t>VNa</w:t>
      </w:r>
      <w:r w:rsidRPr="00A25C02">
        <w:rPr>
          <w:rFonts w:cs="Tahoma"/>
        </w:rPr>
        <w:t xml:space="preserve"> = Valor Nominal Atualizado das Debêntures calculado com 8 (oito) casas decimais, sem arredondamento; </w:t>
      </w:r>
    </w:p>
    <w:p w:rsidR="00DD716F" w:rsidRDefault="00A25C02" w:rsidP="005302FC">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rsidR="00A25C02" w:rsidRPr="00CD063C" w:rsidRDefault="00A25C02" w:rsidP="005302FC">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rsidR="00DD716F" w:rsidRDefault="00DD716F" w:rsidP="005302FC">
      <w:pPr>
        <w:pStyle w:val="Body2"/>
        <w:keepNext/>
        <w:rPr>
          <w:rFonts w:cs="Tahoma"/>
          <w:i/>
        </w:rPr>
      </w:pPr>
      <w:r w:rsidRPr="00960BA0">
        <w:rPr>
          <w:rFonts w:cs="Tahoma"/>
          <w:i/>
        </w:rPr>
        <w:t>onde:</w:t>
      </w:r>
    </w:p>
    <w:p w:rsidR="00A25C02" w:rsidRPr="00A25C02" w:rsidRDefault="00A25C02" w:rsidP="005302FC">
      <w:pPr>
        <w:pStyle w:val="Body2"/>
        <w:keepNext/>
        <w:rPr>
          <w:rFonts w:cs="Tahoma"/>
        </w:rPr>
      </w:pPr>
      <w:r w:rsidRPr="00A25C02">
        <w:rPr>
          <w:rFonts w:cs="Tahoma"/>
          <w:b/>
        </w:rPr>
        <w:t xml:space="preserve">Taxa = </w:t>
      </w:r>
      <w:r w:rsidRPr="00A25C02">
        <w:rPr>
          <w:rFonts w:cs="Tahoma"/>
        </w:rPr>
        <w:t xml:space="preserve">a ser definida após a realização do Procedimento de Bookbuilding, informada com 4 (quatro) casas decimais e inserida na presente Escritura </w:t>
      </w:r>
      <w:r>
        <w:rPr>
          <w:rFonts w:cs="Tahoma"/>
        </w:rPr>
        <w:t>de Emissão por meio do</w:t>
      </w:r>
      <w:r w:rsidRPr="00A25C02">
        <w:rPr>
          <w:rFonts w:cs="Tahoma"/>
        </w:rPr>
        <w:t xml:space="preserve"> </w:t>
      </w:r>
      <w:r>
        <w:rPr>
          <w:rFonts w:cs="Tahoma"/>
        </w:rPr>
        <w:t>A</w:t>
      </w:r>
      <w:r w:rsidRPr="00A25C02">
        <w:rPr>
          <w:rFonts w:cs="Tahoma"/>
        </w:rPr>
        <w:t>ditamento;</w:t>
      </w:r>
    </w:p>
    <w:p w:rsidR="00A25C02" w:rsidRPr="00A25C02" w:rsidRDefault="00A25C02" w:rsidP="005302FC">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rsidR="00DD716F" w:rsidRDefault="00A25C02" w:rsidP="005302FC">
      <w:pPr>
        <w:pStyle w:val="Level3"/>
        <w:rPr>
          <w:rFonts w:cs="Tahoma"/>
        </w:rPr>
      </w:pPr>
      <w:bookmarkStart w:id="158" w:name="_BPDC_LN_INS_1256"/>
      <w:bookmarkStart w:id="159" w:name="_BPDC_PR_INS_1257"/>
      <w:bookmarkStart w:id="160" w:name="_BPDC_PR_INS_1258"/>
      <w:bookmarkStart w:id="161" w:name="_BPDC_PR_INS_1259"/>
      <w:bookmarkStart w:id="162" w:name="_BPDC_PR_INS_1260"/>
      <w:bookmarkStart w:id="163" w:name="_BPDC_PR_INS_1261"/>
      <w:bookmarkEnd w:id="158"/>
      <w:bookmarkEnd w:id="159"/>
      <w:bookmarkEnd w:id="160"/>
      <w:bookmarkEnd w:id="161"/>
      <w:bookmarkEnd w:id="162"/>
      <w:bookmarkEnd w:id="163"/>
      <w:r w:rsidRPr="00A25C02">
        <w:rPr>
          <w:rFonts w:cs="Tahoma"/>
        </w:rPr>
        <w:t>A taxa final consolidada que remunerará as Debêntures, definida nos termos acima descritos, será ratificada por meio d</w:t>
      </w:r>
      <w:r w:rsidR="000A4D57">
        <w:rPr>
          <w:rFonts w:cs="Tahoma"/>
        </w:rPr>
        <w:t>o Aditamento</w:t>
      </w:r>
      <w:r w:rsidR="00C02073">
        <w:rPr>
          <w:rFonts w:cs="Tahoma"/>
        </w:rPr>
        <w:t xml:space="preserve">, ficando desde já a Emissora </w:t>
      </w:r>
      <w:r w:rsidRPr="00A25C02">
        <w:rPr>
          <w:rFonts w:cs="Tahoma"/>
        </w:rPr>
        <w:t>e o Agente Fiduciário autorizados e obrigados a celebrá-lo, sem necessidade de aprovação societária pela Emissora ou de aprovação dos Debenturistas.</w:t>
      </w:r>
    </w:p>
    <w:p w:rsidR="00A25C02" w:rsidRDefault="00DD716F" w:rsidP="005302FC">
      <w:pPr>
        <w:pStyle w:val="Level2"/>
        <w:numPr>
          <w:ilvl w:val="1"/>
          <w:numId w:val="6"/>
        </w:numPr>
        <w:rPr>
          <w:rFonts w:eastAsia="MS Mincho" w:cs="Tahoma"/>
          <w:i/>
        </w:rPr>
      </w:pPr>
      <w:bookmarkStart w:id="164" w:name="_BPDC_LN_INS_1243"/>
      <w:bookmarkStart w:id="165" w:name="_BPDC_PR_INS_1244"/>
      <w:bookmarkStart w:id="166" w:name="_DV_C299"/>
      <w:bookmarkEnd w:id="157"/>
      <w:bookmarkEnd w:id="164"/>
      <w:bookmarkEnd w:id="165"/>
      <w:bookmarkEnd w:id="166"/>
      <w:r w:rsidRPr="00D177A4">
        <w:rPr>
          <w:rFonts w:eastAsia="MS Mincho" w:cs="Tahoma"/>
          <w:i/>
        </w:rPr>
        <w:t>Pagamento dos Juros Remuneratórios.</w:t>
      </w:r>
      <w:bookmarkStart w:id="167" w:name="_BPDC_LN_INS_1241"/>
      <w:bookmarkStart w:id="168" w:name="_BPDC_PR_INS_1242"/>
      <w:bookmarkEnd w:id="167"/>
      <w:bookmarkEnd w:id="168"/>
      <w:r>
        <w:rPr>
          <w:rFonts w:eastAsia="MS Mincho" w:cs="Tahoma"/>
          <w:i/>
        </w:rPr>
        <w:t xml:space="preserve"> </w:t>
      </w:r>
    </w:p>
    <w:p w:rsidR="00A25C02" w:rsidRPr="00A25C02" w:rsidRDefault="00A25C02" w:rsidP="005302FC">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Pr>
          <w:rFonts w:eastAsia="MS Mincho"/>
        </w:rPr>
        <w:t>15</w:t>
      </w:r>
      <w:r>
        <w:rPr>
          <w:rFonts w:eastAsia="MS Mincho"/>
        </w:rPr>
        <w:t xml:space="preserve"> </w:t>
      </w:r>
      <w:r w:rsidRPr="00A25C02">
        <w:rPr>
          <w:rFonts w:eastAsia="MS Mincho"/>
        </w:rPr>
        <w:t xml:space="preserve">de </w:t>
      </w:r>
      <w:r w:rsidR="0039172F">
        <w:rPr>
          <w:rFonts w:eastAsia="MS Mincho"/>
        </w:rPr>
        <w:t>junho</w:t>
      </w:r>
      <w:r>
        <w:rPr>
          <w:rFonts w:eastAsia="MS Mincho"/>
        </w:rPr>
        <w:t xml:space="preserve"> </w:t>
      </w:r>
      <w:r w:rsidRPr="00A25C02">
        <w:rPr>
          <w:rFonts w:eastAsia="MS Mincho"/>
        </w:rPr>
        <w:t xml:space="preserve">de </w:t>
      </w:r>
      <w:r w:rsidR="0039172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rsidR="00A25C02" w:rsidRPr="0042637A" w:rsidRDefault="00A25C02" w:rsidP="005302FC">
      <w:pPr>
        <w:pStyle w:val="Level3"/>
        <w:rPr>
          <w:rFonts w:eastAsia="MS Mincho"/>
        </w:rPr>
      </w:pPr>
      <w:r w:rsidRPr="00A25C02">
        <w:rPr>
          <w:rFonts w:eastAsia="MS Mincho"/>
        </w:rPr>
        <w:t xml:space="preserve">Farão jus ao recebimento dos Juros Remuneratórios aqueles que forem titulares de Debêntures ao final do Dia Útil imediatamente anterior à Data de Pagamento </w:t>
      </w:r>
      <w:r w:rsidR="002A6A53" w:rsidRPr="00A25C02">
        <w:rPr>
          <w:rFonts w:eastAsia="MS Mincho"/>
        </w:rPr>
        <w:t>d</w:t>
      </w:r>
      <w:r w:rsidR="002A6A53">
        <w:rPr>
          <w:rFonts w:eastAsia="MS Mincho"/>
        </w:rPr>
        <w:t>os</w:t>
      </w:r>
      <w:r w:rsidR="002A6A53" w:rsidRPr="00A25C02">
        <w:rPr>
          <w:rFonts w:eastAsia="MS Mincho"/>
        </w:rPr>
        <w:t xml:space="preserve"> </w:t>
      </w:r>
      <w:r w:rsidRPr="0042637A">
        <w:rPr>
          <w:rFonts w:eastAsia="MS Mincho"/>
        </w:rPr>
        <w:t xml:space="preserve">Juros Remuneratórios. </w:t>
      </w:r>
    </w:p>
    <w:p w:rsidR="00DD716F" w:rsidRPr="000E4ED3" w:rsidRDefault="00DD716F" w:rsidP="005302FC">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rsidR="00DD716F" w:rsidRPr="00032A3A" w:rsidRDefault="00DD716F" w:rsidP="005302FC">
      <w:pPr>
        <w:pStyle w:val="Level2"/>
        <w:rPr>
          <w:rFonts w:eastAsia="MS Mincho" w:cs="Tahoma"/>
          <w:i/>
        </w:rPr>
      </w:pPr>
      <w:bookmarkStart w:id="169" w:name="_BPDC_LN_INS_1235"/>
      <w:bookmarkStart w:id="170" w:name="_BPDC_PR_INS_1236"/>
      <w:bookmarkEnd w:id="169"/>
      <w:bookmarkEnd w:id="170"/>
      <w:r w:rsidRPr="000E4ED3">
        <w:rPr>
          <w:rFonts w:eastAsia="MS Mincho" w:cs="Tahoma"/>
          <w:i/>
        </w:rPr>
        <w:t>Amortização do Valor Nominal Unitário.</w:t>
      </w:r>
      <w:bookmarkStart w:id="171" w:name="_DV_M112"/>
      <w:bookmarkStart w:id="172" w:name="_DV_M126"/>
      <w:bookmarkStart w:id="173" w:name="_DV_M132"/>
      <w:bookmarkStart w:id="174" w:name="_DV_M138"/>
      <w:bookmarkStart w:id="175" w:name="_BPDC_LN_INS_1233"/>
      <w:bookmarkStart w:id="176" w:name="_BPDC_PR_INS_1234"/>
      <w:bookmarkEnd w:id="171"/>
      <w:bookmarkEnd w:id="172"/>
      <w:bookmarkEnd w:id="173"/>
      <w:bookmarkEnd w:id="174"/>
      <w:bookmarkEnd w:id="175"/>
      <w:bookmarkEnd w:id="176"/>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39172F">
        <w:rPr>
          <w:rFonts w:eastAsia="MS Mincho"/>
        </w:rPr>
        <w:t>dezembro</w:t>
      </w:r>
      <w:r w:rsidR="00A25C02"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39172F">
        <w:rPr>
          <w:rFonts w:eastAsia="MS Mincho"/>
        </w:rPr>
        <w:t>dezembro</w:t>
      </w:r>
      <w:r w:rsidR="00A25C02" w:rsidRPr="000E4ED3">
        <w:rPr>
          <w:rFonts w:eastAsia="MS Mincho"/>
        </w:rPr>
        <w:t xml:space="preserve"> </w:t>
      </w:r>
      <w:r w:rsidR="00A25C02" w:rsidRPr="000E4ED3">
        <w:rPr>
          <w:rFonts w:eastAsia="MS Mincho" w:cs="Tahoma"/>
        </w:rPr>
        <w:t>de 202</w:t>
      </w:r>
      <w:r w:rsidR="00AC3E0A" w:rsidRPr="000E4ED3">
        <w:rPr>
          <w:rFonts w:eastAsia="MS Mincho" w:cs="Tahoma"/>
        </w:rPr>
        <w:t>2</w:t>
      </w:r>
      <w:r w:rsidR="00A25C02" w:rsidRPr="0042637A">
        <w:rPr>
          <w:rFonts w:eastAsia="MS Mincho" w:cs="Tahoma"/>
        </w:rPr>
        <w:t xml:space="preserve"> 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xml:space="preserve">”), sendo os </w:t>
      </w:r>
      <w:r w:rsidR="00A25C02" w:rsidRPr="00A25C02">
        <w:rPr>
          <w:rFonts w:eastAsia="MS Mincho" w:cs="Tahoma"/>
        </w:rPr>
        <w:lastRenderedPageBreak/>
        <w:t>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r w:rsidR="008E592F">
        <w:rPr>
          <w:rFonts w:eastAsia="MS Mincho" w:cs="Tahoma"/>
        </w:rPr>
        <w:t>[</w:t>
      </w:r>
      <w:r w:rsidR="008E592F" w:rsidRPr="00F956EA">
        <w:rPr>
          <w:rFonts w:eastAsia="MS Mincho" w:cs="Tahoma"/>
          <w:b/>
          <w:highlight w:val="lightGray"/>
        </w:rPr>
        <w:t>Nota MF</w:t>
      </w:r>
      <w:r w:rsidR="008E592F" w:rsidRPr="00F956EA">
        <w:rPr>
          <w:rFonts w:eastAsia="MS Mincho" w:cs="Tahoma"/>
          <w:highlight w:val="lightGray"/>
        </w:rPr>
        <w:t xml:space="preserve">: </w:t>
      </w:r>
      <w:r w:rsidR="00F956EA" w:rsidRPr="00F956EA">
        <w:rPr>
          <w:rFonts w:eastAsia="MS Mincho" w:cs="Tahoma"/>
          <w:highlight w:val="lightGray"/>
        </w:rPr>
        <w:t>Sujeito a confirmação da companhia</w:t>
      </w:r>
      <w:r w:rsidR="008E592F" w:rsidRPr="00F956EA">
        <w:rPr>
          <w:rFonts w:eastAsia="MS Mincho" w:cs="Tahoma"/>
          <w:highlight w:val="lightGray"/>
        </w:rPr>
        <w:t>.</w:t>
      </w:r>
      <w:r w:rsidR="008E592F">
        <w:rPr>
          <w:rFonts w:eastAsia="MS Mincho" w:cs="Tahoma"/>
        </w:rPr>
        <w:t>]</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rsidTr="00623C33">
        <w:trPr>
          <w:tblHeader/>
        </w:trPr>
        <w:tc>
          <w:tcPr>
            <w:tcW w:w="965" w:type="pct"/>
            <w:shd w:val="clear" w:color="auto" w:fill="D9D9D9" w:themeFill="background1" w:themeFillShade="D9"/>
            <w:vAlign w:val="center"/>
          </w:tcPr>
          <w:p w:rsidR="00032A3A" w:rsidRPr="007C3543" w:rsidRDefault="00032A3A" w:rsidP="005302FC">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rsidR="00032A3A" w:rsidRPr="005B2AC7" w:rsidRDefault="00032A3A" w:rsidP="005302FC">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rsidR="00032A3A" w:rsidRPr="007C3543" w:rsidRDefault="00032A3A" w:rsidP="005302FC">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rsidR="00032A3A" w:rsidRPr="00CF4346" w:rsidRDefault="00032A3A" w:rsidP="005302FC">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1</w:t>
            </w:r>
          </w:p>
        </w:tc>
        <w:tc>
          <w:tcPr>
            <w:tcW w:w="1579" w:type="pct"/>
          </w:tcPr>
          <w:p w:rsidR="0039172F" w:rsidRPr="005B2AC7" w:rsidRDefault="0039172F" w:rsidP="005302FC">
            <w:pPr>
              <w:spacing w:after="140" w:line="290" w:lineRule="auto"/>
              <w:jc w:val="center"/>
            </w:pPr>
            <w:r>
              <w:rPr>
                <w:rFonts w:eastAsia="MS Mincho"/>
              </w:rPr>
              <w:t xml:space="preserve">15 de dezembro </w:t>
            </w:r>
            <w:r w:rsidRPr="00CE7D09">
              <w:t>de 2022</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2,27</w:t>
            </w:r>
            <w:r w:rsidRPr="00106D78">
              <w:rPr>
                <w:color w:val="000000"/>
              </w:rPr>
              <w:t>%</w:t>
            </w:r>
          </w:p>
        </w:tc>
        <w:tc>
          <w:tcPr>
            <w:tcW w:w="1228" w:type="pct"/>
            <w:vAlign w:val="center"/>
          </w:tcPr>
          <w:p w:rsidR="0039172F" w:rsidRPr="00CF4346" w:rsidRDefault="0039172F" w:rsidP="005302FC">
            <w:pPr>
              <w:spacing w:after="140" w:line="290" w:lineRule="auto"/>
              <w:jc w:val="center"/>
            </w:pPr>
            <w:r>
              <w:rPr>
                <w:rFonts w:eastAsia="MS Mincho"/>
              </w:rPr>
              <w:t>[</w:t>
            </w:r>
            <w:r>
              <w:rPr>
                <w:rFonts w:eastAsia="MS Mincho" w:cs="Tahoma"/>
              </w:rPr>
              <w:t>•</w:t>
            </w:r>
            <w:r>
              <w:rPr>
                <w:rFonts w:eastAsia="MS Mincho"/>
              </w:rPr>
              <w:t>]</w:t>
            </w:r>
            <w:r w:rsidRPr="00CF4346">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2</w:t>
            </w:r>
          </w:p>
        </w:tc>
        <w:tc>
          <w:tcPr>
            <w:tcW w:w="1579" w:type="pct"/>
          </w:tcPr>
          <w:p w:rsidR="0039172F" w:rsidRPr="005B2AC7" w:rsidRDefault="0039172F" w:rsidP="005302FC">
            <w:pPr>
              <w:spacing w:after="140" w:line="290" w:lineRule="auto"/>
              <w:jc w:val="center"/>
            </w:pPr>
            <w:r>
              <w:rPr>
                <w:rFonts w:eastAsia="MS Mincho"/>
              </w:rPr>
              <w:t xml:space="preserve">15 de dezembro </w:t>
            </w:r>
            <w:r w:rsidRPr="00CE7D09">
              <w:t>de 2023</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3,60</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3</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2024</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12,89</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4</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2025</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13,38</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5</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2026</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17,93</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6</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2027</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17,05</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7</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2028</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16,31</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8</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2029</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16,57</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bl>
    <w:p w:rsidR="00032A3A" w:rsidRPr="0049185C" w:rsidRDefault="00032A3A" w:rsidP="005302FC">
      <w:pPr>
        <w:pStyle w:val="Body2"/>
        <w:ind w:left="0" w:firstLine="680"/>
        <w:rPr>
          <w:rFonts w:cs="Tahoma"/>
          <w:i/>
          <w:szCs w:val="20"/>
        </w:rPr>
      </w:pPr>
      <w:r w:rsidRPr="0049185C">
        <w:rPr>
          <w:rFonts w:cs="Tahoma"/>
          <w:i/>
          <w:szCs w:val="20"/>
        </w:rPr>
        <w:t>* Percentuais destinados a fins meramente referenciais.</w:t>
      </w:r>
    </w:p>
    <w:p w:rsidR="00032A3A" w:rsidRPr="005E48E4" w:rsidRDefault="00032A3A" w:rsidP="005302FC">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rsidR="00DD716F" w:rsidRPr="00960BA0" w:rsidRDefault="00DD716F" w:rsidP="005302FC">
      <w:pPr>
        <w:pStyle w:val="Level2"/>
        <w:numPr>
          <w:ilvl w:val="1"/>
          <w:numId w:val="6"/>
        </w:numPr>
        <w:rPr>
          <w:rFonts w:cs="Tahoma"/>
        </w:rPr>
      </w:pPr>
      <w:bookmarkStart w:id="177" w:name="_BPDC_LN_INS_1229"/>
      <w:bookmarkStart w:id="178" w:name="_BPDC_PR_INS_1230"/>
      <w:bookmarkStart w:id="179" w:name="_DV_M139"/>
      <w:bookmarkEnd w:id="177"/>
      <w:bookmarkEnd w:id="178"/>
      <w:bookmarkEnd w:id="179"/>
      <w:r w:rsidRPr="00960BA0">
        <w:rPr>
          <w:rFonts w:cs="Tahoma"/>
          <w:i/>
          <w:w w:val="0"/>
        </w:rPr>
        <w:t>Local de Pagamento.</w:t>
      </w:r>
      <w:bookmarkStart w:id="180" w:name="_DV_M140"/>
      <w:bookmarkEnd w:id="180"/>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960BA0" w:rsidRDefault="00DD716F" w:rsidP="005302FC">
      <w:pPr>
        <w:pStyle w:val="Level2"/>
        <w:numPr>
          <w:ilvl w:val="1"/>
          <w:numId w:val="6"/>
        </w:numPr>
        <w:rPr>
          <w:rFonts w:eastAsia="Arial Unicode MS" w:cs="Tahoma"/>
          <w:b/>
          <w:smallCaps/>
          <w:w w:val="0"/>
        </w:rPr>
      </w:pPr>
      <w:bookmarkStart w:id="181" w:name="_BPDC_LN_INS_1227"/>
      <w:bookmarkStart w:id="182" w:name="_BPDC_PR_INS_1228"/>
      <w:bookmarkStart w:id="183" w:name="_BPDC_LN_INS_1225"/>
      <w:bookmarkStart w:id="184" w:name="_BPDC_PR_INS_1226"/>
      <w:bookmarkStart w:id="185" w:name="_DV_M143"/>
      <w:bookmarkStart w:id="186" w:name="_DV_M144"/>
      <w:bookmarkEnd w:id="181"/>
      <w:bookmarkEnd w:id="182"/>
      <w:bookmarkEnd w:id="183"/>
      <w:bookmarkEnd w:id="184"/>
      <w:bookmarkEnd w:id="185"/>
      <w:bookmarkEnd w:id="186"/>
      <w:r w:rsidRPr="00960BA0">
        <w:rPr>
          <w:rFonts w:cs="Tahoma"/>
          <w:i/>
          <w:w w:val="0"/>
        </w:rPr>
        <w:t xml:space="preserve">Prorrogação dos Prazos. </w:t>
      </w:r>
      <w:r w:rsidRPr="00960BA0">
        <w:rPr>
          <w:rFonts w:eastAsia="Arial Unicode MS" w:cs="Tahoma"/>
          <w:w w:val="0"/>
        </w:rPr>
        <w:t xml:space="preserve">Considerar-se-ão automaticamente </w:t>
      </w:r>
      <w:bookmarkStart w:id="187" w:name="_DV_C294"/>
      <w:r w:rsidRPr="00960BA0">
        <w:rPr>
          <w:rFonts w:eastAsia="Arial Unicode MS" w:cs="Tahoma"/>
          <w:w w:val="0"/>
        </w:rPr>
        <w:t xml:space="preserve">prorrogadas as datas de pagamento de qualquer obrigação </w:t>
      </w:r>
      <w:bookmarkStart w:id="188" w:name="_DV_M145"/>
      <w:bookmarkEnd w:id="187"/>
      <w:bookmarkEnd w:id="188"/>
      <w:r w:rsidRPr="00960BA0">
        <w:rPr>
          <w:rFonts w:eastAsia="Arial Unicode MS" w:cs="Tahoma"/>
          <w:w w:val="0"/>
        </w:rPr>
        <w:t xml:space="preserve">até o primeiro Dia Útil subsequente, se </w:t>
      </w:r>
      <w:bookmarkStart w:id="189" w:name="_DV_C296"/>
      <w:r w:rsidRPr="00960BA0">
        <w:rPr>
          <w:rFonts w:eastAsia="Arial Unicode MS" w:cs="Tahoma"/>
          <w:w w:val="0"/>
        </w:rPr>
        <w:t xml:space="preserve">a data de </w:t>
      </w:r>
      <w:bookmarkStart w:id="190" w:name="_DV_M146"/>
      <w:bookmarkEnd w:id="189"/>
      <w:bookmarkEnd w:id="190"/>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1" w:name="_DV_M147"/>
      <w:bookmarkEnd w:id="191"/>
      <w:r w:rsidRPr="00960BA0">
        <w:rPr>
          <w:rFonts w:eastAsia="Arial Unicode MS" w:cs="Tahoma"/>
          <w:w w:val="0"/>
        </w:rPr>
        <w:t xml:space="preserve"> qualquer acréscimo</w:t>
      </w:r>
      <w:bookmarkStart w:id="192" w:name="_DV_M148"/>
      <w:bookmarkEnd w:id="192"/>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960BA0" w:rsidRDefault="00DD716F" w:rsidP="005302FC">
      <w:pPr>
        <w:pStyle w:val="Level2"/>
        <w:numPr>
          <w:ilvl w:val="1"/>
          <w:numId w:val="6"/>
        </w:numPr>
        <w:rPr>
          <w:rFonts w:eastAsia="Arial Unicode MS" w:cs="Tahoma"/>
          <w:w w:val="0"/>
          <w:u w:val="single"/>
        </w:rPr>
      </w:pPr>
      <w:bookmarkStart w:id="193" w:name="_BPDC_LN_INS_1223"/>
      <w:bookmarkStart w:id="194" w:name="_BPDC_PR_INS_1224"/>
      <w:bookmarkStart w:id="195" w:name="_DV_M149"/>
      <w:bookmarkEnd w:id="193"/>
      <w:bookmarkEnd w:id="194"/>
      <w:bookmarkEnd w:id="195"/>
      <w:r w:rsidRPr="00960BA0">
        <w:rPr>
          <w:rFonts w:cs="Tahoma"/>
          <w:i/>
          <w:w w:val="0"/>
        </w:rPr>
        <w:t xml:space="preserve">Encargos Moratórios. </w:t>
      </w:r>
      <w:bookmarkStart w:id="196" w:name="_DV_M150"/>
      <w:bookmarkStart w:id="197" w:name="_Ref322619233"/>
      <w:bookmarkEnd w:id="196"/>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197"/>
      <w:r w:rsidRPr="00960BA0">
        <w:rPr>
          <w:rFonts w:eastAsia="Arial Unicode MS" w:cs="Tahoma"/>
          <w:w w:val="0"/>
        </w:rPr>
        <w:t xml:space="preserve"> </w:t>
      </w:r>
    </w:p>
    <w:p w:rsidR="00DD716F" w:rsidRPr="00960BA0" w:rsidRDefault="00DD716F" w:rsidP="005302FC">
      <w:pPr>
        <w:pStyle w:val="Level2"/>
        <w:numPr>
          <w:ilvl w:val="1"/>
          <w:numId w:val="6"/>
        </w:numPr>
        <w:rPr>
          <w:rFonts w:eastAsia="Arial Unicode MS" w:cs="Tahoma"/>
          <w:w w:val="0"/>
          <w:u w:val="single"/>
        </w:rPr>
      </w:pPr>
      <w:bookmarkStart w:id="198" w:name="_BPDC_LN_INS_1221"/>
      <w:bookmarkStart w:id="199" w:name="_BPDC_PR_INS_1222"/>
      <w:bookmarkStart w:id="200" w:name="_Ref322619468"/>
      <w:bookmarkEnd w:id="198"/>
      <w:bookmarkEnd w:id="199"/>
      <w:r w:rsidRPr="00960BA0">
        <w:rPr>
          <w:rFonts w:eastAsia="Arial Unicode MS" w:cs="Tahoma"/>
          <w:i/>
          <w:w w:val="0"/>
        </w:rPr>
        <w:lastRenderedPageBreak/>
        <w:t>Decadência dos Direitos aos Acréscimos</w:t>
      </w:r>
      <w:bookmarkEnd w:id="200"/>
      <w:r w:rsidRPr="00960BA0">
        <w:rPr>
          <w:rFonts w:eastAsia="Arial Unicode MS" w:cs="Tahoma"/>
          <w:i/>
          <w:w w:val="0"/>
        </w:rPr>
        <w:t xml:space="preserve">. </w:t>
      </w:r>
      <w:bookmarkStart w:id="201" w:name="_DV_M154"/>
      <w:bookmarkStart w:id="202" w:name="_DV_M155"/>
      <w:bookmarkEnd w:id="201"/>
      <w:bookmarkEnd w:id="202"/>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960BA0" w:rsidRDefault="00DD716F" w:rsidP="005302FC">
      <w:pPr>
        <w:pStyle w:val="Level2"/>
        <w:numPr>
          <w:ilvl w:val="1"/>
          <w:numId w:val="6"/>
        </w:numPr>
        <w:rPr>
          <w:rFonts w:cs="Tahoma"/>
          <w:w w:val="0"/>
        </w:rPr>
      </w:pPr>
      <w:bookmarkStart w:id="203" w:name="_BPDC_LN_INS_1219"/>
      <w:bookmarkStart w:id="204" w:name="_BPDC_PR_INS_1220"/>
      <w:bookmarkStart w:id="205" w:name="_DV_M159"/>
      <w:bookmarkStart w:id="206" w:name="_Ref322619421"/>
      <w:bookmarkEnd w:id="203"/>
      <w:bookmarkEnd w:id="204"/>
      <w:bookmarkEnd w:id="205"/>
      <w:r w:rsidRPr="00960BA0">
        <w:rPr>
          <w:rFonts w:cs="Tahoma"/>
          <w:i/>
          <w:w w:val="0"/>
        </w:rPr>
        <w:t>Publicidade</w:t>
      </w:r>
      <w:bookmarkEnd w:id="206"/>
      <w:r w:rsidRPr="00960BA0">
        <w:rPr>
          <w:rFonts w:cs="Tahoma"/>
          <w:w w:val="0"/>
        </w:rPr>
        <w:t xml:space="preserve">. </w:t>
      </w:r>
      <w:bookmarkStart w:id="207" w:name="_DV_M161"/>
      <w:bookmarkStart w:id="208" w:name="_Hlk7027682"/>
      <w:bookmarkEnd w:id="207"/>
      <w:r w:rsidRPr="00960BA0">
        <w:rPr>
          <w:rFonts w:cs="Tahoma"/>
          <w:w w:val="0"/>
        </w:rPr>
        <w:t xml:space="preserve">Os </w:t>
      </w:r>
      <w:r w:rsidRPr="00960BA0">
        <w:rPr>
          <w:rFonts w:eastAsia="Arial Unicode MS" w:cs="Tahoma"/>
          <w:w w:val="0"/>
        </w:rPr>
        <w:t>editais de convocação e as atas de assembleias gerais de Debenturistas</w:t>
      </w:r>
      <w:bookmarkEnd w:id="208"/>
      <w:r w:rsidRPr="00960BA0">
        <w:rPr>
          <w:rFonts w:eastAsia="Arial Unicode MS" w:cs="Tahoma"/>
          <w:w w:val="0"/>
        </w:rPr>
        <w:t xml:space="preserve"> deverão ser publicados na página da Emissora (</w:t>
      </w:r>
      <w:r>
        <w:rPr>
          <w:rFonts w:cs="Tahoma"/>
        </w:rPr>
        <w:t>[•]</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09" w:name="_Hlk7027726"/>
      <w:r w:rsidRPr="00960BA0">
        <w:rPr>
          <w:rFonts w:eastAsia="Arial Unicode MS" w:cs="Tahoma"/>
          <w:w w:val="0"/>
        </w:rPr>
        <w:t>Os demais atos e decisões relativos às Debêntures deverão</w:t>
      </w:r>
      <w:bookmarkEnd w:id="209"/>
      <w:r w:rsidRPr="00960BA0">
        <w:rPr>
          <w:rFonts w:eastAsia="Arial Unicode MS" w:cs="Tahoma"/>
          <w:w w:val="0"/>
        </w:rPr>
        <w:t xml:space="preserve"> ser </w:t>
      </w:r>
      <w:bookmarkStart w:id="210" w:name="_Hlk7027740"/>
      <w:r w:rsidRPr="00960BA0">
        <w:rPr>
          <w:rFonts w:eastAsia="Arial Unicode MS" w:cs="Tahoma"/>
          <w:w w:val="0"/>
        </w:rPr>
        <w:t xml:space="preserve">comunicados, na forma de aviso, </w:t>
      </w:r>
      <w:bookmarkEnd w:id="210"/>
      <w:r w:rsidRPr="00960BA0">
        <w:rPr>
          <w:rFonts w:eastAsia="Arial Unicode MS" w:cs="Tahoma"/>
          <w:w w:val="0"/>
        </w:rPr>
        <w:t>nas páginas da Emissora (</w:t>
      </w:r>
      <w:r>
        <w:rPr>
          <w:rFonts w:cs="Tahoma"/>
        </w:rPr>
        <w:t>[•]</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rsidR="00DD716F" w:rsidRPr="00960BA0" w:rsidRDefault="00DD716F" w:rsidP="005302FC">
      <w:pPr>
        <w:pStyle w:val="Level2"/>
        <w:numPr>
          <w:ilvl w:val="1"/>
          <w:numId w:val="6"/>
        </w:numPr>
        <w:rPr>
          <w:rFonts w:eastAsia="Arial Unicode MS" w:cs="Tahoma"/>
          <w:w w:val="0"/>
        </w:rPr>
      </w:pPr>
      <w:bookmarkStart w:id="211" w:name="_BPDC_LN_INS_1217"/>
      <w:bookmarkStart w:id="212" w:name="_BPDC_PR_INS_1218"/>
      <w:bookmarkEnd w:id="211"/>
      <w:bookmarkEnd w:id="212"/>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rsidR="00DD716F" w:rsidRDefault="00DD716F" w:rsidP="005302FC">
      <w:pPr>
        <w:pStyle w:val="Level2"/>
        <w:rPr>
          <w:rFonts w:cs="Tahoma"/>
        </w:rPr>
      </w:pPr>
      <w:bookmarkStart w:id="213" w:name="_BPDC_LN_INS_1174"/>
      <w:bookmarkStart w:id="214" w:name="_BPDC_PR_INS_1175"/>
      <w:bookmarkStart w:id="215" w:name="_BPDC_LN_INS_1160"/>
      <w:bookmarkStart w:id="216" w:name="_BPDC_PR_INS_1161"/>
      <w:bookmarkEnd w:id="117"/>
      <w:bookmarkEnd w:id="213"/>
      <w:bookmarkEnd w:id="214"/>
      <w:bookmarkEnd w:id="215"/>
      <w:bookmarkEnd w:id="216"/>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 de [•] de 2022</w:t>
      </w:r>
      <w:r w:rsidR="008E0EEE" w:rsidRPr="008E0EEE">
        <w:rPr>
          <w:rFonts w:cs="Tahoma"/>
        </w:rPr>
        <w:t>, as Debêntures poderão ser adquiridas pela Emissora, no mercado secundário, a qualquer momento, condicionado ao aceite do respectivo Debenturista vendedor, por valor igual ou inferior ao Valor Nominal Unitário, devendo o fato constar do relatório da administração e das demonstrações financeiras, ou por valor superior ao Valor Nominal Unitário,</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xml:space="preserve">. As Debêntures que venham a ser adquiridas nos termos desta Cláusula poderão: (i) ser canceladas, observado o disposto na Lei 12.431, e </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rsidR="00962EAD" w:rsidRDefault="00962EAD" w:rsidP="005302FC">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rsidR="007251B7" w:rsidRPr="00F73DE0" w:rsidRDefault="007251B7" w:rsidP="005302FC">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prazo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rsidR="007251B7" w:rsidRPr="00D61FD1" w:rsidRDefault="007251B7" w:rsidP="005302FC">
      <w:pPr>
        <w:pStyle w:val="Level4"/>
        <w:rPr>
          <w:rFonts w:ascii="Tahoma" w:hAnsi="Tahoma" w:cs="Tahoma"/>
          <w:szCs w:val="20"/>
        </w:rPr>
      </w:pPr>
      <w:r w:rsidRPr="00D61FD1">
        <w:rPr>
          <w:rFonts w:ascii="Tahoma" w:hAnsi="Tahoma" w:cs="Tahoma"/>
          <w:szCs w:val="20"/>
        </w:rPr>
        <w:lastRenderedPageBreak/>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rsidR="007251B7" w:rsidRPr="00D61FD1" w:rsidRDefault="007251B7" w:rsidP="005302FC">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rsidR="007251B7" w:rsidRPr="00D61FD1" w:rsidRDefault="007251B7" w:rsidP="00B85D15">
      <w:pPr>
        <w:pStyle w:val="Level4"/>
        <w:numPr>
          <w:ilvl w:val="8"/>
          <w:numId w:val="6"/>
        </w:numPr>
        <w:shd w:val="clear" w:color="auto" w:fill="FFFFFF" w:themeFill="background1"/>
        <w:tabs>
          <w:tab w:val="left" w:pos="0"/>
        </w:tabs>
        <w:suppressAutoHyphens/>
        <w:spacing w:afterLines="80" w:after="192"/>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a Data de Aniversário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rsidR="007251B7" w:rsidRPr="00D61FD1" w:rsidRDefault="007251B7" w:rsidP="00B85D15">
      <w:pPr>
        <w:pStyle w:val="Level4"/>
        <w:numPr>
          <w:ilvl w:val="8"/>
          <w:numId w:val="6"/>
        </w:numPr>
        <w:shd w:val="clear" w:color="auto" w:fill="FFFFFF" w:themeFill="background1"/>
        <w:tabs>
          <w:tab w:val="left" w:pos="0"/>
        </w:tabs>
        <w:suppressAutoHyphens/>
        <w:spacing w:afterLines="80" w:after="192"/>
        <w:ind w:left="2552" w:hanging="567"/>
        <w:rPr>
          <w:rFonts w:ascii="Tahoma" w:hAnsi="Tahoma" w:cs="Tahoma"/>
          <w:color w:val="000000" w:themeColor="text1"/>
          <w:szCs w:val="20"/>
        </w:rPr>
      </w:pPr>
      <w:r w:rsidRPr="00D61FD1">
        <w:rPr>
          <w:rFonts w:ascii="Tahoma" w:hAnsi="Tahoma" w:cs="Tahoma"/>
          <w:color w:val="000000" w:themeColor="text1"/>
          <w:szCs w:val="20"/>
        </w:rPr>
        <w:t>Valor presente das parcelas remanescentes de pagamento de amortização do Valor Nominal Atualizado e dos Juros Remuneratórios, utilizando como taxa de desconto a</w:t>
      </w:r>
      <w:r w:rsidRPr="00D61FD1" w:rsidDel="00B13BF5">
        <w:rPr>
          <w:rFonts w:ascii="Tahoma" w:hAnsi="Tahoma" w:cs="Tahoma"/>
          <w:color w:val="000000" w:themeColor="text1"/>
          <w:szCs w:val="20"/>
        </w:rPr>
        <w:t xml:space="preserve"> </w:t>
      </w:r>
      <w:r w:rsidRPr="00D61FD1">
        <w:rPr>
          <w:rFonts w:ascii="Tahoma" w:hAnsi="Tahoma" w:cs="Tahoma"/>
          <w:color w:val="000000" w:themeColor="text1"/>
          <w:szCs w:val="20"/>
        </w:rPr>
        <w:t>taxa interna de retorno do 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rsidR="007251B7" w:rsidRPr="00D61FD1" w:rsidRDefault="007251B7" w:rsidP="00B85D15">
      <w:pPr>
        <w:pStyle w:val="Level4"/>
        <w:numPr>
          <w:ilvl w:val="0"/>
          <w:numId w:val="0"/>
        </w:numPr>
        <w:shd w:val="clear" w:color="auto" w:fill="FFFFFF" w:themeFill="background1"/>
        <w:tabs>
          <w:tab w:val="left" w:pos="0"/>
          <w:tab w:val="num" w:pos="1701"/>
        </w:tabs>
        <w:suppressAutoHyphens/>
        <w:spacing w:afterLines="80" w:after="192"/>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VP = somatório do valor presente das parcelas de pagamento das Debêntures;</w:t>
      </w:r>
    </w:p>
    <w:p w:rsidR="007251B7" w:rsidRPr="00AA5BFC"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w:t>
      </w:r>
      <w:r w:rsidRPr="00D61FD1">
        <w:rPr>
          <w:rFonts w:cs="Tahoma"/>
          <w:iCs/>
          <w:szCs w:val="20"/>
        </w:rPr>
        <w:lastRenderedPageBreak/>
        <w:t xml:space="preserve">pagamento </w:t>
      </w:r>
      <w:r w:rsidR="002A6A53">
        <w:rPr>
          <w:rFonts w:cs="Tahoma"/>
          <w:iCs/>
          <w:szCs w:val="20"/>
        </w:rPr>
        <w:t>dos Juros Remuneratórios</w:t>
      </w:r>
      <w:r w:rsidRPr="00D61FD1">
        <w:rPr>
          <w:rFonts w:cs="Tahoma"/>
          <w:iCs/>
          <w:szCs w:val="20"/>
        </w:rPr>
        <w:t xml:space="preserve"> e/ou à amortização do Valor Nominal Unitário, conforme o caso;</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rsidR="007251B7" w:rsidRPr="00D61FD1" w:rsidRDefault="007251B7" w:rsidP="00B85D15">
      <w:pPr>
        <w:pStyle w:val="Level3"/>
        <w:keepNext/>
        <w:numPr>
          <w:ilvl w:val="0"/>
          <w:numId w:val="0"/>
        </w:numPr>
        <w:tabs>
          <w:tab w:val="num" w:pos="1701"/>
        </w:tabs>
        <w:suppressAutoHyphens/>
        <w:spacing w:afterLines="80" w:after="192"/>
        <w:ind w:left="2552"/>
        <w:rPr>
          <w:rFonts w:cs="Tahoma"/>
          <w:szCs w:val="20"/>
        </w:rPr>
      </w:pPr>
      <w:r w:rsidRPr="00D61FD1">
        <w:rPr>
          <w:rFonts w:cs="Tahoma"/>
          <w:iCs/>
          <w:szCs w:val="20"/>
        </w:rPr>
        <w:t>TESOUROIPCA = Tesouro IPCA+ com Juros Semestrais (NTN-B), com vencimento mais próximo ao prazo médio remanescente das Debêntures.</w:t>
      </w:r>
    </w:p>
    <w:p w:rsidR="007251B7" w:rsidRPr="00D61FD1" w:rsidRDefault="007251B7" w:rsidP="005302FC">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rsidR="007251B7" w:rsidRPr="00C64FB3" w:rsidRDefault="007251B7" w:rsidP="005302FC">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rsidR="007251B7" w:rsidRPr="00D61FD1" w:rsidRDefault="007251B7" w:rsidP="005302FC">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os procedimentos adotados pelo Agente Liquidante, para as Debêntures que não estiverem custodiadas eletronicamente na B3.</w:t>
      </w:r>
    </w:p>
    <w:p w:rsidR="007251B7" w:rsidRPr="00D61FD1" w:rsidRDefault="007251B7" w:rsidP="005302FC">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rsidR="007251B7" w:rsidRPr="00B85D15" w:rsidRDefault="007251B7" w:rsidP="005302FC">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rsidR="007251B7" w:rsidRPr="00B85D15" w:rsidRDefault="007251B7" w:rsidP="005302FC">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rsidR="00347AE2" w:rsidRPr="00542C49" w:rsidRDefault="007251B7" w:rsidP="005302FC">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rsidR="00DD716F" w:rsidRDefault="00DD716F" w:rsidP="005302FC">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rsidR="00F01DA3" w:rsidRPr="00F01DA3" w:rsidRDefault="00F01DA3" w:rsidP="005302FC">
      <w:pPr>
        <w:pStyle w:val="Level2"/>
        <w:rPr>
          <w:rFonts w:cs="Tahoma"/>
          <w:w w:val="0"/>
        </w:rPr>
      </w:pPr>
      <w:r w:rsidRPr="00F01DA3">
        <w:rPr>
          <w:rFonts w:cs="Tahoma"/>
          <w:i/>
          <w:w w:val="0"/>
        </w:rPr>
        <w:lastRenderedPageBreak/>
        <w:t>Classificação de Risco</w:t>
      </w:r>
      <w:r>
        <w:rPr>
          <w:rFonts w:cs="Tahoma"/>
          <w:w w:val="0"/>
        </w:rPr>
        <w:t xml:space="preserve">. </w:t>
      </w:r>
      <w:r w:rsidRPr="00F01DA3">
        <w:rPr>
          <w:rFonts w:cs="Tahoma"/>
          <w:w w:val="0"/>
        </w:rPr>
        <w:t xml:space="preserve">Foi contratada como agência de classificação de risco da Oferta a </w:t>
      </w:r>
      <w:r>
        <w:rPr>
          <w:rFonts w:cs="Tahoma"/>
          <w:w w:val="0"/>
        </w:rPr>
        <w:t>[•]</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rsidR="00F01DA3" w:rsidRPr="00F01DA3" w:rsidRDefault="00F01DA3" w:rsidP="005302FC">
      <w:pPr>
        <w:pStyle w:val="Level2"/>
        <w:rPr>
          <w:rFonts w:cs="Tahoma"/>
          <w:i/>
          <w:w w:val="0"/>
        </w:rPr>
      </w:pPr>
      <w:r w:rsidRPr="00F01DA3">
        <w:rPr>
          <w:rFonts w:cs="Tahoma"/>
          <w:i/>
          <w:w w:val="0"/>
        </w:rPr>
        <w:t>Tratamento Tributário.</w:t>
      </w:r>
    </w:p>
    <w:p w:rsidR="00F01DA3" w:rsidRPr="00F01DA3" w:rsidRDefault="00F01DA3" w:rsidP="005302FC">
      <w:pPr>
        <w:pStyle w:val="Level3"/>
        <w:rPr>
          <w:w w:val="0"/>
        </w:rPr>
      </w:pPr>
      <w:r w:rsidRPr="00F01DA3">
        <w:rPr>
          <w:w w:val="0"/>
        </w:rPr>
        <w:t>As Debêntures gozam do tratamento tributário previsto no artigo 2º da Lei 12.431.</w:t>
      </w:r>
    </w:p>
    <w:p w:rsidR="00F01DA3" w:rsidRPr="00F01DA3" w:rsidRDefault="00F01DA3" w:rsidP="005302FC">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F01DA3" w:rsidRPr="00D61FD1" w:rsidRDefault="00F01DA3" w:rsidP="005302FC">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rsidR="00F01DA3" w:rsidRPr="00D61FD1" w:rsidRDefault="00F01DA3" w:rsidP="005302FC">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rsidR="00F01DA3" w:rsidRPr="00F01DA3" w:rsidRDefault="00F01DA3" w:rsidP="005302FC">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xml:space="preserve">; ou (b) realizar o resgate </w:t>
      </w:r>
      <w:r w:rsidR="00F61C01">
        <w:rPr>
          <w:w w:val="0"/>
        </w:rPr>
        <w:lastRenderedPageBreak/>
        <w:t>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rsidR="00F01DA3" w:rsidRDefault="00F01DA3" w:rsidP="00B85D15">
      <w:pPr>
        <w:pStyle w:val="Level3"/>
        <w:spacing w:after="0"/>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rsidR="00A215D5" w:rsidRPr="00F01DA3" w:rsidRDefault="00A215D5" w:rsidP="005302FC">
      <w:pPr>
        <w:pStyle w:val="Level3"/>
        <w:numPr>
          <w:ilvl w:val="0"/>
          <w:numId w:val="0"/>
        </w:numPr>
        <w:ind w:left="1361" w:hanging="681"/>
        <w:rPr>
          <w:w w:val="0"/>
        </w:rPr>
      </w:pPr>
    </w:p>
    <w:p w:rsidR="00DD716F" w:rsidRPr="006A509E" w:rsidRDefault="006A509E" w:rsidP="005302FC">
      <w:pPr>
        <w:pStyle w:val="Level1"/>
        <w:numPr>
          <w:ilvl w:val="0"/>
          <w:numId w:val="6"/>
        </w:numPr>
        <w:rPr>
          <w:rFonts w:cs="Tahoma"/>
          <w:b/>
        </w:rPr>
      </w:pPr>
      <w:bookmarkStart w:id="217" w:name="_Ref368400919"/>
      <w:r w:rsidRPr="006A509E">
        <w:rPr>
          <w:rFonts w:cs="Tahoma"/>
          <w:b/>
        </w:rPr>
        <w:t>VENCIMENTO ANTECIPADO</w:t>
      </w:r>
      <w:bookmarkEnd w:id="217"/>
    </w:p>
    <w:p w:rsidR="00DD716F" w:rsidRPr="00960BA0" w:rsidRDefault="00DD716F" w:rsidP="005302FC">
      <w:pPr>
        <w:pStyle w:val="Level2"/>
        <w:numPr>
          <w:ilvl w:val="1"/>
          <w:numId w:val="6"/>
        </w:numPr>
        <w:rPr>
          <w:rFonts w:eastAsia="Arial Unicode MS" w:cs="Tahoma"/>
          <w:w w:val="0"/>
        </w:rPr>
      </w:pPr>
      <w:bookmarkStart w:id="218" w:name="_BPDC_LN_INS_1158"/>
      <w:bookmarkStart w:id="219" w:name="_BPDC_PR_INS_1159"/>
      <w:bookmarkStart w:id="220" w:name="_Ref322619558"/>
      <w:bookmarkStart w:id="221" w:name="_Hlk499732023"/>
      <w:bookmarkEnd w:id="218"/>
      <w:bookmarkEnd w:id="219"/>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20"/>
      <w:r w:rsidRPr="00960BA0">
        <w:rPr>
          <w:rFonts w:eastAsia="Arial Unicode MS" w:cs="Tahoma"/>
          <w:w w:val="0"/>
        </w:rPr>
        <w:t xml:space="preserve">: </w:t>
      </w:r>
    </w:p>
    <w:p w:rsidR="007F11C5" w:rsidRPr="007F11C5" w:rsidRDefault="007F11C5" w:rsidP="00B85D15">
      <w:pPr>
        <w:pStyle w:val="roman3"/>
        <w:numPr>
          <w:ilvl w:val="0"/>
          <w:numId w:val="54"/>
        </w:numPr>
        <w:ind w:left="993" w:hanging="426"/>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F61C01">
        <w:rPr>
          <w:rFonts w:eastAsia="Arial Unicode MS" w:cs="Tahoma"/>
          <w:w w:val="0"/>
        </w:rPr>
        <w:t xml:space="preserve">(i)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F61C01">
        <w:rPr>
          <w:rFonts w:eastAsia="Arial Unicode MS" w:cs="Tahoma"/>
          <w:w w:val="0"/>
        </w:rPr>
        <w:t xml:space="preserve">; </w:t>
      </w:r>
      <w:r w:rsidR="00AD1A5D">
        <w:rPr>
          <w:rFonts w:eastAsia="Arial Unicode MS" w:cs="Tahoma"/>
          <w:w w:val="0"/>
        </w:rPr>
        <w:t xml:space="preserve">ou </w:t>
      </w:r>
      <w:r w:rsidR="00F61C01">
        <w:rPr>
          <w:rFonts w:eastAsia="Arial Unicode MS" w:cs="Tahoma"/>
          <w:w w:val="0"/>
        </w:rPr>
        <w:t xml:space="preserve">(ii) </w:t>
      </w:r>
      <w:r w:rsidR="00AD1A5D">
        <w:rPr>
          <w:rFonts w:eastAsia="Arial Unicode MS" w:cs="Tahoma"/>
          <w:w w:val="0"/>
        </w:rPr>
        <w:t xml:space="preserve">no caso </w:t>
      </w:r>
      <w:r w:rsidR="007416D4">
        <w:rPr>
          <w:rFonts w:eastAsia="Arial Unicode MS" w:cs="Tahoma"/>
          <w:w w:val="0"/>
        </w:rPr>
        <w:t xml:space="preserve">de </w:t>
      </w:r>
      <w:r w:rsidR="00F61C01">
        <w:rPr>
          <w:rFonts w:eastAsia="Arial Unicode MS" w:cs="Tahoma"/>
          <w:w w:val="0"/>
        </w:rPr>
        <w:t>execução da Carta de Fiança</w:t>
      </w:r>
      <w:r w:rsidR="00AD1A5D">
        <w:rPr>
          <w:rFonts w:eastAsia="Arial Unicode MS" w:cs="Tahoma"/>
          <w:w w:val="0"/>
        </w:rPr>
        <w:t xml:space="preserve"> pelo Agente Fiduciário, desde que referida execução tenha </w:t>
      </w:r>
      <w:r w:rsidR="007416D4">
        <w:rPr>
          <w:rFonts w:eastAsia="Arial Unicode MS" w:cs="Tahoma"/>
          <w:w w:val="0"/>
        </w:rPr>
        <w:t xml:space="preserve">sido iniciada </w:t>
      </w:r>
      <w:r w:rsidR="00AD1A5D">
        <w:rPr>
          <w:rFonts w:eastAsia="Arial Unicode MS" w:cs="Tahoma"/>
          <w:w w:val="0"/>
        </w:rPr>
        <w:t>n</w:t>
      </w:r>
      <w:r w:rsidR="007416D4">
        <w:rPr>
          <w:rFonts w:eastAsia="Arial Unicode MS" w:cs="Tahoma"/>
          <w:w w:val="0"/>
        </w:rPr>
        <w:t>a mesma data</w:t>
      </w:r>
      <w:r w:rsidR="00AD1A5D">
        <w:rPr>
          <w:rFonts w:eastAsia="Arial Unicode MS" w:cs="Tahoma"/>
          <w:w w:val="0"/>
        </w:rPr>
        <w:t xml:space="preserve"> do respectivo inadimplemento</w:t>
      </w:r>
      <w:r w:rsidR="00E97722">
        <w:rPr>
          <w:rFonts w:eastAsia="Arial Unicode MS" w:cs="Tahoma"/>
          <w:w w:val="0"/>
        </w:rPr>
        <w:t xml:space="preserve"> conforme previsto na presente Escritura de Emissão</w:t>
      </w:r>
      <w:r w:rsidRPr="007F11C5">
        <w:rPr>
          <w:rFonts w:eastAsia="Arial Unicode MS" w:cs="Tahoma"/>
          <w:w w:val="0"/>
        </w:rPr>
        <w:t>;</w:t>
      </w:r>
    </w:p>
    <w:p w:rsidR="007F11C5" w:rsidRPr="00492CE2" w:rsidRDefault="007F11C5" w:rsidP="00B85D15">
      <w:pPr>
        <w:pStyle w:val="roman3"/>
        <w:numPr>
          <w:ilvl w:val="0"/>
          <w:numId w:val="54"/>
        </w:numPr>
        <w:ind w:left="993" w:hanging="426"/>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rsidR="007F11C5" w:rsidRPr="000E4ED3" w:rsidRDefault="00DD716F" w:rsidP="00B85D15">
      <w:pPr>
        <w:pStyle w:val="roman3"/>
        <w:numPr>
          <w:ilvl w:val="0"/>
          <w:numId w:val="54"/>
        </w:numPr>
        <w:ind w:left="993" w:hanging="426"/>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580A15">
        <w:rPr>
          <w:rFonts w:eastAsia="Arial Unicode MS" w:cs="Tahoma"/>
          <w:w w:val="0"/>
        </w:rPr>
        <w:t>;</w:t>
      </w:r>
    </w:p>
    <w:p w:rsidR="00DD716F" w:rsidRPr="004C6AAA" w:rsidRDefault="00DD716F" w:rsidP="00B85D15">
      <w:pPr>
        <w:pStyle w:val="roman3"/>
        <w:numPr>
          <w:ilvl w:val="0"/>
          <w:numId w:val="54"/>
        </w:numPr>
        <w:ind w:left="993" w:hanging="426"/>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rsidR="007F11C5" w:rsidRPr="00960BA0" w:rsidRDefault="00DD716F" w:rsidP="00B85D15">
      <w:pPr>
        <w:pStyle w:val="roman3"/>
        <w:numPr>
          <w:ilvl w:val="0"/>
          <w:numId w:val="54"/>
        </w:numPr>
        <w:ind w:left="993" w:hanging="426"/>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rsidR="00DD716F" w:rsidRPr="00BE5F05" w:rsidRDefault="00DD716F" w:rsidP="00B85D15">
      <w:pPr>
        <w:pStyle w:val="roman3"/>
        <w:numPr>
          <w:ilvl w:val="0"/>
          <w:numId w:val="54"/>
        </w:numPr>
        <w:ind w:left="993" w:hanging="426"/>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rsidR="004E7683" w:rsidRDefault="00DD716F" w:rsidP="00B85D15">
      <w:pPr>
        <w:pStyle w:val="roman3"/>
        <w:numPr>
          <w:ilvl w:val="0"/>
          <w:numId w:val="54"/>
        </w:numPr>
        <w:ind w:left="993" w:hanging="426"/>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rsidR="00B8464B" w:rsidRDefault="00B8464B" w:rsidP="00B8464B">
      <w:pPr>
        <w:pStyle w:val="roman3"/>
        <w:numPr>
          <w:ilvl w:val="0"/>
          <w:numId w:val="54"/>
        </w:numPr>
        <w:ind w:left="993" w:hanging="426"/>
        <w:rPr>
          <w:rFonts w:eastAsia="Arial Unicode MS" w:cs="Tahoma"/>
          <w:w w:val="0"/>
        </w:rPr>
      </w:pPr>
      <w:r w:rsidRPr="00960BA0">
        <w:rPr>
          <w:rFonts w:eastAsia="Arial Unicode MS" w:cs="Tahoma"/>
          <w:w w:val="0"/>
        </w:rPr>
        <w:lastRenderedPageBreak/>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igual ou superior a</w:t>
      </w:r>
      <w:r w:rsidRPr="000E4ED3">
        <w:rPr>
          <w:rFonts w:eastAsia="Arial Unicode MS" w:cs="Tahoma"/>
          <w:w w:val="0"/>
        </w:rPr>
        <w:t xml:space="preserve"> </w:t>
      </w:r>
      <w:r w:rsidR="007416D4">
        <w:rPr>
          <w:rFonts w:eastAsia="Arial Unicode MS" w:cs="Tahoma"/>
          <w:w w:val="0"/>
        </w:rPr>
        <w:t>[</w:t>
      </w:r>
      <w:r w:rsidRPr="00A5398A">
        <w:rPr>
          <w:rFonts w:eastAsia="Arial Unicode MS" w:cs="Tahoma"/>
          <w:w w:val="0"/>
          <w:highlight w:val="yellow"/>
        </w:rPr>
        <w:t>R$ </w:t>
      </w:r>
      <w:r w:rsidR="00061C0D" w:rsidRPr="00A5398A">
        <w:rPr>
          <w:rFonts w:eastAsia="Arial Unicode MS" w:cs="Tahoma"/>
          <w:w w:val="0"/>
          <w:highlight w:val="yellow"/>
        </w:rPr>
        <w:t>3</w:t>
      </w:r>
      <w:r w:rsidRPr="00A5398A">
        <w:rPr>
          <w:rFonts w:eastAsia="Arial Unicode MS" w:cs="Tahoma"/>
          <w:w w:val="0"/>
          <w:highlight w:val="yellow"/>
        </w:rPr>
        <w:t>0.000.000,00 (</w:t>
      </w:r>
      <w:r w:rsidR="00061C0D" w:rsidRPr="00A5398A">
        <w:rPr>
          <w:rFonts w:eastAsia="Arial Unicode MS" w:cs="Tahoma"/>
          <w:w w:val="0"/>
          <w:highlight w:val="yellow"/>
        </w:rPr>
        <w:t>trinta</w:t>
      </w:r>
      <w:r w:rsidRPr="00A5398A">
        <w:rPr>
          <w:rFonts w:eastAsia="Arial Unicode MS" w:cs="Tahoma"/>
          <w:w w:val="0"/>
          <w:highlight w:val="yellow"/>
        </w:rPr>
        <w:t xml:space="preserve"> milhões de reais)</w:t>
      </w:r>
      <w:r w:rsidR="007416D4">
        <w:rPr>
          <w:rFonts w:eastAsia="Arial Unicode MS" w:cs="Tahoma"/>
          <w:w w:val="0"/>
        </w:rPr>
        <w:t>]</w:t>
      </w:r>
      <w:r w:rsidRPr="000E4ED3">
        <w:rPr>
          <w:rFonts w:eastAsia="Arial Unicode MS" w:cs="Tahoma"/>
          <w:w w:val="0"/>
        </w:rPr>
        <w:t xml:space="preserve">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4C4717">
        <w:rPr>
          <w:rFonts w:cstheme="minorHAnsi"/>
        </w:rPr>
        <w:t>, exceto caso, cumulativamente (a)</w:t>
      </w:r>
      <w:r w:rsidR="00C762A0">
        <w:rPr>
          <w:rFonts w:cstheme="minorHAnsi"/>
        </w:rPr>
        <w:t> </w:t>
      </w:r>
      <w:r w:rsidR="004C4717">
        <w:rPr>
          <w:rFonts w:cstheme="minorHAnsi"/>
        </w:rPr>
        <w:t>o vencimento antecipado tenha ocorrido em decorrência de um evento de alteração de controle da Emissora e/ou suas Controladas, e (b)</w:t>
      </w:r>
      <w:r w:rsidR="00C762A0">
        <w:rPr>
          <w:rFonts w:cstheme="minorHAnsi"/>
        </w:rPr>
        <w:t> </w:t>
      </w:r>
      <w:r w:rsidR="004C4717">
        <w:rPr>
          <w:rFonts w:cstheme="minorHAnsi"/>
        </w:rPr>
        <w:t>a Emissora ou a respectiva Controlada realize</w:t>
      </w:r>
      <w:r w:rsidR="00A5398A">
        <w:rPr>
          <w:rFonts w:cstheme="minorHAnsi"/>
        </w:rPr>
        <w:t>m</w:t>
      </w:r>
      <w:r w:rsidR="004C4717">
        <w:rPr>
          <w:rFonts w:cstheme="minorHAnsi"/>
        </w:rPr>
        <w:t xml:space="preserve"> o pagamento integral da Obrigação Financeira vencida antecipadamente no prazo estabelecido no respectivo instrumento</w:t>
      </w:r>
      <w:r>
        <w:rPr>
          <w:rFonts w:eastAsia="Arial Unicode MS" w:cs="Tahoma"/>
          <w:w w:val="0"/>
        </w:rPr>
        <w:t>.</w:t>
      </w:r>
      <w:r w:rsidR="007416D4">
        <w:rPr>
          <w:rFonts w:eastAsia="Arial Unicode MS" w:cs="Tahoma"/>
          <w:w w:val="0"/>
        </w:rPr>
        <w:t xml:space="preserve"> [</w:t>
      </w:r>
      <w:r w:rsidR="007416D4" w:rsidRPr="007D7AD4">
        <w:rPr>
          <w:rFonts w:eastAsia="Arial Unicode MS" w:cs="Tahoma"/>
          <w:b/>
          <w:w w:val="0"/>
          <w:highlight w:val="yellow"/>
        </w:rPr>
        <w:t>Nota LDR</w:t>
      </w:r>
      <w:r w:rsidR="007416D4" w:rsidRPr="007D7AD4">
        <w:rPr>
          <w:rFonts w:eastAsia="Arial Unicode MS" w:cs="Tahoma"/>
          <w:w w:val="0"/>
          <w:highlight w:val="yellow"/>
        </w:rPr>
        <w:t>: Thresholds sob análise dos Coordenadores</w:t>
      </w:r>
      <w:r w:rsidR="007416D4">
        <w:rPr>
          <w:rFonts w:eastAsia="Arial Unicode MS" w:cs="Tahoma"/>
          <w:w w:val="0"/>
        </w:rPr>
        <w:t>]</w:t>
      </w:r>
    </w:p>
    <w:p w:rsidR="00DD716F" w:rsidRPr="00960BA0" w:rsidRDefault="00DD716F" w:rsidP="005302FC">
      <w:pPr>
        <w:pStyle w:val="Level2"/>
        <w:numPr>
          <w:ilvl w:val="1"/>
          <w:numId w:val="6"/>
        </w:numPr>
        <w:rPr>
          <w:rFonts w:cs="Tahoma"/>
        </w:rPr>
      </w:pPr>
      <w:bookmarkStart w:id="222" w:name="_BPDC_LN_INS_1156"/>
      <w:bookmarkStart w:id="223" w:name="_BPDC_PR_INS_1157"/>
      <w:bookmarkStart w:id="224" w:name="_Ref368495316"/>
      <w:bookmarkStart w:id="225" w:name="_Ref369264993"/>
      <w:bookmarkStart w:id="226" w:name="_Ref322619767"/>
      <w:bookmarkEnd w:id="222"/>
      <w:bookmarkEnd w:id="223"/>
      <w:r w:rsidRPr="00960BA0">
        <w:rPr>
          <w:rFonts w:cs="Tahoma"/>
        </w:rPr>
        <w:t>Sem</w:t>
      </w:r>
      <w:r w:rsidRPr="00960BA0">
        <w:rPr>
          <w:rFonts w:cs="Tahoma"/>
          <w:color w:val="000000"/>
          <w:w w:val="0"/>
        </w:rPr>
        <w:t xml:space="preserve"> prejuízo do disposto na Cláusula 7.1 acima, </w:t>
      </w:r>
      <w:bookmarkStart w:id="227"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Assembleia Geral de Debenturistas para deliberar sobre a 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4"/>
      <w:bookmarkEnd w:id="225"/>
      <w:bookmarkEnd w:id="227"/>
      <w:r w:rsidRPr="00960BA0">
        <w:rPr>
          <w:rFonts w:cs="Tahoma"/>
        </w:rPr>
        <w:t xml:space="preserve"> </w:t>
      </w:r>
    </w:p>
    <w:bookmarkEnd w:id="226"/>
    <w:p w:rsidR="0067735D" w:rsidRDefault="0067735D" w:rsidP="00B85D15">
      <w:pPr>
        <w:pStyle w:val="roman3"/>
        <w:numPr>
          <w:ilvl w:val="0"/>
          <w:numId w:val="88"/>
        </w:numPr>
        <w:ind w:left="993"/>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rsidR="00AF7812" w:rsidRPr="00AF7812" w:rsidRDefault="00971B50" w:rsidP="00B85D15">
      <w:pPr>
        <w:pStyle w:val="roman3"/>
        <w:numPr>
          <w:ilvl w:val="0"/>
          <w:numId w:val="88"/>
        </w:numPr>
        <w:ind w:left="993" w:hanging="426"/>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rsidR="00AF7812" w:rsidRDefault="007C6B73" w:rsidP="00B85D15">
      <w:pPr>
        <w:pStyle w:val="roman3"/>
        <w:numPr>
          <w:ilvl w:val="0"/>
          <w:numId w:val="88"/>
        </w:numPr>
        <w:ind w:left="993" w:hanging="426"/>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rsidR="00B8464B" w:rsidRDefault="00B8464B" w:rsidP="00B8464B">
      <w:pPr>
        <w:pStyle w:val="roman3"/>
        <w:numPr>
          <w:ilvl w:val="0"/>
          <w:numId w:val="88"/>
        </w:numPr>
        <w:ind w:left="993" w:hanging="426"/>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rsidR="00AF7812" w:rsidRPr="00B85D15" w:rsidRDefault="00233B0B" w:rsidP="00B85D15">
      <w:pPr>
        <w:pStyle w:val="roman3"/>
        <w:numPr>
          <w:ilvl w:val="0"/>
          <w:numId w:val="88"/>
        </w:numPr>
        <w:ind w:left="993" w:hanging="426"/>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rsidR="003B69B3" w:rsidRDefault="003B69B3" w:rsidP="005302FC">
      <w:pPr>
        <w:pStyle w:val="roman3"/>
        <w:numPr>
          <w:ilvl w:val="0"/>
          <w:numId w:val="88"/>
        </w:numPr>
        <w:ind w:left="993" w:hanging="426"/>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w:t>
      </w:r>
      <w:r w:rsidR="00E708D9">
        <w:rPr>
          <w:rFonts w:eastAsia="Arial Unicode MS" w:cs="Tahoma"/>
          <w:w w:val="0"/>
        </w:rPr>
        <w:t>]</w:t>
      </w:r>
      <w:r w:rsidRPr="000E4ED3">
        <w:rPr>
          <w:rFonts w:eastAsia="Arial Unicode MS" w:cs="Tahoma"/>
          <w:w w:val="0"/>
        </w:rPr>
        <w:t xml:space="preserve">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r w:rsidR="007416D4" w:rsidRPr="006A7C91">
        <w:rPr>
          <w:rFonts w:eastAsia="Arial Unicode MS" w:cs="Tahoma"/>
          <w:b/>
          <w:w w:val="0"/>
          <w:highlight w:val="yellow"/>
        </w:rPr>
        <w:t>Nota LDR</w:t>
      </w:r>
      <w:r w:rsidR="007416D4" w:rsidRPr="006A7C91">
        <w:rPr>
          <w:rFonts w:eastAsia="Arial Unicode MS" w:cs="Tahoma"/>
          <w:w w:val="0"/>
          <w:highlight w:val="yellow"/>
        </w:rPr>
        <w:t>: Thresholds sob análise dos Coordenadores</w:t>
      </w:r>
      <w:r w:rsidR="007416D4">
        <w:rPr>
          <w:rFonts w:eastAsia="Arial Unicode MS" w:cs="Tahoma"/>
          <w:w w:val="0"/>
        </w:rPr>
        <w:t>]</w:t>
      </w:r>
    </w:p>
    <w:p w:rsidR="00AF7812" w:rsidRDefault="00AF7812" w:rsidP="00B85D15">
      <w:pPr>
        <w:pStyle w:val="roman3"/>
        <w:numPr>
          <w:ilvl w:val="0"/>
          <w:numId w:val="88"/>
        </w:numPr>
        <w:ind w:left="993" w:hanging="426"/>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 xml:space="preserve">cujo valor, individual ou agregado, seja igual ou superior a </w:t>
      </w:r>
      <w:r w:rsidR="007416D4">
        <w:rPr>
          <w:rFonts w:eastAsia="Arial Unicode MS" w:cs="Tahoma"/>
          <w:w w:val="0"/>
        </w:rPr>
        <w:t>[</w:t>
      </w:r>
      <w:r w:rsidRPr="00960BA0">
        <w:rPr>
          <w:rFonts w:eastAsia="Arial Unicode MS" w:cs="Tahoma"/>
          <w:w w:val="0"/>
        </w:rPr>
        <w:t>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sidR="007416D4">
        <w:rPr>
          <w:rFonts w:eastAsia="Arial Unicode MS" w:cs="Tahoma"/>
          <w:w w:val="0"/>
        </w:rPr>
        <w:t>]</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w:t>
      </w:r>
      <w:r w:rsidR="00542C49">
        <w:rPr>
          <w:rFonts w:cs="Tahoma"/>
        </w:rPr>
        <w:lastRenderedPageBreak/>
        <w:t xml:space="preserve">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nos termos da legislação aplicável</w:t>
      </w:r>
      <w:r w:rsidRPr="00960BA0">
        <w:rPr>
          <w:rFonts w:eastAsia="Arial Unicode MS" w:cs="Tahoma"/>
          <w:w w:val="0"/>
        </w:rPr>
        <w:t>;</w:t>
      </w:r>
      <w:r w:rsidR="007416D4">
        <w:rPr>
          <w:rFonts w:eastAsia="Arial Unicode MS" w:cs="Tahoma"/>
          <w:w w:val="0"/>
        </w:rPr>
        <w:t xml:space="preserve"> [</w:t>
      </w:r>
      <w:r w:rsidR="007416D4" w:rsidRPr="006A7C91">
        <w:rPr>
          <w:rFonts w:eastAsia="Arial Unicode MS" w:cs="Tahoma"/>
          <w:b/>
          <w:w w:val="0"/>
          <w:highlight w:val="yellow"/>
        </w:rPr>
        <w:t>Nota LDR</w:t>
      </w:r>
      <w:r w:rsidR="007416D4" w:rsidRPr="006A7C91">
        <w:rPr>
          <w:rFonts w:eastAsia="Arial Unicode MS" w:cs="Tahoma"/>
          <w:w w:val="0"/>
          <w:highlight w:val="yellow"/>
        </w:rPr>
        <w:t>: Thresholds sob análise dos Coordenadores</w:t>
      </w:r>
      <w:r w:rsidR="007416D4">
        <w:rPr>
          <w:rFonts w:eastAsia="Arial Unicode MS" w:cs="Tahoma"/>
          <w:w w:val="0"/>
        </w:rPr>
        <w:t>]</w:t>
      </w:r>
    </w:p>
    <w:p w:rsidR="00542C49" w:rsidRPr="00B85D15" w:rsidRDefault="00E125BE" w:rsidP="005302FC">
      <w:pPr>
        <w:pStyle w:val="roman3"/>
        <w:numPr>
          <w:ilvl w:val="0"/>
          <w:numId w:val="88"/>
        </w:numPr>
        <w:ind w:left="993" w:hanging="426"/>
        <w:rPr>
          <w:rFonts w:eastAsia="Arial Unicode MS" w:cs="Tahoma"/>
          <w:w w:val="0"/>
        </w:rPr>
      </w:pPr>
      <w:r>
        <w:rPr>
          <w:rFonts w:eastAsia="Arial Unicode MS" w:cs="Tahoma"/>
          <w:w w:val="0"/>
        </w:rPr>
        <w:t>sentença judicial</w:t>
      </w:r>
      <w:r w:rsidR="00F306BA">
        <w:rPr>
          <w:rFonts w:eastAsia="Arial Unicode MS" w:cs="Tahoma"/>
          <w:w w:val="0"/>
        </w:rPr>
        <w:t xml:space="preserve"> </w:t>
      </w:r>
      <w:r w:rsidR="00A215D5" w:rsidRPr="003B69B3">
        <w:rPr>
          <w:rFonts w:eastAsia="Arial Unicode MS" w:cs="Tahoma"/>
          <w:w w:val="0"/>
        </w:rPr>
        <w:t xml:space="preserve">e/ou </w:t>
      </w:r>
      <w:r w:rsidR="00357089">
        <w:rPr>
          <w:rFonts w:eastAsia="Arial Unicode MS" w:cs="Tahoma"/>
          <w:w w:val="0"/>
        </w:rPr>
        <w:t xml:space="preserve">qualquer decisão </w:t>
      </w:r>
      <w:r w:rsidR="00A215D5" w:rsidRPr="003B69B3">
        <w:rPr>
          <w:rFonts w:eastAsia="Arial Unicode MS" w:cs="Tahoma"/>
          <w:w w:val="0"/>
        </w:rPr>
        <w:t xml:space="preserve">arbitral </w:t>
      </w:r>
      <w:r w:rsidR="005A2B86" w:rsidRPr="003B69B3">
        <w:rPr>
          <w:rFonts w:eastAsia="Arial Unicode MS" w:cs="Tahoma"/>
          <w:w w:val="0"/>
        </w:rPr>
        <w:t xml:space="preserve">contra </w:t>
      </w:r>
      <w:r w:rsidR="00A215D5" w:rsidRPr="009410EB">
        <w:rPr>
          <w:rFonts w:eastAsia="Arial Unicode MS" w:cs="Tahoma"/>
          <w:w w:val="0"/>
        </w:rPr>
        <w:t>a Emissora</w:t>
      </w:r>
      <w:r w:rsidR="00357089">
        <w:rPr>
          <w:rFonts w:eastAsia="Arial Unicode MS" w:cs="Tahoma"/>
          <w:w w:val="0"/>
        </w:rPr>
        <w:t xml:space="preserve"> ou suas Controladas</w:t>
      </w:r>
      <w:r w:rsidR="006C7FF6" w:rsidRPr="009410EB">
        <w:rPr>
          <w:rFonts w:eastAsia="Arial Unicode MS" w:cs="Tahoma"/>
          <w:w w:val="0"/>
        </w:rPr>
        <w:t>, em valor,</w:t>
      </w:r>
      <w:r w:rsidR="006C7FF6" w:rsidRPr="00416951">
        <w:rPr>
          <w:rFonts w:eastAsia="Arial Unicode MS" w:cs="Tahoma"/>
          <w:w w:val="0"/>
        </w:rPr>
        <w:t xml:space="preserve"> individual ou agregado, igual ou superior a </w:t>
      </w:r>
      <w:r w:rsidR="000947BC">
        <w:rPr>
          <w:rFonts w:eastAsia="Arial Unicode MS" w:cs="Tahoma"/>
          <w:w w:val="0"/>
        </w:rPr>
        <w:t>[</w:t>
      </w:r>
      <w:r w:rsidR="006C7FF6" w:rsidRPr="00416951">
        <w:rPr>
          <w:rFonts w:eastAsia="Arial Unicode MS" w:cs="Tahoma"/>
          <w:w w:val="0"/>
        </w:rPr>
        <w:t>R$</w:t>
      </w:r>
      <w:r w:rsidR="00542C49">
        <w:rPr>
          <w:rFonts w:eastAsia="Arial Unicode MS" w:cs="Tahoma"/>
          <w:w w:val="0"/>
        </w:rPr>
        <w:t> </w:t>
      </w:r>
      <w:r w:rsidR="00A64D9C">
        <w:rPr>
          <w:rFonts w:eastAsia="Arial Unicode MS" w:cs="Tahoma"/>
          <w:w w:val="0"/>
        </w:rPr>
        <w:t>5</w:t>
      </w:r>
      <w:r w:rsidR="006C7FF6" w:rsidRPr="00416951">
        <w:rPr>
          <w:rFonts w:eastAsia="Arial Unicode MS" w:cs="Tahoma"/>
          <w:w w:val="0"/>
        </w:rPr>
        <w:t>0.000.000,00 (</w:t>
      </w:r>
      <w:r w:rsidR="00A64D9C">
        <w:rPr>
          <w:rFonts w:eastAsia="Arial Unicode MS" w:cs="Tahoma"/>
          <w:w w:val="0"/>
        </w:rPr>
        <w:t>cinquenta</w:t>
      </w:r>
      <w:r w:rsidR="006C7FF6">
        <w:rPr>
          <w:rFonts w:eastAsia="Arial Unicode MS" w:cs="Tahoma"/>
          <w:w w:val="0"/>
        </w:rPr>
        <w:t xml:space="preserve"> </w:t>
      </w:r>
      <w:r w:rsidR="006C7FF6" w:rsidRPr="00416951">
        <w:rPr>
          <w:rFonts w:eastAsia="Arial Unicode MS" w:cs="Tahoma"/>
          <w:w w:val="0"/>
        </w:rPr>
        <w:t>milhões de reais)</w:t>
      </w:r>
      <w:r w:rsidR="000947BC">
        <w:rPr>
          <w:rFonts w:eastAsia="Arial Unicode MS" w:cs="Tahoma"/>
          <w:w w:val="0"/>
        </w:rPr>
        <w:t>]</w:t>
      </w:r>
      <w:r w:rsidR="006C7FF6" w:rsidRPr="00416951">
        <w:rPr>
          <w:rFonts w:eastAsia="Arial Unicode MS" w:cs="Tahoma"/>
          <w:w w:val="0"/>
        </w:rPr>
        <w:t xml:space="preserve"> ou seu </w:t>
      </w:r>
      <w:r w:rsidR="006C7FF6" w:rsidRPr="005705A1">
        <w:rPr>
          <w:rFonts w:eastAsia="Arial Unicode MS" w:cs="Tahoma"/>
          <w:w w:val="0"/>
        </w:rPr>
        <w:t xml:space="preserve">equivalente em outras moedas, </w:t>
      </w:r>
      <w:r w:rsidR="006C7FF6" w:rsidRPr="002035DC">
        <w:rPr>
          <w:rFonts w:cstheme="minorHAnsi"/>
        </w:rPr>
        <w:t>atualizado anualmente, a partir da Data de Emissão, pela variação positiva do IPCA</w:t>
      </w:r>
      <w:r w:rsidR="00D3047D" w:rsidRPr="002035DC">
        <w:rPr>
          <w:rFonts w:eastAsia="Arial Unicode MS"/>
          <w:w w:val="0"/>
        </w:rPr>
        <w:t>,</w:t>
      </w:r>
      <w:r w:rsidR="002035DC">
        <w:rPr>
          <w:rFonts w:eastAsia="Arial Unicode MS"/>
          <w:w w:val="0"/>
        </w:rPr>
        <w:t xml:space="preserve"> </w:t>
      </w:r>
      <w:r>
        <w:rPr>
          <w:rFonts w:eastAsia="Arial Unicode MS"/>
          <w:w w:val="0"/>
        </w:rPr>
        <w:t>exceto caso</w:t>
      </w:r>
      <w:r w:rsidR="007C4BC4">
        <w:rPr>
          <w:rFonts w:eastAsia="Arial Unicode MS"/>
          <w:w w:val="0"/>
        </w:rPr>
        <w:t xml:space="preserve"> a respectiva decisão ou sentença</w:t>
      </w:r>
      <w:r>
        <w:rPr>
          <w:rFonts w:eastAsia="Arial Unicode MS"/>
          <w:w w:val="0"/>
        </w:rPr>
        <w:t xml:space="preserve"> (a) </w:t>
      </w:r>
      <w:r w:rsidR="007C4BC4">
        <w:rPr>
          <w:rFonts w:eastAsia="Arial Unicode MS"/>
          <w:w w:val="0"/>
        </w:rPr>
        <w:t xml:space="preserve"> tenha seus </w:t>
      </w:r>
      <w:r w:rsidR="00D3047D" w:rsidRPr="002035DC">
        <w:rPr>
          <w:rFonts w:eastAsia="Arial Unicode MS"/>
          <w:w w:val="0"/>
        </w:rPr>
        <w:t xml:space="preserve">efeitos </w:t>
      </w:r>
      <w:r w:rsidR="007C4BC4">
        <w:rPr>
          <w:rFonts w:eastAsia="Arial Unicode MS"/>
          <w:w w:val="0"/>
        </w:rPr>
        <w:t xml:space="preserve">suspensos </w:t>
      </w:r>
      <w:r w:rsidR="00D3047D" w:rsidRPr="002035DC">
        <w:rPr>
          <w:rFonts w:eastAsia="Arial Unicode MS"/>
          <w:w w:val="0"/>
        </w:rPr>
        <w:t xml:space="preserve">pela interposição </w:t>
      </w:r>
      <w:r w:rsidR="007C4BC4" w:rsidRPr="002035DC">
        <w:rPr>
          <w:rFonts w:eastAsia="Arial Unicode MS"/>
          <w:w w:val="0"/>
        </w:rPr>
        <w:t>d</w:t>
      </w:r>
      <w:r w:rsidR="007C4BC4">
        <w:rPr>
          <w:rFonts w:eastAsia="Arial Unicode MS"/>
          <w:w w:val="0"/>
        </w:rPr>
        <w:t>os</w:t>
      </w:r>
      <w:r w:rsidR="007C4BC4" w:rsidRPr="002035DC">
        <w:rPr>
          <w:rFonts w:eastAsia="Arial Unicode MS"/>
          <w:w w:val="0"/>
        </w:rPr>
        <w:t xml:space="preserve"> </w:t>
      </w:r>
      <w:r w:rsidR="00D3047D" w:rsidRPr="002035DC">
        <w:rPr>
          <w:rFonts w:eastAsia="Arial Unicode MS"/>
          <w:w w:val="0"/>
        </w:rPr>
        <w:t>recursos cabíveis no prazo legal</w:t>
      </w:r>
      <w:r>
        <w:rPr>
          <w:rFonts w:eastAsia="Arial Unicode MS"/>
          <w:w w:val="0"/>
        </w:rPr>
        <w:t>;</w:t>
      </w:r>
      <w:r w:rsidR="00A63F95" w:rsidRPr="002035DC">
        <w:rPr>
          <w:rFonts w:eastAsia="Arial Unicode MS"/>
          <w:w w:val="0"/>
        </w:rPr>
        <w:t xml:space="preserve"> ou</w:t>
      </w:r>
      <w:r w:rsidR="00CC35C5" w:rsidRPr="002035DC">
        <w:rPr>
          <w:rFonts w:eastAsia="Arial Unicode MS"/>
          <w:w w:val="0"/>
        </w:rPr>
        <w:t xml:space="preserve"> </w:t>
      </w:r>
      <w:r>
        <w:rPr>
          <w:rFonts w:eastAsia="Arial Unicode MS"/>
          <w:w w:val="0"/>
        </w:rPr>
        <w:t>(b) </w:t>
      </w:r>
      <w:r w:rsidR="00A63F95" w:rsidRPr="002035DC">
        <w:rPr>
          <w:rFonts w:eastAsia="Arial Unicode MS"/>
          <w:w w:val="0"/>
        </w:rPr>
        <w:t>tenha sido cumprida</w:t>
      </w:r>
      <w:r w:rsidR="000947BC" w:rsidRPr="002035DC">
        <w:rPr>
          <w:rFonts w:eastAsia="Arial Unicode MS"/>
          <w:w w:val="0"/>
        </w:rPr>
        <w:t xml:space="preserve"> pela Emissora ou sua respectiva Controlada</w:t>
      </w:r>
      <w:r w:rsidR="00D3047D" w:rsidRPr="002035DC">
        <w:rPr>
          <w:rFonts w:eastAsia="Arial Unicode MS"/>
          <w:w w:val="0"/>
        </w:rPr>
        <w:t>;</w:t>
      </w:r>
      <w:r w:rsidR="000947BC" w:rsidRPr="000947BC">
        <w:rPr>
          <w:rFonts w:eastAsia="Arial Unicode MS" w:cs="Tahoma"/>
          <w:w w:val="0"/>
        </w:rPr>
        <w:t xml:space="preserve"> </w:t>
      </w:r>
      <w:r w:rsidR="000947BC">
        <w:rPr>
          <w:rFonts w:eastAsia="Arial Unicode MS" w:cs="Tahoma"/>
          <w:w w:val="0"/>
        </w:rPr>
        <w:t>[</w:t>
      </w:r>
      <w:r w:rsidR="000947BC" w:rsidRPr="006A7C91">
        <w:rPr>
          <w:rFonts w:eastAsia="Arial Unicode MS" w:cs="Tahoma"/>
          <w:b/>
          <w:w w:val="0"/>
          <w:highlight w:val="yellow"/>
        </w:rPr>
        <w:t>Nota LDR</w:t>
      </w:r>
      <w:r w:rsidR="000947BC" w:rsidRPr="006A7C91">
        <w:rPr>
          <w:rFonts w:eastAsia="Arial Unicode MS" w:cs="Tahoma"/>
          <w:w w:val="0"/>
          <w:highlight w:val="yellow"/>
        </w:rPr>
        <w:t xml:space="preserve">: </w:t>
      </w:r>
      <w:r w:rsidR="000947BC">
        <w:rPr>
          <w:rFonts w:eastAsia="Arial Unicode MS" w:cs="Tahoma"/>
          <w:w w:val="0"/>
          <w:highlight w:val="yellow"/>
        </w:rPr>
        <w:t>Item sob discussão e t</w:t>
      </w:r>
      <w:r w:rsidR="000947BC" w:rsidRPr="006A7C91">
        <w:rPr>
          <w:rFonts w:eastAsia="Arial Unicode MS" w:cs="Tahoma"/>
          <w:w w:val="0"/>
          <w:highlight w:val="yellow"/>
        </w:rPr>
        <w:t>hresholds sob análise dos Coordenadores</w:t>
      </w:r>
      <w:r w:rsidR="000947BC">
        <w:rPr>
          <w:rFonts w:eastAsia="Arial Unicode MS" w:cs="Tahoma"/>
          <w:w w:val="0"/>
        </w:rPr>
        <w:t>]</w:t>
      </w:r>
    </w:p>
    <w:p w:rsidR="00DE51AC" w:rsidRPr="00160570" w:rsidRDefault="00542C49" w:rsidP="00160570">
      <w:pPr>
        <w:pStyle w:val="roman3"/>
        <w:numPr>
          <w:ilvl w:val="0"/>
          <w:numId w:val="88"/>
        </w:numPr>
        <w:ind w:left="993" w:hanging="426"/>
        <w:rPr>
          <w:rFonts w:eastAsia="Arial Unicode MS" w:cs="Tahoma"/>
          <w:w w:val="0"/>
        </w:rPr>
      </w:pPr>
      <w:r>
        <w:rPr>
          <w:rFonts w:eastAsia="Arial Unicode MS" w:cs="Tahoma"/>
          <w:w w:val="0"/>
        </w:rPr>
        <w:t xml:space="preserve">existência </w:t>
      </w:r>
      <w:r w:rsidRPr="009410EB">
        <w:rPr>
          <w:rFonts w:eastAsia="Arial Unicode MS" w:cs="Tahoma"/>
          <w:w w:val="0"/>
        </w:rPr>
        <w:t xml:space="preserve">qualquer </w:t>
      </w:r>
      <w:r w:rsidR="00401775">
        <w:rPr>
          <w:rFonts w:eastAsia="Arial Unicode MS" w:cs="Tahoma"/>
          <w:w w:val="0"/>
        </w:rPr>
        <w:t xml:space="preserve">acórdão de segunda instância </w:t>
      </w:r>
      <w:r w:rsidRPr="003B69B3">
        <w:rPr>
          <w:rFonts w:eastAsia="Arial Unicode MS" w:cs="Tahoma"/>
          <w:w w:val="0"/>
        </w:rPr>
        <w:t xml:space="preserve">e/ou </w:t>
      </w:r>
      <w:r w:rsidR="002035DC">
        <w:rPr>
          <w:rFonts w:eastAsia="Arial Unicode MS" w:cs="Tahoma"/>
          <w:w w:val="0"/>
        </w:rPr>
        <w:t xml:space="preserve">decisão </w:t>
      </w:r>
      <w:r w:rsidRPr="003B69B3">
        <w:rPr>
          <w:rFonts w:eastAsia="Arial Unicode MS" w:cs="Tahoma"/>
          <w:w w:val="0"/>
        </w:rPr>
        <w:t>arbitral</w:t>
      </w:r>
      <w:r>
        <w:rPr>
          <w:rFonts w:cs="Tahoma"/>
        </w:rPr>
        <w:t xml:space="preserve">: </w:t>
      </w:r>
      <w:r w:rsidR="00A215D5" w:rsidRPr="002D15CA">
        <w:rPr>
          <w:rFonts w:cs="Tahoma"/>
        </w:rPr>
        <w:t>(</w:t>
      </w:r>
      <w:r w:rsidR="00A215D5">
        <w:rPr>
          <w:rFonts w:cs="Tahoma"/>
        </w:rPr>
        <w:t>1</w:t>
      </w:r>
      <w:r w:rsidR="00A215D5" w:rsidRPr="002D15CA">
        <w:rPr>
          <w:rFonts w:cs="Tahoma"/>
        </w:rPr>
        <w:t>) </w:t>
      </w:r>
      <w:r w:rsidR="00401775">
        <w:rPr>
          <w:rFonts w:cs="Tahoma"/>
        </w:rPr>
        <w:t>condenando a Emissora ou as Controladas por</w:t>
      </w:r>
      <w:r w:rsidR="00401775" w:rsidRPr="002D15CA" w:rsidDel="00401775">
        <w:rPr>
          <w:rFonts w:cs="Tahoma"/>
        </w:rPr>
        <w:t xml:space="preserve"> </w:t>
      </w:r>
      <w:r w:rsidR="00A215D5" w:rsidRPr="002D15CA">
        <w:rPr>
          <w:rFonts w:cs="Tahoma"/>
        </w:rPr>
        <w:t>danos ambientais, crimes ambientais, trabalho infantil ou análogo ao de escravo; ou (</w:t>
      </w:r>
      <w:r w:rsidR="00A215D5">
        <w:rPr>
          <w:rFonts w:cs="Tahoma"/>
        </w:rPr>
        <w:t>2</w:t>
      </w:r>
      <w:r w:rsidR="00A215D5" w:rsidRPr="002D15CA">
        <w:rPr>
          <w:rFonts w:cs="Tahoma"/>
        </w:rPr>
        <w:t xml:space="preserve">) que afete o Projeto </w:t>
      </w:r>
      <w:r w:rsidR="00830B10">
        <w:rPr>
          <w:rFonts w:cs="Tahoma"/>
        </w:rPr>
        <w:t xml:space="preserve">e </w:t>
      </w:r>
      <w:r w:rsidR="00D3047D">
        <w:rPr>
          <w:rFonts w:cs="Tahoma"/>
        </w:rPr>
        <w:t>possa resultar</w:t>
      </w:r>
      <w:r w:rsidR="00A215D5" w:rsidRPr="002D15CA">
        <w:rPr>
          <w:rFonts w:cs="Tahoma"/>
        </w:rPr>
        <w:t xml:space="preserve"> em um </w:t>
      </w:r>
      <w:r w:rsidR="00A215D5">
        <w:rPr>
          <w:rFonts w:cs="Tahoma"/>
        </w:rPr>
        <w:t>Efeito Adverso</w:t>
      </w:r>
      <w:r w:rsidR="00A215D5" w:rsidRPr="002D15CA">
        <w:rPr>
          <w:rFonts w:cs="Tahoma"/>
        </w:rPr>
        <w:t xml:space="preserve"> Relevante</w:t>
      </w:r>
      <w:r w:rsidR="00D3047D">
        <w:rPr>
          <w:rFonts w:cs="Tahoma"/>
        </w:rPr>
        <w:t>;</w:t>
      </w:r>
      <w:r w:rsidR="00A215D5" w:rsidRPr="00160570">
        <w:rPr>
          <w:rFonts w:cs="Tahoma"/>
        </w:rPr>
        <w:t xml:space="preserve"> </w:t>
      </w:r>
    </w:p>
    <w:p w:rsidR="00A46422" w:rsidRPr="00960BA0" w:rsidRDefault="006D2A7A" w:rsidP="00B85D15">
      <w:pPr>
        <w:pStyle w:val="roman3"/>
        <w:numPr>
          <w:ilvl w:val="0"/>
          <w:numId w:val="88"/>
        </w:numPr>
        <w:ind w:left="993" w:hanging="426"/>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rsidR="00A46422" w:rsidRPr="000E4ED3" w:rsidRDefault="00830B10" w:rsidP="00B85D15">
      <w:pPr>
        <w:pStyle w:val="roman3"/>
        <w:numPr>
          <w:ilvl w:val="0"/>
          <w:numId w:val="88"/>
        </w:numPr>
        <w:ind w:left="993" w:hanging="426"/>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rsidR="007168E6" w:rsidRPr="007168E6" w:rsidRDefault="007168E6" w:rsidP="00B85D15">
      <w:pPr>
        <w:pStyle w:val="roman3"/>
        <w:numPr>
          <w:ilvl w:val="0"/>
          <w:numId w:val="88"/>
        </w:numPr>
        <w:ind w:left="993" w:hanging="426"/>
        <w:rPr>
          <w:w w:val="0"/>
          <w:lang w:eastAsia="pt-BR"/>
        </w:rPr>
      </w:pPr>
      <w:bookmarkStart w:id="228"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r w:rsidR="00830B10">
        <w:rPr>
          <w:w w:val="0"/>
          <w:lang w:eastAsia="pt-BR"/>
        </w:rPr>
        <w:t xml:space="preserve"> [</w:t>
      </w:r>
      <w:r w:rsidR="00830B10" w:rsidRPr="00C762A0">
        <w:rPr>
          <w:b/>
          <w:w w:val="0"/>
          <w:highlight w:val="yellow"/>
          <w:lang w:eastAsia="pt-BR"/>
        </w:rPr>
        <w:t>Nota MF</w:t>
      </w:r>
      <w:r w:rsidR="00830B10" w:rsidRPr="00C762A0">
        <w:rPr>
          <w:w w:val="0"/>
          <w:highlight w:val="yellow"/>
          <w:lang w:eastAsia="pt-BR"/>
        </w:rPr>
        <w:t>: Cláusula sujeita a revisões adicionais da companhia</w:t>
      </w:r>
      <w:r w:rsidR="00830B10">
        <w:rPr>
          <w:w w:val="0"/>
          <w:lang w:eastAsia="pt-BR"/>
        </w:rPr>
        <w:t>]</w:t>
      </w:r>
    </w:p>
    <w:tbl>
      <w:tblPr>
        <w:tblStyle w:val="Tabelacomgrade"/>
        <w:tblW w:w="0" w:type="auto"/>
        <w:tblInd w:w="2473" w:type="dxa"/>
        <w:tblLook w:val="04A0" w:firstRow="1" w:lastRow="0" w:firstColumn="1" w:lastColumn="0" w:noHBand="0" w:noVBand="1"/>
      </w:tblPr>
      <w:tblGrid>
        <w:gridCol w:w="2692"/>
        <w:gridCol w:w="2978"/>
      </w:tblGrid>
      <w:tr w:rsidR="007168E6" w:rsidTr="00D61FD1">
        <w:tc>
          <w:tcPr>
            <w:tcW w:w="2692" w:type="dxa"/>
            <w:shd w:val="clear" w:color="auto" w:fill="D9D9D9" w:themeFill="background1" w:themeFillShade="D9"/>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Período</w:t>
            </w:r>
          </w:p>
        </w:tc>
        <w:tc>
          <w:tcPr>
            <w:tcW w:w="2978" w:type="dxa"/>
            <w:shd w:val="clear" w:color="auto" w:fill="D9D9D9" w:themeFill="background1" w:themeFillShade="D9"/>
            <w:vAlign w:val="center"/>
          </w:tcPr>
          <w:p w:rsidR="007168E6" w:rsidRDefault="007168E6" w:rsidP="005302FC">
            <w:pPr>
              <w:tabs>
                <w:tab w:val="left" w:pos="851"/>
              </w:tabs>
              <w:spacing w:after="140" w:line="290" w:lineRule="auto"/>
              <w:jc w:val="center"/>
              <w:rPr>
                <w:rFonts w:cs="Tahoma"/>
                <w:w w:val="0"/>
                <w:szCs w:val="20"/>
                <w:lang w:eastAsia="pt-BR"/>
              </w:rPr>
            </w:pPr>
            <w:r w:rsidRPr="00D234B2">
              <w:rPr>
                <w:rFonts w:cs="Tahoma"/>
                <w:w w:val="0"/>
                <w:szCs w:val="20"/>
                <w:lang w:eastAsia="pt-BR"/>
              </w:rPr>
              <w:t>Dívida Líquida / EBITDA</w:t>
            </w:r>
          </w:p>
        </w:tc>
      </w:tr>
      <w:tr w:rsidR="007168E6" w:rsidTr="00C64FB3">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978" w:type="dxa"/>
            <w:vAlign w:val="center"/>
          </w:tcPr>
          <w:p w:rsidR="007168E6" w:rsidRDefault="00992EAF"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rsidTr="00C64FB3">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978" w:type="dxa"/>
            <w:vAlign w:val="center"/>
          </w:tcPr>
          <w:p w:rsidR="007168E6" w:rsidRDefault="007168E6" w:rsidP="005302FC">
            <w:pPr>
              <w:tabs>
                <w:tab w:val="left" w:pos="851"/>
              </w:tabs>
              <w:spacing w:after="140" w:line="290" w:lineRule="auto"/>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rsidTr="00D61FD1">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3º trimestre de 2023</w:t>
            </w:r>
          </w:p>
        </w:tc>
        <w:tc>
          <w:tcPr>
            <w:tcW w:w="2978" w:type="dxa"/>
            <w:vAlign w:val="center"/>
          </w:tcPr>
          <w:p w:rsidR="007168E6" w:rsidRDefault="007168E6"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rsidTr="00D61FD1">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4º trimestre de 2023</w:t>
            </w:r>
          </w:p>
        </w:tc>
        <w:tc>
          <w:tcPr>
            <w:tcW w:w="2978" w:type="dxa"/>
            <w:vAlign w:val="center"/>
          </w:tcPr>
          <w:p w:rsidR="007168E6" w:rsidRPr="00D234B2" w:rsidRDefault="001B0735"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rsidTr="00D61FD1">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1º trimestre de 2024</w:t>
            </w:r>
          </w:p>
        </w:tc>
        <w:tc>
          <w:tcPr>
            <w:tcW w:w="2978" w:type="dxa"/>
            <w:vAlign w:val="center"/>
          </w:tcPr>
          <w:p w:rsidR="007168E6" w:rsidRPr="00D234B2"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rsidTr="00C64FB3">
        <w:tc>
          <w:tcPr>
            <w:tcW w:w="2692"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lastRenderedPageBreak/>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978"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4,75x</w:t>
            </w:r>
          </w:p>
        </w:tc>
      </w:tr>
      <w:tr w:rsidR="006D2A7A" w:rsidTr="00D61FD1">
        <w:tc>
          <w:tcPr>
            <w:tcW w:w="2692"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978"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4,50x</w:t>
            </w:r>
          </w:p>
        </w:tc>
      </w:tr>
      <w:tr w:rsidR="006D2A7A" w:rsidTr="00C64FB3">
        <w:tc>
          <w:tcPr>
            <w:tcW w:w="2692"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2º trimestre de 2025 até a Data de Vencimento </w:t>
            </w:r>
          </w:p>
        </w:tc>
        <w:tc>
          <w:tcPr>
            <w:tcW w:w="2978"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4,25x</w:t>
            </w:r>
          </w:p>
        </w:tc>
      </w:tr>
    </w:tbl>
    <w:p w:rsidR="00BC4D52" w:rsidRDefault="00BC4D52" w:rsidP="005302FC">
      <w:pPr>
        <w:pStyle w:val="roman3"/>
        <w:ind w:left="1247"/>
        <w:rPr>
          <w:w w:val="0"/>
          <w:lang w:eastAsia="pt-BR"/>
        </w:rPr>
      </w:pPr>
    </w:p>
    <w:p w:rsidR="00103A9D" w:rsidRDefault="00F86670" w:rsidP="00C762A0">
      <w:pPr>
        <w:pStyle w:val="roman3"/>
        <w:numPr>
          <w:ilvl w:val="0"/>
          <w:numId w:val="88"/>
        </w:numPr>
        <w:ind w:left="993" w:hanging="426"/>
        <w:rPr>
          <w:rFonts w:cs="Tahoma"/>
        </w:rPr>
      </w:pPr>
      <w:r>
        <w:rPr>
          <w:rFonts w:cs="Tahoma"/>
        </w:rPr>
        <w:t>c</w:t>
      </w:r>
      <w:r w:rsidR="0056110F">
        <w:rPr>
          <w:rFonts w:cs="Tahoma"/>
        </w:rPr>
        <w:t xml:space="preserve">aso a Emissora não mantenha </w:t>
      </w:r>
      <w:r>
        <w:rPr>
          <w:rFonts w:cs="Tahoma"/>
        </w:rPr>
        <w:t>o ICSD Mínimo</w:t>
      </w:r>
      <w:r w:rsidR="0056110F">
        <w:rPr>
          <w:rFonts w:cs="Tahoma"/>
        </w:rPr>
        <w:t xml:space="preserve"> durante o período da Emissão e até o pagamento integral das Obrigações Garantidas, exceto no caso em que </w:t>
      </w:r>
      <w:r>
        <w:rPr>
          <w:rFonts w:cs="Tahoma"/>
        </w:rPr>
        <w:t>a Emissora atinja o ICSD Gatilho</w:t>
      </w:r>
      <w:r w:rsidR="00732EA8">
        <w:rPr>
          <w:rFonts w:cs="Tahoma"/>
        </w:rPr>
        <w:t xml:space="preserve"> e </w:t>
      </w:r>
      <w:r w:rsidR="00C762A0">
        <w:rPr>
          <w:rFonts w:cs="Tahoma"/>
        </w:rPr>
        <w:t xml:space="preserve">apresente </w:t>
      </w:r>
      <w:r w:rsidR="00732EA8">
        <w:rPr>
          <w:rFonts w:cs="Tahoma"/>
        </w:rPr>
        <w:t>a Carta de Fiança ICSD</w:t>
      </w:r>
      <w:r>
        <w:rPr>
          <w:rFonts w:cs="Tahoma"/>
        </w:rPr>
        <w:t>,</w:t>
      </w:r>
      <w:r w:rsidR="00732EA8">
        <w:rPr>
          <w:rFonts w:cs="Tahoma"/>
        </w:rPr>
        <w:t xml:space="preserve"> nos termos desta Escritura de Emissão</w:t>
      </w:r>
      <w:r>
        <w:rPr>
          <w:rFonts w:cs="Tahoma"/>
        </w:rPr>
        <w:t>;</w:t>
      </w:r>
    </w:p>
    <w:bookmarkEnd w:id="228"/>
    <w:p w:rsidR="00086738" w:rsidRPr="007B35AA" w:rsidRDefault="00086738" w:rsidP="00B85D15">
      <w:pPr>
        <w:pStyle w:val="xxxxmsonormal"/>
        <w:spacing w:line="290" w:lineRule="auto"/>
        <w:ind w:left="993" w:hanging="426"/>
      </w:pPr>
    </w:p>
    <w:p w:rsidR="00E572C7" w:rsidRPr="00B85D15" w:rsidRDefault="00E572C7" w:rsidP="00B85D15">
      <w:pPr>
        <w:pStyle w:val="roman3"/>
        <w:numPr>
          <w:ilvl w:val="0"/>
          <w:numId w:val="88"/>
        </w:numPr>
        <w:ind w:left="993" w:hanging="426"/>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rsidR="00126ADA" w:rsidRDefault="00126ADA" w:rsidP="005302FC">
      <w:pPr>
        <w:pStyle w:val="roman3"/>
        <w:numPr>
          <w:ilvl w:val="0"/>
          <w:numId w:val="88"/>
        </w:numPr>
        <w:ind w:left="993" w:hanging="426"/>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rsidR="009F2841" w:rsidRDefault="009F2841" w:rsidP="00B85D15">
      <w:pPr>
        <w:pStyle w:val="roman3"/>
        <w:numPr>
          <w:ilvl w:val="0"/>
          <w:numId w:val="88"/>
        </w:numPr>
        <w:ind w:left="993" w:hanging="426"/>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rsidR="000E602A" w:rsidRPr="009F2841" w:rsidRDefault="000E602A" w:rsidP="00B85D15">
      <w:pPr>
        <w:pStyle w:val="roman3"/>
        <w:numPr>
          <w:ilvl w:val="0"/>
          <w:numId w:val="88"/>
        </w:numPr>
        <w:ind w:left="993" w:hanging="426"/>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rsidR="00971B50" w:rsidRPr="00D61FD1" w:rsidRDefault="000E602A" w:rsidP="00B85D15">
      <w:pPr>
        <w:pStyle w:val="roman3"/>
        <w:numPr>
          <w:ilvl w:val="0"/>
          <w:numId w:val="88"/>
        </w:numPr>
        <w:ind w:left="993" w:hanging="426"/>
        <w:rPr>
          <w:rFonts w:cs="Tahoma"/>
        </w:rPr>
      </w:pPr>
      <w:r w:rsidRPr="000D45EC">
        <w:rPr>
          <w:rFonts w:eastAsia="Arial Unicode MS" w:cs="Tahoma"/>
          <w:w w:val="0"/>
        </w:rPr>
        <w:lastRenderedPageBreak/>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9F2841" w:rsidRPr="009F2841">
        <w:rPr>
          <w:rFonts w:cs="Tahoma"/>
        </w:rPr>
        <w:t xml:space="preserve"> </w:t>
      </w:r>
      <w:r w:rsidR="009F2841">
        <w:rPr>
          <w:rFonts w:cs="Tahoma"/>
        </w:rPr>
        <w:t xml:space="preserve">e 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rsidR="00971B50" w:rsidRPr="000E4ED3" w:rsidRDefault="00971B50" w:rsidP="00B85D15">
      <w:pPr>
        <w:pStyle w:val="roman3"/>
        <w:numPr>
          <w:ilvl w:val="0"/>
          <w:numId w:val="88"/>
        </w:numPr>
        <w:ind w:left="993" w:hanging="426"/>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05020">
        <w:t>ou (ii)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rsidR="000E602A" w:rsidRPr="00B85D15" w:rsidRDefault="00971B50" w:rsidP="00B85D15">
      <w:pPr>
        <w:pStyle w:val="roman3"/>
        <w:numPr>
          <w:ilvl w:val="0"/>
          <w:numId w:val="88"/>
        </w:numPr>
        <w:ind w:left="993" w:hanging="426"/>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rsidR="00B32009" w:rsidRPr="00186EB2" w:rsidRDefault="00E006CD" w:rsidP="00B85D15">
      <w:pPr>
        <w:pStyle w:val="roman3"/>
        <w:numPr>
          <w:ilvl w:val="0"/>
          <w:numId w:val="88"/>
        </w:numPr>
        <w:ind w:left="993" w:hanging="426"/>
        <w:rPr>
          <w:rFonts w:cs="Tahoma"/>
        </w:rPr>
      </w:pPr>
      <w:r w:rsidRPr="00722C76">
        <w:rPr>
          <w:rFonts w:eastAsia="Arial Unicode MS" w:cs="Tahoma"/>
          <w:w w:val="0"/>
        </w:rPr>
        <w:t xml:space="preserve">cisão, fusão ou incorporação </w:t>
      </w:r>
      <w:r>
        <w:rPr>
          <w:rFonts w:eastAsia="Arial Unicode MS" w:cs="Tahoma"/>
          <w:w w:val="0"/>
        </w:rPr>
        <w:t xml:space="preserve">(na qual </w:t>
      </w:r>
      <w:r w:rsidR="00F73FB3">
        <w:rPr>
          <w:rFonts w:eastAsia="Arial Unicode MS" w:cs="Tahoma"/>
          <w:w w:val="0"/>
        </w:rPr>
        <w:t>uma</w:t>
      </w:r>
      <w:r>
        <w:rPr>
          <w:rFonts w:eastAsia="Arial Unicode MS" w:cs="Tahoma"/>
          <w:w w:val="0"/>
        </w:rPr>
        <w:t xml:space="preserve"> </w:t>
      </w:r>
      <w:r w:rsidR="00705EA2">
        <w:rPr>
          <w:rFonts w:eastAsia="Arial Unicode MS" w:cs="Tahoma"/>
          <w:w w:val="0"/>
        </w:rPr>
        <w:t xml:space="preserve">Controlada Relevante </w:t>
      </w:r>
      <w:r>
        <w:rPr>
          <w:rFonts w:eastAsia="Arial Unicode MS" w:cs="Tahoma"/>
          <w:w w:val="0"/>
        </w:rPr>
        <w:t xml:space="preserve">é incorporada) ou incorporação de </w:t>
      </w:r>
      <w:r w:rsidRPr="00722C76">
        <w:rPr>
          <w:rFonts w:eastAsia="Arial Unicode MS" w:cs="Tahoma"/>
          <w:w w:val="0"/>
        </w:rPr>
        <w:t xml:space="preserve">ações </w:t>
      </w:r>
      <w:r>
        <w:rPr>
          <w:rFonts w:eastAsia="Arial Unicode MS" w:cs="Tahoma"/>
          <w:w w:val="0"/>
        </w:rPr>
        <w:t>das Controladas</w:t>
      </w:r>
      <w:r w:rsidR="00C64FB3">
        <w:rPr>
          <w:rFonts w:eastAsia="Arial Unicode MS" w:cs="Tahoma"/>
          <w:w w:val="0"/>
        </w:rPr>
        <w:t xml:space="preserve"> Relevantes</w:t>
      </w:r>
      <w:r w:rsidR="00D321BA">
        <w:rPr>
          <w:rFonts w:eastAsia="Arial Unicode MS" w:cs="Tahoma"/>
          <w:w w:val="0"/>
        </w:rPr>
        <w:t xml:space="preserve">, </w:t>
      </w:r>
      <w:r w:rsidRPr="00722C76">
        <w:rPr>
          <w:rFonts w:eastAsia="Arial Unicode MS" w:cs="Tahoma"/>
          <w:w w:val="0"/>
        </w:rPr>
        <w:t>nos termos do artigo 252 da Lei das Sociedades por Ações</w:t>
      </w:r>
      <w:r w:rsidR="00D321BA">
        <w:rPr>
          <w:rFonts w:eastAsia="Arial Unicode MS" w:cs="Tahoma"/>
          <w:w w:val="0"/>
        </w:rPr>
        <w:t xml:space="preserve"> e</w:t>
      </w:r>
      <w:r w:rsidRPr="00722C76">
        <w:rPr>
          <w:rFonts w:eastAsia="Arial Unicode MS" w:cs="Tahoma"/>
          <w:w w:val="0"/>
        </w:rPr>
        <w:t xml:space="preserve"> </w:t>
      </w:r>
      <w:r w:rsidR="00B32009">
        <w:rPr>
          <w:rFonts w:eastAsia="Arial Unicode MS" w:cs="Tahoma"/>
          <w:w w:val="0"/>
        </w:rPr>
        <w:t xml:space="preserve">seguindo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 xml:space="preserve">exceto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3A76F4">
        <w:rPr>
          <w:rFonts w:eastAsia="Arial Unicode MS" w:cs="Tahoma"/>
          <w:w w:val="0"/>
        </w:rPr>
        <w:t xml:space="preserve">, </w:t>
      </w:r>
      <w:r w:rsidR="003A76F4" w:rsidRPr="00186EB2">
        <w:rPr>
          <w:rFonts w:eastAsia="Arial Unicode MS" w:cs="Tahoma"/>
          <w:w w:val="0"/>
        </w:rPr>
        <w:t>exceto em operações de emissão de ações preferenciais resgatáveis que tenham como consequência a redução do endividamento da respectiva Controlada</w:t>
      </w:r>
      <w:r w:rsidR="00B32009" w:rsidRPr="00186EB2">
        <w:rPr>
          <w:rFonts w:eastAsia="Arial Unicode MS" w:cs="Tahoma"/>
          <w:w w:val="0"/>
        </w:rPr>
        <w:t>;</w:t>
      </w:r>
      <w:r w:rsidR="00BC30C0" w:rsidRPr="00186EB2">
        <w:rPr>
          <w:rFonts w:eastAsia="Arial Unicode MS" w:cs="Tahoma"/>
          <w:w w:val="0"/>
        </w:rPr>
        <w:t xml:space="preserve"> </w:t>
      </w:r>
    </w:p>
    <w:p w:rsidR="00C27F71" w:rsidRDefault="00B32009" w:rsidP="007D7AD4">
      <w:pPr>
        <w:pStyle w:val="roman3"/>
        <w:numPr>
          <w:ilvl w:val="0"/>
          <w:numId w:val="88"/>
        </w:numPr>
        <w:ind w:left="993" w:hanging="426"/>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realize a alienação, direta ou </w:t>
      </w:r>
      <w:r w:rsidRPr="00B32009">
        <w:rPr>
          <w:rFonts w:eastAsia="Arial Unicode MS" w:cs="Tahoma"/>
          <w:w w:val="0"/>
        </w:rPr>
        <w:t>indireta, de quaisquer de suas subsidiárias que representem mais do que 1</w:t>
      </w:r>
      <w:r w:rsidR="00285B13">
        <w:rPr>
          <w:rFonts w:eastAsia="Arial Unicode MS" w:cs="Tahoma"/>
          <w:w w:val="0"/>
        </w:rPr>
        <w:t>5</w:t>
      </w:r>
      <w:r w:rsidRPr="00B32009">
        <w:rPr>
          <w:rFonts w:eastAsia="Arial Unicode MS" w:cs="Tahoma"/>
          <w:w w:val="0"/>
        </w:rPr>
        <w:t xml:space="preserve">% </w:t>
      </w:r>
      <w:r w:rsidR="00285B13">
        <w:rPr>
          <w:rFonts w:eastAsia="Arial Unicode MS" w:cs="Tahoma"/>
          <w:w w:val="0"/>
        </w:rPr>
        <w:t xml:space="preserve">(quinze por cento) </w:t>
      </w:r>
      <w:r w:rsidRPr="00B32009">
        <w:rPr>
          <w:rFonts w:eastAsia="Arial Unicode MS" w:cs="Tahoma"/>
          <w:w w:val="0"/>
        </w:rPr>
        <w:t>do se</w:t>
      </w:r>
      <w:r w:rsidR="00285B13">
        <w:rPr>
          <w:rFonts w:eastAsia="Arial Unicode MS" w:cs="Tahoma"/>
          <w:w w:val="0"/>
        </w:rPr>
        <w:t>u</w:t>
      </w:r>
      <w:r>
        <w:rPr>
          <w:rFonts w:eastAsia="Arial Unicode MS" w:cs="Tahoma"/>
          <w:w w:val="0"/>
        </w:rPr>
        <w:t xml:space="preserve"> </w:t>
      </w:r>
      <w:r w:rsidRPr="00B32009">
        <w:rPr>
          <w:rFonts w:eastAsia="Arial Unicode MS" w:cs="Tahoma"/>
          <w:w w:val="0"/>
        </w:rPr>
        <w:t xml:space="preserve">EBITDA </w:t>
      </w:r>
      <w:r w:rsidR="00285B13">
        <w:rPr>
          <w:rFonts w:eastAsia="Arial Unicode MS" w:cs="Tahoma"/>
          <w:w w:val="0"/>
        </w:rPr>
        <w:t xml:space="preserve">individual ou </w:t>
      </w:r>
      <w:r w:rsidRPr="00B32009">
        <w:rPr>
          <w:rFonts w:eastAsia="Arial Unicode MS" w:cs="Tahoma"/>
          <w:w w:val="0"/>
        </w:rPr>
        <w:t>consolidado;</w:t>
      </w:r>
      <w:r w:rsidR="00285B13">
        <w:rPr>
          <w:rFonts w:eastAsia="Arial Unicode MS" w:cs="Tahoma"/>
          <w:w w:val="0"/>
        </w:rPr>
        <w:t xml:space="preserve"> e</w:t>
      </w:r>
    </w:p>
    <w:p w:rsidR="00C27F71" w:rsidRDefault="00C27F71" w:rsidP="007D7AD4">
      <w:pPr>
        <w:pStyle w:val="roman3"/>
        <w:numPr>
          <w:ilvl w:val="0"/>
          <w:numId w:val="88"/>
        </w:numPr>
        <w:ind w:left="993" w:hanging="426"/>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 xml:space="preserve">ônus sobre dividendos de </w:t>
      </w:r>
      <w:r w:rsidR="00DD4E1B">
        <w:rPr>
          <w:rFonts w:eastAsia="Arial Unicode MS" w:cs="Tahoma"/>
          <w:w w:val="0"/>
        </w:rPr>
        <w:lastRenderedPageBreak/>
        <w:t>Controladas que sejam adquiridas pela Emissora e que correspondam a ônus pré-existentes ao tempo da aquisição da respectiva Controlada</w:t>
      </w:r>
      <w:r w:rsidR="00BC30C0">
        <w:rPr>
          <w:rFonts w:eastAsia="Arial Unicode MS" w:cs="Tahoma"/>
          <w:w w:val="0"/>
        </w:rPr>
        <w:t>.</w:t>
      </w:r>
    </w:p>
    <w:p w:rsidR="00DD716F" w:rsidRPr="00960BA0" w:rsidRDefault="00DD716F" w:rsidP="005302FC">
      <w:pPr>
        <w:pStyle w:val="Level2"/>
        <w:numPr>
          <w:ilvl w:val="1"/>
          <w:numId w:val="6"/>
        </w:numPr>
        <w:rPr>
          <w:rFonts w:cs="Tahoma"/>
        </w:rPr>
      </w:pPr>
      <w:bookmarkStart w:id="229" w:name="_BPDC_LN_INS_1148"/>
      <w:bookmarkStart w:id="230" w:name="_BPDC_PR_INS_1149"/>
      <w:bookmarkStart w:id="231" w:name="_Ref370978155"/>
      <w:bookmarkEnd w:id="229"/>
      <w:bookmarkEnd w:id="230"/>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1"/>
    </w:p>
    <w:p w:rsidR="0060714A" w:rsidRDefault="0060714A" w:rsidP="005302FC">
      <w:pPr>
        <w:pStyle w:val="Level2"/>
        <w:numPr>
          <w:ilvl w:val="1"/>
          <w:numId w:val="6"/>
        </w:numPr>
        <w:rPr>
          <w:rFonts w:cs="Tahoma"/>
        </w:rPr>
      </w:pPr>
      <w:bookmarkStart w:id="232" w:name="_BPDC_LN_INS_1146"/>
      <w:bookmarkStart w:id="233" w:name="_BPDC_PR_INS_1147"/>
      <w:bookmarkEnd w:id="232"/>
      <w:bookmarkEnd w:id="233"/>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 </w:t>
      </w:r>
      <w:r>
        <w:rPr>
          <w:rFonts w:cs="Tahoma"/>
          <w:bCs/>
        </w:rPr>
        <w:t>Caso</w:t>
      </w:r>
      <w:r w:rsidRPr="00B530E1">
        <w:rPr>
          <w:rFonts w:cs="Tahoma"/>
          <w:bCs/>
        </w:rPr>
        <w:t xml:space="preserve"> a referida Assembleia Geral de Debenturistas</w:t>
      </w:r>
      <w:r>
        <w:rPr>
          <w:rFonts w:cs="Tahoma"/>
        </w:rPr>
        <w:t>:</w:t>
      </w:r>
    </w:p>
    <w:p w:rsidR="0060714A" w:rsidRDefault="0060714A" w:rsidP="005302FC">
      <w:pPr>
        <w:pStyle w:val="Level1"/>
        <w:numPr>
          <w:ilvl w:val="0"/>
          <w:numId w:val="85"/>
        </w:numPr>
        <w:rPr>
          <w:rFonts w:cstheme="minorHAnsi"/>
        </w:rPr>
      </w:pPr>
      <w:r w:rsidRPr="007632D4">
        <w:rPr>
          <w:rFonts w:cstheme="minorHAnsi"/>
        </w:rPr>
        <w:t>tiver sido instalada</w:t>
      </w:r>
      <w:r>
        <w:rPr>
          <w:rFonts w:cstheme="minorHAnsi"/>
        </w:rPr>
        <w:t>,</w:t>
      </w:r>
      <w:r w:rsidRPr="007632D4">
        <w:rPr>
          <w:rFonts w:cstheme="minorHAnsi"/>
        </w:rPr>
        <w:t xml:space="preserve"> em primeira ou em segunda convocação, e Debenturistas representando, no mínimo, a maioria das Debêntures presentes à Assembleia Geral de Debenturistas, desde que tal maioria represente, no mínimo, </w:t>
      </w:r>
      <w:r w:rsidR="00C27F71">
        <w:rPr>
          <w:rFonts w:cstheme="minorHAnsi"/>
        </w:rPr>
        <w:t>15</w:t>
      </w:r>
      <w:r w:rsidRPr="007632D4">
        <w:rPr>
          <w:rFonts w:cstheme="minorHAnsi"/>
        </w:rPr>
        <w:t>% (</w:t>
      </w:r>
      <w:r w:rsidR="00C27F71">
        <w:rPr>
          <w:rFonts w:cstheme="minorHAnsi"/>
        </w:rPr>
        <w:t>quinze</w:t>
      </w:r>
      <w:r w:rsidRPr="007632D4">
        <w:rPr>
          <w:rFonts w:cstheme="minorHAnsi"/>
        </w:rPr>
        <w:t xml:space="preserve"> por cento) das Debêntures em Circulação, decidirem por declarar o vencimento antecipado das obrigações decorrentes das Debêntures, o Agente Fiduciário deverá declarar o vencimento antecipado das obrigações decorrentes das Debêntures</w:t>
      </w:r>
      <w:r>
        <w:rPr>
          <w:rFonts w:cstheme="minorHAnsi"/>
        </w:rPr>
        <w:t>; ou</w:t>
      </w:r>
      <w:r w:rsidR="00BC30C0">
        <w:rPr>
          <w:rFonts w:cstheme="minorHAnsi"/>
        </w:rPr>
        <w:t xml:space="preserve"> </w:t>
      </w:r>
    </w:p>
    <w:p w:rsidR="00332FFC" w:rsidRPr="00960BA0" w:rsidRDefault="0060714A" w:rsidP="005302FC">
      <w:pPr>
        <w:pStyle w:val="Level1"/>
        <w:numPr>
          <w:ilvl w:val="0"/>
          <w:numId w:val="85"/>
        </w:numPr>
      </w:pPr>
      <w:r w:rsidRPr="007632D4">
        <w:rPr>
          <w:rFonts w:cstheme="minorHAnsi"/>
        </w:rPr>
        <w:t>não tiver sido instalada em primeira e em segunda convocações, o Agente Fiduciário deverá, imediatamente, declarar o não vencimento antecipado das obrigações decorrentes das Debêntures</w:t>
      </w:r>
      <w:r>
        <w:rPr>
          <w:rFonts w:cstheme="minorHAnsi"/>
        </w:rPr>
        <w:t>.</w:t>
      </w:r>
    </w:p>
    <w:p w:rsidR="00260C67" w:rsidRPr="00BE5F05" w:rsidRDefault="00DD716F" w:rsidP="005302FC">
      <w:pPr>
        <w:pStyle w:val="Level2"/>
        <w:rPr>
          <w:rFonts w:cs="Tahoma"/>
        </w:rPr>
      </w:pPr>
      <w:bookmarkStart w:id="234" w:name="_BPDC_LN_INS_1144"/>
      <w:bookmarkStart w:id="235" w:name="_BPDC_PR_INS_1145"/>
      <w:bookmarkStart w:id="236" w:name="_BPDC_LN_INS_1142"/>
      <w:bookmarkStart w:id="237" w:name="_BPDC_PR_INS_1143"/>
      <w:bookmarkStart w:id="238" w:name="_BPDC_LN_INS_1140"/>
      <w:bookmarkStart w:id="239" w:name="_BPDC_PR_INS_1141"/>
      <w:bookmarkStart w:id="240" w:name="_Ref322620259"/>
      <w:bookmarkEnd w:id="234"/>
      <w:bookmarkEnd w:id="235"/>
      <w:bookmarkEnd w:id="236"/>
      <w:bookmarkEnd w:id="237"/>
      <w:bookmarkEnd w:id="238"/>
      <w:bookmarkEnd w:id="239"/>
      <w:r w:rsidRPr="00960BA0">
        <w:rPr>
          <w:rFonts w:cs="Tahoma"/>
        </w:rPr>
        <w:t>Em caso de vencimento antecipado das Debêntures</w:t>
      </w:r>
      <w:bookmarkEnd w:id="240"/>
      <w:r w:rsidRPr="00960BA0">
        <w:rPr>
          <w:rFonts w:cs="Tahoma"/>
        </w:rPr>
        <w:t xml:space="preserve">, a Emissora </w:t>
      </w:r>
      <w:r w:rsidR="00C02073">
        <w:rPr>
          <w:rFonts w:cs="Tahoma"/>
        </w:rPr>
        <w:t>obriga</w:t>
      </w:r>
      <w:r w:rsidRPr="00960BA0">
        <w:rPr>
          <w:rFonts w:cs="Tahoma"/>
        </w:rPr>
        <w:t>-se a realizar o pagamento do Valor Nominal Unitário</w:t>
      </w:r>
      <w:r w:rsidR="00970C39">
        <w:rPr>
          <w:rFonts w:cs="Tahoma"/>
        </w:rPr>
        <w:t xml:space="preserve"> ou saldo do Valor Nominal Unitário</w:t>
      </w:r>
      <w:r w:rsidRPr="00960BA0">
        <w:rPr>
          <w:rFonts w:cs="Tahoma"/>
        </w:rPr>
        <w:t xml:space="preserve"> 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rsidR="00DD716F" w:rsidRPr="00960BA0" w:rsidRDefault="00DD716F" w:rsidP="005302FC">
      <w:pPr>
        <w:pStyle w:val="Level2"/>
        <w:numPr>
          <w:ilvl w:val="1"/>
          <w:numId w:val="6"/>
        </w:numPr>
        <w:rPr>
          <w:rFonts w:cs="Tahoma"/>
        </w:rPr>
      </w:pPr>
      <w:bookmarkStart w:id="241" w:name="_BPDC_LN_INS_1138"/>
      <w:bookmarkStart w:id="242" w:name="_BPDC_PR_INS_1139"/>
      <w:bookmarkEnd w:id="241"/>
      <w:bookmarkEnd w:id="242"/>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rsidR="00DD716F" w:rsidRPr="006A509E" w:rsidRDefault="006A509E" w:rsidP="005302FC">
      <w:pPr>
        <w:pStyle w:val="Level1"/>
        <w:numPr>
          <w:ilvl w:val="0"/>
          <w:numId w:val="6"/>
        </w:numPr>
        <w:rPr>
          <w:rFonts w:cs="Tahoma"/>
          <w:b/>
        </w:rPr>
      </w:pPr>
      <w:bookmarkStart w:id="243" w:name="_BPDC_LN_INS_1136"/>
      <w:bookmarkStart w:id="244" w:name="_BPDC_PR_INS_1137"/>
      <w:bookmarkStart w:id="245" w:name="_DV_M268"/>
      <w:bookmarkStart w:id="246" w:name="_DV_M301"/>
      <w:bookmarkStart w:id="247" w:name="_Toc261004489"/>
      <w:bookmarkEnd w:id="221"/>
      <w:bookmarkEnd w:id="243"/>
      <w:bookmarkEnd w:id="244"/>
      <w:bookmarkEnd w:id="245"/>
      <w:bookmarkEnd w:id="246"/>
      <w:r w:rsidRPr="006A509E">
        <w:rPr>
          <w:rFonts w:cs="Tahoma"/>
          <w:b/>
        </w:rPr>
        <w:t>OBRIGAÇÕES ADICIONAIS DA EMISSORA</w:t>
      </w:r>
      <w:bookmarkEnd w:id="247"/>
    </w:p>
    <w:p w:rsidR="00DD716F" w:rsidRPr="00960BA0" w:rsidRDefault="00DD716F" w:rsidP="005302FC">
      <w:pPr>
        <w:pStyle w:val="Level2"/>
        <w:numPr>
          <w:ilvl w:val="1"/>
          <w:numId w:val="6"/>
        </w:numPr>
        <w:rPr>
          <w:rFonts w:cs="Tahoma"/>
          <w:b/>
        </w:rPr>
      </w:pPr>
      <w:bookmarkStart w:id="248" w:name="_Ref20851522"/>
      <w:r w:rsidRPr="00960BA0">
        <w:rPr>
          <w:rFonts w:cs="Tahoma"/>
        </w:rPr>
        <w:t xml:space="preserve">Sem prejuízo das demais obrigações previstas nesta Escritura de Emissão, </w:t>
      </w:r>
      <w:bookmarkStart w:id="249" w:name="_DV_M188"/>
      <w:bookmarkStart w:id="250" w:name="_Ref322620931"/>
      <w:bookmarkStart w:id="251" w:name="_Ref368432096"/>
      <w:bookmarkEnd w:id="249"/>
      <w:r w:rsidRPr="00960BA0">
        <w:rPr>
          <w:rFonts w:cs="Tahoma"/>
        </w:rPr>
        <w:t>a Emissora se obriga, ainda, a:</w:t>
      </w:r>
      <w:bookmarkEnd w:id="248"/>
      <w:bookmarkEnd w:id="250"/>
      <w:bookmarkEnd w:id="251"/>
    </w:p>
    <w:p w:rsidR="00DD716F" w:rsidRPr="0081310E" w:rsidRDefault="00DD716F" w:rsidP="00B85D15">
      <w:pPr>
        <w:pStyle w:val="roman3"/>
        <w:numPr>
          <w:ilvl w:val="0"/>
          <w:numId w:val="53"/>
        </w:numPr>
        <w:ind w:left="993"/>
        <w:rPr>
          <w:rFonts w:eastAsia="Arial Unicode MS" w:cs="Tahoma"/>
          <w:w w:val="0"/>
        </w:rPr>
      </w:pPr>
      <w:bookmarkStart w:id="252" w:name="_DV_M189"/>
      <w:bookmarkStart w:id="253" w:name="_Ref322622536"/>
      <w:bookmarkEnd w:id="252"/>
      <w:r w:rsidRPr="0081310E">
        <w:rPr>
          <w:rFonts w:eastAsia="Arial Unicode MS" w:cs="Tahoma"/>
          <w:w w:val="0"/>
        </w:rPr>
        <w:t>fornecer ao Agente Fiduciário e disponibilizar em sua página na internet, conforme aplicável, os seguintes documentos e informações:</w:t>
      </w:r>
      <w:bookmarkEnd w:id="253"/>
      <w:r w:rsidRPr="0081310E">
        <w:rPr>
          <w:rFonts w:eastAsia="Arial Unicode MS" w:cs="Tahoma"/>
          <w:w w:val="0"/>
        </w:rPr>
        <w:t xml:space="preserve"> </w:t>
      </w:r>
    </w:p>
    <w:p w:rsidR="00DD716F" w:rsidRPr="00476C18" w:rsidRDefault="00DD716F" w:rsidP="005302FC">
      <w:pPr>
        <w:pStyle w:val="alpha4"/>
        <w:numPr>
          <w:ilvl w:val="0"/>
          <w:numId w:val="49"/>
        </w:numPr>
        <w:rPr>
          <w:rFonts w:eastAsia="Arial Unicode MS" w:cs="Tahoma"/>
          <w:w w:val="0"/>
        </w:rPr>
      </w:pPr>
      <w:bookmarkStart w:id="254" w:name="_DV_M190"/>
      <w:bookmarkStart w:id="255" w:name="_DV_M191"/>
      <w:bookmarkEnd w:id="254"/>
      <w:bookmarkEnd w:id="255"/>
      <w:r w:rsidRPr="00476C18">
        <w:rPr>
          <w:rFonts w:eastAsia="Arial Unicode MS" w:cs="Tahoma"/>
          <w:w w:val="0"/>
        </w:rPr>
        <w:lastRenderedPageBreak/>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rsidR="00DD716F" w:rsidRPr="00960BA0" w:rsidRDefault="00DD716F" w:rsidP="005302FC">
      <w:pPr>
        <w:pStyle w:val="alpha4"/>
        <w:rPr>
          <w:rFonts w:eastAsia="Arial Unicode MS" w:cs="Tahoma"/>
          <w:w w:val="0"/>
        </w:rPr>
      </w:pPr>
      <w:bookmarkStart w:id="256" w:name="_DV_M194"/>
      <w:bookmarkEnd w:id="256"/>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960BA0" w:rsidRDefault="00DD716F" w:rsidP="005302FC">
      <w:pPr>
        <w:pStyle w:val="alpha4"/>
        <w:rPr>
          <w:rFonts w:cs="Tahoma"/>
          <w:w w:val="0"/>
        </w:rPr>
      </w:pPr>
      <w:r w:rsidRPr="00960BA0">
        <w:rPr>
          <w:rFonts w:eastAsia="Arial Unicode MS" w:cs="Tahoma"/>
          <w:w w:val="0"/>
        </w:rPr>
        <w:t xml:space="preserve">mediante solicitação do Agente Fiduciário, encaminhar em até 15 (quinze) dias </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rsidR="00DD716F" w:rsidRPr="00960BA0" w:rsidRDefault="00DD716F" w:rsidP="005302FC">
      <w:pPr>
        <w:pStyle w:val="alpha4"/>
        <w:rPr>
          <w:rFonts w:eastAsia="Arial Unicode MS" w:cs="Tahoma"/>
          <w:w w:val="0"/>
        </w:rPr>
      </w:pPr>
      <w:bookmarkStart w:id="257" w:name="_DV_M199"/>
      <w:bookmarkStart w:id="258" w:name="_DV_M200"/>
      <w:bookmarkStart w:id="259" w:name="_Ref20851553"/>
      <w:bookmarkEnd w:id="257"/>
      <w:bookmarkEnd w:id="258"/>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9"/>
      <w:r w:rsidRPr="00960BA0">
        <w:rPr>
          <w:rFonts w:cs="Tahoma"/>
        </w:rPr>
        <w:t xml:space="preserve"> </w:t>
      </w:r>
    </w:p>
    <w:p w:rsidR="00DD716F" w:rsidRPr="00960BA0" w:rsidRDefault="00DD716F" w:rsidP="005302FC">
      <w:pPr>
        <w:pStyle w:val="alpha4"/>
        <w:rPr>
          <w:rFonts w:eastAsia="Arial Unicode MS" w:cs="Tahoma"/>
          <w:w w:val="0"/>
        </w:rPr>
      </w:pPr>
      <w:bookmarkStart w:id="260"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60"/>
      <w:r w:rsidRPr="00960BA0">
        <w:rPr>
          <w:rFonts w:cs="Tahoma"/>
        </w:rPr>
        <w:t xml:space="preserve"> </w:t>
      </w:r>
    </w:p>
    <w:p w:rsidR="00DD716F" w:rsidRPr="00960BA0" w:rsidRDefault="00DD716F" w:rsidP="00B85D15">
      <w:pPr>
        <w:pStyle w:val="roman3"/>
        <w:numPr>
          <w:ilvl w:val="0"/>
          <w:numId w:val="53"/>
        </w:numPr>
        <w:ind w:left="993"/>
        <w:rPr>
          <w:rFonts w:eastAsia="Arial Unicode MS" w:cs="Tahoma"/>
          <w:w w:val="0"/>
        </w:rPr>
      </w:pPr>
      <w:bookmarkStart w:id="261" w:name="_DV_M209"/>
      <w:bookmarkStart w:id="262" w:name="_DV_C375"/>
      <w:bookmarkEnd w:id="261"/>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rsidR="00DD716F" w:rsidRPr="00960BA0" w:rsidRDefault="009C1845" w:rsidP="00B85D15">
      <w:pPr>
        <w:pStyle w:val="roman3"/>
        <w:numPr>
          <w:ilvl w:val="0"/>
          <w:numId w:val="53"/>
        </w:numPr>
        <w:ind w:left="993"/>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em prazo de 20 (vinte) dias 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r w:rsidR="00D321BA" w:rsidRPr="00DD4E1B">
        <w:t xml:space="preserve"> </w:t>
      </w:r>
    </w:p>
    <w:p w:rsidR="00DD716F" w:rsidRPr="00960BA0" w:rsidRDefault="00DD716F" w:rsidP="00B85D15">
      <w:pPr>
        <w:pStyle w:val="roman3"/>
        <w:numPr>
          <w:ilvl w:val="0"/>
          <w:numId w:val="53"/>
        </w:numPr>
        <w:ind w:left="993"/>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rsidR="00DD716F" w:rsidRPr="00960BA0" w:rsidRDefault="00DD716F" w:rsidP="00B85D15">
      <w:pPr>
        <w:pStyle w:val="roman3"/>
        <w:numPr>
          <w:ilvl w:val="0"/>
          <w:numId w:val="53"/>
        </w:numPr>
        <w:ind w:left="993"/>
        <w:rPr>
          <w:rFonts w:eastAsia="Arial Unicode MS" w:cs="Tahoma"/>
          <w:w w:val="0"/>
        </w:rPr>
      </w:pPr>
      <w:bookmarkStart w:id="263" w:name="_DV_M210"/>
      <w:bookmarkStart w:id="264" w:name="_DV_M211"/>
      <w:bookmarkStart w:id="265" w:name="_DV_M76"/>
      <w:bookmarkStart w:id="266" w:name="_DV_M77"/>
      <w:bookmarkStart w:id="267" w:name="_DV_M78"/>
      <w:bookmarkStart w:id="268" w:name="_DV_M75"/>
      <w:bookmarkStart w:id="269" w:name="_DV_M79"/>
      <w:bookmarkStart w:id="270" w:name="_DV_M80"/>
      <w:bookmarkStart w:id="271" w:name="_DV_M212"/>
      <w:bookmarkEnd w:id="262"/>
      <w:bookmarkEnd w:id="263"/>
      <w:bookmarkEnd w:id="264"/>
      <w:bookmarkEnd w:id="265"/>
      <w:bookmarkEnd w:id="266"/>
      <w:bookmarkEnd w:id="267"/>
      <w:bookmarkEnd w:id="268"/>
      <w:bookmarkEnd w:id="269"/>
      <w:bookmarkEnd w:id="270"/>
      <w:bookmarkEnd w:id="271"/>
      <w:r w:rsidRPr="00960BA0">
        <w:rPr>
          <w:rFonts w:eastAsia="Arial Unicode MS" w:cs="Tahoma"/>
          <w:w w:val="0"/>
        </w:rPr>
        <w:lastRenderedPageBreak/>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rsidR="00DD716F" w:rsidRPr="00960BA0" w:rsidRDefault="00A34DB0" w:rsidP="00B85D15">
      <w:pPr>
        <w:pStyle w:val="roman3"/>
        <w:numPr>
          <w:ilvl w:val="0"/>
          <w:numId w:val="53"/>
        </w:numPr>
        <w:ind w:left="993"/>
        <w:rPr>
          <w:rFonts w:eastAsia="Arial Unicode MS" w:cs="Tahoma"/>
          <w:w w:val="0"/>
        </w:rPr>
      </w:pPr>
      <w:bookmarkStart w:id="272" w:name="_DV_M213"/>
      <w:bookmarkStart w:id="273" w:name="_DV_M214"/>
      <w:bookmarkStart w:id="274" w:name="_DV_M215"/>
      <w:bookmarkStart w:id="275" w:name="_DV_M216"/>
      <w:bookmarkStart w:id="276" w:name="_DV_M217"/>
      <w:bookmarkStart w:id="277" w:name="_DV_M218"/>
      <w:bookmarkStart w:id="278" w:name="_DV_M219"/>
      <w:bookmarkStart w:id="279" w:name="_DV_M223"/>
      <w:bookmarkEnd w:id="272"/>
      <w:bookmarkEnd w:id="273"/>
      <w:bookmarkEnd w:id="274"/>
      <w:bookmarkEnd w:id="275"/>
      <w:bookmarkEnd w:id="276"/>
      <w:bookmarkEnd w:id="277"/>
      <w:bookmarkEnd w:id="278"/>
      <w:bookmarkEnd w:id="279"/>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r w:rsidR="00DD716F" w:rsidRPr="00960BA0">
        <w:rPr>
          <w:rFonts w:eastAsia="Arial Unicode MS" w:cs="Tahoma"/>
          <w:w w:val="0"/>
        </w:rPr>
        <w:t xml:space="preserve"> </w:t>
      </w:r>
      <w:r w:rsidR="00D321BA">
        <w:rPr>
          <w:rFonts w:eastAsia="Arial Unicode MS" w:cs="Tahoma"/>
          <w:w w:val="0"/>
        </w:rPr>
        <w:t>[</w:t>
      </w:r>
      <w:r w:rsidR="00D321BA" w:rsidRPr="007D7AD4">
        <w:rPr>
          <w:rFonts w:eastAsia="Arial Unicode MS" w:cs="Tahoma"/>
          <w:b/>
          <w:w w:val="0"/>
          <w:highlight w:val="yellow"/>
        </w:rPr>
        <w:t>Nota LDR</w:t>
      </w:r>
      <w:r w:rsidR="00D321BA" w:rsidRPr="007D7AD4">
        <w:rPr>
          <w:rFonts w:eastAsia="Arial Unicode MS" w:cs="Tahoma"/>
          <w:w w:val="0"/>
          <w:highlight w:val="yellow"/>
        </w:rPr>
        <w:t>: Sob revisão da Companhia</w:t>
      </w:r>
      <w:r w:rsidR="00D321BA">
        <w:rPr>
          <w:rFonts w:eastAsia="Arial Unicode MS" w:cs="Tahoma"/>
          <w:w w:val="0"/>
        </w:rPr>
        <w:t>]</w:t>
      </w:r>
    </w:p>
    <w:p w:rsidR="00126ADA" w:rsidRDefault="00DD716F" w:rsidP="00B85D15">
      <w:pPr>
        <w:pStyle w:val="roman3"/>
        <w:numPr>
          <w:ilvl w:val="0"/>
          <w:numId w:val="53"/>
        </w:numPr>
        <w:ind w:left="993"/>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rsidR="00DD716F" w:rsidRPr="00960BA0" w:rsidRDefault="00DD716F" w:rsidP="00B85D15">
      <w:pPr>
        <w:pStyle w:val="roman3"/>
        <w:numPr>
          <w:ilvl w:val="0"/>
          <w:numId w:val="53"/>
        </w:numPr>
        <w:ind w:left="993"/>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rsidR="00DD716F" w:rsidRPr="00960BA0" w:rsidRDefault="00DD716F" w:rsidP="00B85D15">
      <w:pPr>
        <w:pStyle w:val="roman3"/>
        <w:numPr>
          <w:ilvl w:val="0"/>
          <w:numId w:val="53"/>
        </w:numPr>
        <w:ind w:left="993"/>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rsidR="00DD716F" w:rsidRDefault="00DD716F" w:rsidP="00B85D15">
      <w:pPr>
        <w:pStyle w:val="roman3"/>
        <w:numPr>
          <w:ilvl w:val="0"/>
          <w:numId w:val="53"/>
        </w:numPr>
        <w:ind w:left="993"/>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rsidR="00A00867" w:rsidRPr="00A00867" w:rsidRDefault="00A00867" w:rsidP="00B85D15">
      <w:pPr>
        <w:pStyle w:val="roman3"/>
        <w:numPr>
          <w:ilvl w:val="0"/>
          <w:numId w:val="53"/>
        </w:numPr>
        <w:ind w:left="993"/>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Agência de Classificação de Risco</w:t>
      </w:r>
      <w:r w:rsidRPr="00A00867">
        <w:rPr>
          <w:rFonts w:eastAsia="Arial Unicode MS" w:cs="Tahoma"/>
          <w:w w:val="0"/>
        </w:rPr>
        <w:t xml:space="preserve"> divulgue amplamente ao mercado os relatórios com as súmulas das classificações de risco, (c) entregar ao Agente Fiduciário os relatórios de classificação de risco preparados pela </w:t>
      </w:r>
      <w:r>
        <w:rPr>
          <w:rFonts w:eastAsia="Arial Unicode MS" w:cs="Tahoma"/>
          <w:w w:val="0"/>
        </w:rPr>
        <w:t>Agência de Classificação de Risco</w:t>
      </w:r>
      <w:r w:rsidRPr="00A00867">
        <w:rPr>
          <w:rFonts w:eastAsia="Arial Unicode MS" w:cs="Tahoma"/>
          <w:w w:val="0"/>
        </w:rPr>
        <w:t xml:space="preserve"> no prazo de até 5 (cinco) Dias Úteis contados da data de seu recebimento pela Emissora e </w:t>
      </w:r>
      <w:r w:rsidR="00A34DB0" w:rsidRPr="00332359">
        <w:rPr>
          <w:rFonts w:eastAsia="Arial Unicode MS" w:cs="Tahoma"/>
          <w:w w:val="0"/>
          <w:highlight w:val="lightGray"/>
        </w:rPr>
        <w:t>[</w:t>
      </w:r>
      <w:r w:rsidRPr="00332359">
        <w:rPr>
          <w:rFonts w:eastAsia="Arial Unicode MS" w:cs="Tahoma"/>
          <w:w w:val="0"/>
          <w:highlight w:val="lightGray"/>
        </w:rPr>
        <w:t>(</w:t>
      </w:r>
      <w:r w:rsidRPr="00C64FB3">
        <w:rPr>
          <w:rFonts w:eastAsia="Arial Unicode MS"/>
          <w:w w:val="0"/>
          <w:highlight w:val="lightGray"/>
        </w:rPr>
        <w:t>d) comunicar em até 2 (dois) Dias Úteis ao Agente Fiduciário qualquer alteração e o início de qualquer processo de revisão da classificação de risco</w:t>
      </w:r>
      <w:r w:rsidR="00A34DB0" w:rsidRPr="00332359">
        <w:rPr>
          <w:rFonts w:eastAsia="Arial Unicode MS" w:cs="Tahoma"/>
          <w:w w:val="0"/>
          <w:highlight w:val="lightGray"/>
        </w:rPr>
        <w:t xml:space="preserve"> não previsto nesta Escritura de Emissão</w:t>
      </w:r>
      <w:r w:rsidR="00A34DB0">
        <w:rPr>
          <w:rFonts w:eastAsia="Arial Unicode MS" w:cs="Tahoma"/>
          <w:w w:val="0"/>
        </w:rPr>
        <w:t>]</w:t>
      </w:r>
      <w:r w:rsidRPr="00A00867">
        <w:rPr>
          <w:rFonts w:eastAsia="Arial Unicode MS" w:cs="Tahoma"/>
          <w:w w:val="0"/>
        </w:rPr>
        <w:t xml:space="preserve">; observado que, caso a </w:t>
      </w:r>
      <w:r>
        <w:rPr>
          <w:rFonts w:eastAsia="Arial Unicode MS" w:cs="Tahoma"/>
          <w:w w:val="0"/>
        </w:rPr>
        <w:t>Agência de Classificação de Risco</w:t>
      </w:r>
      <w:r w:rsidRPr="00A00867">
        <w:rPr>
          <w:rFonts w:eastAsia="Arial Unicode MS" w:cs="Tahoma"/>
          <w:w w:val="0"/>
        </w:rPr>
        <w:t xml:space="preserve"> cesse suas atividades no Brasil ou, por qualquer motivo, esteja ou seja impedida de emitir a classificação de risco das Debêntures, a Emissora deverá, a seu exclusivo critério, (i) contratar outra agência de classificação de risco sem necessidade de aprovação dos </w:t>
      </w:r>
      <w:r w:rsidRPr="00A00867">
        <w:rPr>
          <w:rFonts w:eastAsia="Arial Unicode MS" w:cs="Tahoma"/>
          <w:w w:val="0"/>
        </w:rPr>
        <w:lastRenderedPageBreak/>
        <w:t>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r w:rsidR="00332359">
        <w:rPr>
          <w:rFonts w:eastAsia="Arial Unicode MS" w:cs="Tahoma"/>
          <w:w w:val="0"/>
        </w:rPr>
        <w:t xml:space="preserve"> [</w:t>
      </w:r>
      <w:r w:rsidR="00332359" w:rsidRPr="00A5398A">
        <w:rPr>
          <w:rFonts w:eastAsia="Arial Unicode MS" w:cs="Tahoma"/>
          <w:b/>
          <w:w w:val="0"/>
          <w:highlight w:val="yellow"/>
        </w:rPr>
        <w:t>Nota MF</w:t>
      </w:r>
      <w:r w:rsidR="00332359" w:rsidRPr="00A5398A">
        <w:rPr>
          <w:rFonts w:eastAsia="Arial Unicode MS" w:cs="Tahoma"/>
          <w:w w:val="0"/>
          <w:highlight w:val="yellow"/>
        </w:rPr>
        <w:t>: Sob revisão pela companhia.</w:t>
      </w:r>
      <w:r w:rsidR="00332359">
        <w:rPr>
          <w:rFonts w:eastAsia="Arial Unicode MS" w:cs="Tahoma"/>
          <w:w w:val="0"/>
        </w:rPr>
        <w:t>]</w:t>
      </w:r>
    </w:p>
    <w:p w:rsidR="00DD716F" w:rsidRPr="00960BA0" w:rsidRDefault="00DD716F" w:rsidP="00B85D15">
      <w:pPr>
        <w:pStyle w:val="roman3"/>
        <w:numPr>
          <w:ilvl w:val="0"/>
          <w:numId w:val="53"/>
        </w:numPr>
        <w:ind w:left="993"/>
        <w:rPr>
          <w:rFonts w:eastAsia="Arial Unicode MS" w:cs="Tahoma"/>
          <w:w w:val="0"/>
        </w:rPr>
      </w:pPr>
      <w:bookmarkStart w:id="280"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80"/>
      <w:r w:rsidRPr="00960BA0">
        <w:rPr>
          <w:rFonts w:eastAsia="Arial Unicode MS" w:cs="Tahoma"/>
          <w:w w:val="0"/>
        </w:rPr>
        <w:t xml:space="preserve"> </w:t>
      </w:r>
    </w:p>
    <w:p w:rsidR="00DD716F" w:rsidRPr="00D61FD1" w:rsidRDefault="00DD716F" w:rsidP="00B85D15">
      <w:pPr>
        <w:pStyle w:val="roman3"/>
        <w:numPr>
          <w:ilvl w:val="0"/>
          <w:numId w:val="53"/>
        </w:numPr>
        <w:ind w:left="993"/>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rsidR="00DD716F" w:rsidRPr="00D61FD1" w:rsidRDefault="00DD716F" w:rsidP="00B85D15">
      <w:pPr>
        <w:pStyle w:val="roman3"/>
        <w:numPr>
          <w:ilvl w:val="0"/>
          <w:numId w:val="53"/>
        </w:numPr>
        <w:ind w:left="993"/>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rsidR="002545A0" w:rsidRPr="002545A0" w:rsidRDefault="00C261FA" w:rsidP="00B85D15">
      <w:pPr>
        <w:pStyle w:val="roman3"/>
        <w:numPr>
          <w:ilvl w:val="0"/>
          <w:numId w:val="53"/>
        </w:numPr>
        <w:ind w:left="993"/>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rsidR="00FD6628" w:rsidRPr="002D15CA" w:rsidRDefault="00FD6628" w:rsidP="00B85D15">
      <w:pPr>
        <w:pStyle w:val="roman3"/>
        <w:numPr>
          <w:ilvl w:val="0"/>
          <w:numId w:val="53"/>
        </w:numPr>
        <w:ind w:left="993"/>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rsidR="00FD6628" w:rsidRPr="002D15CA" w:rsidRDefault="00FD6628" w:rsidP="00B85D15">
      <w:pPr>
        <w:pStyle w:val="roman3"/>
        <w:numPr>
          <w:ilvl w:val="0"/>
          <w:numId w:val="53"/>
        </w:numPr>
        <w:ind w:left="993"/>
        <w:rPr>
          <w:rFonts w:cs="Tahoma"/>
        </w:rPr>
      </w:pPr>
      <w:r w:rsidRPr="002D15CA">
        <w:rPr>
          <w:rFonts w:cs="Tahoma"/>
        </w:rPr>
        <w:t>manter em vigor toda a estrutura de contratos e demais acordos existentes necessários para a implementação e o desenvolvimento do Projeto;</w:t>
      </w:r>
    </w:p>
    <w:p w:rsidR="00FD6628" w:rsidRPr="002D15CA" w:rsidRDefault="00FD6628" w:rsidP="00B85D15">
      <w:pPr>
        <w:pStyle w:val="roman3"/>
        <w:numPr>
          <w:ilvl w:val="0"/>
          <w:numId w:val="53"/>
        </w:numPr>
        <w:ind w:left="993"/>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rsidR="003E4FED" w:rsidRPr="007632D4" w:rsidRDefault="003E4FED" w:rsidP="00B85D15">
      <w:pPr>
        <w:pStyle w:val="roman3"/>
        <w:numPr>
          <w:ilvl w:val="0"/>
          <w:numId w:val="53"/>
        </w:numPr>
        <w:ind w:left="993"/>
      </w:pPr>
      <w:bookmarkStart w:id="281"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1"/>
      <w:r w:rsidRPr="007632D4">
        <w:t xml:space="preserve"> </w:t>
      </w:r>
    </w:p>
    <w:p w:rsidR="00FD6628" w:rsidRPr="002D15CA" w:rsidRDefault="00F96852" w:rsidP="00B85D15">
      <w:pPr>
        <w:pStyle w:val="roman3"/>
        <w:numPr>
          <w:ilvl w:val="0"/>
          <w:numId w:val="53"/>
        </w:numPr>
        <w:ind w:left="993"/>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rsidR="00FD6628" w:rsidRPr="0055612C" w:rsidRDefault="00DD7B81" w:rsidP="00B85D15">
      <w:pPr>
        <w:pStyle w:val="roman3"/>
        <w:numPr>
          <w:ilvl w:val="0"/>
          <w:numId w:val="53"/>
        </w:numPr>
        <w:ind w:left="993"/>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w:t>
      </w:r>
      <w:r w:rsidR="00C261FA" w:rsidRPr="00521F51">
        <w:rPr>
          <w:rFonts w:cs="Tahoma"/>
        </w:rPr>
        <w:lastRenderedPageBreak/>
        <w:t>saúde do trabalho, inclusive no tocante a não utilização de trabalho infantil em desconformidade com a Legislação Socioambiental;</w:t>
      </w:r>
      <w:r w:rsidR="00D321BA">
        <w:rPr>
          <w:rFonts w:cs="Tahoma"/>
        </w:rPr>
        <w:t xml:space="preserve"> </w:t>
      </w:r>
    </w:p>
    <w:p w:rsidR="00FD6628" w:rsidRPr="0055612C" w:rsidRDefault="00FD6628" w:rsidP="00B85D15">
      <w:pPr>
        <w:pStyle w:val="roman3"/>
        <w:numPr>
          <w:ilvl w:val="0"/>
          <w:numId w:val="53"/>
        </w:numPr>
        <w:ind w:left="993"/>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rsidR="00421D65" w:rsidRPr="0055612C" w:rsidRDefault="00421D65" w:rsidP="00B85D15">
      <w:pPr>
        <w:pStyle w:val="roman3"/>
        <w:numPr>
          <w:ilvl w:val="0"/>
          <w:numId w:val="53"/>
        </w:numPr>
        <w:ind w:left="993"/>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rsidR="00FD6628" w:rsidRDefault="00FD6628" w:rsidP="00B85D15">
      <w:pPr>
        <w:pStyle w:val="roman3"/>
        <w:numPr>
          <w:ilvl w:val="0"/>
          <w:numId w:val="53"/>
        </w:numPr>
        <w:ind w:left="993"/>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rsidR="00D17CAF" w:rsidRPr="00D17CAF" w:rsidRDefault="00D17CAF" w:rsidP="00B85D15">
      <w:pPr>
        <w:pStyle w:val="roman3"/>
        <w:numPr>
          <w:ilvl w:val="0"/>
          <w:numId w:val="53"/>
        </w:numPr>
        <w:ind w:left="993"/>
        <w:rPr>
          <w:rFonts w:cs="Tahoma"/>
        </w:rPr>
      </w:pPr>
      <w:bookmarkStart w:id="282"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rsidR="00FD6628" w:rsidRPr="002D15CA" w:rsidRDefault="00FD6628" w:rsidP="00B85D15">
      <w:pPr>
        <w:pStyle w:val="roman3"/>
        <w:numPr>
          <w:ilvl w:val="0"/>
          <w:numId w:val="53"/>
        </w:numPr>
        <w:ind w:left="993"/>
        <w:rPr>
          <w:rFonts w:cs="Tahoma"/>
        </w:rPr>
      </w:pPr>
      <w:bookmarkStart w:id="283" w:name="_Ref182969214"/>
      <w:bookmarkEnd w:id="282"/>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3"/>
    <w:p w:rsidR="00FD6628" w:rsidRPr="00E94FA2" w:rsidRDefault="00FD6628" w:rsidP="00B85D15">
      <w:pPr>
        <w:pStyle w:val="roman3"/>
        <w:numPr>
          <w:ilvl w:val="0"/>
          <w:numId w:val="53"/>
        </w:numPr>
        <w:ind w:left="993"/>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rsidR="00FD6628" w:rsidRPr="002D15CA" w:rsidRDefault="00FD6628" w:rsidP="00B85D15">
      <w:pPr>
        <w:pStyle w:val="roman3"/>
        <w:numPr>
          <w:ilvl w:val="0"/>
          <w:numId w:val="53"/>
        </w:numPr>
        <w:ind w:left="993"/>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w:t>
      </w:r>
      <w:r w:rsidRPr="002D15CA">
        <w:rPr>
          <w:rFonts w:cs="Tahoma"/>
        </w:rPr>
        <w:lastRenderedPageBreak/>
        <w:t>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rsidR="00FD6628" w:rsidRPr="002D15CA" w:rsidRDefault="00FD6628" w:rsidP="00B85D15">
      <w:pPr>
        <w:pStyle w:val="roman3"/>
        <w:numPr>
          <w:ilvl w:val="0"/>
          <w:numId w:val="53"/>
        </w:numPr>
        <w:ind w:left="993"/>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rsidR="00FD6628" w:rsidRPr="002D15CA" w:rsidRDefault="00FD6628" w:rsidP="00B85D15">
      <w:pPr>
        <w:pStyle w:val="roman3"/>
        <w:numPr>
          <w:ilvl w:val="0"/>
          <w:numId w:val="53"/>
        </w:numPr>
        <w:ind w:left="993"/>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rsidR="00DD716F" w:rsidRPr="000E4ED3" w:rsidRDefault="00DD716F" w:rsidP="00B85D15">
      <w:pPr>
        <w:pStyle w:val="roman3"/>
        <w:numPr>
          <w:ilvl w:val="0"/>
          <w:numId w:val="53"/>
        </w:numPr>
        <w:ind w:left="99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rsidR="00DD716F" w:rsidRPr="00C64FB3" w:rsidRDefault="006A509E" w:rsidP="005302FC">
      <w:pPr>
        <w:pStyle w:val="Level1"/>
        <w:numPr>
          <w:ilvl w:val="0"/>
          <w:numId w:val="6"/>
        </w:numPr>
      </w:pPr>
      <w:bookmarkStart w:id="284" w:name="_DV_M225"/>
      <w:bookmarkStart w:id="285" w:name="_DV_M230"/>
      <w:bookmarkStart w:id="286" w:name="_Toc261004490"/>
      <w:bookmarkEnd w:id="284"/>
      <w:bookmarkEnd w:id="285"/>
      <w:r w:rsidRPr="006A509E">
        <w:rPr>
          <w:rFonts w:cs="Tahoma"/>
          <w:b/>
        </w:rPr>
        <w:t>AGENTE FIDUCIÁRIO</w:t>
      </w:r>
      <w:bookmarkEnd w:id="286"/>
      <w:r w:rsidR="00E44A4B">
        <w:rPr>
          <w:rFonts w:cs="Tahoma"/>
          <w:b/>
        </w:rPr>
        <w:t xml:space="preserve"> </w:t>
      </w:r>
      <w:r w:rsidR="00E44A4B" w:rsidRPr="00D61FD1">
        <w:rPr>
          <w:rFonts w:cs="Tahoma"/>
        </w:rPr>
        <w:t>[</w:t>
      </w:r>
      <w:r w:rsidR="00E44A4B" w:rsidRPr="00D61FD1">
        <w:rPr>
          <w:rFonts w:cs="Tahoma"/>
          <w:b/>
          <w:highlight w:val="lightGray"/>
        </w:rPr>
        <w:t>Nota MF</w:t>
      </w:r>
      <w:r w:rsidR="00E44A4B" w:rsidRPr="00D61FD1">
        <w:rPr>
          <w:rFonts w:cs="Tahoma"/>
          <w:highlight w:val="lightGray"/>
        </w:rPr>
        <w:t>: Cláusula a ser revisada pelo agente fiduciário.</w:t>
      </w:r>
      <w:r w:rsidR="00E44A4B" w:rsidRPr="00D61FD1">
        <w:rPr>
          <w:rFonts w:cs="Tahoma"/>
        </w:rPr>
        <w:t>]</w:t>
      </w:r>
    </w:p>
    <w:p w:rsidR="00555BC7" w:rsidRPr="00960BA0" w:rsidRDefault="00DD716F" w:rsidP="005302FC">
      <w:pPr>
        <w:pStyle w:val="Level2"/>
        <w:numPr>
          <w:ilvl w:val="0"/>
          <w:numId w:val="0"/>
        </w:numPr>
        <w:ind w:left="680"/>
        <w:rPr>
          <w:rFonts w:cs="Tahoma"/>
        </w:rPr>
      </w:pPr>
      <w:bookmarkStart w:id="287" w:name="_BPDC_LN_INS_1134"/>
      <w:bookmarkStart w:id="288" w:name="_BPDC_PR_INS_1135"/>
      <w:bookmarkEnd w:id="287"/>
      <w:bookmarkEnd w:id="288"/>
      <w:r w:rsidRPr="00960BA0">
        <w:rPr>
          <w:rFonts w:cs="Tahoma"/>
          <w:i/>
        </w:rPr>
        <w:t>Nomeação</w:t>
      </w:r>
      <w:r w:rsidRPr="00960BA0">
        <w:rPr>
          <w:rFonts w:cs="Tahoma"/>
        </w:rPr>
        <w:t>.</w:t>
      </w:r>
      <w:bookmarkStart w:id="289" w:name="_DV_M231"/>
      <w:bookmarkStart w:id="290" w:name="_DV_M232"/>
      <w:bookmarkEnd w:id="289"/>
      <w:bookmarkEnd w:id="290"/>
      <w:r w:rsidRPr="00960BA0">
        <w:rPr>
          <w:rFonts w:cs="Tahoma"/>
        </w:rPr>
        <w:t xml:space="preserve"> A Emissora nomeia e constitui </w:t>
      </w:r>
      <w:r w:rsidR="00C430CC">
        <w:rPr>
          <w:rFonts w:cs="Tahoma"/>
        </w:rPr>
        <w:t>[●]</w:t>
      </w:r>
      <w:r w:rsidRPr="00960BA0">
        <w:rPr>
          <w:rFonts w:cs="Tahoma"/>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1" w:name="_DV_M238"/>
      <w:bookmarkEnd w:id="291"/>
      <w:r w:rsidRPr="00960BA0">
        <w:rPr>
          <w:rFonts w:eastAsia="Arial Unicode MS" w:cs="Tahoma"/>
          <w:w w:val="0"/>
        </w:rPr>
        <w:t>.</w:t>
      </w:r>
    </w:p>
    <w:p w:rsidR="00DD716F" w:rsidRPr="00960BA0" w:rsidRDefault="00DD716F" w:rsidP="005302FC">
      <w:pPr>
        <w:pStyle w:val="Level2"/>
        <w:numPr>
          <w:ilvl w:val="1"/>
          <w:numId w:val="6"/>
        </w:numPr>
        <w:rPr>
          <w:rFonts w:cs="Tahoma"/>
          <w:i/>
        </w:rPr>
      </w:pPr>
      <w:r w:rsidRPr="00960BA0">
        <w:rPr>
          <w:rFonts w:cs="Tahoma"/>
          <w:i/>
        </w:rPr>
        <w:t>Substituição.</w:t>
      </w:r>
    </w:p>
    <w:p w:rsidR="00DD716F" w:rsidRPr="00960BA0" w:rsidRDefault="00DD716F" w:rsidP="005302FC">
      <w:pPr>
        <w:pStyle w:val="Level3"/>
        <w:numPr>
          <w:ilvl w:val="2"/>
          <w:numId w:val="6"/>
        </w:numPr>
        <w:rPr>
          <w:rFonts w:eastAsia="Arial Unicode MS" w:cs="Tahoma"/>
          <w:w w:val="0"/>
        </w:rPr>
      </w:pPr>
      <w:bookmarkStart w:id="292" w:name="_DV_M240"/>
      <w:bookmarkStart w:id="293" w:name="_DV_M241"/>
      <w:bookmarkStart w:id="294" w:name="_DV_M246"/>
      <w:bookmarkStart w:id="295" w:name="_DV_M247"/>
      <w:bookmarkStart w:id="296" w:name="_DV_M248"/>
      <w:bookmarkStart w:id="297" w:name="_DV_M249"/>
      <w:bookmarkStart w:id="298" w:name="_DV_M250"/>
      <w:bookmarkStart w:id="299" w:name="_DV_M252"/>
      <w:bookmarkEnd w:id="292"/>
      <w:bookmarkEnd w:id="293"/>
      <w:bookmarkEnd w:id="294"/>
      <w:bookmarkEnd w:id="295"/>
      <w:bookmarkEnd w:id="296"/>
      <w:bookmarkEnd w:id="297"/>
      <w:bookmarkEnd w:id="298"/>
      <w:bookmarkEnd w:id="299"/>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960BA0" w:rsidRDefault="00DD716F" w:rsidP="005302FC">
      <w:pPr>
        <w:pStyle w:val="Level3"/>
        <w:numPr>
          <w:ilvl w:val="2"/>
          <w:numId w:val="6"/>
        </w:numPr>
        <w:rPr>
          <w:rFonts w:eastAsia="Arial Unicode MS" w:cs="Tahoma"/>
          <w:w w:val="0"/>
        </w:rPr>
      </w:pPr>
      <w:r w:rsidRPr="00960BA0">
        <w:rPr>
          <w:rFonts w:cs="Tahoma"/>
        </w:rPr>
        <w:lastRenderedPageBreak/>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300" w:name="_Hlk3989507"/>
      <w:r w:rsidRPr="00960BA0">
        <w:rPr>
          <w:rFonts w:cs="Tahoma"/>
        </w:rPr>
        <w:t>Em casos excepcionais</w:t>
      </w:r>
      <w:bookmarkEnd w:id="300"/>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960BA0" w:rsidRDefault="00DD716F" w:rsidP="005302FC">
      <w:pPr>
        <w:pStyle w:val="Level3"/>
        <w:numPr>
          <w:ilvl w:val="2"/>
          <w:numId w:val="6"/>
        </w:numPr>
        <w:rPr>
          <w:rFonts w:cs="Tahoma"/>
        </w:rPr>
      </w:pPr>
      <w:bookmarkStart w:id="301" w:name="_BPDC_LN_INS_1132"/>
      <w:bookmarkStart w:id="302" w:name="_BPDC_PR_INS_1133"/>
      <w:bookmarkStart w:id="303" w:name="_DV_M254"/>
      <w:bookmarkStart w:id="304" w:name="_DV_C447"/>
      <w:bookmarkEnd w:id="301"/>
      <w:bookmarkEnd w:id="302"/>
      <w:bookmarkEnd w:id="303"/>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DD716F" w:rsidRPr="00960BA0" w:rsidRDefault="00DD716F" w:rsidP="005302FC">
      <w:pPr>
        <w:pStyle w:val="Level3"/>
        <w:numPr>
          <w:ilvl w:val="2"/>
          <w:numId w:val="6"/>
        </w:numPr>
        <w:rPr>
          <w:rFonts w:cs="Tahoma"/>
        </w:rPr>
      </w:pPr>
      <w:bookmarkStart w:id="305" w:name="_BPDC_LN_INS_1130"/>
      <w:bookmarkStart w:id="306" w:name="_BPDC_PR_INS_1131"/>
      <w:bookmarkEnd w:id="305"/>
      <w:bookmarkEnd w:id="306"/>
      <w:r w:rsidRPr="00960BA0">
        <w:rPr>
          <w:rFonts w:cs="Tahoma"/>
        </w:rPr>
        <w:t>É facultado aos Debenturistas, a qualquer tempo, após o encerramento da distribuição pública, substituir o Agente Fiduciário e indicar seu eventual substituto.</w:t>
      </w:r>
    </w:p>
    <w:p w:rsidR="00DD716F" w:rsidRPr="00960BA0" w:rsidRDefault="00DD716F" w:rsidP="005302FC">
      <w:pPr>
        <w:pStyle w:val="Level3"/>
        <w:numPr>
          <w:ilvl w:val="2"/>
          <w:numId w:val="6"/>
        </w:numPr>
        <w:rPr>
          <w:rFonts w:cs="Tahoma"/>
        </w:rPr>
      </w:pPr>
      <w:bookmarkStart w:id="307" w:name="_BPDC_LN_INS_1128"/>
      <w:bookmarkStart w:id="308" w:name="_BPDC_PR_INS_1129"/>
      <w:bookmarkStart w:id="309" w:name="_DV_M256"/>
      <w:bookmarkEnd w:id="304"/>
      <w:bookmarkEnd w:id="307"/>
      <w:bookmarkEnd w:id="308"/>
      <w:bookmarkEnd w:id="309"/>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rsidR="00DD716F" w:rsidRPr="00960BA0" w:rsidRDefault="00DD716F" w:rsidP="005302FC">
      <w:pPr>
        <w:pStyle w:val="Level3"/>
        <w:numPr>
          <w:ilvl w:val="2"/>
          <w:numId w:val="6"/>
        </w:numPr>
        <w:rPr>
          <w:rFonts w:cs="Tahoma"/>
        </w:rPr>
      </w:pPr>
      <w:bookmarkStart w:id="310" w:name="_BPDC_LN_INS_1126"/>
      <w:bookmarkStart w:id="311" w:name="_BPDC_PR_INS_1127"/>
      <w:bookmarkStart w:id="312" w:name="_DV_M257"/>
      <w:bookmarkEnd w:id="310"/>
      <w:bookmarkEnd w:id="311"/>
      <w:bookmarkEnd w:id="312"/>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rsidR="00DD716F" w:rsidRPr="00960BA0" w:rsidRDefault="00DD716F" w:rsidP="005302FC">
      <w:pPr>
        <w:pStyle w:val="Level3"/>
        <w:numPr>
          <w:ilvl w:val="2"/>
          <w:numId w:val="6"/>
        </w:numPr>
        <w:rPr>
          <w:rFonts w:cs="Tahoma"/>
        </w:rPr>
      </w:pPr>
      <w:bookmarkStart w:id="313" w:name="_BPDC_LN_INS_1124"/>
      <w:bookmarkStart w:id="314" w:name="_BPDC_PR_INS_1125"/>
      <w:bookmarkEnd w:id="313"/>
      <w:bookmarkEnd w:id="314"/>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rsidR="00DD716F" w:rsidRPr="00010D7D" w:rsidRDefault="00DD716F" w:rsidP="005302FC">
      <w:pPr>
        <w:pStyle w:val="Level3"/>
        <w:numPr>
          <w:ilvl w:val="2"/>
          <w:numId w:val="6"/>
        </w:numPr>
        <w:rPr>
          <w:rFonts w:cs="Tahoma"/>
        </w:rPr>
      </w:pPr>
      <w:bookmarkStart w:id="315" w:name="_BPDC_LN_INS_1122"/>
      <w:bookmarkStart w:id="316" w:name="_BPDC_PR_INS_1123"/>
      <w:bookmarkStart w:id="317" w:name="_DV_M263"/>
      <w:bookmarkStart w:id="318" w:name="_Ref447757185"/>
      <w:bookmarkEnd w:id="315"/>
      <w:bookmarkEnd w:id="316"/>
      <w:bookmarkEnd w:id="317"/>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8"/>
    </w:p>
    <w:p w:rsidR="00DD716F" w:rsidRPr="00960BA0" w:rsidRDefault="00DD716F" w:rsidP="005302FC">
      <w:pPr>
        <w:pStyle w:val="Level3"/>
        <w:numPr>
          <w:ilvl w:val="2"/>
          <w:numId w:val="6"/>
        </w:numPr>
        <w:rPr>
          <w:rFonts w:cs="Tahoma"/>
        </w:rPr>
      </w:pPr>
      <w:bookmarkStart w:id="319" w:name="_BPDC_LN_INS_1120"/>
      <w:bookmarkStart w:id="320" w:name="_BPDC_PR_INS_1121"/>
      <w:bookmarkStart w:id="321" w:name="_DV_M266"/>
      <w:bookmarkEnd w:id="319"/>
      <w:bookmarkEnd w:id="320"/>
      <w:bookmarkEnd w:id="321"/>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960BA0" w:rsidRDefault="00DD716F" w:rsidP="005302FC">
      <w:pPr>
        <w:pStyle w:val="Level3"/>
        <w:numPr>
          <w:ilvl w:val="2"/>
          <w:numId w:val="6"/>
        </w:numPr>
        <w:rPr>
          <w:rFonts w:cs="Tahoma"/>
          <w:i/>
        </w:rPr>
      </w:pPr>
      <w:bookmarkStart w:id="322" w:name="_BPDC_LN_INS_1118"/>
      <w:bookmarkStart w:id="323" w:name="_BPDC_PR_INS_1119"/>
      <w:bookmarkStart w:id="324" w:name="_DV_M267"/>
      <w:bookmarkEnd w:id="322"/>
      <w:bookmarkEnd w:id="323"/>
      <w:bookmarkEnd w:id="324"/>
      <w:r w:rsidRPr="00960BA0">
        <w:rPr>
          <w:rFonts w:cs="Tahoma"/>
        </w:rPr>
        <w:t xml:space="preserve">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w:t>
      </w:r>
      <w:r w:rsidRPr="00960BA0">
        <w:rPr>
          <w:rFonts w:cs="Tahoma"/>
        </w:rPr>
        <w:lastRenderedPageBreak/>
        <w:t>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5" w:name="_BPDC_LN_INS_1116"/>
      <w:bookmarkStart w:id="326" w:name="_BPDC_PR_INS_1117"/>
      <w:bookmarkEnd w:id="325"/>
      <w:bookmarkEnd w:id="326"/>
      <w:r w:rsidRPr="00960BA0">
        <w:rPr>
          <w:rFonts w:cs="Tahoma"/>
        </w:rPr>
        <w:t xml:space="preserve"> </w:t>
      </w:r>
    </w:p>
    <w:p w:rsidR="00DD716F" w:rsidRPr="00960BA0" w:rsidRDefault="00DD716F" w:rsidP="005302FC">
      <w:pPr>
        <w:pStyle w:val="Level2"/>
        <w:numPr>
          <w:ilvl w:val="1"/>
          <w:numId w:val="6"/>
        </w:numPr>
        <w:rPr>
          <w:rFonts w:cs="Tahoma"/>
          <w:i/>
        </w:rPr>
      </w:pPr>
      <w:r w:rsidRPr="00960BA0">
        <w:rPr>
          <w:rFonts w:cs="Tahoma"/>
          <w:i/>
        </w:rPr>
        <w:t>Deveres do Agente Fiduciário.</w:t>
      </w:r>
      <w:bookmarkStart w:id="327" w:name="_DV_M269"/>
      <w:bookmarkStart w:id="328" w:name="_Ref322621425"/>
      <w:bookmarkEnd w:id="327"/>
      <w:r w:rsidRPr="00960BA0">
        <w:rPr>
          <w:rFonts w:cs="Tahoma"/>
          <w:i/>
        </w:rPr>
        <w:t xml:space="preserve"> </w:t>
      </w:r>
    </w:p>
    <w:p w:rsidR="00DD716F" w:rsidRPr="00960BA0" w:rsidRDefault="00DD716F" w:rsidP="005302FC">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8"/>
    </w:p>
    <w:p w:rsidR="00DD716F" w:rsidRPr="00960BA0" w:rsidRDefault="00DD716F" w:rsidP="00F956EA">
      <w:pPr>
        <w:pStyle w:val="roman4"/>
        <w:ind w:left="1560" w:hanging="567"/>
        <w:rPr>
          <w:rFonts w:eastAsia="Arial Unicode MS" w:cs="Tahoma"/>
          <w:w w:val="0"/>
        </w:rPr>
      </w:pPr>
      <w:bookmarkStart w:id="329" w:name="_BPDC_LN_INS_1113"/>
      <w:bookmarkStart w:id="330" w:name="_BPDC_PR_INS_1114"/>
      <w:bookmarkStart w:id="331" w:name="_BPDC_PR_INS_1115"/>
      <w:bookmarkStart w:id="332" w:name="_DV_M270"/>
      <w:bookmarkEnd w:id="329"/>
      <w:bookmarkEnd w:id="330"/>
      <w:bookmarkEnd w:id="331"/>
      <w:bookmarkEnd w:id="332"/>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960BA0" w:rsidRDefault="00DD716F" w:rsidP="00F956EA">
      <w:pPr>
        <w:pStyle w:val="roman4"/>
        <w:ind w:left="1560" w:hanging="567"/>
        <w:rPr>
          <w:rFonts w:eastAsia="Arial Unicode MS" w:cs="Tahoma"/>
          <w:w w:val="0"/>
        </w:rPr>
      </w:pPr>
      <w:bookmarkStart w:id="333" w:name="_BPDC_LN_INS_1110"/>
      <w:bookmarkStart w:id="334" w:name="_BPDC_PR_INS_1111"/>
      <w:bookmarkStart w:id="335" w:name="_BPDC_PR_INS_1112"/>
      <w:bookmarkEnd w:id="333"/>
      <w:bookmarkEnd w:id="334"/>
      <w:bookmarkEnd w:id="335"/>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960BA0" w:rsidRDefault="00DD716F" w:rsidP="00F956EA">
      <w:pPr>
        <w:pStyle w:val="roman4"/>
        <w:ind w:left="1560" w:hanging="567"/>
        <w:rPr>
          <w:rFonts w:eastAsia="Arial Unicode MS" w:cs="Tahoma"/>
          <w:w w:val="0"/>
        </w:rPr>
      </w:pPr>
      <w:bookmarkStart w:id="336" w:name="_BPDC_LN_INS_1108"/>
      <w:bookmarkStart w:id="337" w:name="_BPDC_PR_INS_1109"/>
      <w:bookmarkEnd w:id="336"/>
      <w:bookmarkEnd w:id="337"/>
      <w:r w:rsidRPr="00960BA0">
        <w:rPr>
          <w:rFonts w:eastAsia="Arial Unicode MS" w:cs="Tahoma"/>
          <w:w w:val="0"/>
        </w:rPr>
        <w:t>responsabilizar-se integralmente pelos serviços contratados, nos termos da legislação vigente aplicável;</w:t>
      </w:r>
    </w:p>
    <w:p w:rsidR="00DD716F" w:rsidRPr="00960BA0" w:rsidRDefault="00DD716F" w:rsidP="00F956EA">
      <w:pPr>
        <w:pStyle w:val="roman4"/>
        <w:ind w:left="1560" w:hanging="567"/>
        <w:rPr>
          <w:rFonts w:eastAsia="Arial Unicode MS" w:cs="Tahoma"/>
          <w:w w:val="0"/>
        </w:rPr>
      </w:pPr>
      <w:bookmarkStart w:id="338" w:name="_BPDC_LN_INS_1105"/>
      <w:bookmarkStart w:id="339" w:name="_BPDC_PR_INS_1106"/>
      <w:bookmarkStart w:id="340" w:name="_BPDC_PR_INS_1107"/>
      <w:bookmarkEnd w:id="338"/>
      <w:bookmarkEnd w:id="339"/>
      <w:bookmarkEnd w:id="340"/>
      <w:r w:rsidRPr="00960BA0">
        <w:rPr>
          <w:rFonts w:eastAsia="Arial Unicode MS" w:cs="Tahoma"/>
          <w:w w:val="0"/>
        </w:rPr>
        <w:t>conservar em boa guarda toda a documentação relativa ao exercício de suas funções;</w:t>
      </w:r>
    </w:p>
    <w:p w:rsidR="00DD716F" w:rsidRPr="00960BA0" w:rsidRDefault="00DD716F" w:rsidP="00F956EA">
      <w:pPr>
        <w:pStyle w:val="roman4"/>
        <w:ind w:left="1560" w:hanging="567"/>
        <w:rPr>
          <w:rFonts w:eastAsia="Arial Unicode MS" w:cs="Tahoma"/>
          <w:w w:val="0"/>
        </w:rPr>
      </w:pPr>
      <w:bookmarkStart w:id="341" w:name="_BPDC_LN_INS_1102"/>
      <w:bookmarkStart w:id="342" w:name="_BPDC_PR_INS_1103"/>
      <w:bookmarkStart w:id="343" w:name="_BPDC_PR_INS_1104"/>
      <w:bookmarkEnd w:id="341"/>
      <w:bookmarkEnd w:id="342"/>
      <w:bookmarkEnd w:id="343"/>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960BA0" w:rsidRDefault="00DD716F" w:rsidP="00F956EA">
      <w:pPr>
        <w:pStyle w:val="roman4"/>
        <w:ind w:left="1560" w:hanging="567"/>
        <w:rPr>
          <w:rFonts w:eastAsia="Arial Unicode MS" w:cs="Tahoma"/>
          <w:w w:val="0"/>
        </w:rPr>
      </w:pPr>
      <w:bookmarkStart w:id="344" w:name="_BPDC_LN_INS_1099"/>
      <w:bookmarkStart w:id="345" w:name="_BPDC_PR_INS_1100"/>
      <w:bookmarkStart w:id="346" w:name="_BPDC_PR_INS_1101"/>
      <w:bookmarkEnd w:id="344"/>
      <w:bookmarkEnd w:id="345"/>
      <w:bookmarkEnd w:id="346"/>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rsidR="00DD716F" w:rsidRPr="00960BA0" w:rsidRDefault="00DD716F" w:rsidP="00F956EA">
      <w:pPr>
        <w:pStyle w:val="roman4"/>
        <w:ind w:left="1560" w:hanging="567"/>
        <w:rPr>
          <w:rFonts w:eastAsia="Arial Unicode MS" w:cs="Tahoma"/>
          <w:w w:val="0"/>
        </w:rPr>
      </w:pPr>
      <w:bookmarkStart w:id="347" w:name="_BPDC_LN_INS_1096"/>
      <w:bookmarkStart w:id="348" w:name="_BPDC_PR_INS_1097"/>
      <w:bookmarkStart w:id="349" w:name="_BPDC_PR_INS_1098"/>
      <w:bookmarkEnd w:id="347"/>
      <w:bookmarkEnd w:id="348"/>
      <w:bookmarkEnd w:id="349"/>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960BA0" w:rsidRDefault="00DD716F" w:rsidP="00F956EA">
      <w:pPr>
        <w:pStyle w:val="roman4"/>
        <w:ind w:left="1560" w:hanging="567"/>
        <w:rPr>
          <w:rFonts w:eastAsia="Arial Unicode MS" w:cs="Tahoma"/>
          <w:w w:val="0"/>
        </w:rPr>
      </w:pPr>
      <w:bookmarkStart w:id="350" w:name="_BPDC_LN_INS_1093"/>
      <w:bookmarkStart w:id="351" w:name="_BPDC_PR_INS_1094"/>
      <w:bookmarkStart w:id="352" w:name="_BPDC_PR_INS_1095"/>
      <w:bookmarkEnd w:id="350"/>
      <w:bookmarkEnd w:id="351"/>
      <w:bookmarkEnd w:id="352"/>
      <w:r w:rsidRPr="00960BA0">
        <w:rPr>
          <w:rFonts w:eastAsia="Arial Unicode MS" w:cs="Tahoma"/>
          <w:w w:val="0"/>
        </w:rPr>
        <w:t>opinar sobre a suficiência das informações prestadas nas propostas de modificações nas condições das Debêntures;</w:t>
      </w:r>
    </w:p>
    <w:p w:rsidR="00DD716F" w:rsidRPr="00960BA0" w:rsidRDefault="00DD716F" w:rsidP="00F956EA">
      <w:pPr>
        <w:pStyle w:val="roman4"/>
        <w:ind w:left="1560" w:hanging="567"/>
        <w:rPr>
          <w:rFonts w:eastAsia="Arial Unicode MS" w:cs="Tahoma"/>
          <w:w w:val="0"/>
        </w:rPr>
      </w:pPr>
      <w:bookmarkStart w:id="353" w:name="_BPDC_LN_INS_1090"/>
      <w:bookmarkStart w:id="354" w:name="_BPDC_PR_INS_1091"/>
      <w:bookmarkStart w:id="355" w:name="_BPDC_PR_INS_1092"/>
      <w:bookmarkEnd w:id="353"/>
      <w:bookmarkEnd w:id="354"/>
      <w:bookmarkEnd w:id="355"/>
      <w:r w:rsidRPr="00960BA0">
        <w:rPr>
          <w:rFonts w:eastAsia="Arial Unicode MS" w:cs="Tahoma"/>
          <w:w w:val="0"/>
        </w:rPr>
        <w:t xml:space="preserve">acompanhar o cálculo e a apuração dos Juros Remuneratórios e da amortização programada feitos pela Emissora, nos termos desta Escritura de Emissão; </w:t>
      </w:r>
    </w:p>
    <w:p w:rsidR="00DD716F" w:rsidRPr="00960BA0" w:rsidRDefault="00DD716F" w:rsidP="00F956EA">
      <w:pPr>
        <w:pStyle w:val="roman4"/>
        <w:ind w:left="1560" w:hanging="567"/>
        <w:rPr>
          <w:rFonts w:eastAsia="Arial Unicode MS" w:cs="Tahoma"/>
          <w:w w:val="0"/>
        </w:rPr>
      </w:pPr>
      <w:bookmarkStart w:id="356" w:name="_BPDC_LN_INS_1087"/>
      <w:bookmarkStart w:id="357" w:name="_BPDC_PR_INS_1088"/>
      <w:bookmarkStart w:id="358" w:name="_BPDC_PR_INS_1089"/>
      <w:bookmarkEnd w:id="356"/>
      <w:bookmarkEnd w:id="357"/>
      <w:bookmarkEnd w:id="358"/>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960BA0" w:rsidRDefault="00DD716F" w:rsidP="00F956EA">
      <w:pPr>
        <w:pStyle w:val="roman4"/>
        <w:ind w:left="1560" w:hanging="567"/>
        <w:rPr>
          <w:rFonts w:eastAsia="Arial Unicode MS" w:cs="Tahoma"/>
          <w:w w:val="0"/>
        </w:rPr>
      </w:pPr>
      <w:bookmarkStart w:id="359" w:name="_BPDC_LN_INS_1084"/>
      <w:bookmarkStart w:id="360" w:name="_BPDC_PR_INS_1085"/>
      <w:bookmarkStart w:id="361" w:name="_BPDC_PR_INS_1086"/>
      <w:bookmarkEnd w:id="359"/>
      <w:bookmarkEnd w:id="360"/>
      <w:bookmarkEnd w:id="361"/>
      <w:r w:rsidRPr="00960BA0">
        <w:rPr>
          <w:rFonts w:eastAsia="Arial Unicode MS" w:cs="Tahoma"/>
          <w:w w:val="0"/>
        </w:rPr>
        <w:lastRenderedPageBreak/>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rsidR="00DD716F" w:rsidRPr="00960BA0" w:rsidRDefault="00DD716F" w:rsidP="00F956EA">
      <w:pPr>
        <w:pStyle w:val="alpha5"/>
        <w:ind w:left="1985" w:hanging="567"/>
        <w:rPr>
          <w:rFonts w:eastAsia="Arial Unicode MS" w:cs="Tahoma"/>
          <w:w w:val="0"/>
        </w:rPr>
      </w:pPr>
      <w:bookmarkStart w:id="362" w:name="_BPDC_LN_INS_1081"/>
      <w:bookmarkStart w:id="363" w:name="_BPDC_PR_INS_1082"/>
      <w:bookmarkStart w:id="364" w:name="_BPDC_PR_INS_1083"/>
      <w:bookmarkEnd w:id="362"/>
      <w:bookmarkEnd w:id="363"/>
      <w:bookmarkEnd w:id="364"/>
      <w:r w:rsidRPr="00960BA0">
        <w:rPr>
          <w:rFonts w:eastAsia="Arial Unicode MS" w:cs="Tahoma"/>
          <w:w w:val="0"/>
        </w:rPr>
        <w:t>cumprimento pela Emissora das suas obrigações de prestação de informações periódicas, indicando as inconsistências ou omissões de que tenha conhecimento;</w:t>
      </w:r>
    </w:p>
    <w:p w:rsidR="00DD716F" w:rsidRPr="00960BA0" w:rsidRDefault="00DD716F" w:rsidP="00F956EA">
      <w:pPr>
        <w:pStyle w:val="alpha5"/>
        <w:ind w:left="1985" w:hanging="567"/>
        <w:rPr>
          <w:rFonts w:eastAsia="Arial Unicode MS" w:cs="Tahoma"/>
          <w:w w:val="0"/>
        </w:rPr>
      </w:pPr>
      <w:bookmarkStart w:id="365" w:name="_BPDC_LN_INS_1078"/>
      <w:bookmarkStart w:id="366" w:name="_BPDC_PR_INS_1079"/>
      <w:bookmarkStart w:id="367" w:name="_BPDC_PR_INS_1080"/>
      <w:bookmarkEnd w:id="365"/>
      <w:bookmarkEnd w:id="366"/>
      <w:bookmarkEnd w:id="367"/>
      <w:r w:rsidRPr="00960BA0">
        <w:rPr>
          <w:rFonts w:eastAsia="Arial Unicode MS" w:cs="Tahoma"/>
          <w:w w:val="0"/>
        </w:rPr>
        <w:t>alterações estatutárias da Emissora ocorridas no exercício social com efeitos relevantes para os Debenturistas;</w:t>
      </w:r>
    </w:p>
    <w:p w:rsidR="00DD716F" w:rsidRPr="00960BA0" w:rsidRDefault="00DD716F" w:rsidP="00F956EA">
      <w:pPr>
        <w:pStyle w:val="alpha5"/>
        <w:ind w:left="1985" w:hanging="567"/>
        <w:rPr>
          <w:rFonts w:eastAsia="Arial Unicode MS" w:cs="Tahoma"/>
          <w:w w:val="0"/>
        </w:rPr>
      </w:pPr>
      <w:bookmarkStart w:id="368" w:name="_BPDC_LN_INS_1075"/>
      <w:bookmarkStart w:id="369" w:name="_BPDC_PR_INS_1076"/>
      <w:bookmarkStart w:id="370" w:name="_BPDC_PR_INS_1077"/>
      <w:bookmarkEnd w:id="368"/>
      <w:bookmarkEnd w:id="369"/>
      <w:bookmarkEnd w:id="370"/>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rsidR="00DD716F" w:rsidRPr="00960BA0" w:rsidRDefault="00DD716F" w:rsidP="00F956EA">
      <w:pPr>
        <w:pStyle w:val="alpha5"/>
        <w:ind w:left="1985" w:hanging="567"/>
        <w:rPr>
          <w:rFonts w:eastAsia="Arial Unicode MS" w:cs="Tahoma"/>
          <w:w w:val="0"/>
        </w:rPr>
      </w:pPr>
      <w:bookmarkStart w:id="371" w:name="_BPDC_LN_INS_1072"/>
      <w:bookmarkStart w:id="372" w:name="_BPDC_PR_INS_1073"/>
      <w:bookmarkStart w:id="373" w:name="_BPDC_PR_INS_1074"/>
      <w:bookmarkEnd w:id="371"/>
      <w:bookmarkEnd w:id="372"/>
      <w:bookmarkEnd w:id="373"/>
      <w:r w:rsidRPr="00960BA0">
        <w:rPr>
          <w:rFonts w:eastAsia="Arial Unicode MS" w:cs="Tahoma"/>
          <w:w w:val="0"/>
        </w:rPr>
        <w:t>quantidade de Debêntures emitidas, quantidade de Debêntures em Circulação e saldo cancelado no exercício social;</w:t>
      </w:r>
    </w:p>
    <w:p w:rsidR="00DD716F" w:rsidRPr="00960BA0" w:rsidRDefault="00DD716F" w:rsidP="00F956EA">
      <w:pPr>
        <w:pStyle w:val="alpha5"/>
        <w:ind w:left="1985" w:hanging="567"/>
        <w:rPr>
          <w:rFonts w:eastAsia="Arial Unicode MS" w:cs="Tahoma"/>
          <w:w w:val="0"/>
        </w:rPr>
      </w:pPr>
      <w:bookmarkStart w:id="374" w:name="_BPDC_LN_INS_1069"/>
      <w:bookmarkStart w:id="375" w:name="_BPDC_PR_INS_1070"/>
      <w:bookmarkStart w:id="376" w:name="_BPDC_PR_INS_1071"/>
      <w:bookmarkEnd w:id="374"/>
      <w:bookmarkEnd w:id="375"/>
      <w:bookmarkEnd w:id="376"/>
      <w:r w:rsidRPr="00960BA0">
        <w:rPr>
          <w:rFonts w:eastAsia="Arial Unicode MS" w:cs="Tahoma"/>
          <w:w w:val="0"/>
        </w:rPr>
        <w:t>resgate, amortização, conversão, repactuação e pagamento de juros das Debêntures realizados no exercício social;</w:t>
      </w:r>
    </w:p>
    <w:p w:rsidR="00DD716F" w:rsidRPr="00960BA0" w:rsidRDefault="00DD716F" w:rsidP="00F956EA">
      <w:pPr>
        <w:pStyle w:val="alpha5"/>
        <w:ind w:left="1985" w:hanging="567"/>
        <w:rPr>
          <w:rFonts w:eastAsia="Arial Unicode MS" w:cs="Tahoma"/>
          <w:w w:val="0"/>
        </w:rPr>
      </w:pPr>
      <w:bookmarkStart w:id="377" w:name="_BPDC_LN_INS_1066"/>
      <w:bookmarkStart w:id="378" w:name="_BPDC_PR_INS_1067"/>
      <w:bookmarkStart w:id="379" w:name="_BPDC_PR_INS_1068"/>
      <w:bookmarkEnd w:id="377"/>
      <w:bookmarkEnd w:id="378"/>
      <w:bookmarkEnd w:id="379"/>
      <w:r w:rsidRPr="00960BA0">
        <w:rPr>
          <w:rFonts w:eastAsia="Arial Unicode MS" w:cs="Tahoma"/>
          <w:w w:val="0"/>
        </w:rPr>
        <w:t>acompanhamento da destinação dos recursos captados por meio da Emissão, conforme informações prestadas pela Emissora;</w:t>
      </w:r>
    </w:p>
    <w:p w:rsidR="00DD716F" w:rsidRPr="00960BA0" w:rsidRDefault="00DD716F" w:rsidP="00F956EA">
      <w:pPr>
        <w:pStyle w:val="alpha5"/>
        <w:ind w:left="1985" w:hanging="567"/>
        <w:rPr>
          <w:rFonts w:eastAsia="Arial Unicode MS" w:cs="Tahoma"/>
          <w:w w:val="0"/>
        </w:rPr>
      </w:pPr>
      <w:bookmarkStart w:id="380" w:name="_BPDC_LN_INS_1063"/>
      <w:bookmarkStart w:id="381" w:name="_BPDC_PR_INS_1064"/>
      <w:bookmarkStart w:id="382" w:name="_BPDC_PR_INS_1065"/>
      <w:bookmarkEnd w:id="380"/>
      <w:bookmarkEnd w:id="381"/>
      <w:bookmarkEnd w:id="382"/>
      <w:r w:rsidRPr="00960BA0">
        <w:rPr>
          <w:rFonts w:eastAsia="Arial Unicode MS" w:cs="Tahoma"/>
          <w:w w:val="0"/>
        </w:rPr>
        <w:t>declaração sobre a não existência de situação de conflito de interesses que impeça o Agente Fiduciário a continuar a exercer a função;</w:t>
      </w:r>
    </w:p>
    <w:p w:rsidR="00DD716F" w:rsidRPr="00960BA0" w:rsidRDefault="00DD716F" w:rsidP="00F956EA">
      <w:pPr>
        <w:pStyle w:val="alpha5"/>
        <w:ind w:left="1985" w:hanging="567"/>
        <w:rPr>
          <w:rFonts w:eastAsia="Arial Unicode MS" w:cs="Tahoma"/>
          <w:w w:val="0"/>
        </w:rPr>
      </w:pPr>
      <w:bookmarkStart w:id="383" w:name="_BPDC_LN_INS_1060"/>
      <w:bookmarkStart w:id="384" w:name="_BPDC_PR_INS_1061"/>
      <w:bookmarkStart w:id="385" w:name="_BPDC_PR_INS_1062"/>
      <w:bookmarkEnd w:id="383"/>
      <w:bookmarkEnd w:id="384"/>
      <w:bookmarkEnd w:id="385"/>
      <w:r w:rsidRPr="00960BA0">
        <w:rPr>
          <w:rFonts w:eastAsia="Arial Unicode MS" w:cs="Tahoma"/>
          <w:w w:val="0"/>
        </w:rPr>
        <w:t>relação dos bens e valores eventualmente entregues à sua administração, quando houver;</w:t>
      </w:r>
    </w:p>
    <w:p w:rsidR="00DD716F" w:rsidRPr="00960BA0" w:rsidRDefault="00DD716F" w:rsidP="00F956EA">
      <w:pPr>
        <w:pStyle w:val="alpha5"/>
        <w:ind w:left="1985" w:hanging="567"/>
        <w:rPr>
          <w:rFonts w:eastAsia="Arial Unicode MS" w:cs="Tahoma"/>
          <w:w w:val="0"/>
        </w:rPr>
      </w:pPr>
      <w:bookmarkStart w:id="386" w:name="_BPDC_LN_INS_1057"/>
      <w:bookmarkStart w:id="387" w:name="_BPDC_PR_INS_1058"/>
      <w:bookmarkStart w:id="388" w:name="_BPDC_PR_INS_1059"/>
      <w:bookmarkEnd w:id="386"/>
      <w:bookmarkEnd w:id="387"/>
      <w:bookmarkEnd w:id="388"/>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960BA0" w:rsidRDefault="00DD716F" w:rsidP="00F956EA">
      <w:pPr>
        <w:pStyle w:val="alpha5"/>
        <w:ind w:left="1985" w:hanging="567"/>
        <w:rPr>
          <w:rFonts w:eastAsia="Arial Unicode MS" w:cs="Tahoma"/>
          <w:w w:val="0"/>
        </w:rPr>
      </w:pPr>
      <w:bookmarkStart w:id="389" w:name="_BPDC_LN_INS_1054"/>
      <w:bookmarkStart w:id="390" w:name="_BPDC_PR_INS_1055"/>
      <w:bookmarkStart w:id="391" w:name="_BPDC_PR_INS_1056"/>
      <w:bookmarkEnd w:id="389"/>
      <w:bookmarkEnd w:id="390"/>
      <w:bookmarkEnd w:id="391"/>
      <w:r w:rsidRPr="00960BA0">
        <w:rPr>
          <w:rFonts w:eastAsia="Arial Unicode MS" w:cs="Tahoma"/>
          <w:w w:val="0"/>
        </w:rPr>
        <w:t>cumprimento de outras obrigações assumidas pela Emissora nesta Escritura de Emissão.</w:t>
      </w:r>
    </w:p>
    <w:p w:rsidR="00DD716F" w:rsidRPr="00960BA0" w:rsidRDefault="00DD716F" w:rsidP="00F956EA">
      <w:pPr>
        <w:pStyle w:val="roman4"/>
        <w:ind w:left="1560" w:hanging="567"/>
        <w:rPr>
          <w:rFonts w:eastAsia="Arial Unicode MS" w:cs="Tahoma"/>
          <w:b/>
          <w:w w:val="0"/>
        </w:rPr>
      </w:pPr>
      <w:bookmarkStart w:id="392" w:name="_BPDC_LN_INS_1051"/>
      <w:bookmarkStart w:id="393" w:name="_BPDC_PR_INS_1052"/>
      <w:bookmarkStart w:id="394" w:name="_BPDC_PR_INS_1053"/>
      <w:bookmarkEnd w:id="392"/>
      <w:bookmarkEnd w:id="393"/>
      <w:bookmarkEnd w:id="394"/>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960BA0" w:rsidRDefault="00DD716F" w:rsidP="00F956EA">
      <w:pPr>
        <w:pStyle w:val="roman4"/>
        <w:ind w:left="1560" w:hanging="567"/>
        <w:rPr>
          <w:rFonts w:eastAsia="Arial Unicode MS" w:cs="Tahoma"/>
          <w:w w:val="0"/>
        </w:rPr>
      </w:pPr>
      <w:bookmarkStart w:id="395" w:name="_BPDC_LN_INS_1048"/>
      <w:bookmarkStart w:id="396" w:name="_BPDC_PR_INS_1049"/>
      <w:bookmarkStart w:id="397" w:name="_BPDC_PR_INS_1050"/>
      <w:bookmarkEnd w:id="395"/>
      <w:bookmarkEnd w:id="396"/>
      <w:bookmarkEnd w:id="397"/>
      <w:r w:rsidRPr="00960BA0">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960BA0" w:rsidRDefault="00DD716F" w:rsidP="00F956EA">
      <w:pPr>
        <w:pStyle w:val="roman4"/>
        <w:ind w:left="1560" w:hanging="567"/>
        <w:rPr>
          <w:rFonts w:eastAsia="Arial Unicode MS" w:cs="Tahoma"/>
          <w:w w:val="0"/>
        </w:rPr>
      </w:pPr>
      <w:bookmarkStart w:id="398" w:name="_BPDC_LN_INS_1041"/>
      <w:bookmarkStart w:id="399" w:name="_BPDC_PR_INS_1042"/>
      <w:bookmarkStart w:id="400" w:name="_BPDC_PR_INS_1043"/>
      <w:bookmarkStart w:id="401" w:name="_BPDC_PR_INS_1044"/>
      <w:bookmarkStart w:id="402" w:name="_BPDC_PR_INS_1045"/>
      <w:bookmarkStart w:id="403" w:name="_BPDC_PR_INS_1046"/>
      <w:bookmarkStart w:id="404" w:name="_BPDC_PR_INS_1047"/>
      <w:bookmarkEnd w:id="398"/>
      <w:bookmarkEnd w:id="399"/>
      <w:bookmarkEnd w:id="400"/>
      <w:bookmarkEnd w:id="401"/>
      <w:bookmarkEnd w:id="402"/>
      <w:bookmarkEnd w:id="403"/>
      <w:bookmarkEnd w:id="404"/>
      <w:r w:rsidRPr="00960BA0">
        <w:rPr>
          <w:rFonts w:eastAsia="Arial Unicode MS" w:cs="Tahoma"/>
          <w:w w:val="0"/>
        </w:rPr>
        <w:t>solicitar, quando considerar necessária, auditoria externa na Emissora;</w:t>
      </w:r>
    </w:p>
    <w:p w:rsidR="00DD716F" w:rsidRPr="00960BA0" w:rsidRDefault="00DD716F" w:rsidP="00F956EA">
      <w:pPr>
        <w:pStyle w:val="roman4"/>
        <w:ind w:left="1560" w:hanging="567"/>
        <w:rPr>
          <w:rFonts w:eastAsia="Arial Unicode MS" w:cs="Tahoma"/>
          <w:w w:val="0"/>
        </w:rPr>
      </w:pPr>
      <w:bookmarkStart w:id="405" w:name="_BPDC_LN_INS_1038"/>
      <w:bookmarkStart w:id="406" w:name="_BPDC_PR_INS_1039"/>
      <w:bookmarkStart w:id="407" w:name="_BPDC_PR_INS_1040"/>
      <w:bookmarkEnd w:id="405"/>
      <w:bookmarkEnd w:id="406"/>
      <w:bookmarkEnd w:id="407"/>
      <w:r w:rsidRPr="00960BA0">
        <w:rPr>
          <w:rFonts w:eastAsia="Arial Unicode MS" w:cs="Tahoma"/>
          <w:w w:val="0"/>
        </w:rPr>
        <w:lastRenderedPageBreak/>
        <w:t>comparecer à Assembleia Geral de Debenturistas a fim de prestar as informações que lhe forem solicitadas, bem como convocar, quando necessário, Assembleia Geral de Debenturistas nos termos da presente Escritura de Emissão;</w:t>
      </w:r>
    </w:p>
    <w:p w:rsidR="00DD716F" w:rsidRDefault="00DD716F" w:rsidP="00F956EA">
      <w:pPr>
        <w:pStyle w:val="roman4"/>
        <w:ind w:left="1560" w:hanging="567"/>
        <w:rPr>
          <w:rFonts w:eastAsia="Arial Unicode MS" w:cs="Tahoma"/>
          <w:w w:val="0"/>
        </w:rPr>
      </w:pPr>
      <w:bookmarkStart w:id="408" w:name="_BPDC_LN_INS_1035"/>
      <w:bookmarkStart w:id="409" w:name="_BPDC_PR_INS_1036"/>
      <w:bookmarkStart w:id="410" w:name="_BPDC_PR_INS_1037"/>
      <w:bookmarkEnd w:id="408"/>
      <w:bookmarkEnd w:id="409"/>
      <w:bookmarkEnd w:id="410"/>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61C32" w:rsidRPr="00861C32" w:rsidRDefault="00861C32" w:rsidP="00F956EA">
      <w:pPr>
        <w:pStyle w:val="roman4"/>
        <w:ind w:left="1560" w:hanging="567"/>
        <w:rPr>
          <w:rFonts w:eastAsia="Arial Unicode MS" w:cs="Tahoma"/>
          <w:w w:val="0"/>
        </w:rPr>
      </w:pPr>
      <w:r w:rsidRPr="00861C32">
        <w:rPr>
          <w:rFonts w:eastAsia="Arial Unicode MS" w:cs="Tahoma"/>
          <w:w w:val="0"/>
        </w:rPr>
        <w:t xml:space="preserve">acompanhar, </w:t>
      </w:r>
      <w:r>
        <w:rPr>
          <w:rFonts w:eastAsia="Arial Unicode MS" w:cs="Tahoma"/>
          <w:w w:val="0"/>
        </w:rPr>
        <w:t>anualmente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rsidR="00DD716F" w:rsidRPr="00960BA0" w:rsidRDefault="00DD716F" w:rsidP="00F956EA">
      <w:pPr>
        <w:pStyle w:val="roman4"/>
        <w:ind w:left="1560" w:hanging="567"/>
        <w:rPr>
          <w:rFonts w:eastAsia="Arial Unicode MS" w:cs="Tahoma"/>
          <w:w w:val="0"/>
        </w:rPr>
      </w:pPr>
      <w:bookmarkStart w:id="411" w:name="_BPDC_LN_INS_1032"/>
      <w:bookmarkStart w:id="412" w:name="_BPDC_PR_INS_1033"/>
      <w:bookmarkStart w:id="413" w:name="_BPDC_PR_INS_1034"/>
      <w:bookmarkStart w:id="414" w:name="_BPDC_LN_INS_1029"/>
      <w:bookmarkStart w:id="415" w:name="_BPDC_PR_INS_1030"/>
      <w:bookmarkStart w:id="416" w:name="_BPDC_PR_INS_1031"/>
      <w:bookmarkEnd w:id="411"/>
      <w:bookmarkEnd w:id="412"/>
      <w:bookmarkEnd w:id="413"/>
      <w:bookmarkEnd w:id="414"/>
      <w:bookmarkEnd w:id="415"/>
      <w:bookmarkEnd w:id="416"/>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960BA0" w:rsidRDefault="00DD716F" w:rsidP="00F956EA">
      <w:pPr>
        <w:pStyle w:val="roman4"/>
        <w:ind w:left="1560" w:hanging="567"/>
        <w:rPr>
          <w:rFonts w:eastAsia="Arial Unicode MS" w:cs="Tahoma"/>
          <w:w w:val="0"/>
        </w:rPr>
      </w:pPr>
      <w:bookmarkStart w:id="417" w:name="_BPDC_LN_INS_1026"/>
      <w:bookmarkStart w:id="418" w:name="_BPDC_PR_INS_1027"/>
      <w:bookmarkStart w:id="419" w:name="_BPDC_PR_INS_1028"/>
      <w:bookmarkStart w:id="420" w:name="_BPDC_LN_INS_1023"/>
      <w:bookmarkStart w:id="421" w:name="_BPDC_PR_INS_1024"/>
      <w:bookmarkStart w:id="422" w:name="_BPDC_PR_INS_1025"/>
      <w:bookmarkEnd w:id="417"/>
      <w:bookmarkEnd w:id="418"/>
      <w:bookmarkEnd w:id="419"/>
      <w:bookmarkEnd w:id="420"/>
      <w:bookmarkEnd w:id="421"/>
      <w:bookmarkEnd w:id="422"/>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960BA0" w:rsidRDefault="00DD716F" w:rsidP="005302FC">
      <w:pPr>
        <w:pStyle w:val="Level3"/>
        <w:numPr>
          <w:ilvl w:val="2"/>
          <w:numId w:val="6"/>
        </w:numPr>
        <w:rPr>
          <w:rFonts w:cs="Tahoma"/>
        </w:rPr>
      </w:pPr>
      <w:bookmarkStart w:id="423" w:name="_BPDC_LN_INS_1021"/>
      <w:bookmarkStart w:id="424" w:name="_BPDC_PR_INS_1022"/>
      <w:bookmarkEnd w:id="423"/>
      <w:bookmarkEnd w:id="424"/>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960BA0" w:rsidRDefault="00DD716F" w:rsidP="005302FC">
      <w:pPr>
        <w:pStyle w:val="Level2"/>
        <w:numPr>
          <w:ilvl w:val="1"/>
          <w:numId w:val="6"/>
        </w:numPr>
        <w:rPr>
          <w:rFonts w:cs="Tahoma"/>
          <w:i/>
        </w:rPr>
      </w:pPr>
      <w:r w:rsidRPr="00960BA0">
        <w:rPr>
          <w:rFonts w:cs="Tahoma"/>
          <w:i/>
        </w:rPr>
        <w:t>Remuneração.</w:t>
      </w:r>
    </w:p>
    <w:p w:rsidR="00DD716F" w:rsidRPr="00960BA0" w:rsidRDefault="00DD716F" w:rsidP="005302FC">
      <w:pPr>
        <w:pStyle w:val="Level3"/>
        <w:numPr>
          <w:ilvl w:val="2"/>
          <w:numId w:val="6"/>
        </w:numPr>
        <w:rPr>
          <w:rFonts w:cs="Tahoma"/>
        </w:rPr>
      </w:pPr>
      <w:bookmarkStart w:id="425" w:name="_DV_M305"/>
      <w:bookmarkStart w:id="426" w:name="_DV_M353"/>
      <w:bookmarkEnd w:id="425"/>
      <w:bookmarkEnd w:id="426"/>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6E4ABE">
        <w:rPr>
          <w:rFonts w:cs="Tahoma"/>
        </w:rPr>
        <w:t>[•]</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rsidR="00DD716F" w:rsidRPr="00960BA0" w:rsidRDefault="00DD716F" w:rsidP="005302FC">
      <w:pPr>
        <w:pStyle w:val="Level3"/>
        <w:numPr>
          <w:ilvl w:val="2"/>
          <w:numId w:val="6"/>
        </w:numPr>
        <w:rPr>
          <w:rFonts w:cs="Tahoma"/>
        </w:rPr>
      </w:pPr>
      <w:r w:rsidRPr="00960BA0">
        <w:rPr>
          <w:rFonts w:cs="Tahoma"/>
        </w:rPr>
        <w:t xml:space="preserve">As parcelas acima mencionadas 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rsidR="00DD716F" w:rsidRPr="00960BA0" w:rsidRDefault="00DD716F" w:rsidP="005302FC">
      <w:pPr>
        <w:pStyle w:val="Level3"/>
        <w:numPr>
          <w:ilvl w:val="2"/>
          <w:numId w:val="6"/>
        </w:numPr>
        <w:rPr>
          <w:rFonts w:cs="Tahoma"/>
        </w:rPr>
      </w:pPr>
      <w:bookmarkStart w:id="427" w:name="_Ref322622729"/>
      <w:r w:rsidRPr="00960BA0">
        <w:rPr>
          <w:rFonts w:cs="Tahoma"/>
        </w:rPr>
        <w:lastRenderedPageBreak/>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7"/>
      <w:r w:rsidRPr="00960BA0">
        <w:rPr>
          <w:rFonts w:cs="Tahoma"/>
        </w:rPr>
        <w:t xml:space="preserve"> </w:t>
      </w:r>
    </w:p>
    <w:p w:rsidR="00DD716F" w:rsidRPr="00960BA0" w:rsidRDefault="00DD716F" w:rsidP="005302FC">
      <w:pPr>
        <w:pStyle w:val="Level3"/>
        <w:numPr>
          <w:ilvl w:val="2"/>
          <w:numId w:val="6"/>
        </w:numPr>
        <w:rPr>
          <w:rFonts w:cs="Tahoma"/>
        </w:rPr>
      </w:pPr>
      <w:bookmarkStart w:id="428"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8"/>
    </w:p>
    <w:p w:rsidR="00DD716F" w:rsidRPr="00960BA0" w:rsidRDefault="00DD716F" w:rsidP="005302FC">
      <w:pPr>
        <w:pStyle w:val="Level3"/>
        <w:numPr>
          <w:ilvl w:val="2"/>
          <w:numId w:val="6"/>
        </w:numPr>
        <w:rPr>
          <w:rFonts w:cs="Tahoma"/>
        </w:rPr>
      </w:pPr>
      <w:r w:rsidRPr="00960BA0">
        <w:rPr>
          <w:rFonts w:cs="Tahoma"/>
        </w:rPr>
        <w:t xml:space="preserve">O Agente Fiduciário </w:t>
      </w:r>
      <w:bookmarkStart w:id="429"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29"/>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960BA0" w:rsidRDefault="00DD716F" w:rsidP="00B85D15">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rsidR="00DD716F" w:rsidRPr="00960BA0" w:rsidRDefault="00DD716F" w:rsidP="00B85D15">
      <w:pPr>
        <w:pStyle w:val="roman4"/>
        <w:ind w:left="2127" w:hanging="709"/>
        <w:rPr>
          <w:rFonts w:cs="Tahoma"/>
        </w:rPr>
      </w:pPr>
      <w:r w:rsidRPr="00960BA0">
        <w:rPr>
          <w:rFonts w:cs="Tahoma"/>
        </w:rPr>
        <w:t>extração de certidões relacionadas à Emissão;</w:t>
      </w:r>
    </w:p>
    <w:p w:rsidR="00DD716F" w:rsidRPr="00960BA0" w:rsidRDefault="00DD716F" w:rsidP="00B85D15">
      <w:pPr>
        <w:pStyle w:val="roman4"/>
        <w:ind w:left="2127" w:hanging="709"/>
        <w:rPr>
          <w:rFonts w:cs="Tahoma"/>
        </w:rPr>
      </w:pPr>
      <w:r w:rsidRPr="00960BA0">
        <w:rPr>
          <w:rFonts w:cs="Tahoma"/>
        </w:rPr>
        <w:t>fotocópias, digitalizações, envio de documentos relacionados à Emissão;</w:t>
      </w:r>
    </w:p>
    <w:p w:rsidR="00DD716F" w:rsidRPr="00960BA0" w:rsidRDefault="00DD716F" w:rsidP="00B85D15">
      <w:pPr>
        <w:pStyle w:val="roman4"/>
        <w:ind w:left="2127" w:hanging="709"/>
        <w:rPr>
          <w:rFonts w:cs="Tahoma"/>
        </w:rPr>
      </w:pPr>
      <w:r w:rsidRPr="00960BA0">
        <w:rPr>
          <w:rFonts w:cs="Tahoma"/>
        </w:rPr>
        <w:t>custos incorridos em contatos telefônicos relacionados à Emissão;</w:t>
      </w:r>
    </w:p>
    <w:p w:rsidR="00DD716F" w:rsidRPr="00960BA0" w:rsidRDefault="00DD716F" w:rsidP="00B85D15">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960BA0" w:rsidRDefault="00DD716F" w:rsidP="00B85D15">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960BA0" w:rsidRDefault="00DD716F" w:rsidP="005302FC">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w:t>
      </w:r>
      <w:r w:rsidRPr="00960BA0">
        <w:rPr>
          <w:rFonts w:cs="Tahoma"/>
        </w:rPr>
        <w:lastRenderedPageBreak/>
        <w:t xml:space="preserve">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rsidR="00DD716F" w:rsidRPr="00960BA0" w:rsidRDefault="00DD716F" w:rsidP="005302FC">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rsidR="00DD716F" w:rsidRPr="00960BA0" w:rsidRDefault="00DD716F" w:rsidP="005302FC">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rsidR="00DD716F" w:rsidRPr="00960BA0" w:rsidRDefault="00DD716F" w:rsidP="005302FC">
      <w:pPr>
        <w:pStyle w:val="Level2"/>
        <w:numPr>
          <w:ilvl w:val="1"/>
          <w:numId w:val="6"/>
        </w:numPr>
        <w:rPr>
          <w:rFonts w:cs="Tahoma"/>
          <w:i/>
        </w:rPr>
      </w:pPr>
      <w:r w:rsidRPr="00960BA0">
        <w:rPr>
          <w:rFonts w:cs="Tahoma"/>
          <w:i/>
        </w:rPr>
        <w:t>Declarações.</w:t>
      </w:r>
    </w:p>
    <w:p w:rsidR="00DD716F" w:rsidRPr="00960BA0" w:rsidRDefault="00DD716F" w:rsidP="005302FC">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rsidR="00DD716F" w:rsidRPr="006E4ABE" w:rsidRDefault="00DD716F" w:rsidP="00B85D15">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960BA0" w:rsidRDefault="00DD716F" w:rsidP="00B85D15">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rsidR="00DD716F" w:rsidRPr="00960BA0" w:rsidRDefault="00DD716F" w:rsidP="00B85D15">
      <w:pPr>
        <w:pStyle w:val="roman4"/>
        <w:tabs>
          <w:tab w:val="clear" w:pos="2722"/>
          <w:tab w:val="num" w:pos="1701"/>
        </w:tabs>
        <w:ind w:left="1418" w:hanging="709"/>
        <w:rPr>
          <w:rFonts w:cs="Tahoma"/>
        </w:rPr>
      </w:pPr>
      <w:bookmarkStart w:id="430" w:name="_DV_M306"/>
      <w:bookmarkEnd w:id="430"/>
      <w:r w:rsidRPr="00960BA0">
        <w:rPr>
          <w:rFonts w:cs="Tahoma"/>
        </w:rPr>
        <w:t>conhecer e aceitar integralmente a presente Escritura de Emissão, todas as suas cláusulas e condições;</w:t>
      </w:r>
    </w:p>
    <w:p w:rsidR="00DD716F" w:rsidRPr="00960BA0" w:rsidRDefault="00DD716F" w:rsidP="00B85D15">
      <w:pPr>
        <w:pStyle w:val="roman4"/>
        <w:tabs>
          <w:tab w:val="clear" w:pos="2722"/>
          <w:tab w:val="num" w:pos="1701"/>
        </w:tabs>
        <w:ind w:left="1418" w:hanging="709"/>
        <w:rPr>
          <w:rFonts w:cs="Tahoma"/>
        </w:rPr>
      </w:pPr>
      <w:bookmarkStart w:id="431" w:name="_DV_M307"/>
      <w:bookmarkEnd w:id="431"/>
      <w:r w:rsidRPr="00960BA0">
        <w:rPr>
          <w:rFonts w:cs="Tahoma"/>
        </w:rPr>
        <w:t>não ter qualquer ligação com a Emissora que o impeça de exercer suas funções;</w:t>
      </w:r>
    </w:p>
    <w:p w:rsidR="00DD716F" w:rsidRPr="00960BA0" w:rsidRDefault="00DD716F" w:rsidP="00B85D15">
      <w:pPr>
        <w:pStyle w:val="roman4"/>
        <w:tabs>
          <w:tab w:val="clear" w:pos="2722"/>
          <w:tab w:val="num" w:pos="1701"/>
        </w:tabs>
        <w:ind w:left="1418" w:hanging="709"/>
        <w:rPr>
          <w:rFonts w:cs="Tahoma"/>
        </w:rPr>
      </w:pPr>
      <w:bookmarkStart w:id="432" w:name="_DV_M308"/>
      <w:bookmarkEnd w:id="432"/>
      <w:r w:rsidRPr="00960BA0">
        <w:rPr>
          <w:rFonts w:cs="Tahoma"/>
        </w:rPr>
        <w:t>estar ciente da regulamentação aplicável emanada do Banco Central do Brasil e da CVM, incluindo a Circular do Banco Central do Brasil nº 1.832, de 31 de outubro de 1990;</w:t>
      </w:r>
    </w:p>
    <w:p w:rsidR="00DD716F" w:rsidRPr="00960BA0" w:rsidRDefault="00DD716F" w:rsidP="00B85D15">
      <w:pPr>
        <w:pStyle w:val="roman4"/>
        <w:tabs>
          <w:tab w:val="clear" w:pos="2722"/>
          <w:tab w:val="num" w:pos="1701"/>
        </w:tabs>
        <w:ind w:left="1418" w:hanging="709"/>
        <w:rPr>
          <w:rFonts w:cs="Tahoma"/>
        </w:rPr>
      </w:pPr>
      <w:bookmarkStart w:id="433" w:name="_DV_M309"/>
      <w:bookmarkEnd w:id="433"/>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960BA0" w:rsidRDefault="00DD716F" w:rsidP="00B85D15">
      <w:pPr>
        <w:pStyle w:val="roman4"/>
        <w:tabs>
          <w:tab w:val="clear" w:pos="2722"/>
          <w:tab w:val="num" w:pos="1701"/>
        </w:tabs>
        <w:ind w:left="1418" w:hanging="709"/>
        <w:rPr>
          <w:rFonts w:cs="Tahoma"/>
        </w:rPr>
      </w:pPr>
      <w:bookmarkStart w:id="434" w:name="_DV_X471"/>
      <w:r w:rsidRPr="00960BA0">
        <w:rPr>
          <w:rFonts w:cs="Tahoma"/>
        </w:rPr>
        <w:t>não se encontrar em nenhuma das situações de conflito de interesse previstas no artigo 6º da Instrução CVM 583;</w:t>
      </w:r>
      <w:bookmarkEnd w:id="434"/>
    </w:p>
    <w:p w:rsidR="00DD716F" w:rsidRPr="00960BA0" w:rsidRDefault="00DD716F" w:rsidP="00B85D15">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rsidR="00DD716F" w:rsidRPr="00960BA0" w:rsidRDefault="00DD716F" w:rsidP="00B85D15">
      <w:pPr>
        <w:pStyle w:val="roman4"/>
        <w:tabs>
          <w:tab w:val="clear" w:pos="2722"/>
          <w:tab w:val="num" w:pos="1701"/>
        </w:tabs>
        <w:ind w:left="1418" w:hanging="709"/>
        <w:rPr>
          <w:rFonts w:cs="Tahoma"/>
        </w:rPr>
      </w:pPr>
      <w:r w:rsidRPr="00960BA0">
        <w:rPr>
          <w:rFonts w:cs="Tahoma"/>
        </w:rPr>
        <w:lastRenderedPageBreak/>
        <w:t>ser instituição financeira, estando devidamente organizada, constituída e existente de acordo com as leis brasileiras;</w:t>
      </w:r>
    </w:p>
    <w:p w:rsidR="00DD716F" w:rsidRPr="00960BA0" w:rsidRDefault="00DD716F" w:rsidP="00B85D15">
      <w:pPr>
        <w:pStyle w:val="roman4"/>
        <w:tabs>
          <w:tab w:val="clear" w:pos="2722"/>
          <w:tab w:val="num" w:pos="1701"/>
        </w:tabs>
        <w:ind w:left="1418" w:hanging="709"/>
        <w:rPr>
          <w:rFonts w:cs="Tahoma"/>
        </w:rPr>
      </w:pPr>
      <w:bookmarkStart w:id="435" w:name="_DV_C424"/>
      <w:r w:rsidRPr="00960BA0">
        <w:rPr>
          <w:rFonts w:cs="Tahoma"/>
        </w:rPr>
        <w:t xml:space="preserve">que </w:t>
      </w:r>
      <w:bookmarkStart w:id="436" w:name="_DV_X465"/>
      <w:bookmarkStart w:id="437" w:name="_DV_C425"/>
      <w:bookmarkEnd w:id="435"/>
      <w:r w:rsidRPr="00960BA0">
        <w:rPr>
          <w:rFonts w:cs="Tahoma"/>
        </w:rPr>
        <w:t>esta Escritura de Emissão constitui uma obrigação legal, válida</w:t>
      </w:r>
      <w:bookmarkStart w:id="438" w:name="_DV_C426"/>
      <w:bookmarkEnd w:id="436"/>
      <w:bookmarkEnd w:id="437"/>
      <w:r w:rsidRPr="00960BA0">
        <w:rPr>
          <w:rFonts w:cs="Tahoma"/>
        </w:rPr>
        <w:t>, vinculativa e eficaz</w:t>
      </w:r>
      <w:bookmarkStart w:id="439" w:name="_DV_X467"/>
      <w:bookmarkStart w:id="440" w:name="_DV_C427"/>
      <w:bookmarkEnd w:id="438"/>
      <w:r w:rsidRPr="00960BA0">
        <w:rPr>
          <w:rFonts w:cs="Tahoma"/>
        </w:rPr>
        <w:t xml:space="preserve"> do Agente Fiduciário, exequível de acordo com os seus termos e condições;</w:t>
      </w:r>
      <w:bookmarkEnd w:id="439"/>
      <w:bookmarkEnd w:id="440"/>
    </w:p>
    <w:p w:rsidR="00DD716F" w:rsidRPr="00960BA0" w:rsidRDefault="00DD716F" w:rsidP="00B85D15">
      <w:pPr>
        <w:pStyle w:val="roman4"/>
        <w:tabs>
          <w:tab w:val="clear" w:pos="2722"/>
          <w:tab w:val="num" w:pos="1701"/>
        </w:tabs>
        <w:ind w:left="1418" w:hanging="709"/>
        <w:rPr>
          <w:rFonts w:cs="Tahoma"/>
        </w:rPr>
      </w:pPr>
      <w:bookmarkStart w:id="441" w:name="_DV_M310"/>
      <w:bookmarkEnd w:id="441"/>
      <w:r w:rsidRPr="00960BA0">
        <w:rPr>
          <w:rFonts w:cs="Tahoma"/>
        </w:rPr>
        <w:t xml:space="preserve">que a celebração desta Escritura de Emissão e o cumprimento de suas obrigações aqui previstas não infringem qualquer obrigação anteriormente assumida pelo Agente Fiduciário; </w:t>
      </w:r>
    </w:p>
    <w:p w:rsidR="00DD716F" w:rsidRPr="00960BA0" w:rsidRDefault="00DD716F" w:rsidP="00B85D15">
      <w:pPr>
        <w:pStyle w:val="roman4"/>
        <w:tabs>
          <w:tab w:val="clear" w:pos="2722"/>
          <w:tab w:val="num" w:pos="1701"/>
        </w:tabs>
        <w:ind w:left="1418" w:hanging="709"/>
        <w:rPr>
          <w:rFonts w:cs="Tahoma"/>
        </w:rPr>
      </w:pPr>
      <w:bookmarkStart w:id="442"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Default="00DD716F" w:rsidP="00B85D15">
      <w:pPr>
        <w:pStyle w:val="roman4"/>
        <w:tabs>
          <w:tab w:val="clear" w:pos="2722"/>
          <w:tab w:val="num" w:pos="1701"/>
        </w:tabs>
        <w:ind w:left="1418" w:hanging="709"/>
        <w:rPr>
          <w:rFonts w:cs="Tahoma"/>
        </w:rPr>
      </w:pPr>
      <w:bookmarkStart w:id="443" w:name="_DV_M313"/>
      <w:bookmarkEnd w:id="442"/>
      <w:bookmarkEnd w:id="443"/>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Pr>
          <w:rFonts w:cs="Tahoma"/>
        </w:rPr>
        <w:t xml:space="preserve"> [•]</w:t>
      </w:r>
    </w:p>
    <w:p w:rsidR="00DD716F" w:rsidRPr="00D61FD1" w:rsidRDefault="006A509E" w:rsidP="005302FC">
      <w:pPr>
        <w:pStyle w:val="Level1"/>
        <w:numPr>
          <w:ilvl w:val="0"/>
          <w:numId w:val="6"/>
        </w:numPr>
        <w:rPr>
          <w:rFonts w:cs="Tahoma"/>
          <w:b/>
        </w:rPr>
      </w:pPr>
      <w:bookmarkStart w:id="444" w:name="_DV_M373"/>
      <w:bookmarkStart w:id="445" w:name="_Toc261004491"/>
      <w:bookmarkStart w:id="446" w:name="_Ref368491849"/>
      <w:bookmarkEnd w:id="444"/>
      <w:r w:rsidRPr="00D61FD1">
        <w:rPr>
          <w:rFonts w:cs="Tahoma"/>
          <w:b/>
        </w:rPr>
        <w:t>ASSEMBLEIA GERAL DE DEBENTURISTAS</w:t>
      </w:r>
      <w:bookmarkEnd w:id="445"/>
      <w:bookmarkEnd w:id="446"/>
    </w:p>
    <w:p w:rsidR="00DD716F" w:rsidRPr="00960BA0" w:rsidRDefault="00DD716F" w:rsidP="005302FC">
      <w:pPr>
        <w:pStyle w:val="Level2"/>
        <w:numPr>
          <w:ilvl w:val="1"/>
          <w:numId w:val="6"/>
        </w:numPr>
        <w:rPr>
          <w:rFonts w:cs="Tahoma"/>
          <w:i/>
        </w:rPr>
      </w:pPr>
      <w:bookmarkStart w:id="447" w:name="_Ref447756814"/>
      <w:r w:rsidRPr="00960BA0">
        <w:rPr>
          <w:rFonts w:cs="Tahoma"/>
          <w:i/>
        </w:rPr>
        <w:t>Disposições Gerais</w:t>
      </w:r>
      <w:bookmarkEnd w:id="447"/>
    </w:p>
    <w:p w:rsidR="00DD716F" w:rsidRPr="00960BA0" w:rsidRDefault="00DD716F" w:rsidP="005302FC">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rsidR="00DD716F" w:rsidRPr="00960BA0" w:rsidRDefault="00DD716F" w:rsidP="005302FC">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rsidR="00DD716F" w:rsidRPr="00960BA0" w:rsidRDefault="00DD716F" w:rsidP="005302FC">
      <w:pPr>
        <w:pStyle w:val="Level2"/>
        <w:numPr>
          <w:ilvl w:val="1"/>
          <w:numId w:val="6"/>
        </w:numPr>
        <w:rPr>
          <w:rFonts w:cs="Tahoma"/>
          <w:i/>
        </w:rPr>
      </w:pPr>
      <w:r w:rsidRPr="00960BA0">
        <w:rPr>
          <w:rFonts w:cs="Tahoma"/>
          <w:i/>
        </w:rPr>
        <w:t>Convocação</w:t>
      </w:r>
    </w:p>
    <w:p w:rsidR="00DD716F" w:rsidRPr="00960BA0" w:rsidRDefault="00DD716F" w:rsidP="005302FC">
      <w:pPr>
        <w:pStyle w:val="Level3"/>
        <w:numPr>
          <w:ilvl w:val="2"/>
          <w:numId w:val="6"/>
        </w:numPr>
        <w:rPr>
          <w:rFonts w:cs="Tahoma"/>
        </w:rPr>
      </w:pPr>
      <w:bookmarkStart w:id="448" w:name="_DV_M388"/>
      <w:bookmarkEnd w:id="448"/>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rsidR="00DD716F" w:rsidRPr="00960BA0" w:rsidRDefault="00DD716F" w:rsidP="005302FC">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rsidR="00DD716F" w:rsidRPr="00960BA0" w:rsidRDefault="00DD716F" w:rsidP="005302FC">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w:t>
      </w:r>
      <w:r w:rsidRPr="00960BA0">
        <w:rPr>
          <w:rFonts w:cs="Tahoma"/>
        </w:rPr>
        <w:lastRenderedPageBreak/>
        <w:t xml:space="preserve">Debenturistas em primeira convocação, em segunda convocação somente poderá ser realizada em, no mínimo, 8 (oito) dias corridos contados da data da publicação do novo anúncio de convocação. </w:t>
      </w:r>
    </w:p>
    <w:p w:rsidR="00DD716F" w:rsidRPr="00960BA0" w:rsidRDefault="00DD716F" w:rsidP="005302FC">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960BA0" w:rsidRDefault="00DD716F" w:rsidP="005302FC">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960BA0" w:rsidRDefault="00DD716F" w:rsidP="005302FC">
      <w:pPr>
        <w:pStyle w:val="Level2"/>
        <w:numPr>
          <w:ilvl w:val="1"/>
          <w:numId w:val="6"/>
        </w:numPr>
        <w:rPr>
          <w:rFonts w:cs="Tahoma"/>
          <w:i/>
        </w:rPr>
      </w:pPr>
      <w:bookmarkStart w:id="449" w:name="_DV_M389"/>
      <w:bookmarkEnd w:id="449"/>
      <w:r w:rsidRPr="00960BA0">
        <w:rPr>
          <w:rFonts w:cs="Tahoma"/>
          <w:i/>
        </w:rPr>
        <w:t>Quórum de Instalação</w:t>
      </w:r>
    </w:p>
    <w:p w:rsidR="00DD716F" w:rsidRDefault="00DD716F" w:rsidP="005302FC">
      <w:pPr>
        <w:pStyle w:val="Level3"/>
        <w:numPr>
          <w:ilvl w:val="2"/>
          <w:numId w:val="6"/>
        </w:numPr>
        <w:rPr>
          <w:rFonts w:cs="Tahoma"/>
        </w:rPr>
      </w:pPr>
      <w:bookmarkStart w:id="450" w:name="_DV_M390"/>
      <w:bookmarkEnd w:id="450"/>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rsidR="00DD716F" w:rsidRPr="00960BA0" w:rsidRDefault="00DD716F" w:rsidP="005302FC">
      <w:pPr>
        <w:pStyle w:val="Level2"/>
        <w:numPr>
          <w:ilvl w:val="1"/>
          <w:numId w:val="6"/>
        </w:numPr>
        <w:rPr>
          <w:rFonts w:cs="Tahoma"/>
          <w:i/>
        </w:rPr>
      </w:pPr>
      <w:bookmarkStart w:id="451" w:name="_DV_M391"/>
      <w:bookmarkStart w:id="452" w:name="_DV_M392"/>
      <w:bookmarkStart w:id="453" w:name="_DV_M393"/>
      <w:bookmarkStart w:id="454" w:name="_Ref447756836"/>
      <w:bookmarkEnd w:id="451"/>
      <w:bookmarkEnd w:id="452"/>
      <w:bookmarkEnd w:id="453"/>
      <w:r w:rsidRPr="00960BA0">
        <w:rPr>
          <w:rFonts w:cs="Tahoma"/>
          <w:i/>
        </w:rPr>
        <w:t>Quórum de Deliberação</w:t>
      </w:r>
      <w:bookmarkEnd w:id="454"/>
      <w:r w:rsidRPr="00960BA0">
        <w:rPr>
          <w:rFonts w:cs="Tahoma"/>
          <w:i/>
        </w:rPr>
        <w:t xml:space="preserve"> </w:t>
      </w:r>
    </w:p>
    <w:p w:rsidR="00DD716F" w:rsidRPr="000E4ED3" w:rsidRDefault="00880510" w:rsidP="005302FC">
      <w:pPr>
        <w:pStyle w:val="Level3"/>
        <w:numPr>
          <w:ilvl w:val="2"/>
          <w:numId w:val="6"/>
        </w:numPr>
        <w:rPr>
          <w:rFonts w:cs="Tahoma"/>
        </w:rPr>
      </w:pPr>
      <w:bookmarkStart w:id="455"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rsidR="0018740F" w:rsidRPr="000E4ED3" w:rsidRDefault="0018740F" w:rsidP="005302FC">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rsidR="0018740F" w:rsidRPr="00960BA0" w:rsidRDefault="0018740F" w:rsidP="005302FC">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rsidR="00DD716F" w:rsidRDefault="00D321BA" w:rsidP="005302FC">
      <w:pPr>
        <w:pStyle w:val="Level3"/>
        <w:numPr>
          <w:ilvl w:val="2"/>
          <w:numId w:val="6"/>
        </w:numPr>
        <w:rPr>
          <w:rFonts w:cs="Tahoma"/>
        </w:rPr>
      </w:pPr>
      <w:bookmarkStart w:id="456" w:name="_Ref447758418"/>
      <w:bookmarkEnd w:id="455"/>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 xml:space="preserve">Juros Remuneratórios ou quaisquer valores previstos nesta Escritura de Emissão, incluindo condições de amortização e resgate; (iii) Data de Vencimento ou prazo de </w:t>
      </w:r>
      <w:r w:rsidR="00DD716F" w:rsidRPr="00960BA0">
        <w:rPr>
          <w:rFonts w:cs="Tahoma"/>
        </w:rPr>
        <w:lastRenderedPageBreak/>
        <w:t>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456"/>
    <w:p w:rsidR="00DD716F" w:rsidRPr="00960BA0" w:rsidRDefault="00DD716F" w:rsidP="005302FC">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Default="00DD716F" w:rsidP="005302FC">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rsidR="00880510" w:rsidRPr="00960BA0" w:rsidRDefault="00880510" w:rsidP="005302FC">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rsidR="00DD716F" w:rsidRPr="00960BA0" w:rsidRDefault="00DD716F" w:rsidP="005302FC">
      <w:pPr>
        <w:pStyle w:val="Level2"/>
        <w:numPr>
          <w:ilvl w:val="1"/>
          <w:numId w:val="6"/>
        </w:numPr>
        <w:rPr>
          <w:rFonts w:cs="Tahoma"/>
          <w:i/>
        </w:rPr>
      </w:pPr>
      <w:r w:rsidRPr="00960BA0">
        <w:rPr>
          <w:rFonts w:cs="Tahoma"/>
          <w:i/>
        </w:rPr>
        <w:t>Mesa Diretora</w:t>
      </w:r>
    </w:p>
    <w:p w:rsidR="00DD716F" w:rsidRPr="00960BA0" w:rsidRDefault="00DD716F" w:rsidP="005302FC">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rsidR="00DD716F" w:rsidRPr="006A509E" w:rsidRDefault="006A509E" w:rsidP="005302FC">
      <w:pPr>
        <w:pStyle w:val="Level1"/>
        <w:numPr>
          <w:ilvl w:val="0"/>
          <w:numId w:val="6"/>
        </w:numPr>
        <w:rPr>
          <w:rFonts w:cs="Tahoma"/>
          <w:b/>
        </w:rPr>
      </w:pPr>
      <w:bookmarkStart w:id="457" w:name="_BPDC_LN_INS_1007"/>
      <w:bookmarkStart w:id="458" w:name="_BPDC_PR_INS_1008"/>
      <w:bookmarkStart w:id="459" w:name="_DV_M384"/>
      <w:bookmarkStart w:id="460" w:name="_DV_M387"/>
      <w:bookmarkStart w:id="461" w:name="_Toc261004493"/>
      <w:bookmarkEnd w:id="457"/>
      <w:bookmarkEnd w:id="458"/>
      <w:bookmarkEnd w:id="459"/>
      <w:bookmarkEnd w:id="460"/>
      <w:r w:rsidRPr="006A509E">
        <w:rPr>
          <w:rFonts w:cs="Tahoma"/>
          <w:b/>
        </w:rPr>
        <w:t>DECLARAÇÕES E GARANTIAS DA EMISSORA</w:t>
      </w:r>
      <w:bookmarkEnd w:id="461"/>
    </w:p>
    <w:p w:rsidR="00DD716F" w:rsidRPr="00960BA0" w:rsidRDefault="00DD716F" w:rsidP="005302FC">
      <w:pPr>
        <w:pStyle w:val="Level2"/>
        <w:numPr>
          <w:ilvl w:val="1"/>
          <w:numId w:val="6"/>
        </w:numPr>
        <w:rPr>
          <w:rFonts w:eastAsia="Arial Unicode MS" w:cs="Tahoma"/>
        </w:rPr>
      </w:pPr>
      <w:bookmarkStart w:id="462" w:name="_DV_M394"/>
      <w:bookmarkEnd w:id="462"/>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rsidR="00084017" w:rsidRDefault="00CA7DAE" w:rsidP="00B85D15">
      <w:pPr>
        <w:pStyle w:val="roman3"/>
        <w:numPr>
          <w:ilvl w:val="0"/>
          <w:numId w:val="58"/>
        </w:numPr>
        <w:ind w:left="993"/>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rsidR="00CA7DAE" w:rsidRPr="00CA7DAE" w:rsidRDefault="009E60F8" w:rsidP="00B85D15">
      <w:pPr>
        <w:pStyle w:val="roman3"/>
        <w:numPr>
          <w:ilvl w:val="0"/>
          <w:numId w:val="58"/>
        </w:numPr>
        <w:ind w:left="993"/>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rsidR="009E60F8" w:rsidRPr="009E60F8" w:rsidRDefault="009E60F8" w:rsidP="00B85D15">
      <w:pPr>
        <w:pStyle w:val="roman3"/>
        <w:numPr>
          <w:ilvl w:val="0"/>
          <w:numId w:val="58"/>
        </w:numPr>
        <w:spacing w:after="160"/>
        <w:ind w:left="993"/>
        <w:rPr>
          <w:rFonts w:cstheme="minorHAnsi"/>
        </w:rPr>
      </w:pPr>
      <w:r w:rsidRPr="009E60F8">
        <w:rPr>
          <w:rFonts w:cstheme="minorHAnsi"/>
        </w:rPr>
        <w:lastRenderedPageBreak/>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rsidR="00CA7DAE" w:rsidRPr="00960BA0" w:rsidRDefault="00084017" w:rsidP="00B85D15">
      <w:pPr>
        <w:pStyle w:val="roman3"/>
        <w:numPr>
          <w:ilvl w:val="0"/>
          <w:numId w:val="58"/>
        </w:numPr>
        <w:spacing w:after="160"/>
        <w:ind w:left="993"/>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rsidR="00CA7DAE" w:rsidRPr="00A956CE" w:rsidRDefault="00084017" w:rsidP="00B85D15">
      <w:pPr>
        <w:pStyle w:val="roman3"/>
        <w:numPr>
          <w:ilvl w:val="0"/>
          <w:numId w:val="58"/>
        </w:numPr>
        <w:spacing w:after="160"/>
        <w:ind w:left="993"/>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rsidR="004541FE" w:rsidRPr="00D61FD1" w:rsidRDefault="00084017" w:rsidP="00B85D15">
      <w:pPr>
        <w:pStyle w:val="roman3"/>
        <w:numPr>
          <w:ilvl w:val="0"/>
          <w:numId w:val="58"/>
        </w:numPr>
        <w:spacing w:after="160"/>
        <w:ind w:left="993"/>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rsidR="004541FE" w:rsidRPr="00D61FD1" w:rsidRDefault="00CA7DAE" w:rsidP="00B85D15">
      <w:pPr>
        <w:pStyle w:val="roman3"/>
        <w:numPr>
          <w:ilvl w:val="0"/>
          <w:numId w:val="58"/>
        </w:numPr>
        <w:spacing w:after="160"/>
        <w:ind w:left="993"/>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rsidR="00CA7DAE" w:rsidRPr="00960BA0" w:rsidRDefault="00CA7DAE" w:rsidP="00B85D15">
      <w:pPr>
        <w:pStyle w:val="roman3"/>
        <w:numPr>
          <w:ilvl w:val="0"/>
          <w:numId w:val="58"/>
        </w:numPr>
        <w:spacing w:after="160"/>
        <w:ind w:left="993"/>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rsidR="00CA7DAE" w:rsidRPr="002D15CA" w:rsidRDefault="0042232B" w:rsidP="00B85D15">
      <w:pPr>
        <w:pStyle w:val="roman3"/>
        <w:numPr>
          <w:ilvl w:val="0"/>
          <w:numId w:val="58"/>
        </w:numPr>
        <w:spacing w:after="160"/>
        <w:ind w:left="993"/>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rsidR="00CA7DAE" w:rsidRPr="002D15CA" w:rsidRDefault="00CA7DAE" w:rsidP="00B85D15">
      <w:pPr>
        <w:pStyle w:val="roman3"/>
        <w:numPr>
          <w:ilvl w:val="0"/>
          <w:numId w:val="58"/>
        </w:numPr>
        <w:spacing w:after="160"/>
        <w:ind w:left="993"/>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rsidR="00CA7DAE" w:rsidRPr="002D15CA" w:rsidRDefault="00CA7DAE" w:rsidP="00B85D15">
      <w:pPr>
        <w:pStyle w:val="roman3"/>
        <w:numPr>
          <w:ilvl w:val="0"/>
          <w:numId w:val="58"/>
        </w:numPr>
        <w:spacing w:after="160"/>
        <w:ind w:left="993"/>
        <w:rPr>
          <w:rFonts w:cs="Tahoma"/>
        </w:rPr>
      </w:pPr>
      <w:r>
        <w:rPr>
          <w:rFonts w:cs="Tahoma"/>
        </w:rPr>
        <w:lastRenderedPageBreak/>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rsidR="00CA7DAE" w:rsidRPr="002D15CA" w:rsidRDefault="00CA7DAE" w:rsidP="00B85D15">
      <w:pPr>
        <w:pStyle w:val="roman3"/>
        <w:numPr>
          <w:ilvl w:val="0"/>
          <w:numId w:val="58"/>
        </w:numPr>
        <w:spacing w:after="160"/>
        <w:ind w:left="993"/>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rsidR="00CA7DAE" w:rsidRPr="002D15CA" w:rsidRDefault="00CA7DAE" w:rsidP="00B85D15">
      <w:pPr>
        <w:pStyle w:val="roman3"/>
        <w:numPr>
          <w:ilvl w:val="0"/>
          <w:numId w:val="58"/>
        </w:numPr>
        <w:spacing w:after="160"/>
        <w:ind w:left="993"/>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rsidR="00CA7DAE" w:rsidRPr="002D15CA" w:rsidRDefault="00CA7DAE" w:rsidP="00B85D15">
      <w:pPr>
        <w:pStyle w:val="roman3"/>
        <w:numPr>
          <w:ilvl w:val="0"/>
          <w:numId w:val="58"/>
        </w:numPr>
        <w:spacing w:after="160"/>
        <w:ind w:left="993"/>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rsidR="00CA7DAE" w:rsidRDefault="00CA7DAE" w:rsidP="00B85D15">
      <w:pPr>
        <w:pStyle w:val="roman3"/>
        <w:numPr>
          <w:ilvl w:val="0"/>
          <w:numId w:val="58"/>
        </w:numPr>
        <w:spacing w:after="160"/>
        <w:ind w:left="993"/>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63" w:name="_DV_M131"/>
      <w:bookmarkEnd w:id="463"/>
    </w:p>
    <w:p w:rsidR="00C750F6" w:rsidRPr="00C750F6" w:rsidRDefault="00C750F6" w:rsidP="00B85D15">
      <w:pPr>
        <w:pStyle w:val="roman3"/>
        <w:numPr>
          <w:ilvl w:val="0"/>
          <w:numId w:val="58"/>
        </w:numPr>
        <w:spacing w:after="160"/>
        <w:ind w:left="993"/>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rsidR="00CA7DAE" w:rsidRPr="002D15CA" w:rsidRDefault="00CA7DAE" w:rsidP="00B85D15">
      <w:pPr>
        <w:pStyle w:val="roman3"/>
        <w:numPr>
          <w:ilvl w:val="0"/>
          <w:numId w:val="58"/>
        </w:numPr>
        <w:spacing w:after="160"/>
        <w:ind w:left="993"/>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rsidR="00CA7DAE" w:rsidRPr="002D15CA" w:rsidRDefault="00CA7DAE" w:rsidP="00B85D15">
      <w:pPr>
        <w:pStyle w:val="roman3"/>
        <w:numPr>
          <w:ilvl w:val="0"/>
          <w:numId w:val="58"/>
        </w:numPr>
        <w:spacing w:after="160"/>
        <w:ind w:left="993"/>
        <w:rPr>
          <w:rFonts w:cs="Tahoma"/>
        </w:rPr>
      </w:pPr>
      <w:r w:rsidRPr="002D15CA">
        <w:rPr>
          <w:rFonts w:cs="Tahoma"/>
        </w:rPr>
        <w:lastRenderedPageBreak/>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rsidR="00CA7DAE" w:rsidRPr="002D15CA" w:rsidRDefault="0042232B" w:rsidP="00B85D15">
      <w:pPr>
        <w:pStyle w:val="roman3"/>
        <w:numPr>
          <w:ilvl w:val="0"/>
          <w:numId w:val="58"/>
        </w:numPr>
        <w:spacing w:after="160"/>
        <w:ind w:left="993"/>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rsidR="00CA7DAE" w:rsidRPr="002D15CA" w:rsidRDefault="00CA7DAE" w:rsidP="00B85D15">
      <w:pPr>
        <w:pStyle w:val="roman3"/>
        <w:numPr>
          <w:ilvl w:val="0"/>
          <w:numId w:val="58"/>
        </w:numPr>
        <w:spacing w:after="160"/>
        <w:ind w:left="993"/>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rsidR="00DD716F" w:rsidRPr="00960BA0" w:rsidRDefault="00DD716F" w:rsidP="00B85D15">
      <w:pPr>
        <w:pStyle w:val="roman3"/>
        <w:numPr>
          <w:ilvl w:val="0"/>
          <w:numId w:val="58"/>
        </w:numPr>
        <w:spacing w:after="160"/>
        <w:ind w:left="993"/>
        <w:rPr>
          <w:rFonts w:eastAsia="Arial Unicode MS" w:cs="Tahoma"/>
        </w:rPr>
      </w:pPr>
      <w:bookmarkStart w:id="464" w:name="_DV_M402"/>
      <w:bookmarkStart w:id="465" w:name="_DV_M403"/>
      <w:bookmarkStart w:id="466" w:name="_DV_M404"/>
      <w:bookmarkStart w:id="467" w:name="_DV_M405"/>
      <w:bookmarkEnd w:id="464"/>
      <w:bookmarkEnd w:id="465"/>
      <w:bookmarkEnd w:id="466"/>
      <w:bookmarkEnd w:id="467"/>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68" w:name="_DV_C340"/>
      <w:r w:rsidRPr="00960BA0">
        <w:rPr>
          <w:rFonts w:eastAsia="Arial Unicode MS" w:cs="Tahoma"/>
        </w:rPr>
        <w:t xml:space="preserve"> da comunicação à CVM</w:t>
      </w:r>
      <w:bookmarkEnd w:id="468"/>
      <w:r w:rsidRPr="00960BA0">
        <w:rPr>
          <w:rFonts w:eastAsia="Arial Unicode MS" w:cs="Tahoma"/>
        </w:rPr>
        <w:t xml:space="preserve"> do encerramento da distribuição das Debêntures, a menos que a nova oferta seja submetida a registro na CVM;</w:t>
      </w:r>
    </w:p>
    <w:p w:rsidR="00F956EA" w:rsidRDefault="00F956EA" w:rsidP="00F956EA">
      <w:pPr>
        <w:pStyle w:val="roman3"/>
        <w:spacing w:after="160"/>
        <w:ind w:left="993"/>
        <w:rPr>
          <w:rFonts w:eastAsia="Arial Unicode MS" w:cs="Tahoma"/>
        </w:rPr>
      </w:pPr>
      <w:r>
        <w:rPr>
          <w:rFonts w:eastAsia="Arial Unicode MS" w:cs="Tahoma"/>
        </w:rPr>
        <w:t>[</w:t>
      </w:r>
      <w:r w:rsidRPr="00B85D15">
        <w:rPr>
          <w:rFonts w:eastAsia="Arial Unicode MS" w:cs="Tahoma"/>
          <w:b/>
          <w:highlight w:val="lightGray"/>
        </w:rPr>
        <w:t>Nota MF</w:t>
      </w:r>
      <w:r w:rsidRPr="00B85D15">
        <w:rPr>
          <w:rFonts w:eastAsia="Arial Unicode MS" w:cs="Tahoma"/>
          <w:highlight w:val="lightGray"/>
        </w:rPr>
        <w:t>: falsidade de declaração já é hipótese de vencimento</w:t>
      </w:r>
      <w:r>
        <w:rPr>
          <w:rFonts w:eastAsia="Arial Unicode MS" w:cs="Tahoma"/>
        </w:rPr>
        <w:t>]</w:t>
      </w:r>
      <w:r w:rsidR="00D42BA3">
        <w:rPr>
          <w:rFonts w:eastAsia="Arial Unicode MS" w:cs="Tahoma"/>
        </w:rPr>
        <w:t xml:space="preserve"> </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rsidR="00DD716F" w:rsidRPr="006A509E" w:rsidRDefault="006A509E" w:rsidP="005302FC">
      <w:pPr>
        <w:pStyle w:val="Level1"/>
        <w:numPr>
          <w:ilvl w:val="0"/>
          <w:numId w:val="6"/>
        </w:numPr>
        <w:rPr>
          <w:rFonts w:cs="Tahoma"/>
          <w:b/>
        </w:rPr>
      </w:pPr>
      <w:bookmarkStart w:id="469" w:name="_DV_M410"/>
      <w:bookmarkEnd w:id="469"/>
      <w:r w:rsidRPr="006A509E">
        <w:rPr>
          <w:rFonts w:cs="Tahoma"/>
          <w:b/>
        </w:rPr>
        <w:t>COMUNICAÇÕES</w:t>
      </w:r>
    </w:p>
    <w:p w:rsidR="00DD716F" w:rsidRPr="00960BA0" w:rsidRDefault="00DD716F" w:rsidP="005302FC">
      <w:pPr>
        <w:pStyle w:val="Level2"/>
        <w:numPr>
          <w:ilvl w:val="1"/>
          <w:numId w:val="6"/>
        </w:numPr>
        <w:rPr>
          <w:rFonts w:eastAsia="Arial Unicode MS" w:cs="Tahoma"/>
          <w:w w:val="0"/>
        </w:rPr>
      </w:pPr>
      <w:bookmarkStart w:id="470" w:name="_DV_M165"/>
      <w:bookmarkStart w:id="471" w:name="_Ref322622615"/>
      <w:bookmarkEnd w:id="470"/>
      <w:r w:rsidRPr="00960BA0">
        <w:rPr>
          <w:rFonts w:cs="Tahoma"/>
        </w:rPr>
        <w:lastRenderedPageBreak/>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71"/>
      <w:r w:rsidRPr="00960BA0">
        <w:rPr>
          <w:rFonts w:eastAsia="Arial Unicode MS" w:cs="Tahoma"/>
          <w:w w:val="0"/>
        </w:rPr>
        <w:t xml:space="preserve"> </w:t>
      </w:r>
    </w:p>
    <w:p w:rsidR="00DD716F" w:rsidRPr="006E4ABE" w:rsidRDefault="00DD716F" w:rsidP="005302FC">
      <w:pPr>
        <w:pStyle w:val="roman3"/>
        <w:numPr>
          <w:ilvl w:val="0"/>
          <w:numId w:val="56"/>
        </w:numPr>
        <w:rPr>
          <w:rFonts w:eastAsia="Arial Unicode MS" w:cs="Tahoma"/>
        </w:rPr>
      </w:pPr>
      <w:bookmarkStart w:id="472" w:name="_DV_M166"/>
      <w:bookmarkEnd w:id="472"/>
      <w:r w:rsidRPr="006E4ABE">
        <w:rPr>
          <w:rFonts w:eastAsia="Arial Unicode MS" w:cs="Tahoma"/>
        </w:rPr>
        <w:t>Para a Emissora:</w:t>
      </w:r>
    </w:p>
    <w:p w:rsidR="00DD716F" w:rsidRPr="00960BA0" w:rsidRDefault="00F0048B" w:rsidP="00B85D15">
      <w:pPr>
        <w:shd w:val="clear" w:color="auto" w:fill="FFFFFF"/>
        <w:spacing w:after="2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6" w:history="1">
        <w:r w:rsidRPr="009A77A0">
          <w:rPr>
            <w:rStyle w:val="Hyperlink"/>
            <w:rFonts w:cs="Tahoma"/>
            <w:szCs w:val="20"/>
          </w:rPr>
          <w:t>projectfinance@echoenergia.com.br</w:t>
        </w:r>
      </w:hyperlink>
    </w:p>
    <w:p w:rsidR="00DD716F" w:rsidRPr="00960BA0" w:rsidRDefault="00DD716F" w:rsidP="005302FC">
      <w:pPr>
        <w:pStyle w:val="roman3"/>
        <w:numPr>
          <w:ilvl w:val="0"/>
          <w:numId w:val="48"/>
        </w:numPr>
        <w:rPr>
          <w:rFonts w:eastAsia="Arial Unicode MS" w:cs="Tahoma"/>
        </w:rPr>
      </w:pPr>
      <w:r w:rsidRPr="00960BA0">
        <w:rPr>
          <w:rFonts w:eastAsia="Arial Unicode MS" w:cs="Tahoma"/>
        </w:rPr>
        <w:t xml:space="preserve">Para o Agente Fiduciário: </w:t>
      </w:r>
    </w:p>
    <w:p w:rsidR="00DD716F" w:rsidRPr="00960BA0" w:rsidRDefault="00D44C1D" w:rsidP="005302FC">
      <w:pPr>
        <w:pStyle w:val="Body3"/>
        <w:ind w:left="1134"/>
        <w:jc w:val="left"/>
        <w:rPr>
          <w:rFonts w:cs="Tahoma"/>
          <w:color w:val="000000"/>
        </w:rPr>
      </w:pPr>
      <w:bookmarkStart w:id="473" w:name="_DV_M174"/>
      <w:bookmarkStart w:id="474" w:name="_DV_M180"/>
      <w:bookmarkEnd w:id="473"/>
      <w:bookmarkEnd w:id="474"/>
      <w:r>
        <w:rPr>
          <w:rFonts w:cs="Tahoma"/>
          <w:b/>
        </w:rPr>
        <w:t>[•]</w:t>
      </w:r>
      <w:r w:rsidRPr="00960BA0">
        <w:rPr>
          <w:rFonts w:cs="Tahoma"/>
          <w:b/>
        </w:rPr>
        <w:br/>
      </w:r>
      <w:r>
        <w:rPr>
          <w:rFonts w:eastAsia="Arial Unicode MS" w:cs="Tahoma"/>
          <w:w w:val="0"/>
        </w:rPr>
        <w:t>[endereço]</w:t>
      </w:r>
      <w:r w:rsidRPr="00960BA0">
        <w:rPr>
          <w:rFonts w:eastAsia="Arial Unicode MS" w:cs="Tahoma"/>
          <w:w w:val="0"/>
        </w:rPr>
        <w:br/>
        <w:t xml:space="preserve">At.: </w:t>
      </w:r>
      <w:r>
        <w:rPr>
          <w:rFonts w:eastAsia="Arial Unicode MS" w:cs="Tahoma"/>
          <w:w w:val="0"/>
        </w:rPr>
        <w:t>[•]</w:t>
      </w:r>
      <w:r w:rsidRPr="00960BA0">
        <w:rPr>
          <w:rFonts w:eastAsia="Arial Unicode MS" w:cs="Tahoma"/>
          <w:w w:val="0"/>
        </w:rPr>
        <w:br/>
        <w:t xml:space="preserve">Telefone: </w:t>
      </w:r>
      <w:r>
        <w:rPr>
          <w:rFonts w:eastAsia="Arial Unicode MS" w:cs="Tahoma"/>
          <w:w w:val="0"/>
        </w:rPr>
        <w:t>[•]</w:t>
      </w:r>
      <w:r w:rsidRPr="00960BA0">
        <w:rPr>
          <w:rFonts w:eastAsia="Arial Unicode MS" w:cs="Tahoma"/>
          <w:w w:val="0"/>
        </w:rPr>
        <w:br/>
        <w:t xml:space="preserve">E-mail: </w:t>
      </w:r>
      <w:r>
        <w:rPr>
          <w:rFonts w:eastAsia="Arial Unicode MS" w:cs="Tahoma"/>
          <w:w w:val="0"/>
        </w:rPr>
        <w:t>[•]</w:t>
      </w:r>
    </w:p>
    <w:p w:rsidR="00DD716F" w:rsidRPr="00960BA0" w:rsidRDefault="00DD716F" w:rsidP="005302FC">
      <w:pPr>
        <w:pStyle w:val="roman3"/>
        <w:numPr>
          <w:ilvl w:val="0"/>
          <w:numId w:val="48"/>
        </w:numPr>
        <w:rPr>
          <w:rFonts w:eastAsia="Arial Unicode MS" w:cs="Tahoma"/>
        </w:rPr>
      </w:pPr>
      <w:r w:rsidRPr="00960BA0">
        <w:rPr>
          <w:rFonts w:eastAsia="Arial Unicode MS" w:cs="Tahoma"/>
        </w:rPr>
        <w:t>Para o Banco Liquidante e Escriturador:</w:t>
      </w:r>
    </w:p>
    <w:p w:rsidR="00DD716F" w:rsidRPr="00960BA0" w:rsidRDefault="00D44C1D" w:rsidP="005302FC">
      <w:pPr>
        <w:pStyle w:val="Body3"/>
        <w:ind w:left="1134"/>
        <w:jc w:val="left"/>
        <w:rPr>
          <w:rFonts w:eastAsia="Arial Unicode MS" w:cs="Tahoma"/>
          <w:w w:val="0"/>
        </w:rPr>
      </w:pPr>
      <w:r>
        <w:rPr>
          <w:rFonts w:cs="Tahoma"/>
          <w:b/>
        </w:rPr>
        <w:t>[•]</w:t>
      </w:r>
      <w:r w:rsidR="00DD716F" w:rsidRPr="00960BA0">
        <w:rPr>
          <w:rFonts w:cs="Tahoma"/>
          <w:b/>
        </w:rPr>
        <w:br/>
      </w:r>
      <w:r>
        <w:rPr>
          <w:rFonts w:eastAsia="Arial Unicode MS" w:cs="Tahoma"/>
          <w:w w:val="0"/>
        </w:rPr>
        <w:t>[endereço]</w:t>
      </w:r>
      <w:r w:rsidR="00DD716F" w:rsidRPr="00960BA0">
        <w:rPr>
          <w:rFonts w:eastAsia="Arial Unicode MS" w:cs="Tahoma"/>
          <w:w w:val="0"/>
        </w:rPr>
        <w:br/>
        <w:t xml:space="preserve">At.: </w:t>
      </w:r>
      <w:r>
        <w:rPr>
          <w:rFonts w:eastAsia="Arial Unicode MS" w:cs="Tahoma"/>
          <w:w w:val="0"/>
        </w:rPr>
        <w:t>[•]</w:t>
      </w:r>
      <w:r w:rsidR="00DD716F" w:rsidRPr="00960BA0">
        <w:rPr>
          <w:rFonts w:eastAsia="Arial Unicode MS" w:cs="Tahoma"/>
          <w:w w:val="0"/>
        </w:rPr>
        <w:br/>
        <w:t xml:space="preserve">Telefone: </w:t>
      </w:r>
      <w:r>
        <w:rPr>
          <w:rFonts w:eastAsia="Arial Unicode MS" w:cs="Tahoma"/>
          <w:w w:val="0"/>
        </w:rPr>
        <w:t>[•]</w:t>
      </w:r>
      <w:r w:rsidR="00DD716F" w:rsidRPr="00960BA0">
        <w:rPr>
          <w:rFonts w:eastAsia="Arial Unicode MS" w:cs="Tahoma"/>
          <w:w w:val="0"/>
        </w:rPr>
        <w:br/>
        <w:t xml:space="preserve">E-mail: </w:t>
      </w:r>
      <w:r>
        <w:rPr>
          <w:rFonts w:eastAsia="Arial Unicode MS" w:cs="Tahoma"/>
          <w:w w:val="0"/>
        </w:rPr>
        <w:t>[•]</w:t>
      </w:r>
    </w:p>
    <w:p w:rsidR="00DD716F" w:rsidRPr="00960BA0" w:rsidRDefault="00DD716F" w:rsidP="005302FC">
      <w:pPr>
        <w:pStyle w:val="roman3"/>
        <w:numPr>
          <w:ilvl w:val="0"/>
          <w:numId w:val="48"/>
        </w:numPr>
        <w:rPr>
          <w:rFonts w:eastAsia="Arial Unicode MS" w:cs="Tahoma"/>
        </w:rPr>
      </w:pPr>
      <w:r w:rsidRPr="00960BA0">
        <w:rPr>
          <w:rFonts w:eastAsia="Arial Unicode MS" w:cs="Tahoma"/>
        </w:rPr>
        <w:t>Para a B3:</w:t>
      </w:r>
    </w:p>
    <w:p w:rsidR="00DD716F" w:rsidRPr="00960BA0" w:rsidRDefault="00DD716F" w:rsidP="005302FC">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Valores Mobiliários de Renda Fixa </w:t>
      </w:r>
      <w:r w:rsidRPr="00960BA0">
        <w:rPr>
          <w:rFonts w:cs="Tahoma"/>
        </w:rPr>
        <w:br/>
        <w:t>Tel.: 0300-111-1596</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960BA0" w:rsidRDefault="00DD716F" w:rsidP="005302FC">
      <w:pPr>
        <w:pStyle w:val="Level2"/>
        <w:numPr>
          <w:ilvl w:val="1"/>
          <w:numId w:val="6"/>
        </w:numPr>
        <w:rPr>
          <w:rFonts w:eastAsia="Arial Unicode MS" w:cs="Tahoma"/>
          <w:w w:val="0"/>
        </w:rPr>
      </w:pPr>
      <w:bookmarkStart w:id="475" w:name="_DV_M182"/>
      <w:bookmarkStart w:id="476" w:name="_DV_M183"/>
      <w:bookmarkEnd w:id="475"/>
      <w:bookmarkEnd w:id="476"/>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rsidR="00DD716F" w:rsidRPr="006A509E" w:rsidRDefault="006A509E" w:rsidP="005302FC">
      <w:pPr>
        <w:pStyle w:val="Level1"/>
        <w:numPr>
          <w:ilvl w:val="0"/>
          <w:numId w:val="6"/>
        </w:numPr>
        <w:rPr>
          <w:rFonts w:cs="Tahoma"/>
          <w:b/>
        </w:rPr>
      </w:pPr>
      <w:r w:rsidRPr="006A509E">
        <w:rPr>
          <w:rFonts w:cs="Tahoma"/>
          <w:b/>
        </w:rPr>
        <w:t>DISPOSIÇÕES GERAIS</w:t>
      </w:r>
    </w:p>
    <w:p w:rsidR="00DD716F" w:rsidRPr="00960BA0" w:rsidRDefault="00DD716F" w:rsidP="005302FC">
      <w:pPr>
        <w:pStyle w:val="Level2"/>
        <w:numPr>
          <w:ilvl w:val="1"/>
          <w:numId w:val="6"/>
        </w:numPr>
        <w:rPr>
          <w:rFonts w:eastAsia="Arial Unicode MS" w:cs="Tahoma"/>
          <w:w w:val="0"/>
        </w:rPr>
      </w:pPr>
      <w:bookmarkStart w:id="477" w:name="_DV_M412"/>
      <w:bookmarkEnd w:id="477"/>
      <w:r w:rsidRPr="00960BA0">
        <w:rPr>
          <w:rFonts w:eastAsia="Arial Unicode MS" w:cs="Tahoma"/>
          <w:w w:val="0"/>
        </w:rPr>
        <w:lastRenderedPageBreak/>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960BA0" w:rsidRDefault="00DD716F" w:rsidP="005302FC">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960BA0" w:rsidRDefault="00DD716F" w:rsidP="005302FC">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rsidR="00DD716F" w:rsidRPr="00960BA0" w:rsidRDefault="00DD716F" w:rsidP="005302FC">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960BA0" w:rsidRDefault="00DD716F" w:rsidP="005302FC">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960BA0" w:rsidRDefault="00DD716F" w:rsidP="005302FC">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960BA0" w:rsidRDefault="00DD716F" w:rsidP="005302FC">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w:t>
      </w:r>
      <w:r w:rsidRPr="00960BA0">
        <w:rPr>
          <w:rFonts w:cs="Tahoma"/>
        </w:rPr>
        <w:lastRenderedPageBreak/>
        <w:t>serão válidos quando previamente assim deliberado pelos Debenturistas reunidos em Assembleia Geral de Debenturistas.</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rsidR="00DD716F" w:rsidRPr="006A509E" w:rsidRDefault="006A509E" w:rsidP="005302FC">
      <w:pPr>
        <w:pStyle w:val="Level1"/>
        <w:numPr>
          <w:ilvl w:val="0"/>
          <w:numId w:val="6"/>
        </w:numPr>
        <w:rPr>
          <w:rFonts w:cs="Tahoma"/>
          <w:b/>
        </w:rPr>
      </w:pPr>
      <w:bookmarkStart w:id="478" w:name="_DV_M413"/>
      <w:bookmarkStart w:id="479" w:name="_Toc261004495"/>
      <w:bookmarkEnd w:id="478"/>
      <w:r w:rsidRPr="006A509E">
        <w:rPr>
          <w:rFonts w:cs="Tahoma"/>
          <w:b/>
        </w:rPr>
        <w:t>LEI E FORO</w:t>
      </w:r>
      <w:bookmarkEnd w:id="479"/>
      <w:r w:rsidR="00332359">
        <w:rPr>
          <w:rFonts w:cs="Tahoma"/>
          <w:b/>
        </w:rPr>
        <w:t xml:space="preserve"> </w:t>
      </w:r>
    </w:p>
    <w:p w:rsidR="00DD716F" w:rsidRPr="00960BA0" w:rsidRDefault="00DD716F" w:rsidP="005302FC">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rsidR="00DD716F" w:rsidRPr="00960BA0" w:rsidRDefault="00DD716F" w:rsidP="005302FC">
      <w:pPr>
        <w:pStyle w:val="Level2"/>
        <w:numPr>
          <w:ilvl w:val="1"/>
          <w:numId w:val="6"/>
        </w:numPr>
        <w:rPr>
          <w:rFonts w:eastAsia="Arial Unicode MS" w:cs="Tahoma"/>
          <w:w w:val="0"/>
        </w:rPr>
      </w:pPr>
      <w:bookmarkStart w:id="480" w:name="_DV_M414"/>
      <w:bookmarkEnd w:id="480"/>
      <w:r w:rsidRPr="00960BA0">
        <w:rPr>
          <w:rFonts w:cs="Tahoma"/>
          <w:w w:val="0"/>
        </w:rPr>
        <w:t>Fica</w:t>
      </w:r>
      <w:r w:rsidRPr="00960BA0">
        <w:rPr>
          <w:rFonts w:eastAsia="Arial Unicode MS" w:cs="Tahoma"/>
          <w:w w:val="0"/>
        </w:rPr>
        <w:t xml:space="preserve"> eleito o Foro</w:t>
      </w:r>
      <w:bookmarkStart w:id="481" w:name="_DV_C683"/>
      <w:r w:rsidRPr="00960BA0">
        <w:rPr>
          <w:rFonts w:eastAsia="Arial Unicode MS" w:cs="Tahoma"/>
          <w:w w:val="0"/>
        </w:rPr>
        <w:t xml:space="preserve"> da </w:t>
      </w:r>
      <w:bookmarkStart w:id="482" w:name="_DV_M415"/>
      <w:bookmarkEnd w:id="481"/>
      <w:bookmarkEnd w:id="482"/>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rsidR="00DD716F" w:rsidRPr="00960BA0" w:rsidRDefault="00DD716F" w:rsidP="005302FC">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rsidR="00DD716F" w:rsidRPr="00960BA0" w:rsidRDefault="00DD716F" w:rsidP="005302FC">
      <w:pPr>
        <w:pStyle w:val="Body"/>
        <w:rPr>
          <w:rFonts w:cs="Tahoma"/>
          <w:color w:val="000000"/>
        </w:rPr>
      </w:pPr>
      <w:bookmarkStart w:id="483" w:name="_DV_M416"/>
      <w:bookmarkEnd w:id="483"/>
    </w:p>
    <w:p w:rsidR="00DD716F" w:rsidRPr="00960BA0" w:rsidRDefault="00DD716F" w:rsidP="005302FC">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Pr="00960BA0">
        <w:rPr>
          <w:rFonts w:cs="Tahoma"/>
        </w:rPr>
        <w:t>[•] de [•] de 20</w:t>
      </w:r>
      <w:r w:rsidR="009C33A1">
        <w:rPr>
          <w:rFonts w:cs="Tahoma"/>
        </w:rPr>
        <w:t>20</w:t>
      </w:r>
      <w:r w:rsidRPr="00960BA0">
        <w:rPr>
          <w:rFonts w:eastAsia="Arial Unicode MS" w:cs="Tahoma"/>
        </w:rPr>
        <w:t>.</w:t>
      </w:r>
    </w:p>
    <w:p w:rsidR="00DD716F" w:rsidRPr="00960BA0" w:rsidRDefault="00DD716F" w:rsidP="005302FC">
      <w:pPr>
        <w:pStyle w:val="Body"/>
        <w:rPr>
          <w:rFonts w:eastAsia="Arial Unicode MS" w:cs="Tahoma"/>
        </w:rPr>
      </w:pPr>
    </w:p>
    <w:p w:rsidR="00DD716F" w:rsidRPr="00960BA0" w:rsidRDefault="00DD716F" w:rsidP="005302FC">
      <w:pPr>
        <w:pStyle w:val="Body"/>
        <w:jc w:val="center"/>
        <w:rPr>
          <w:rFonts w:eastAsia="Arial Unicode MS" w:cs="Tahoma"/>
        </w:rPr>
      </w:pPr>
      <w:r w:rsidRPr="00960BA0">
        <w:rPr>
          <w:rFonts w:eastAsia="Arial Unicode MS" w:cs="Tahoma"/>
        </w:rPr>
        <w:t>(AS ASSINATURAS SE ENCONTRAM NAS 4 (QUATRO) PÁGINAS SEGUINTES)</w:t>
      </w:r>
      <w:r w:rsidRPr="00960BA0">
        <w:rPr>
          <w:rFonts w:eastAsia="Arial Unicode MS" w:cs="Tahoma"/>
        </w:rPr>
        <w:br/>
        <w:t>(O RESTANTE DA PÁGINA FOI INTENCIONALMENTE DEIXADO EM BRANCO)</w:t>
      </w:r>
      <w:r w:rsidRPr="00960BA0">
        <w:rPr>
          <w:rFonts w:eastAsia="Arial Unicode MS" w:cs="Tahoma"/>
        </w:rPr>
        <w:br w:type="page"/>
      </w:r>
    </w:p>
    <w:p w:rsidR="00DD716F" w:rsidRPr="00960BA0" w:rsidRDefault="00DD716F" w:rsidP="005302FC">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 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rsidR="00DD716F" w:rsidRPr="00960BA0" w:rsidRDefault="00DD716F" w:rsidP="005302FC">
      <w:pPr>
        <w:pStyle w:val="Body"/>
        <w:rPr>
          <w:rFonts w:eastAsia="Arial Unicode MS" w:cs="Tahoma"/>
        </w:rPr>
      </w:pPr>
    </w:p>
    <w:p w:rsidR="00DD716F" w:rsidRPr="00960BA0" w:rsidRDefault="00C750F6" w:rsidP="005302FC">
      <w:pPr>
        <w:pStyle w:val="Body"/>
        <w:jc w:val="center"/>
        <w:rPr>
          <w:rFonts w:cs="Tahoma"/>
          <w:color w:val="000000"/>
          <w:w w:val="0"/>
        </w:rPr>
      </w:pPr>
      <w:bookmarkStart w:id="484"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rsidR="00DD716F" w:rsidRPr="00960BA0" w:rsidRDefault="00DD716F" w:rsidP="005302FC">
      <w:pPr>
        <w:pStyle w:val="Body"/>
        <w:rPr>
          <w:rFonts w:cs="Tahoma"/>
          <w:color w:val="000000"/>
          <w:w w:val="0"/>
        </w:rPr>
      </w:pPr>
    </w:p>
    <w:p w:rsidR="00DD716F" w:rsidRPr="00960BA0" w:rsidRDefault="00DD716F" w:rsidP="005302FC">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rsidR="00DD716F" w:rsidRPr="00960BA0" w:rsidRDefault="00DD716F" w:rsidP="005302FC">
      <w:pPr>
        <w:pStyle w:val="Body"/>
        <w:rPr>
          <w:rFonts w:cs="Tahoma"/>
          <w:b/>
          <w:bCs/>
          <w:smallCaps/>
          <w:color w:val="000000"/>
          <w:spacing w:val="-8"/>
        </w:rPr>
      </w:pPr>
    </w:p>
    <w:p w:rsidR="00565F90" w:rsidRPr="00960BA0" w:rsidRDefault="00565F90" w:rsidP="005302FC">
      <w:pPr>
        <w:pStyle w:val="Body"/>
        <w:rPr>
          <w:rFonts w:cs="Tahoma"/>
          <w:color w:val="000000"/>
          <w:w w:val="0"/>
        </w:rPr>
      </w:pPr>
    </w:p>
    <w:p w:rsidR="00565F90" w:rsidRPr="00960BA0" w:rsidRDefault="00565F90" w:rsidP="005302FC">
      <w:pPr>
        <w:spacing w:line="290" w:lineRule="auto"/>
        <w:rPr>
          <w:rFonts w:eastAsia="Arial Unicode MS" w:cs="Tahoma"/>
          <w:i/>
        </w:rPr>
      </w:pPr>
      <w:r w:rsidRPr="00960BA0">
        <w:rPr>
          <w:rFonts w:eastAsia="Arial Unicode MS" w:cs="Tahoma"/>
          <w:i/>
        </w:rPr>
        <w:br w:type="page"/>
      </w:r>
    </w:p>
    <w:p w:rsidR="00565F90" w:rsidRPr="00960BA0" w:rsidRDefault="00565F90" w:rsidP="005302FC">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 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rsidR="00DD716F" w:rsidRPr="00960BA0" w:rsidRDefault="00565F90" w:rsidP="005302FC">
      <w:pPr>
        <w:pStyle w:val="Body"/>
        <w:jc w:val="center"/>
        <w:rPr>
          <w:rFonts w:cs="Tahoma"/>
        </w:rPr>
      </w:pPr>
      <w:r w:rsidRPr="00960BA0" w:rsidDel="00565F90">
        <w:rPr>
          <w:rFonts w:eastAsia="Arial Unicode MS" w:cs="Tahoma"/>
          <w:i/>
        </w:rPr>
        <w:t xml:space="preserve"> </w:t>
      </w:r>
    </w:p>
    <w:p w:rsidR="00DD716F" w:rsidRPr="00960BA0" w:rsidRDefault="00DD716F" w:rsidP="005302FC">
      <w:pPr>
        <w:pStyle w:val="Body"/>
        <w:jc w:val="center"/>
        <w:rPr>
          <w:rFonts w:cs="Tahoma"/>
          <w:i/>
        </w:rPr>
      </w:pPr>
      <w:r>
        <w:rPr>
          <w:rFonts w:cs="Tahoma"/>
          <w:b/>
          <w:bCs/>
          <w:smallCaps/>
          <w:color w:val="000000"/>
        </w:rPr>
        <w:t>[•]</w:t>
      </w:r>
      <w:r w:rsidRPr="00960BA0">
        <w:rPr>
          <w:rFonts w:cs="Tahoma"/>
        </w:rPr>
        <w:br/>
      </w:r>
      <w:r w:rsidRPr="00960BA0">
        <w:rPr>
          <w:rFonts w:cs="Tahoma"/>
          <w:i/>
        </w:rPr>
        <w:t>na qualidade de Agente Fiduciário</w:t>
      </w:r>
    </w:p>
    <w:p w:rsidR="00DD716F" w:rsidRPr="00960BA0" w:rsidRDefault="00DD716F" w:rsidP="005302FC">
      <w:pPr>
        <w:pStyle w:val="Body"/>
        <w:rPr>
          <w:rFonts w:cs="Tahoma"/>
          <w:color w:val="000000"/>
          <w:w w:val="0"/>
        </w:rPr>
      </w:pPr>
    </w:p>
    <w:p w:rsidR="00DD716F" w:rsidRPr="00960BA0" w:rsidRDefault="00DD716F" w:rsidP="005302FC">
      <w:pPr>
        <w:pStyle w:val="Body"/>
        <w:rPr>
          <w:rFonts w:eastAsia="Arial Unicode MS" w:cs="Tahoma"/>
          <w:i/>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rsidR="00DD716F" w:rsidRPr="00960BA0" w:rsidRDefault="00DD716F" w:rsidP="005302FC">
      <w:pPr>
        <w:spacing w:line="290" w:lineRule="auto"/>
        <w:rPr>
          <w:rFonts w:eastAsia="Arial Unicode MS" w:cs="Tahoma"/>
          <w:i/>
        </w:rPr>
      </w:pPr>
      <w:r w:rsidRPr="00960BA0">
        <w:rPr>
          <w:rFonts w:eastAsia="Arial Unicode MS" w:cs="Tahoma"/>
          <w:i/>
        </w:rPr>
        <w:br w:type="page"/>
      </w:r>
    </w:p>
    <w:p w:rsidR="00565F90" w:rsidRPr="00960BA0" w:rsidRDefault="00565F90" w:rsidP="005302FC">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da “Escritura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 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rsidR="00DD716F" w:rsidRPr="00960BA0" w:rsidRDefault="00565F90" w:rsidP="005302FC">
      <w:pPr>
        <w:pStyle w:val="Body"/>
        <w:rPr>
          <w:rFonts w:cs="Tahoma"/>
        </w:rPr>
      </w:pPr>
      <w:r w:rsidRPr="00960BA0" w:rsidDel="00565F90">
        <w:rPr>
          <w:rFonts w:eastAsia="Arial Unicode MS" w:cs="Tahoma"/>
          <w:i/>
        </w:rPr>
        <w:t xml:space="preserve"> </w:t>
      </w:r>
    </w:p>
    <w:p w:rsidR="00DD716F" w:rsidRPr="00960BA0" w:rsidRDefault="00DD716F" w:rsidP="005302FC">
      <w:pPr>
        <w:pStyle w:val="Body"/>
        <w:rPr>
          <w:rFonts w:eastAsia="Arial Unicode MS" w:cs="Tahoma"/>
          <w:b/>
          <w:w w:val="0"/>
        </w:rPr>
      </w:pPr>
      <w:r w:rsidRPr="00960BA0">
        <w:rPr>
          <w:rFonts w:eastAsia="Arial Unicode MS" w:cs="Tahoma"/>
          <w:b/>
          <w:w w:val="0"/>
        </w:rPr>
        <w:t>Testemunhas:</w:t>
      </w:r>
    </w:p>
    <w:p w:rsidR="00DD716F" w:rsidRPr="00960BA0" w:rsidRDefault="00DD716F" w:rsidP="005302FC">
      <w:pPr>
        <w:pStyle w:val="Body"/>
        <w:rPr>
          <w:rFonts w:eastAsia="Arial Unicode MS" w:cs="Tahoma"/>
          <w:w w:val="0"/>
        </w:rPr>
      </w:pPr>
    </w:p>
    <w:p w:rsidR="00DD716F" w:rsidRPr="00960BA0" w:rsidRDefault="00DD716F" w:rsidP="005302FC">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84"/>
    </w:p>
    <w:p w:rsidR="00DD716F" w:rsidRPr="00DC602F" w:rsidRDefault="00DD716F" w:rsidP="00B85D15">
      <w:pPr>
        <w:spacing w:line="290" w:lineRule="auto"/>
        <w:rPr>
          <w:rFonts w:eastAsia="Arial Unicode MS"/>
        </w:rPr>
      </w:pPr>
    </w:p>
    <w:p w:rsidR="00084017" w:rsidRDefault="00084017" w:rsidP="005302FC">
      <w:pPr>
        <w:spacing w:after="140" w:line="290" w:lineRule="auto"/>
        <w:rPr>
          <w:rFonts w:eastAsia="Arial Unicode MS"/>
        </w:rPr>
      </w:pPr>
      <w:r>
        <w:rPr>
          <w:rFonts w:eastAsia="Arial Unicode MS"/>
        </w:rPr>
        <w:br w:type="page"/>
      </w:r>
    </w:p>
    <w:p w:rsidR="004E2BDB" w:rsidRDefault="00084017" w:rsidP="005302FC">
      <w:pPr>
        <w:spacing w:after="140" w:line="290" w:lineRule="auto"/>
        <w:jc w:val="center"/>
        <w:rPr>
          <w:rFonts w:eastAsia="Arial Unicode MS"/>
          <w:b/>
          <w:bCs/>
        </w:rPr>
      </w:pPr>
      <w:r w:rsidRPr="000E4ED3">
        <w:rPr>
          <w:rFonts w:eastAsia="Arial Unicode MS"/>
          <w:b/>
          <w:bCs/>
        </w:rPr>
        <w:lastRenderedPageBreak/>
        <w:t>ANEXO I À ESCRITURA PARTICULAR DA 1ª (PRIMEIRA) EMISSÃO DE DEBÊNTURES SIMPLES, NÃO CONVERSÍVEIS EM AÇÕES, DA ESPÉCIE QUIROGRAFÁRIA, EM SÉRIE ÚNICA, PARA DISTRIBUIÇÃO PÚBLICA, COM ESFORÇOS RESTRITOS, DA ECHOENERGIA PARTICIPAÇÕES S.A.</w:t>
      </w:r>
    </w:p>
    <w:p w:rsidR="00084017" w:rsidRDefault="00084017" w:rsidP="005302FC">
      <w:pPr>
        <w:spacing w:after="140" w:line="290" w:lineRule="auto"/>
        <w:jc w:val="center"/>
        <w:rPr>
          <w:rFonts w:eastAsia="Arial Unicode MS"/>
          <w:b/>
          <w:bCs/>
        </w:rPr>
      </w:pPr>
    </w:p>
    <w:p w:rsidR="00084017" w:rsidRDefault="00084017" w:rsidP="005302FC">
      <w:pPr>
        <w:spacing w:after="140" w:line="290" w:lineRule="auto"/>
        <w:jc w:val="center"/>
        <w:rPr>
          <w:rFonts w:eastAsia="Arial Unicode MS"/>
          <w:b/>
          <w:bCs/>
        </w:rPr>
      </w:pPr>
      <w:r>
        <w:rPr>
          <w:rFonts w:eastAsia="Arial Unicode MS"/>
          <w:b/>
          <w:bCs/>
        </w:rPr>
        <w:t>MODELO DE ADITAMENTO</w:t>
      </w:r>
      <w:r>
        <w:rPr>
          <w:rFonts w:eastAsia="Arial Unicode MS"/>
          <w:b/>
          <w:bCs/>
        </w:rPr>
        <w:br w:type="page"/>
      </w:r>
    </w:p>
    <w:p w:rsidR="00084017" w:rsidRDefault="00084017" w:rsidP="005302FC">
      <w:pPr>
        <w:spacing w:after="140" w:line="290" w:lineRule="auto"/>
        <w:jc w:val="center"/>
        <w:rPr>
          <w:rFonts w:eastAsia="Arial Unicode MS"/>
          <w:b/>
          <w:bCs/>
        </w:rPr>
      </w:pPr>
      <w:r w:rsidRPr="00E467C3">
        <w:rPr>
          <w:rFonts w:eastAsia="Arial Unicode MS"/>
          <w:b/>
          <w:bCs/>
        </w:rPr>
        <w:lastRenderedPageBreak/>
        <w:t>ANEXO I</w:t>
      </w:r>
      <w:r w:rsidR="00F73FB3">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 EM SÉRIE ÚNICA, PARA DISTRIBUIÇÃO PÚBLICA, COM ESFORÇOS RESTRITOS, DA ECHOENERGIA PARTICIPAÇÕES S.A.</w:t>
      </w:r>
    </w:p>
    <w:p w:rsidR="00084017" w:rsidRDefault="00084017" w:rsidP="005302FC">
      <w:pPr>
        <w:spacing w:after="140" w:line="290" w:lineRule="auto"/>
        <w:jc w:val="center"/>
        <w:rPr>
          <w:rFonts w:eastAsia="Arial Unicode MS"/>
          <w:b/>
          <w:bCs/>
        </w:rPr>
      </w:pPr>
    </w:p>
    <w:p w:rsidR="00084017" w:rsidRDefault="00F73FB3" w:rsidP="005302FC">
      <w:pPr>
        <w:spacing w:after="140" w:line="290" w:lineRule="auto"/>
        <w:jc w:val="center"/>
        <w:rPr>
          <w:rFonts w:eastAsia="Arial Unicode MS"/>
          <w:b/>
          <w:bCs/>
        </w:rPr>
      </w:pPr>
      <w:r>
        <w:rPr>
          <w:rFonts w:eastAsia="Arial Unicode MS"/>
          <w:b/>
          <w:bCs/>
        </w:rPr>
        <w:t>FIADORES AUTORIZADOS</w:t>
      </w:r>
    </w:p>
    <w:p w:rsidR="00E97722" w:rsidRDefault="00E97722" w:rsidP="005302FC">
      <w:pPr>
        <w:spacing w:after="140" w:line="290" w:lineRule="auto"/>
        <w:rPr>
          <w:rFonts w:eastAsia="Arial Unicode MS"/>
          <w:b/>
          <w:bCs/>
        </w:rPr>
      </w:pPr>
      <w:r>
        <w:rPr>
          <w:rFonts w:eastAsia="Arial Unicode MS"/>
          <w:b/>
          <w:bCs/>
        </w:rPr>
        <w:br w:type="page"/>
      </w:r>
    </w:p>
    <w:p w:rsidR="00E97722" w:rsidRDefault="00E97722" w:rsidP="00E97722">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II</w:t>
      </w:r>
      <w:r w:rsidRPr="00E467C3">
        <w:rPr>
          <w:rFonts w:eastAsia="Arial Unicode MS"/>
          <w:b/>
          <w:bCs/>
        </w:rPr>
        <w:t xml:space="preserve"> À ESCRITURA PARTICULAR DA 1ª (PRIMEIRA) EMISSÃO DE DEBÊNTURES SIMPLES, NÃO CONVERSÍVEIS EM AÇÕES, DA ESPÉCIE QUIROGRAFÁRIA, EM SÉRIE ÚNICA, PARA DISTRIBUIÇÃO PÚBLICA, COM ESFORÇOS RESTRITOS, DA ECHOENERGIA PARTICIPAÇÕES S.A.</w:t>
      </w:r>
    </w:p>
    <w:p w:rsidR="00E97722" w:rsidRDefault="00E97722" w:rsidP="00E97722">
      <w:pPr>
        <w:spacing w:after="140" w:line="290" w:lineRule="auto"/>
        <w:jc w:val="center"/>
        <w:rPr>
          <w:rFonts w:eastAsia="Arial Unicode MS"/>
          <w:b/>
          <w:bCs/>
        </w:rPr>
      </w:pPr>
    </w:p>
    <w:p w:rsidR="00E97722" w:rsidRDefault="00E97722" w:rsidP="00E97722">
      <w:pPr>
        <w:spacing w:after="140" w:line="290" w:lineRule="auto"/>
        <w:jc w:val="center"/>
        <w:rPr>
          <w:rFonts w:eastAsia="Arial Unicode MS"/>
          <w:b/>
          <w:bCs/>
        </w:rPr>
      </w:pPr>
      <w:r>
        <w:rPr>
          <w:rFonts w:eastAsia="Arial Unicode MS"/>
          <w:b/>
          <w:bCs/>
        </w:rPr>
        <w:t>MODELO DE CARTA DE FIANÇA</w:t>
      </w:r>
    </w:p>
    <w:p w:rsidR="00E97722" w:rsidRDefault="00E97722" w:rsidP="005302FC">
      <w:pPr>
        <w:spacing w:after="140" w:line="290" w:lineRule="auto"/>
        <w:rPr>
          <w:rFonts w:eastAsia="Arial Unicode MS"/>
          <w:b/>
          <w:bCs/>
        </w:rPr>
      </w:pPr>
      <w:r>
        <w:rPr>
          <w:rFonts w:eastAsia="Arial Unicode MS"/>
          <w:b/>
          <w:bCs/>
        </w:rPr>
        <w:br w:type="page"/>
      </w:r>
    </w:p>
    <w:p w:rsidR="00E97722" w:rsidRDefault="00E97722" w:rsidP="00E97722">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V</w:t>
      </w:r>
      <w:r w:rsidRPr="00E467C3">
        <w:rPr>
          <w:rFonts w:eastAsia="Arial Unicode MS"/>
          <w:b/>
          <w:bCs/>
        </w:rPr>
        <w:t xml:space="preserve"> À ESCRITURA PARTICULAR DA 1ª (PRIMEIRA) EMISSÃO DE DEBÊNTURES SIMPLES, NÃO CONVERSÍVEIS EM AÇÕES, DA ESPÉCIE QUIROGRAFÁRIA, EM SÉRIE ÚNICA, PARA DISTRIBUIÇÃO PÚBLICA, COM ESFORÇOS RESTRITOS, DA ECHOENERGIA PARTICIPAÇÕES S.A.</w:t>
      </w:r>
    </w:p>
    <w:p w:rsidR="00E97722" w:rsidRDefault="00E97722" w:rsidP="00E97722">
      <w:pPr>
        <w:spacing w:after="140" w:line="290" w:lineRule="auto"/>
        <w:jc w:val="center"/>
        <w:rPr>
          <w:rFonts w:eastAsia="Arial Unicode MS"/>
          <w:b/>
          <w:bCs/>
        </w:rPr>
      </w:pPr>
    </w:p>
    <w:p w:rsidR="00E97722" w:rsidRDefault="00E97722" w:rsidP="00E97722">
      <w:pPr>
        <w:spacing w:after="140" w:line="290" w:lineRule="auto"/>
        <w:jc w:val="center"/>
        <w:rPr>
          <w:rFonts w:eastAsia="Arial Unicode MS"/>
          <w:b/>
          <w:bCs/>
        </w:rPr>
      </w:pPr>
      <w:r>
        <w:rPr>
          <w:rFonts w:eastAsia="Arial Unicode MS"/>
          <w:b/>
          <w:bCs/>
        </w:rPr>
        <w:t>MODELO DE CARTA DE FIANÇA ICSD</w:t>
      </w:r>
    </w:p>
    <w:p w:rsidR="00084017" w:rsidRPr="000E4ED3" w:rsidRDefault="00084017" w:rsidP="005302FC">
      <w:pPr>
        <w:spacing w:after="140" w:line="290" w:lineRule="auto"/>
        <w:rPr>
          <w:rFonts w:eastAsia="Arial Unicode MS"/>
          <w:b/>
          <w:bCs/>
        </w:rPr>
      </w:pPr>
    </w:p>
    <w:sectPr w:rsidR="00084017" w:rsidRPr="000E4ED3" w:rsidSect="009D04E2">
      <w:headerReference w:type="even" r:id="rId18"/>
      <w:headerReference w:type="default" r:id="rId19"/>
      <w:footerReference w:type="even" r:id="rId20"/>
      <w:footerReference w:type="default" r:id="rId21"/>
      <w:headerReference w:type="first" r:id="rId22"/>
      <w:footerReference w:type="first" r:id="rId23"/>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D59" w:rsidRDefault="00E86D59" w:rsidP="00B53614">
      <w:r>
        <w:separator/>
      </w:r>
    </w:p>
  </w:endnote>
  <w:endnote w:type="continuationSeparator" w:id="0">
    <w:p w:rsidR="00E86D59" w:rsidRDefault="00E86D59" w:rsidP="00B53614">
      <w:r>
        <w:continuationSeparator/>
      </w:r>
    </w:p>
  </w:endnote>
  <w:endnote w:type="continuationNotice" w:id="1">
    <w:p w:rsidR="00E86D59" w:rsidRDefault="00E8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2E" w:rsidRDefault="00EE7B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rFonts w:cs="Tahoma"/>
        <w:sz w:val="20"/>
        <w:szCs w:val="20"/>
      </w:rPr>
    </w:sdtEndPr>
    <w:sdtContent>
      <w:p w:rsidR="00BB60B4" w:rsidRDefault="00EE7B2E" w:rsidP="00B304ED">
        <w:pPr>
          <w:pStyle w:val="Rodap"/>
          <w:jc w:val="left"/>
          <w:rPr>
            <w:rFonts w:cs="Tahoma"/>
            <w:sz w:val="12"/>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2</w:t>
        </w:r>
        <w:r w:rsidRPr="00E9283D">
          <w:rPr>
            <w:rFonts w:cs="Tahoma"/>
            <w:szCs w:val="20"/>
          </w:rPr>
          <w:fldChar w:fldCharType="end"/>
        </w:r>
        <w:r w:rsidR="00BB60B4">
          <w:rPr>
            <w:rFonts w:cs="Tahoma"/>
            <w:sz w:val="12"/>
            <w:szCs w:val="20"/>
          </w:rPr>
          <w:fldChar w:fldCharType="begin"/>
        </w:r>
        <w:r w:rsidR="00BB60B4">
          <w:rPr>
            <w:rFonts w:cs="Tahoma"/>
            <w:sz w:val="12"/>
            <w:szCs w:val="20"/>
          </w:rPr>
          <w:instrText xml:space="preserve"> DOCPROPERTY "iManageFooter"  \* MERGEFORMAT </w:instrText>
        </w:r>
        <w:r w:rsidR="00BB60B4">
          <w:rPr>
            <w:rFonts w:cs="Tahoma"/>
            <w:sz w:val="12"/>
            <w:szCs w:val="20"/>
          </w:rPr>
          <w:fldChar w:fldCharType="separate"/>
        </w:r>
      </w:p>
      <w:p w:rsidR="00EE7B2E" w:rsidRPr="00E9283D" w:rsidRDefault="00BB60B4" w:rsidP="00186EB2">
        <w:pPr>
          <w:pStyle w:val="Rodap"/>
          <w:jc w:val="left"/>
          <w:rPr>
            <w:rFonts w:cs="Tahoma"/>
            <w:sz w:val="20"/>
            <w:szCs w:val="20"/>
          </w:rPr>
        </w:pPr>
        <w:r>
          <w:rPr>
            <w:rFonts w:cs="Tahoma"/>
            <w:sz w:val="12"/>
            <w:szCs w:val="20"/>
          </w:rPr>
          <w:t xml:space="preserve">SP - 27502265v1 </w:t>
        </w:r>
        <w:r>
          <w:rPr>
            <w:rFonts w:cs="Tahoma"/>
            <w:sz w:val="12"/>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2E" w:rsidRPr="009D04E2" w:rsidRDefault="00EE7B2E" w:rsidP="009D04E2">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D59" w:rsidRDefault="00E86D59" w:rsidP="00B53614">
      <w:r>
        <w:separator/>
      </w:r>
    </w:p>
  </w:footnote>
  <w:footnote w:type="continuationSeparator" w:id="0">
    <w:p w:rsidR="00E86D59" w:rsidRDefault="00E86D59" w:rsidP="00B53614">
      <w:r>
        <w:continuationSeparator/>
      </w:r>
    </w:p>
  </w:footnote>
  <w:footnote w:type="continuationNotice" w:id="1">
    <w:p w:rsidR="00E86D59" w:rsidRDefault="00E86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2E" w:rsidRDefault="00EE7B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2E" w:rsidRPr="00932A99" w:rsidRDefault="00EE7B2E"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B2E" w:rsidRDefault="00EE7B2E" w:rsidP="00B111CF">
    <w:pPr>
      <w:pStyle w:val="Cabealho"/>
      <w:jc w:val="right"/>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EE7B2E" w:rsidRPr="00D44C1D" w:rsidRDefault="00EE7B2E" w:rsidP="00B111CF">
    <w:pPr>
      <w:pStyle w:val="Cabealho"/>
      <w:jc w:val="right"/>
      <w:rPr>
        <w:i/>
      </w:rPr>
    </w:pPr>
    <w:r>
      <w:rPr>
        <w:i/>
      </w:rPr>
      <w:t>Comentários MF/Echoenergia</w:t>
    </w:r>
  </w:p>
  <w:p w:rsidR="00EE7B2E" w:rsidRPr="00D44C1D" w:rsidRDefault="00EE7B2E" w:rsidP="00B111CF">
    <w:pPr>
      <w:pStyle w:val="Cabealho"/>
      <w:jc w:val="right"/>
      <w:rPr>
        <w:i/>
      </w:rPr>
    </w:pPr>
    <w:r>
      <w:rPr>
        <w:i/>
      </w:rPr>
      <w:t>0</w:t>
    </w:r>
    <w:r w:rsidR="000B0D96">
      <w:rPr>
        <w:i/>
      </w:rPr>
      <w:t>3</w:t>
    </w:r>
    <w:r w:rsidRPr="00D44C1D">
      <w:rPr>
        <w:i/>
      </w:rPr>
      <w:t>/</w:t>
    </w:r>
    <w:r>
      <w:rPr>
        <w:i/>
      </w:rPr>
      <w:t>03</w:t>
    </w:r>
    <w:r w:rsidRPr="00D44C1D">
      <w:rPr>
        <w:i/>
      </w:rPr>
      <w:t>/20</w:t>
    </w:r>
    <w:r>
      <w:rPr>
        <w:i/>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 w:numId="102">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C34"/>
    <w:rsid w:val="000A1CA0"/>
    <w:rsid w:val="000A24F0"/>
    <w:rsid w:val="000A313A"/>
    <w:rsid w:val="000A33F7"/>
    <w:rsid w:val="000A34FA"/>
    <w:rsid w:val="000A3EE9"/>
    <w:rsid w:val="000A45F6"/>
    <w:rsid w:val="000A4747"/>
    <w:rsid w:val="000A4B5A"/>
    <w:rsid w:val="000A4D57"/>
    <w:rsid w:val="000A50AC"/>
    <w:rsid w:val="000A5BF4"/>
    <w:rsid w:val="000A5C3B"/>
    <w:rsid w:val="000A5C4D"/>
    <w:rsid w:val="000B0A43"/>
    <w:rsid w:val="000B0D96"/>
    <w:rsid w:val="000B1150"/>
    <w:rsid w:val="000B1B02"/>
    <w:rsid w:val="000B31FB"/>
    <w:rsid w:val="000B3507"/>
    <w:rsid w:val="000B36E1"/>
    <w:rsid w:val="000B3CF6"/>
    <w:rsid w:val="000B3FE2"/>
    <w:rsid w:val="000B4EB8"/>
    <w:rsid w:val="000B5261"/>
    <w:rsid w:val="000B5BE6"/>
    <w:rsid w:val="000B60AC"/>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C07"/>
    <w:rsid w:val="00201F1D"/>
    <w:rsid w:val="00201F49"/>
    <w:rsid w:val="00202988"/>
    <w:rsid w:val="002032D3"/>
    <w:rsid w:val="0020358F"/>
    <w:rsid w:val="002035DC"/>
    <w:rsid w:val="00203CE3"/>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9DB"/>
    <w:rsid w:val="00222EF2"/>
    <w:rsid w:val="00223307"/>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5448"/>
    <w:rsid w:val="002F5AEE"/>
    <w:rsid w:val="002F620D"/>
    <w:rsid w:val="003012CB"/>
    <w:rsid w:val="00302580"/>
    <w:rsid w:val="003035F4"/>
    <w:rsid w:val="00303786"/>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5A99"/>
    <w:rsid w:val="00316486"/>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252F"/>
    <w:rsid w:val="00373CC7"/>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623"/>
    <w:rsid w:val="00467073"/>
    <w:rsid w:val="0046742E"/>
    <w:rsid w:val="0046755A"/>
    <w:rsid w:val="00467CDE"/>
    <w:rsid w:val="00470034"/>
    <w:rsid w:val="004700D5"/>
    <w:rsid w:val="0047010A"/>
    <w:rsid w:val="004702E5"/>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90DCE"/>
    <w:rsid w:val="00490E76"/>
    <w:rsid w:val="00491F19"/>
    <w:rsid w:val="00492148"/>
    <w:rsid w:val="004926D0"/>
    <w:rsid w:val="00492898"/>
    <w:rsid w:val="0049297B"/>
    <w:rsid w:val="00492CE2"/>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F66"/>
    <w:rsid w:val="004A31DB"/>
    <w:rsid w:val="004A31F6"/>
    <w:rsid w:val="004A3691"/>
    <w:rsid w:val="004A497C"/>
    <w:rsid w:val="004A4AB4"/>
    <w:rsid w:val="004A4B55"/>
    <w:rsid w:val="004A4EA1"/>
    <w:rsid w:val="004A63F8"/>
    <w:rsid w:val="004A6669"/>
    <w:rsid w:val="004A6B76"/>
    <w:rsid w:val="004A74C2"/>
    <w:rsid w:val="004A7AA2"/>
    <w:rsid w:val="004B01ED"/>
    <w:rsid w:val="004B0530"/>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717"/>
    <w:rsid w:val="004E6365"/>
    <w:rsid w:val="004E65C0"/>
    <w:rsid w:val="004E7683"/>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B55"/>
    <w:rsid w:val="00552EE4"/>
    <w:rsid w:val="0055389B"/>
    <w:rsid w:val="005543B5"/>
    <w:rsid w:val="005545C3"/>
    <w:rsid w:val="00554D3C"/>
    <w:rsid w:val="00554ECA"/>
    <w:rsid w:val="00555AA1"/>
    <w:rsid w:val="00555B4F"/>
    <w:rsid w:val="00555BC7"/>
    <w:rsid w:val="00555FF7"/>
    <w:rsid w:val="0055612C"/>
    <w:rsid w:val="0055696A"/>
    <w:rsid w:val="00560272"/>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5A1"/>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FA"/>
    <w:rsid w:val="005A13F5"/>
    <w:rsid w:val="005A2268"/>
    <w:rsid w:val="005A257C"/>
    <w:rsid w:val="005A2B86"/>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3425"/>
    <w:rsid w:val="006A35DD"/>
    <w:rsid w:val="006A37E8"/>
    <w:rsid w:val="006A37FF"/>
    <w:rsid w:val="006A38C0"/>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D40"/>
    <w:rsid w:val="006C76B4"/>
    <w:rsid w:val="006C7FF6"/>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A53"/>
    <w:rsid w:val="00727B3E"/>
    <w:rsid w:val="00730490"/>
    <w:rsid w:val="00730A57"/>
    <w:rsid w:val="00730CB9"/>
    <w:rsid w:val="00730EF1"/>
    <w:rsid w:val="007310E4"/>
    <w:rsid w:val="00731198"/>
    <w:rsid w:val="007312B3"/>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20F7"/>
    <w:rsid w:val="007426E9"/>
    <w:rsid w:val="0074356F"/>
    <w:rsid w:val="00743AE4"/>
    <w:rsid w:val="0074432B"/>
    <w:rsid w:val="00744482"/>
    <w:rsid w:val="007447BD"/>
    <w:rsid w:val="007451DB"/>
    <w:rsid w:val="00745220"/>
    <w:rsid w:val="00745297"/>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AD8"/>
    <w:rsid w:val="00767462"/>
    <w:rsid w:val="007678A1"/>
    <w:rsid w:val="00770397"/>
    <w:rsid w:val="00771669"/>
    <w:rsid w:val="00772004"/>
    <w:rsid w:val="0077244C"/>
    <w:rsid w:val="00772F49"/>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51B"/>
    <w:rsid w:val="00784866"/>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7A9C"/>
    <w:rsid w:val="00800C4F"/>
    <w:rsid w:val="00800F91"/>
    <w:rsid w:val="0080156E"/>
    <w:rsid w:val="008021AB"/>
    <w:rsid w:val="00803C37"/>
    <w:rsid w:val="00804B94"/>
    <w:rsid w:val="00805111"/>
    <w:rsid w:val="0080521A"/>
    <w:rsid w:val="0080550B"/>
    <w:rsid w:val="00805930"/>
    <w:rsid w:val="00805FBE"/>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BE8"/>
    <w:rsid w:val="00882F2E"/>
    <w:rsid w:val="008838C9"/>
    <w:rsid w:val="00883E10"/>
    <w:rsid w:val="008840EC"/>
    <w:rsid w:val="00884C0A"/>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0EB"/>
    <w:rsid w:val="00941561"/>
    <w:rsid w:val="009426A7"/>
    <w:rsid w:val="0094299F"/>
    <w:rsid w:val="00943538"/>
    <w:rsid w:val="0094467D"/>
    <w:rsid w:val="009449BE"/>
    <w:rsid w:val="00944BBE"/>
    <w:rsid w:val="00945578"/>
    <w:rsid w:val="00945B58"/>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739"/>
    <w:rsid w:val="00987140"/>
    <w:rsid w:val="00987D6A"/>
    <w:rsid w:val="009901D3"/>
    <w:rsid w:val="0099047E"/>
    <w:rsid w:val="0099151C"/>
    <w:rsid w:val="00991F72"/>
    <w:rsid w:val="00992432"/>
    <w:rsid w:val="00992515"/>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3F45"/>
    <w:rsid w:val="009B40F4"/>
    <w:rsid w:val="009B5251"/>
    <w:rsid w:val="009B5F2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5FB8"/>
    <w:rsid w:val="009C6980"/>
    <w:rsid w:val="009C70C0"/>
    <w:rsid w:val="009C75E0"/>
    <w:rsid w:val="009C7DBC"/>
    <w:rsid w:val="009C7F9E"/>
    <w:rsid w:val="009D04E2"/>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1CC3"/>
    <w:rsid w:val="009E1E1A"/>
    <w:rsid w:val="009E1F21"/>
    <w:rsid w:val="009E3F6A"/>
    <w:rsid w:val="009E401F"/>
    <w:rsid w:val="009E46C8"/>
    <w:rsid w:val="009E49FA"/>
    <w:rsid w:val="009E5181"/>
    <w:rsid w:val="009E542A"/>
    <w:rsid w:val="009E5535"/>
    <w:rsid w:val="009E60F8"/>
    <w:rsid w:val="009E62B0"/>
    <w:rsid w:val="009E65F8"/>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60A9"/>
    <w:rsid w:val="00A26188"/>
    <w:rsid w:val="00A261FA"/>
    <w:rsid w:val="00A262CB"/>
    <w:rsid w:val="00A26654"/>
    <w:rsid w:val="00A26A83"/>
    <w:rsid w:val="00A27CA5"/>
    <w:rsid w:val="00A303F5"/>
    <w:rsid w:val="00A30C3A"/>
    <w:rsid w:val="00A30E4D"/>
    <w:rsid w:val="00A31233"/>
    <w:rsid w:val="00A31591"/>
    <w:rsid w:val="00A31F17"/>
    <w:rsid w:val="00A324E3"/>
    <w:rsid w:val="00A3254C"/>
    <w:rsid w:val="00A329FF"/>
    <w:rsid w:val="00A32A88"/>
    <w:rsid w:val="00A336CB"/>
    <w:rsid w:val="00A338E3"/>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E85"/>
    <w:rsid w:val="00A8080C"/>
    <w:rsid w:val="00A80D0A"/>
    <w:rsid w:val="00A817CC"/>
    <w:rsid w:val="00A81A1D"/>
    <w:rsid w:val="00A81CE4"/>
    <w:rsid w:val="00A81ECE"/>
    <w:rsid w:val="00A82328"/>
    <w:rsid w:val="00A827CB"/>
    <w:rsid w:val="00A82D98"/>
    <w:rsid w:val="00A84073"/>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E91"/>
    <w:rsid w:val="00AD484F"/>
    <w:rsid w:val="00AD4B85"/>
    <w:rsid w:val="00AD4DE4"/>
    <w:rsid w:val="00AD4EE8"/>
    <w:rsid w:val="00AD5206"/>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72F4"/>
    <w:rsid w:val="00B17762"/>
    <w:rsid w:val="00B17891"/>
    <w:rsid w:val="00B20BAC"/>
    <w:rsid w:val="00B21216"/>
    <w:rsid w:val="00B213DC"/>
    <w:rsid w:val="00B21682"/>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40B1"/>
    <w:rsid w:val="00BD4459"/>
    <w:rsid w:val="00BD5522"/>
    <w:rsid w:val="00BD58AB"/>
    <w:rsid w:val="00BD5D7E"/>
    <w:rsid w:val="00BD6623"/>
    <w:rsid w:val="00BD6DF7"/>
    <w:rsid w:val="00BD7035"/>
    <w:rsid w:val="00BD747A"/>
    <w:rsid w:val="00BD75BA"/>
    <w:rsid w:val="00BE048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DA5"/>
    <w:rsid w:val="00C91473"/>
    <w:rsid w:val="00C91901"/>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47D"/>
    <w:rsid w:val="00D30CE0"/>
    <w:rsid w:val="00D30EC4"/>
    <w:rsid w:val="00D318BC"/>
    <w:rsid w:val="00D321BA"/>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50B33"/>
    <w:rsid w:val="00D50DF7"/>
    <w:rsid w:val="00D519C8"/>
    <w:rsid w:val="00D51EC7"/>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6061"/>
    <w:rsid w:val="00DD6106"/>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EB0"/>
    <w:rsid w:val="00E17FE3"/>
    <w:rsid w:val="00E2082E"/>
    <w:rsid w:val="00E20E1A"/>
    <w:rsid w:val="00E20FB8"/>
    <w:rsid w:val="00E21D2F"/>
    <w:rsid w:val="00E224A3"/>
    <w:rsid w:val="00E23CB6"/>
    <w:rsid w:val="00E25C9F"/>
    <w:rsid w:val="00E27010"/>
    <w:rsid w:val="00E27394"/>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7722"/>
    <w:rsid w:val="00E97F08"/>
    <w:rsid w:val="00EA085A"/>
    <w:rsid w:val="00EA0EDD"/>
    <w:rsid w:val="00EA122B"/>
    <w:rsid w:val="00EA1B83"/>
    <w:rsid w:val="00EA2DC1"/>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4720"/>
    <w:rsid w:val="00F8500F"/>
    <w:rsid w:val="00F85169"/>
    <w:rsid w:val="00F8591A"/>
    <w:rsid w:val="00F85AA3"/>
    <w:rsid w:val="00F8604C"/>
    <w:rsid w:val="00F86080"/>
    <w:rsid w:val="00F86670"/>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E7B13"/>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DD7392"/>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jectfinance@echo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8C6AE8BBE6DF4E844A56787F7F2565" ma:contentTypeVersion="13" ma:contentTypeDescription="Crie um novo documento." ma:contentTypeScope="" ma:versionID="f04e33a57e3bd7f14e95336699cbabbe">
  <xsd:schema xmlns:xsd="http://www.w3.org/2001/XMLSchema" xmlns:xs="http://www.w3.org/2001/XMLSchema" xmlns:p="http://schemas.microsoft.com/office/2006/metadata/properties" xmlns:ns3="4051f9cf-5cc7-4b2b-8378-9cb0be960385" xmlns:ns4="2ab4cb6a-abf3-41ad-9b61-43e0347f9b76" targetNamespace="http://schemas.microsoft.com/office/2006/metadata/properties" ma:root="true" ma:fieldsID="8fc4880857932bb283253a93eadb0adc" ns3:_="" ns4:_="">
    <xsd:import namespace="4051f9cf-5cc7-4b2b-8378-9cb0be960385"/>
    <xsd:import namespace="2ab4cb6a-abf3-41ad-9b61-43e0347f9b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1f9cf-5cc7-4b2b-8378-9cb0be96038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cb6a-abf3-41ad-9b61-43e0347f9b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BDA4-0E21-45C3-A2D3-23EE493D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1f9cf-5cc7-4b2b-8378-9cb0be960385"/>
    <ds:schemaRef ds:uri="2ab4cb6a-abf3-41ad-9b61-43e0347f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3.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6.xml><?xml version="1.0" encoding="utf-8"?>
<ds:datastoreItem xmlns:ds="http://schemas.openxmlformats.org/officeDocument/2006/customXml" ds:itemID="{D807382E-040E-403D-9027-406AB7F2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22295</Words>
  <Characters>120395</Characters>
  <Application>Microsoft Office Word</Application>
  <DocSecurity>0</DocSecurity>
  <Lines>1003</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142406</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Mattos Filho</cp:lastModifiedBy>
  <cp:revision>4</cp:revision>
  <cp:lastPrinted>2020-02-20T21:11:00Z</cp:lastPrinted>
  <dcterms:created xsi:type="dcterms:W3CDTF">2020-03-03T23:19:00Z</dcterms:created>
  <dcterms:modified xsi:type="dcterms:W3CDTF">2020-03-04T11:21:00Z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0x0101008E8C6AE8BBE6DF4E844A56787F7F2565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- 27502265v1 </vt:lpwstr>
  </property>
  <property fmtid="{D5CDD505-2E9C-101B-9397-08002B2CF9AE}" pid="8" name="_dlc_DocIdItemGuid">
    <vt:lpwstr>d29f1f5a-b973-4e10-8e2b-54907af55ee6</vt:lpwstr>
  </property>
</Properties>
</file>