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A364DF" w14:paraId="21222A99" w14:textId="77777777">
      <w:pPr>
        <w:spacing w:line="312" w:lineRule="auto"/>
        <w:jc w:val="center"/>
        <w:rPr>
          <w:rFonts w:ascii="Arial" w:hAnsi="Arial" w:cs="Arial"/>
          <w:b/>
          <w:iCs/>
          <w:caps/>
          <w:sz w:val="22"/>
          <w:szCs w:val="22"/>
          <w:u w:val="single"/>
        </w:rPr>
      </w:pPr>
    </w:p>
    <w:p w:rsidR="008C39DA" w14:paraId="67A8835B" w14:textId="1CB32F16">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rsidR="008C39DA" w14:paraId="46C419B3" w14:textId="77777777">
      <w:pPr>
        <w:spacing w:line="312" w:lineRule="auto"/>
        <w:jc w:val="center"/>
        <w:rPr>
          <w:rFonts w:ascii="Arial" w:hAnsi="Arial" w:cs="Arial"/>
          <w:i/>
          <w:iCs/>
          <w:sz w:val="22"/>
          <w:szCs w:val="22"/>
        </w:rPr>
      </w:pPr>
      <w:r>
        <w:rPr>
          <w:rFonts w:ascii="Arial" w:hAnsi="Arial" w:cs="Arial"/>
          <w:i/>
          <w:iCs/>
          <w:sz w:val="22"/>
          <w:szCs w:val="22"/>
        </w:rPr>
        <w:t>CNPJ/ME nº 35.980.592/0001-30</w:t>
      </w:r>
    </w:p>
    <w:p w:rsidR="008C39DA" w14:paraId="6C1AC83C" w14:textId="77777777">
      <w:pPr>
        <w:spacing w:line="312" w:lineRule="auto"/>
        <w:jc w:val="center"/>
        <w:rPr>
          <w:rFonts w:ascii="Arial" w:hAnsi="Arial" w:cs="Arial"/>
          <w:i/>
          <w:iCs/>
          <w:sz w:val="22"/>
          <w:szCs w:val="22"/>
        </w:rPr>
      </w:pPr>
      <w:r>
        <w:rPr>
          <w:rFonts w:ascii="Arial" w:hAnsi="Arial" w:cs="Arial"/>
          <w:i/>
          <w:iCs/>
          <w:sz w:val="22"/>
          <w:szCs w:val="22"/>
        </w:rPr>
        <w:t>NIRE 33.3.0033323-1</w:t>
      </w:r>
    </w:p>
    <w:p w:rsidR="005728B4" w14:paraId="2D1BC65A" w14:textId="6FD71AF6">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rsidR="008C39DA" w14:paraId="5A808854" w14:textId="48EC523D">
      <w:pPr>
        <w:spacing w:line="312" w:lineRule="auto"/>
        <w:jc w:val="center"/>
        <w:rPr>
          <w:rFonts w:ascii="Arial" w:hAnsi="Arial" w:cs="Arial"/>
          <w:i/>
          <w:iCs/>
          <w:sz w:val="22"/>
          <w:szCs w:val="22"/>
        </w:rPr>
      </w:pPr>
      <w:r>
        <w:rPr>
          <w:rFonts w:ascii="Arial" w:hAnsi="Arial" w:cs="Arial"/>
          <w:i/>
          <w:iCs/>
          <w:sz w:val="22"/>
          <w:szCs w:val="22"/>
        </w:rPr>
        <w:t>Categoria B</w:t>
      </w:r>
    </w:p>
    <w:p w:rsidR="008C39DA" w14:paraId="0FFAD2F7" w14:textId="77777777">
      <w:pPr>
        <w:spacing w:line="312" w:lineRule="auto"/>
        <w:jc w:val="center"/>
        <w:rPr>
          <w:rFonts w:ascii="Arial" w:hAnsi="Arial" w:cs="Arial"/>
          <w:b/>
          <w:smallCaps/>
          <w:sz w:val="22"/>
          <w:szCs w:val="22"/>
        </w:rPr>
      </w:pPr>
    </w:p>
    <w:p w:rsidR="008C39DA" w14:paraId="247BF60B" w14:textId="6B8C6560">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Pr="00080462" w:rsidR="00080462">
        <w:rPr>
          <w:rFonts w:ascii="Arial" w:hAnsi="Arial" w:cs="Arial"/>
          <w:b/>
          <w:sz w:val="22"/>
          <w:szCs w:val="22"/>
        </w:rPr>
        <w:t xml:space="preserve">DA ELEA DIGITAL INFRAESTRUTURA E REDES DE TELECOMUNICAÇÕES S.A. </w:t>
      </w:r>
      <w:r w:rsidRPr="00F506D6" w:rsidR="00080462">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rsidR="008C39DA" w14:paraId="429AD332" w14:textId="77777777">
      <w:pPr>
        <w:spacing w:line="312" w:lineRule="auto"/>
        <w:ind w:left="-284" w:right="-235"/>
        <w:jc w:val="center"/>
        <w:rPr>
          <w:rFonts w:ascii="Arial" w:hAnsi="Arial" w:cs="Arial"/>
          <w:sz w:val="22"/>
          <w:szCs w:val="22"/>
        </w:rPr>
      </w:pPr>
    </w:p>
    <w:p w:rsidR="008C39DA" w14:paraId="48A4FEC7" w14:textId="1364BC11">
      <w:pPr>
        <w:pStyle w:val="ListParagraph"/>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rsidR="008C39DA" w14:paraId="7CCEFB6B" w14:textId="77777777">
      <w:pPr>
        <w:pStyle w:val="ListParagraph"/>
        <w:spacing w:line="312" w:lineRule="auto"/>
        <w:ind w:left="-284" w:right="-235"/>
        <w:rPr>
          <w:rFonts w:ascii="Arial" w:hAnsi="Arial" w:cs="Arial"/>
          <w:sz w:val="22"/>
          <w:szCs w:val="22"/>
        </w:rPr>
      </w:pPr>
    </w:p>
    <w:p w:rsidR="008C39DA" w14:paraId="2B9043FD" w14:textId="0419FB0E">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Pr="00CC1BF1" w:rsidR="0089705E">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r>
        <w:rPr>
          <w:rFonts w:ascii="Arial" w:hAnsi="Arial" w:cs="Arial"/>
          <w:i/>
          <w:sz w:val="22"/>
          <w:szCs w:val="22"/>
        </w:rPr>
        <w:t>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rsidR="008C39DA" w14:paraId="588D0E29" w14:textId="77777777">
      <w:pPr>
        <w:pStyle w:val="ListParagraph"/>
        <w:widowControl/>
        <w:overflowPunct w:val="0"/>
        <w:autoSpaceDE w:val="0"/>
        <w:autoSpaceDN w:val="0"/>
        <w:adjustRightInd w:val="0"/>
        <w:spacing w:line="312" w:lineRule="auto"/>
        <w:ind w:left="-284" w:right="-235"/>
        <w:textAlignment w:val="baseline"/>
        <w:rPr>
          <w:rFonts w:ascii="Arial" w:hAnsi="Arial" w:cs="Arial"/>
          <w:sz w:val="22"/>
          <w:szCs w:val="22"/>
        </w:rPr>
      </w:pPr>
    </w:p>
    <w:p w:rsidR="008C39DA" w14:paraId="36651F26" w14:textId="2B0C42DC">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xml:space="preserve">”) representando 100% (cem por cento) das Debêntures em circulação da Emissão. Presentes, ainda, o representante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Pr="00A92230" w:rsidR="001065E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rsidR="008C39DA" w14:paraId="6068CFFE" w14:textId="77777777">
      <w:pPr>
        <w:pStyle w:val="ListParagraph"/>
        <w:spacing w:line="312" w:lineRule="auto"/>
        <w:ind w:left="-284" w:right="-235"/>
        <w:rPr>
          <w:rFonts w:ascii="Arial" w:hAnsi="Arial" w:cs="Arial"/>
          <w:sz w:val="22"/>
          <w:szCs w:val="22"/>
        </w:rPr>
      </w:pPr>
    </w:p>
    <w:p w:rsidR="008C39DA" w14:paraId="30001F49" w14:textId="5C4C0ABF">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Presidida pelo Sr</w:t>
      </w:r>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e secretariada pelo Sr</w:t>
      </w:r>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Pr="00B23DA8" w:rsidR="005728B4">
        <w:rPr>
          <w:rFonts w:ascii="Arial" w:hAnsi="Arial" w:cs="Arial"/>
          <w:bCs/>
          <w:iCs/>
          <w:sz w:val="22"/>
          <w:szCs w:val="22"/>
          <w:highlight w:val="yellow"/>
        </w:rPr>
        <w:t>[</w:t>
      </w:r>
      <w:r w:rsidRPr="00B23DA8" w:rsidR="005728B4">
        <w:rPr>
          <w:rFonts w:ascii="Arial" w:hAnsi="Arial" w:cs="Arial"/>
          <w:b/>
          <w:iCs/>
          <w:sz w:val="22"/>
          <w:szCs w:val="22"/>
          <w:highlight w:val="yellow"/>
        </w:rPr>
        <w:t>Nota Pinheiro Neto</w:t>
      </w:r>
      <w:r w:rsidRPr="00B23DA8" w:rsidR="005728B4">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Pr="00B23DA8" w:rsidR="005728B4">
        <w:rPr>
          <w:rFonts w:ascii="Arial" w:hAnsi="Arial" w:cs="Arial"/>
          <w:bCs/>
          <w:iCs/>
          <w:sz w:val="22"/>
          <w:szCs w:val="22"/>
          <w:highlight w:val="yellow"/>
        </w:rPr>
        <w:t>.]</w:t>
      </w:r>
    </w:p>
    <w:p w:rsidR="008C39DA" w14:paraId="0FBD0F76" w14:textId="77777777">
      <w:pPr>
        <w:pStyle w:val="ListParagraph"/>
        <w:widowControl/>
        <w:overflowPunct w:val="0"/>
        <w:autoSpaceDE w:val="0"/>
        <w:autoSpaceDN w:val="0"/>
        <w:adjustRightInd w:val="0"/>
        <w:spacing w:line="312" w:lineRule="auto"/>
        <w:ind w:left="-284" w:right="-235"/>
        <w:textAlignment w:val="baseline"/>
        <w:rPr>
          <w:rFonts w:ascii="Arial" w:hAnsi="Arial" w:cs="Arial"/>
          <w:sz w:val="22"/>
          <w:szCs w:val="22"/>
        </w:rPr>
      </w:pPr>
    </w:p>
    <w:p w:rsidR="008C39DA" w14:paraId="6306D079" w14:textId="1A8FA0C9">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rsidR="008C39DA" w14:paraId="17788B0D" w14:textId="77777777">
      <w:pPr>
        <w:spacing w:line="312" w:lineRule="auto"/>
        <w:ind w:left="-284" w:right="-232"/>
        <w:rPr>
          <w:rFonts w:ascii="Arial" w:hAnsi="Arial" w:cs="Arial"/>
          <w:sz w:val="22"/>
          <w:szCs w:val="22"/>
        </w:rPr>
      </w:pPr>
    </w:p>
    <w:p w:rsidR="00F32055" w:rsidRPr="00F32055" w14:paraId="067B2414" w14:textId="4D8BFF61">
      <w:pPr>
        <w:pStyle w:val="ListParagraph"/>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rsidR="00F32055" w:rsidRPr="00F32055" w:rsidP="00094E50" w14:paraId="3D23C924" w14:textId="77777777">
      <w:pPr>
        <w:pStyle w:val="ListParagraph"/>
        <w:rPr>
          <w:rStyle w:val="PageNumber"/>
          <w:rFonts w:ascii="Arial" w:hAnsi="Arial" w:cs="Arial"/>
          <w:iCs/>
          <w:sz w:val="22"/>
          <w:szCs w:val="22"/>
        </w:rPr>
      </w:pPr>
    </w:p>
    <w:p w:rsidR="00D8330A" w:rsidP="00094E50" w14:paraId="2E392C4A" w14:textId="722A45ED">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Pr="00BE0062" w:rsidR="00F8415C">
        <w:rPr>
          <w:rFonts w:ascii="Arial" w:hAnsi="Arial" w:cs="Arial"/>
          <w:bCs/>
          <w:sz w:val="22"/>
          <w:szCs w:val="16"/>
        </w:rPr>
        <w:t xml:space="preserve"> R$200.000.000,00 (duzentos milhões de reais)</w:t>
      </w:r>
      <w:r w:rsidR="007740CC">
        <w:rPr>
          <w:rFonts w:ascii="Arial" w:hAnsi="Arial" w:cs="Arial"/>
          <w:bCs/>
          <w:sz w:val="22"/>
          <w:szCs w:val="16"/>
        </w:rPr>
        <w:t xml:space="preserve"> (“</w:t>
      </w:r>
      <w:r w:rsidRPr="00A92230" w:rsidR="007740CC">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rsidR="007740CC" w:rsidRPr="00D8330A" w:rsidP="00A92230" w14:paraId="6D549B0E" w14:textId="77777777">
      <w:pPr>
        <w:pStyle w:val="ListParagraph"/>
        <w:widowControl/>
        <w:autoSpaceDE w:val="0"/>
        <w:autoSpaceDN w:val="0"/>
        <w:adjustRightInd w:val="0"/>
        <w:spacing w:line="312" w:lineRule="auto"/>
        <w:ind w:left="284" w:right="-232"/>
        <w:rPr>
          <w:rFonts w:ascii="Arial" w:hAnsi="Arial" w:cs="Arial"/>
          <w:bCs/>
          <w:sz w:val="22"/>
          <w:szCs w:val="16"/>
        </w:rPr>
      </w:pPr>
    </w:p>
    <w:p w:rsidR="008C39DA" w:rsidP="000C1FFD" w14:paraId="20E8348F" w14:textId="3DAE0DF5">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Pr="00A92230" w:rsidR="001B255A">
        <w:rPr>
          <w:rFonts w:ascii="Arial" w:hAnsi="Arial" w:cs="Arial"/>
          <w:bCs/>
          <w:sz w:val="22"/>
          <w:szCs w:val="16"/>
        </w:rPr>
        <w:t xml:space="preserve">para </w:t>
      </w:r>
      <w:r w:rsidRPr="00A92230" w:rsidR="00D8330A">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Pr="007740CC" w:rsidR="008C4F9A">
        <w:rPr>
          <w:rFonts w:ascii="Arial" w:hAnsi="Arial" w:cs="Arial"/>
          <w:bCs/>
          <w:sz w:val="22"/>
          <w:szCs w:val="16"/>
        </w:rPr>
        <w:t>3</w:t>
      </w:r>
      <w:r w:rsidRPr="00A92230" w:rsidR="008C4F9A">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Pr="00F506D6" w:rsidR="00CF3FEE">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Pr="000C1FFD" w:rsidR="001E783D">
        <w:rPr>
          <w:rFonts w:ascii="Arial" w:hAnsi="Arial" w:cs="Arial"/>
          <w:bCs/>
          <w:sz w:val="22"/>
          <w:szCs w:val="16"/>
        </w:rPr>
        <w:t>da</w:t>
      </w:r>
      <w:r w:rsidRPr="000C1FFD" w:rsid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Pr="000C1FFD" w:rsid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Pr="00F506D6" w:rsidR="000C1FFD">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Pr="000A2CD4" w:rsidR="000C1FFD">
        <w:rPr>
          <w:rFonts w:ascii="Arial" w:hAnsi="Arial" w:cs="Arial"/>
          <w:bCs/>
          <w:sz w:val="22"/>
          <w:szCs w:val="16"/>
        </w:rPr>
        <w:t>“</w:t>
      </w:r>
      <w:r w:rsidRPr="000A2CD4" w:rsidR="000C1FFD">
        <w:rPr>
          <w:rFonts w:ascii="Arial" w:hAnsi="Arial" w:cs="Arial"/>
          <w:bCs/>
          <w:i/>
          <w:iCs/>
          <w:sz w:val="22"/>
          <w:szCs w:val="16"/>
        </w:rPr>
        <w:t>Contrato de Alienação Fiduciária de Ações e Outras Avenças</w:t>
      </w:r>
      <w:r w:rsidRPr="000A2CD4" w:rsidR="000C1FFD">
        <w:rPr>
          <w:rFonts w:ascii="Arial" w:hAnsi="Arial" w:cs="Arial"/>
          <w:bCs/>
          <w:sz w:val="22"/>
          <w:szCs w:val="16"/>
        </w:rPr>
        <w:t xml:space="preserve">”, celebrado entre </w:t>
      </w:r>
      <w:r w:rsidR="000C1FFD">
        <w:rPr>
          <w:rFonts w:ascii="Arial" w:hAnsi="Arial" w:cs="Arial"/>
          <w:bCs/>
          <w:sz w:val="22"/>
          <w:szCs w:val="16"/>
        </w:rPr>
        <w:t>a Piemonte, o Sr. Alessandro</w:t>
      </w:r>
      <w:r w:rsidRPr="000A2CD4" w:rsidR="000C1FFD">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Pr="000A2CD4" w:rsidR="000C1FFD">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Pr="00F506D6" w:rsidR="000C1FFD">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Pr="000A2CD4" w:rsidR="000C1FFD">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 (“</w:t>
      </w:r>
      <w:r w:rsidRPr="000A2CD4" w:rsidR="000C1FFD">
        <w:rPr>
          <w:rFonts w:ascii="Arial" w:hAnsi="Arial" w:cs="Arial"/>
          <w:bCs/>
          <w:sz w:val="22"/>
          <w:szCs w:val="16"/>
          <w:u w:val="single"/>
        </w:rPr>
        <w:t>Contrato de Alienação Fiduciária de Imóvel</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Alienação Fiduciária de Equipamentos (conforme definida na Cláusula 3.8, item “(A)”, da Escritura de Emissão), que foi originalmente constituída nos termos do</w:t>
      </w:r>
      <w:r w:rsidR="000C1FFD">
        <w:rPr>
          <w:rFonts w:ascii="Arial" w:hAnsi="Arial" w:cs="Arial"/>
          <w:bCs/>
          <w:sz w:val="22"/>
          <w:szCs w:val="16"/>
        </w:rPr>
        <w:t xml:space="preserve"> </w:t>
      </w:r>
      <w:r w:rsidRPr="00391C82" w:rsidR="000C1FFD">
        <w:rPr>
          <w:rFonts w:ascii="Arial" w:hAnsi="Arial" w:cs="Arial"/>
          <w:bCs/>
          <w:sz w:val="22"/>
          <w:szCs w:val="16"/>
        </w:rPr>
        <w:t>“</w:t>
      </w:r>
      <w:r w:rsidRPr="00391C82" w:rsidR="000C1FFD">
        <w:rPr>
          <w:rFonts w:ascii="Arial" w:hAnsi="Arial" w:cs="Arial"/>
          <w:bCs/>
          <w:i/>
          <w:iCs/>
          <w:sz w:val="22"/>
          <w:szCs w:val="16"/>
        </w:rPr>
        <w:t>Contrato de Alienação Fiduciária de Equipamentos em Garantia e Outras Avenças</w:t>
      </w:r>
      <w:r w:rsidRPr="00391C82" w:rsidR="000C1FFD">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Pr="000A2CD4" w:rsidR="000C1FFD">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Pr="00F506D6" w:rsidR="000C1FFD">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Pr="008C4F9A" w:rsidR="000C1FFD">
        <w:rPr>
          <w:rFonts w:ascii="Arial" w:hAnsi="Arial" w:cs="Arial"/>
          <w:bCs/>
          <w:i/>
          <w:sz w:val="22"/>
          <w:szCs w:val="16"/>
        </w:rPr>
        <w:t>“</w:t>
      </w:r>
      <w:bookmarkStart w:id="0" w:name="_Hlk76491484"/>
      <w:r w:rsidRPr="008C4F9A" w:rsidR="000C1FFD">
        <w:rPr>
          <w:rFonts w:ascii="Arial" w:hAnsi="Arial" w:cs="Arial"/>
          <w:bCs/>
          <w:i/>
          <w:iCs/>
          <w:sz w:val="22"/>
          <w:szCs w:val="16"/>
        </w:rPr>
        <w:t>Contrato de Cessão Fiduciária de Direitos Creditórios e Outras Avenças</w:t>
      </w:r>
      <w:bookmarkEnd w:id="0"/>
      <w:r w:rsidRPr="000A2CD4" w:rsidR="000C1FFD">
        <w:rPr>
          <w:rFonts w:ascii="Arial" w:hAnsi="Arial" w:cs="Arial"/>
          <w:bCs/>
          <w:sz w:val="22"/>
          <w:szCs w:val="16"/>
        </w:rPr>
        <w:t>”</w:t>
      </w:r>
      <w:r w:rsidRPr="008C4F9A" w:rsidR="000C1FFD">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Pr="000A2CD4" w:rsidR="000C1FFD">
        <w:rPr>
          <w:rFonts w:ascii="Arial" w:hAnsi="Arial" w:cs="Arial"/>
          <w:bCs/>
          <w:sz w:val="22"/>
          <w:szCs w:val="16"/>
          <w:u w:val="single"/>
        </w:rPr>
        <w:t>Contrato de Cessão 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e o Contrato de </w:t>
      </w:r>
      <w:r w:rsidR="001F4977">
        <w:rPr>
          <w:rFonts w:ascii="Arial" w:hAnsi="Arial" w:cs="Arial"/>
          <w:bCs/>
          <w:sz w:val="22"/>
          <w:szCs w:val="16"/>
        </w:rPr>
        <w:t>Alienação Fiduciária, os “</w:t>
      </w:r>
      <w:r w:rsidRPr="00F506D6" w:rsidR="001F4977">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Pr="00A92230" w:rsidR="000C1FFD">
        <w:rPr>
          <w:rFonts w:ascii="Arial" w:hAnsi="Arial" w:cs="Arial"/>
          <w:bCs/>
          <w:sz w:val="22"/>
          <w:szCs w:val="16"/>
        </w:rPr>
        <w:t>,</w:t>
      </w:r>
      <w:r w:rsidRPr="00F506D6" w:rsidR="00E66C9C">
        <w:rPr>
          <w:rFonts w:ascii="Arial" w:hAnsi="Arial" w:cs="Arial"/>
          <w:bCs/>
          <w:sz w:val="22"/>
          <w:szCs w:val="16"/>
        </w:rPr>
        <w:t xml:space="preserve"> </w:t>
      </w:r>
      <w:r w:rsidRPr="00F506D6" w:rsidR="00E32F18">
        <w:rPr>
          <w:rFonts w:ascii="Arial" w:hAnsi="Arial" w:cs="Arial"/>
          <w:bCs/>
          <w:sz w:val="22"/>
          <w:szCs w:val="16"/>
        </w:rPr>
        <w:t>conforme previsto na Cláusula 6.1.1.1, ite</w:t>
      </w:r>
      <w:r w:rsidRPr="00F506D6" w:rsidR="00D8330A">
        <w:rPr>
          <w:rFonts w:ascii="Arial" w:hAnsi="Arial" w:cs="Arial"/>
          <w:bCs/>
          <w:sz w:val="22"/>
          <w:szCs w:val="16"/>
        </w:rPr>
        <w:t>ns</w:t>
      </w:r>
      <w:r w:rsidRPr="00F506D6" w:rsidR="00E32F18">
        <w:rPr>
          <w:rFonts w:ascii="Arial" w:hAnsi="Arial" w:cs="Arial"/>
          <w:bCs/>
          <w:sz w:val="22"/>
          <w:szCs w:val="16"/>
        </w:rPr>
        <w:t xml:space="preserve"> </w:t>
      </w:r>
      <w:r w:rsidRPr="00F506D6" w:rsidR="00E66C9C">
        <w:rPr>
          <w:rFonts w:ascii="Arial" w:hAnsi="Arial" w:cs="Arial"/>
          <w:bCs/>
          <w:sz w:val="22"/>
          <w:szCs w:val="16"/>
        </w:rPr>
        <w:t>“</w:t>
      </w:r>
      <w:r w:rsidRPr="00F506D6" w:rsidR="00E32F18">
        <w:rPr>
          <w:rFonts w:ascii="Arial" w:hAnsi="Arial" w:cs="Arial"/>
          <w:bCs/>
          <w:sz w:val="22"/>
          <w:szCs w:val="16"/>
        </w:rPr>
        <w:t>(</w:t>
      </w:r>
      <w:r w:rsidRPr="00F506D6" w:rsidR="00D8330A">
        <w:rPr>
          <w:rFonts w:ascii="Arial" w:hAnsi="Arial" w:cs="Arial"/>
          <w:bCs/>
          <w:sz w:val="22"/>
          <w:szCs w:val="16"/>
        </w:rPr>
        <w:t>d</w:t>
      </w:r>
      <w:r w:rsidRPr="00F506D6" w:rsidR="00E32F18">
        <w:rPr>
          <w:rFonts w:ascii="Arial" w:hAnsi="Arial" w:cs="Arial"/>
          <w:bCs/>
          <w:sz w:val="22"/>
          <w:szCs w:val="16"/>
        </w:rPr>
        <w:t>)</w:t>
      </w:r>
      <w:r w:rsidRPr="00F506D6" w:rsidR="00E66C9C">
        <w:rPr>
          <w:rFonts w:ascii="Arial" w:hAnsi="Arial" w:cs="Arial"/>
          <w:bCs/>
          <w:sz w:val="22"/>
          <w:szCs w:val="16"/>
        </w:rPr>
        <w:t>”</w:t>
      </w:r>
      <w:r w:rsidRPr="00F506D6" w:rsidR="00D8330A">
        <w:rPr>
          <w:rFonts w:ascii="Arial" w:hAnsi="Arial" w:cs="Arial"/>
          <w:bCs/>
          <w:sz w:val="22"/>
          <w:szCs w:val="16"/>
        </w:rPr>
        <w:t xml:space="preserve">, </w:t>
      </w:r>
      <w:r w:rsidRPr="00F506D6" w:rsidR="00E66C9C">
        <w:rPr>
          <w:rFonts w:ascii="Arial" w:hAnsi="Arial" w:cs="Arial"/>
          <w:bCs/>
          <w:sz w:val="22"/>
          <w:szCs w:val="16"/>
        </w:rPr>
        <w:t>“</w:t>
      </w:r>
      <w:r w:rsidRPr="00F506D6" w:rsidR="00D8330A">
        <w:rPr>
          <w:rFonts w:ascii="Arial" w:hAnsi="Arial" w:cs="Arial"/>
          <w:bCs/>
          <w:sz w:val="22"/>
          <w:szCs w:val="16"/>
        </w:rPr>
        <w:t>(e)</w:t>
      </w:r>
      <w:r w:rsidRPr="00F506D6" w:rsidR="00E66C9C">
        <w:rPr>
          <w:rFonts w:ascii="Arial" w:hAnsi="Arial" w:cs="Arial"/>
          <w:bCs/>
          <w:sz w:val="22"/>
          <w:szCs w:val="16"/>
        </w:rPr>
        <w:t>”</w:t>
      </w:r>
      <w:r w:rsidRPr="00F506D6" w:rsidR="00D8330A">
        <w:rPr>
          <w:rFonts w:ascii="Arial" w:hAnsi="Arial" w:cs="Arial"/>
          <w:bCs/>
          <w:sz w:val="22"/>
          <w:szCs w:val="16"/>
        </w:rPr>
        <w:t xml:space="preserve"> e </w:t>
      </w:r>
      <w:r w:rsidRPr="00F506D6" w:rsidR="00E66C9C">
        <w:rPr>
          <w:rFonts w:ascii="Arial" w:hAnsi="Arial" w:cs="Arial"/>
          <w:bCs/>
          <w:sz w:val="22"/>
          <w:szCs w:val="16"/>
        </w:rPr>
        <w:t>“</w:t>
      </w:r>
      <w:r w:rsidRPr="00F506D6" w:rsidR="00D8330A">
        <w:rPr>
          <w:rFonts w:ascii="Arial" w:hAnsi="Arial" w:cs="Arial"/>
          <w:bCs/>
          <w:sz w:val="22"/>
          <w:szCs w:val="16"/>
        </w:rPr>
        <w:t>(o)</w:t>
      </w:r>
      <w:r w:rsidRPr="00F506D6" w:rsidR="00E66C9C">
        <w:rPr>
          <w:rFonts w:ascii="Arial" w:hAnsi="Arial" w:cs="Arial"/>
          <w:bCs/>
          <w:sz w:val="22"/>
          <w:szCs w:val="16"/>
        </w:rPr>
        <w:t>”</w:t>
      </w:r>
      <w:r w:rsidRPr="00F506D6" w:rsidR="00E32F18">
        <w:rPr>
          <w:rFonts w:ascii="Arial" w:hAnsi="Arial" w:cs="Arial"/>
          <w:bCs/>
          <w:sz w:val="22"/>
          <w:szCs w:val="16"/>
        </w:rPr>
        <w:t xml:space="preserve"> da Escritura</w:t>
      </w:r>
      <w:r w:rsidRPr="00F506D6" w:rsidR="0089705E">
        <w:rPr>
          <w:rFonts w:ascii="Arial" w:hAnsi="Arial" w:cs="Arial"/>
          <w:bCs/>
          <w:sz w:val="22"/>
          <w:szCs w:val="16"/>
        </w:rPr>
        <w:t xml:space="preserve"> de Emissão</w:t>
      </w:r>
      <w:r w:rsidRPr="00F506D6" w:rsidR="00E32F18">
        <w:rPr>
          <w:rFonts w:ascii="Arial" w:hAnsi="Arial" w:cs="Arial"/>
          <w:bCs/>
          <w:sz w:val="22"/>
          <w:szCs w:val="16"/>
        </w:rPr>
        <w:t>, de forma que não seja configurado o descumprimento da</w:t>
      </w:r>
      <w:r w:rsidRPr="00F506D6" w:rsidR="00D8330A">
        <w:rPr>
          <w:rFonts w:ascii="Arial" w:hAnsi="Arial" w:cs="Arial"/>
          <w:bCs/>
          <w:sz w:val="22"/>
          <w:szCs w:val="16"/>
        </w:rPr>
        <w:t>s</w:t>
      </w:r>
      <w:r w:rsidRPr="00F506D6" w:rsidR="00E32F18">
        <w:rPr>
          <w:rFonts w:ascii="Arial" w:hAnsi="Arial" w:cs="Arial"/>
          <w:bCs/>
          <w:sz w:val="22"/>
          <w:szCs w:val="16"/>
        </w:rPr>
        <w:t xml:space="preserve"> obrigaç</w:t>
      </w:r>
      <w:r w:rsidRPr="00F506D6" w:rsidR="00D8330A">
        <w:rPr>
          <w:rFonts w:ascii="Arial" w:hAnsi="Arial" w:cs="Arial"/>
          <w:bCs/>
          <w:sz w:val="22"/>
          <w:szCs w:val="16"/>
        </w:rPr>
        <w:t>ões</w:t>
      </w:r>
      <w:r w:rsidRPr="00F506D6" w:rsidR="00E32F18">
        <w:rPr>
          <w:rFonts w:ascii="Arial" w:hAnsi="Arial" w:cs="Arial"/>
          <w:bCs/>
          <w:sz w:val="22"/>
          <w:szCs w:val="16"/>
        </w:rPr>
        <w:t xml:space="preserve"> estabelecida</w:t>
      </w:r>
      <w:r w:rsidRPr="00F506D6" w:rsidR="00D8330A">
        <w:rPr>
          <w:rFonts w:ascii="Arial" w:hAnsi="Arial" w:cs="Arial"/>
          <w:bCs/>
          <w:sz w:val="22"/>
          <w:szCs w:val="16"/>
        </w:rPr>
        <w:t>s</w:t>
      </w:r>
      <w:r w:rsidRPr="00F506D6" w:rsidR="00E32F18">
        <w:rPr>
          <w:rFonts w:ascii="Arial" w:hAnsi="Arial" w:cs="Arial"/>
          <w:bCs/>
          <w:sz w:val="22"/>
          <w:szCs w:val="16"/>
        </w:rPr>
        <w:t xml:space="preserve"> na referida cláusula e, consequentemente, um Evento de Inadimplemento Automático, nos termos da Escritura de Emissão; </w:t>
      </w:r>
      <w:r w:rsidR="000C1FFD">
        <w:rPr>
          <w:rFonts w:ascii="Arial" w:hAnsi="Arial" w:cs="Arial"/>
          <w:bCs/>
          <w:sz w:val="22"/>
          <w:szCs w:val="16"/>
        </w:rPr>
        <w:t>[</w:t>
      </w:r>
      <w:r w:rsidRPr="00F506D6" w:rsidR="000C1FFD">
        <w:rPr>
          <w:rFonts w:ascii="Arial" w:hAnsi="Arial" w:cs="Arial"/>
          <w:b/>
          <w:sz w:val="22"/>
          <w:szCs w:val="16"/>
          <w:highlight w:val="lightGray"/>
        </w:rPr>
        <w:t>Nota Cescon Barrieu:</w:t>
      </w:r>
      <w:r w:rsidRPr="00F506D6" w:rsidR="000C1FFD">
        <w:rPr>
          <w:rFonts w:ascii="Arial" w:hAnsi="Arial" w:cs="Arial"/>
          <w:bCs/>
          <w:sz w:val="22"/>
          <w:szCs w:val="16"/>
          <w:highlight w:val="lightGray"/>
        </w:rPr>
        <w:t xml:space="preserve"> na definição “Garantias Reais” da Escritura 2ª Emissão constava a Cessão Fiduciária da Conta Retenção para Aquisição, que será excluída do rol das garantiras </w:t>
      </w:r>
      <w:r w:rsidRPr="00F506D6" w:rsidR="007944E9">
        <w:rPr>
          <w:rFonts w:ascii="Arial" w:hAnsi="Arial" w:cs="Arial"/>
          <w:bCs/>
          <w:iCs/>
          <w:sz w:val="22"/>
          <w:szCs w:val="22"/>
          <w:highlight w:val="lightGray"/>
        </w:rPr>
        <w:t>em decorrência da conclusão da aquisição do Imóvel Rio de Janeiro</w:t>
      </w:r>
      <w:r w:rsidRPr="007944E9" w:rsidR="007944E9">
        <w:rPr>
          <w:rFonts w:ascii="Arial" w:hAnsi="Arial" w:cs="Arial"/>
          <w:bCs/>
          <w:sz w:val="22"/>
          <w:szCs w:val="16"/>
          <w:highlight w:val="lightGray"/>
        </w:rPr>
        <w:t xml:space="preserve"> </w:t>
      </w:r>
      <w:r w:rsidRPr="00F506D6" w:rsidR="000C1FFD">
        <w:rPr>
          <w:rFonts w:ascii="Arial" w:hAnsi="Arial" w:cs="Arial"/>
          <w:bCs/>
          <w:sz w:val="22"/>
          <w:szCs w:val="16"/>
          <w:highlight w:val="lightGray"/>
        </w:rPr>
        <w:t>e</w:t>
      </w:r>
      <w:r w:rsidRPr="007944E9" w:rsidR="007944E9">
        <w:rPr>
          <w:rFonts w:ascii="Arial" w:hAnsi="Arial" w:cs="Arial"/>
          <w:bCs/>
          <w:sz w:val="22"/>
          <w:szCs w:val="16"/>
          <w:highlight w:val="lightGray"/>
        </w:rPr>
        <w:t>, portanto,</w:t>
      </w:r>
      <w:r w:rsidRPr="00F506D6" w:rsidR="000C1FFD">
        <w:rPr>
          <w:rFonts w:ascii="Arial" w:hAnsi="Arial" w:cs="Arial"/>
          <w:bCs/>
          <w:sz w:val="22"/>
          <w:szCs w:val="16"/>
          <w:highlight w:val="lightGray"/>
        </w:rPr>
        <w:t xml:space="preserve"> não será compartilhada</w:t>
      </w:r>
      <w:r w:rsidR="000C1FFD">
        <w:rPr>
          <w:rFonts w:ascii="Arial" w:hAnsi="Arial" w:cs="Arial"/>
          <w:bCs/>
          <w:sz w:val="22"/>
          <w:szCs w:val="16"/>
        </w:rPr>
        <w:t>]</w:t>
      </w:r>
    </w:p>
    <w:p w:rsidR="00374AD2" w:rsidP="00374AD2" w14:paraId="00BAD073" w14:textId="53ECCED9">
      <w:pPr>
        <w:pStyle w:val="ListParagraph"/>
        <w:widowControl/>
        <w:autoSpaceDE w:val="0"/>
        <w:autoSpaceDN w:val="0"/>
        <w:adjustRightInd w:val="0"/>
        <w:spacing w:line="312" w:lineRule="auto"/>
        <w:ind w:left="284" w:right="-232"/>
        <w:rPr>
          <w:rFonts w:ascii="Arial" w:hAnsi="Arial" w:cs="Arial"/>
          <w:bCs/>
          <w:sz w:val="22"/>
          <w:szCs w:val="16"/>
        </w:rPr>
      </w:pPr>
    </w:p>
    <w:p w:rsidR="00374AD2" w:rsidRPr="00F506D6" w:rsidP="00F506D6" w14:paraId="3EC84CB9" w14:textId="41A342E1">
      <w:pPr>
        <w:pStyle w:val="ListParagraph"/>
        <w:widowControl/>
        <w:autoSpaceDE w:val="0"/>
        <w:autoSpaceDN w:val="0"/>
        <w:adjustRightInd w:val="0"/>
        <w:spacing w:line="312" w:lineRule="auto"/>
        <w:ind w:left="284" w:right="-232"/>
        <w:rPr>
          <w:rFonts w:ascii="Arial" w:hAnsi="Arial" w:cs="Arial"/>
          <w:bCs/>
          <w:sz w:val="22"/>
          <w:szCs w:val="16"/>
        </w:rPr>
      </w:pPr>
      <w:r>
        <w:rPr>
          <w:rFonts w:ascii="Arial" w:hAnsi="Arial" w:cs="Arial"/>
          <w:bCs/>
          <w:sz w:val="22"/>
          <w:szCs w:val="16"/>
        </w:rPr>
        <w:t>[</w:t>
      </w:r>
      <w:r w:rsidRPr="00F506D6">
        <w:rPr>
          <w:rFonts w:ascii="Arial" w:hAnsi="Arial" w:cs="Arial"/>
          <w:b/>
          <w:sz w:val="22"/>
          <w:szCs w:val="16"/>
          <w:highlight w:val="lightGray"/>
        </w:rPr>
        <w:t>Nota Cescon Barrieu:</w:t>
      </w:r>
      <w:r w:rsidRPr="00F506D6">
        <w:rPr>
          <w:rFonts w:ascii="Arial" w:hAnsi="Arial" w:cs="Arial"/>
          <w:bCs/>
          <w:sz w:val="22"/>
          <w:szCs w:val="16"/>
          <w:highlight w:val="lightGray"/>
        </w:rPr>
        <w:t xml:space="preserve"> favor incluir autorização para a constituição das novas garantias (AF de Imóvel Rio de Janeiro, AF de Imóvel Porto Alegre, </w:t>
      </w:r>
      <w:r w:rsidR="00F506D6">
        <w:rPr>
          <w:rFonts w:ascii="Arial" w:hAnsi="Arial" w:cs="Arial"/>
          <w:bCs/>
          <w:sz w:val="22"/>
          <w:szCs w:val="16"/>
          <w:highlight w:val="lightGray"/>
        </w:rPr>
        <w:t>AF</w:t>
      </w:r>
      <w:r w:rsidRPr="00732427" w:rsidR="00732427">
        <w:rPr>
          <w:rFonts w:ascii="Arial" w:hAnsi="Arial" w:cs="Arial"/>
          <w:bCs/>
          <w:sz w:val="22"/>
          <w:szCs w:val="16"/>
          <w:highlight w:val="lightGray"/>
        </w:rPr>
        <w:t xml:space="preserve"> de Equipamentos do Imóvel Rio de Janeiro</w:t>
      </w:r>
      <w:r w:rsidR="00732427">
        <w:rPr>
          <w:rFonts w:ascii="Arial" w:hAnsi="Arial" w:cs="Arial"/>
          <w:bCs/>
          <w:sz w:val="22"/>
          <w:szCs w:val="16"/>
          <w:highlight w:val="lightGray"/>
        </w:rPr>
        <w:t xml:space="preserve">, </w:t>
      </w:r>
      <w:r w:rsidR="00F506D6">
        <w:rPr>
          <w:rFonts w:ascii="Arial" w:hAnsi="Arial" w:cs="Arial"/>
          <w:bCs/>
          <w:sz w:val="22"/>
          <w:szCs w:val="16"/>
          <w:highlight w:val="lightGray"/>
        </w:rPr>
        <w:t>AF</w:t>
      </w:r>
      <w:r w:rsidRPr="00732427" w:rsidR="00732427">
        <w:rPr>
          <w:rFonts w:ascii="Arial" w:hAnsi="Arial" w:cs="Arial"/>
          <w:bCs/>
          <w:sz w:val="22"/>
          <w:szCs w:val="16"/>
          <w:highlight w:val="lightGray"/>
        </w:rPr>
        <w:t xml:space="preserve"> de Equipamentos do Imóvel Porto Alegre </w:t>
      </w:r>
      <w:r w:rsidRPr="00F506D6">
        <w:rPr>
          <w:rFonts w:ascii="Arial" w:hAnsi="Arial" w:cs="Arial"/>
          <w:bCs/>
          <w:sz w:val="22"/>
          <w:szCs w:val="16"/>
          <w:highlight w:val="lightGray"/>
        </w:rPr>
        <w:t>e Cessão Fiduciária CAPEX), bem como seu compartilhamento entre os debenturistas da 2ª emissão e os debenturistas da 3ª emissão</w:t>
      </w:r>
      <w:r>
        <w:rPr>
          <w:rFonts w:ascii="Arial" w:hAnsi="Arial" w:cs="Arial"/>
          <w:bCs/>
          <w:sz w:val="22"/>
          <w:szCs w:val="16"/>
        </w:rPr>
        <w:t>]</w:t>
      </w:r>
    </w:p>
    <w:p w:rsidR="008C39DA" w14:paraId="07351A8F" w14:textId="77777777">
      <w:pPr>
        <w:pStyle w:val="ListParagraph"/>
        <w:widowControl/>
        <w:autoSpaceDE w:val="0"/>
        <w:autoSpaceDN w:val="0"/>
        <w:adjustRightInd w:val="0"/>
        <w:spacing w:line="312" w:lineRule="auto"/>
        <w:ind w:right="-232"/>
        <w:rPr>
          <w:rFonts w:ascii="Arial" w:hAnsi="Arial" w:cs="Arial"/>
          <w:bCs/>
          <w:iCs/>
          <w:sz w:val="22"/>
          <w:szCs w:val="22"/>
        </w:rPr>
      </w:pPr>
    </w:p>
    <w:p w:rsidR="00DC4A15" w:rsidP="00DC4A15" w14:paraId="6050173F" w14:textId="22EA1BD0">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rsidR="00DC4A15" w:rsidP="00DC4A15" w14:paraId="2DF775C1" w14:textId="2D9C01C3">
      <w:pPr>
        <w:pStyle w:val="ListParagraph"/>
        <w:widowControl/>
        <w:autoSpaceDE w:val="0"/>
        <w:autoSpaceDN w:val="0"/>
        <w:adjustRightInd w:val="0"/>
        <w:spacing w:line="312" w:lineRule="auto"/>
        <w:ind w:left="284" w:right="-232"/>
        <w:rPr>
          <w:rFonts w:ascii="Arial" w:hAnsi="Arial" w:cs="Arial"/>
          <w:bCs/>
          <w:iCs/>
          <w:sz w:val="22"/>
          <w:szCs w:val="22"/>
        </w:rPr>
      </w:pPr>
    </w:p>
    <w:p w:rsidR="009C1F42" w:rsidRPr="00A92230" w:rsidP="00A92230" w14:paraId="735AF79F" w14:textId="77777777">
      <w:pPr>
        <w:pStyle w:val="Level3"/>
        <w:numPr>
          <w:ilvl w:val="0"/>
          <w:numId w:val="0"/>
        </w:numPr>
        <w:spacing w:after="0" w:line="300" w:lineRule="exact"/>
        <w:ind w:left="709"/>
        <w:rPr>
          <w:rFonts w:ascii="Arial" w:hAnsi="Arial" w:cs="Arial"/>
          <w:sz w:val="22"/>
          <w:szCs w:val="22"/>
        </w:rPr>
      </w:pPr>
      <w:r w:rsidRPr="00A92230">
        <w:rPr>
          <w:rFonts w:ascii="Arial" w:hAnsi="Arial" w:cs="Arial"/>
          <w:sz w:val="22"/>
          <w:szCs w:val="22"/>
          <w:u w:val="single"/>
        </w:rPr>
        <w:t>Dívida Líquida/EBITDA</w:t>
      </w:r>
      <w:r w:rsidRPr="00A92230">
        <w:rPr>
          <w:rFonts w:ascii="Arial" w:hAnsi="Arial" w:cs="Arial"/>
          <w:sz w:val="22"/>
          <w:szCs w:val="22"/>
        </w:rPr>
        <w:t>:</w:t>
      </w:r>
    </w:p>
    <w:p w:rsidR="009C1F42" w:rsidRPr="00A92230" w:rsidP="009C1F42" w14:paraId="03DA8647" w14:textId="77777777">
      <w:pPr>
        <w:pStyle w:val="Level3"/>
        <w:numPr>
          <w:ilvl w:val="0"/>
          <w:numId w:val="0"/>
        </w:numPr>
        <w:spacing w:after="0" w:line="300" w:lineRule="exact"/>
        <w:rPr>
          <w:rFonts w:ascii="Arial" w:hAnsi="Arial" w:cs="Arial"/>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4720"/>
      </w:tblGrid>
      <w:tr w14:paraId="026A10F3" w14:textId="77777777" w:rsidTr="00A92230">
        <w:tblPrEx>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75" w:type="dxa"/>
            <w:shd w:val="clear" w:color="auto" w:fill="auto"/>
          </w:tcPr>
          <w:p w:rsidR="009C1F42" w:rsidRPr="00A92230" w:rsidP="00B23DA8" w14:paraId="715DFA7A" w14:textId="77777777">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Menor ou igual a:</w:t>
            </w:r>
          </w:p>
        </w:tc>
        <w:tc>
          <w:tcPr>
            <w:tcW w:w="4720" w:type="dxa"/>
            <w:shd w:val="clear" w:color="auto" w:fill="auto"/>
          </w:tcPr>
          <w:p w:rsidR="009C1F42" w:rsidRPr="00A92230" w:rsidP="00B23DA8" w14:paraId="3D5F0C5D" w14:textId="77777777">
            <w:pPr>
              <w:pStyle w:val="Level3"/>
              <w:numPr>
                <w:ilvl w:val="0"/>
                <w:numId w:val="0"/>
              </w:numPr>
              <w:spacing w:after="0" w:line="300" w:lineRule="exact"/>
              <w:rPr>
                <w:rFonts w:ascii="Arial" w:hAnsi="Arial" w:cs="Arial"/>
                <w:b/>
                <w:bCs/>
                <w:sz w:val="22"/>
                <w:szCs w:val="22"/>
              </w:rPr>
            </w:pPr>
            <w:r w:rsidRPr="00A92230">
              <w:rPr>
                <w:rFonts w:ascii="Arial" w:hAnsi="Arial" w:cs="Arial"/>
                <w:b/>
                <w:bCs/>
                <w:sz w:val="22"/>
                <w:szCs w:val="22"/>
              </w:rPr>
              <w:t>Base de Verificação</w:t>
            </w:r>
          </w:p>
        </w:tc>
      </w:tr>
      <w:tr w14:paraId="443E96C4" w14:textId="77777777" w:rsidTr="00A92230">
        <w:tblPrEx>
          <w:tblW w:w="8495" w:type="dxa"/>
          <w:tblInd w:w="473" w:type="dxa"/>
          <w:tblLook w:val="04A0"/>
        </w:tblPrEx>
        <w:tc>
          <w:tcPr>
            <w:tcW w:w="3775" w:type="dxa"/>
            <w:shd w:val="clear" w:color="auto" w:fill="auto"/>
          </w:tcPr>
          <w:p w:rsidR="009C1F42" w:rsidRPr="00A92230" w:rsidP="00B23DA8" w14:paraId="3A18E07E" w14:textId="77777777">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3,5</w:t>
            </w:r>
          </w:p>
        </w:tc>
        <w:tc>
          <w:tcPr>
            <w:tcW w:w="4720" w:type="dxa"/>
            <w:shd w:val="clear" w:color="auto" w:fill="auto"/>
          </w:tcPr>
          <w:p w:rsidR="009C1F42" w:rsidRPr="00A92230" w:rsidP="00B23DA8" w14:paraId="67690DAD" w14:textId="77777777">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 exercício social findo em 31 de dezembro de 2021 e Informações Financeiras de Junho relativas ao período de doze meses findo em 30 de junho de 2022.</w:t>
            </w:r>
          </w:p>
        </w:tc>
      </w:tr>
      <w:tr w14:paraId="7507B87D" w14:textId="77777777" w:rsidTr="00A92230">
        <w:tblPrEx>
          <w:tblW w:w="8495" w:type="dxa"/>
          <w:tblInd w:w="473" w:type="dxa"/>
          <w:tblLook w:val="04A0"/>
        </w:tblPrEx>
        <w:tc>
          <w:tcPr>
            <w:tcW w:w="3775" w:type="dxa"/>
            <w:shd w:val="clear" w:color="auto" w:fill="auto"/>
          </w:tcPr>
          <w:p w:rsidR="009C1F42" w:rsidRPr="00A92230" w:rsidP="00B23DA8" w14:paraId="302AACC7" w14:textId="5053650F">
            <w:pPr>
              <w:pStyle w:val="Level3"/>
              <w:numPr>
                <w:ilvl w:val="0"/>
                <w:numId w:val="0"/>
              </w:numPr>
              <w:spacing w:after="0" w:line="300" w:lineRule="exact"/>
              <w:rPr>
                <w:rFonts w:ascii="Arial" w:hAnsi="Arial" w:cs="Arial"/>
                <w:sz w:val="22"/>
                <w:szCs w:val="22"/>
              </w:rPr>
            </w:pPr>
            <w:r>
              <w:rPr>
                <w:rFonts w:ascii="Arial" w:hAnsi="Arial" w:cs="Arial"/>
                <w:sz w:val="22"/>
                <w:szCs w:val="22"/>
              </w:rPr>
              <w:t>4,0</w:t>
            </w:r>
          </w:p>
        </w:tc>
        <w:tc>
          <w:tcPr>
            <w:tcW w:w="4720" w:type="dxa"/>
            <w:shd w:val="clear" w:color="auto" w:fill="auto"/>
          </w:tcPr>
          <w:p w:rsidR="009C1F42" w:rsidRPr="00A92230" w:rsidP="00B23DA8" w14:paraId="70332462" w14:textId="4A2E203E">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Demonstrações Financeiras do Exercício relativas ao</w:t>
            </w:r>
            <w:r w:rsidR="0030137D">
              <w:rPr>
                <w:rFonts w:ascii="Arial" w:hAnsi="Arial" w:cs="Arial"/>
                <w:sz w:val="22"/>
                <w:szCs w:val="22"/>
              </w:rPr>
              <w:t>s</w:t>
            </w:r>
            <w:r w:rsidRPr="00A92230">
              <w:rPr>
                <w:rFonts w:ascii="Arial" w:hAnsi="Arial" w:cs="Arial"/>
                <w:sz w:val="22"/>
                <w:szCs w:val="22"/>
              </w:rPr>
              <w:t xml:space="preserve"> exercício</w:t>
            </w:r>
            <w:r w:rsidR="0030137D">
              <w:rPr>
                <w:rFonts w:ascii="Arial" w:hAnsi="Arial" w:cs="Arial"/>
                <w:sz w:val="22"/>
                <w:szCs w:val="22"/>
              </w:rPr>
              <w:t>s</w:t>
            </w:r>
            <w:r w:rsidRPr="00A92230">
              <w:rPr>
                <w:rFonts w:ascii="Arial" w:hAnsi="Arial" w:cs="Arial"/>
                <w:sz w:val="22"/>
                <w:szCs w:val="22"/>
              </w:rPr>
              <w:t xml:space="preserve"> </w:t>
            </w:r>
            <w:r w:rsidRPr="00A92230" w:rsidR="0030137D">
              <w:rPr>
                <w:rFonts w:ascii="Arial" w:hAnsi="Arial" w:cs="Arial"/>
                <w:sz w:val="22"/>
                <w:szCs w:val="22"/>
              </w:rPr>
              <w:t>socia</w:t>
            </w:r>
            <w:r w:rsidR="0030137D">
              <w:rPr>
                <w:rFonts w:ascii="Arial" w:hAnsi="Arial" w:cs="Arial"/>
                <w:sz w:val="22"/>
                <w:szCs w:val="22"/>
              </w:rPr>
              <w:t>is</w:t>
            </w:r>
            <w:r w:rsidRPr="00A92230" w:rsidR="0030137D">
              <w:rPr>
                <w:rFonts w:ascii="Arial" w:hAnsi="Arial" w:cs="Arial"/>
                <w:sz w:val="22"/>
                <w:szCs w:val="22"/>
              </w:rPr>
              <w:t xml:space="preserve"> </w:t>
            </w:r>
            <w:r w:rsidRPr="00A92230">
              <w:rPr>
                <w:rFonts w:ascii="Arial" w:hAnsi="Arial" w:cs="Arial"/>
                <w:sz w:val="22"/>
                <w:szCs w:val="22"/>
              </w:rPr>
              <w:t xml:space="preserve">findo em 31 de dezembro de 2022 e </w:t>
            </w:r>
            <w:r w:rsidRPr="00A92230" w:rsidR="0030137D">
              <w:rPr>
                <w:rFonts w:ascii="Arial" w:hAnsi="Arial" w:cs="Arial"/>
                <w:sz w:val="22"/>
                <w:szCs w:val="22"/>
              </w:rPr>
              <w:t>3</w:t>
            </w:r>
            <w:r w:rsidR="0030137D">
              <w:rPr>
                <w:rFonts w:ascii="Arial" w:hAnsi="Arial" w:cs="Arial"/>
                <w:sz w:val="22"/>
                <w:szCs w:val="22"/>
              </w:rPr>
              <w:t>1</w:t>
            </w:r>
            <w:r w:rsidRPr="00A92230" w:rsidR="0030137D">
              <w:rPr>
                <w:rFonts w:ascii="Arial" w:hAnsi="Arial" w:cs="Arial"/>
                <w:sz w:val="22"/>
                <w:szCs w:val="22"/>
              </w:rPr>
              <w:t xml:space="preserve"> </w:t>
            </w:r>
            <w:r w:rsidRPr="00A92230">
              <w:rPr>
                <w:rFonts w:ascii="Arial" w:hAnsi="Arial" w:cs="Arial"/>
                <w:sz w:val="22"/>
                <w:szCs w:val="22"/>
              </w:rPr>
              <w:t xml:space="preserve">de </w:t>
            </w:r>
            <w:r w:rsidR="0030137D">
              <w:rPr>
                <w:rFonts w:ascii="Arial" w:hAnsi="Arial" w:cs="Arial"/>
                <w:sz w:val="22"/>
                <w:szCs w:val="22"/>
              </w:rPr>
              <w:t>dezembro</w:t>
            </w:r>
            <w:r w:rsidRPr="00A92230" w:rsidR="0030137D">
              <w:rPr>
                <w:rFonts w:ascii="Arial" w:hAnsi="Arial" w:cs="Arial"/>
                <w:sz w:val="22"/>
                <w:szCs w:val="22"/>
              </w:rPr>
              <w:t xml:space="preserve"> </w:t>
            </w:r>
            <w:r w:rsidRPr="00A92230">
              <w:rPr>
                <w:rFonts w:ascii="Arial" w:hAnsi="Arial" w:cs="Arial"/>
                <w:sz w:val="22"/>
                <w:szCs w:val="22"/>
              </w:rPr>
              <w:t>de 2023.</w:t>
            </w:r>
          </w:p>
        </w:tc>
      </w:tr>
      <w:tr w14:paraId="49168FE0" w14:textId="77777777" w:rsidTr="00A92230">
        <w:tblPrEx>
          <w:tblW w:w="8495" w:type="dxa"/>
          <w:tblInd w:w="473" w:type="dxa"/>
          <w:tblLook w:val="04A0"/>
        </w:tblPrEx>
        <w:tc>
          <w:tcPr>
            <w:tcW w:w="3775" w:type="dxa"/>
            <w:shd w:val="clear" w:color="auto" w:fill="auto"/>
          </w:tcPr>
          <w:p w:rsidR="009C1F42" w:rsidRPr="00A92230" w:rsidP="00B23DA8" w14:paraId="443D7B09" w14:textId="6697D12C">
            <w:pPr>
              <w:pStyle w:val="Level3"/>
              <w:numPr>
                <w:ilvl w:val="0"/>
                <w:numId w:val="0"/>
              </w:numPr>
              <w:spacing w:after="0" w:line="300" w:lineRule="exact"/>
              <w:rPr>
                <w:rFonts w:ascii="Arial" w:hAnsi="Arial" w:cs="Arial"/>
                <w:sz w:val="22"/>
                <w:szCs w:val="22"/>
              </w:rPr>
            </w:pPr>
            <w:r>
              <w:rPr>
                <w:rFonts w:ascii="Arial" w:hAnsi="Arial" w:cs="Arial"/>
                <w:sz w:val="22"/>
                <w:szCs w:val="22"/>
              </w:rPr>
              <w:t>3,5</w:t>
            </w:r>
          </w:p>
        </w:tc>
        <w:tc>
          <w:tcPr>
            <w:tcW w:w="4720" w:type="dxa"/>
            <w:shd w:val="clear" w:color="auto" w:fill="auto"/>
          </w:tcPr>
          <w:p w:rsidR="009C1F42" w:rsidRPr="00A92230" w:rsidP="00B23DA8" w14:paraId="05A5EA34" w14:textId="6A621E32">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exercício social findo em 31 de dezembro de </w:t>
            </w:r>
            <w:r w:rsidRPr="00A92230" w:rsidR="0030137D">
              <w:rPr>
                <w:rFonts w:ascii="Arial" w:hAnsi="Arial" w:cs="Arial"/>
                <w:sz w:val="22"/>
                <w:szCs w:val="22"/>
              </w:rPr>
              <w:t>202</w:t>
            </w:r>
            <w:r w:rsidR="0030137D">
              <w:rPr>
                <w:rFonts w:ascii="Arial" w:hAnsi="Arial" w:cs="Arial"/>
                <w:sz w:val="22"/>
                <w:szCs w:val="22"/>
              </w:rPr>
              <w:t>4</w:t>
            </w:r>
            <w:r w:rsidRPr="00A92230">
              <w:rPr>
                <w:rFonts w:ascii="Arial" w:hAnsi="Arial" w:cs="Arial"/>
                <w:sz w:val="22"/>
                <w:szCs w:val="22"/>
              </w:rPr>
              <w:t>.</w:t>
            </w:r>
          </w:p>
        </w:tc>
      </w:tr>
      <w:tr w14:paraId="38160769" w14:textId="77777777" w:rsidTr="00A92230">
        <w:tblPrEx>
          <w:tblW w:w="8495" w:type="dxa"/>
          <w:tblInd w:w="473" w:type="dxa"/>
          <w:tblLook w:val="04A0"/>
        </w:tblPrEx>
        <w:tc>
          <w:tcPr>
            <w:tcW w:w="3775" w:type="dxa"/>
            <w:shd w:val="clear" w:color="auto" w:fill="auto"/>
          </w:tcPr>
          <w:p w:rsidR="009C1F42" w:rsidRPr="00A92230" w:rsidP="00B23DA8" w14:paraId="019A6D0E" w14:textId="51CCE5B9">
            <w:pPr>
              <w:pStyle w:val="Level3"/>
              <w:numPr>
                <w:ilvl w:val="0"/>
                <w:numId w:val="0"/>
              </w:numPr>
              <w:spacing w:after="0" w:line="300" w:lineRule="exact"/>
              <w:rPr>
                <w:rFonts w:ascii="Arial" w:hAnsi="Arial" w:cs="Arial"/>
                <w:sz w:val="22"/>
                <w:szCs w:val="22"/>
              </w:rPr>
            </w:pPr>
            <w:r>
              <w:rPr>
                <w:rFonts w:ascii="Arial" w:hAnsi="Arial" w:cs="Arial"/>
                <w:sz w:val="22"/>
                <w:szCs w:val="22"/>
              </w:rPr>
              <w:t>3,0</w:t>
            </w:r>
          </w:p>
        </w:tc>
        <w:tc>
          <w:tcPr>
            <w:tcW w:w="4720" w:type="dxa"/>
            <w:shd w:val="clear" w:color="auto" w:fill="auto"/>
          </w:tcPr>
          <w:p w:rsidR="009C1F42" w:rsidRPr="00A92230" w:rsidP="00B23DA8" w14:paraId="1C565C0C" w14:textId="50F47DE2">
            <w:pPr>
              <w:pStyle w:val="Level3"/>
              <w:numPr>
                <w:ilvl w:val="0"/>
                <w:numId w:val="0"/>
              </w:numPr>
              <w:spacing w:after="0" w:line="300" w:lineRule="exact"/>
              <w:rPr>
                <w:rFonts w:ascii="Arial" w:hAnsi="Arial" w:cs="Arial"/>
                <w:sz w:val="22"/>
                <w:szCs w:val="22"/>
              </w:rPr>
            </w:pPr>
            <w:r w:rsidRPr="00A92230">
              <w:rPr>
                <w:rFonts w:ascii="Arial" w:hAnsi="Arial" w:cs="Arial"/>
                <w:sz w:val="22"/>
                <w:szCs w:val="22"/>
              </w:rPr>
              <w:t xml:space="preserve">Demonstrações Financeiras do Exercício relativas ao exercício social findo em 31 de dezembro de </w:t>
            </w:r>
            <w:r w:rsidRPr="00A92230" w:rsidR="0061201D">
              <w:rPr>
                <w:rFonts w:ascii="Arial" w:hAnsi="Arial" w:cs="Arial"/>
                <w:sz w:val="22"/>
                <w:szCs w:val="22"/>
              </w:rPr>
              <w:t>202</w:t>
            </w:r>
            <w:r w:rsidR="0061201D">
              <w:rPr>
                <w:rFonts w:ascii="Arial" w:hAnsi="Arial" w:cs="Arial"/>
                <w:sz w:val="22"/>
                <w:szCs w:val="22"/>
              </w:rPr>
              <w:t>5,</w:t>
            </w:r>
            <w:r w:rsidRPr="00394D75" w:rsidR="0061201D">
              <w:rPr>
                <w:rFonts w:ascii="Times New Roman" w:hAnsi="Times New Roman"/>
                <w:sz w:val="24"/>
                <w:szCs w:val="24"/>
              </w:rPr>
              <w:t xml:space="preserve"> </w:t>
            </w:r>
            <w:r w:rsidRPr="00BE0062" w:rsidR="0061201D">
              <w:rPr>
                <w:rFonts w:ascii="Arial" w:hAnsi="Arial" w:cs="Arial"/>
                <w:sz w:val="22"/>
                <w:szCs w:val="22"/>
              </w:rPr>
              <w:t>bem como aos exercícios sociais subsequentes</w:t>
            </w:r>
            <w:r w:rsidRPr="00A92230">
              <w:rPr>
                <w:rFonts w:ascii="Arial" w:hAnsi="Arial" w:cs="Arial"/>
                <w:sz w:val="22"/>
                <w:szCs w:val="22"/>
              </w:rPr>
              <w:t>.</w:t>
            </w:r>
          </w:p>
        </w:tc>
      </w:tr>
    </w:tbl>
    <w:p w:rsidR="009C1F42" w:rsidP="00DC4A15" w14:paraId="54FC6FD4" w14:textId="637D5A93">
      <w:pPr>
        <w:pStyle w:val="ListParagraph"/>
        <w:widowControl/>
        <w:autoSpaceDE w:val="0"/>
        <w:autoSpaceDN w:val="0"/>
        <w:adjustRightInd w:val="0"/>
        <w:spacing w:line="312" w:lineRule="auto"/>
        <w:ind w:left="284" w:right="-232"/>
        <w:rPr>
          <w:rFonts w:ascii="Arial" w:hAnsi="Arial" w:cs="Arial"/>
          <w:bCs/>
          <w:iCs/>
          <w:sz w:val="22"/>
          <w:szCs w:val="22"/>
        </w:rPr>
      </w:pPr>
    </w:p>
    <w:p w:rsidR="00F45FCF" w:rsidRPr="00F45FCF" w:rsidP="00F45FCF" w14:paraId="62E4BE72" w14:textId="6CDE5689">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Pr>
          <w:rFonts w:ascii="Arial" w:hAnsi="Arial" w:cs="Arial"/>
          <w:bCs/>
          <w:sz w:val="22"/>
          <w:szCs w:val="16"/>
        </w:rPr>
        <w:t xml:space="preserve">a 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passará a vigorar com a seguinte redação</w:t>
      </w:r>
      <w:r>
        <w:rPr>
          <w:rFonts w:ascii="Arial" w:hAnsi="Arial" w:cs="Arial"/>
          <w:bCs/>
          <w:sz w:val="22"/>
          <w:szCs w:val="16"/>
        </w:rPr>
        <w:t>:</w:t>
      </w:r>
      <w:r w:rsidR="00DD0C08">
        <w:rPr>
          <w:rFonts w:ascii="Arial" w:hAnsi="Arial" w:cs="Arial"/>
          <w:bCs/>
          <w:sz w:val="22"/>
          <w:szCs w:val="16"/>
        </w:rPr>
        <w:t xml:space="preserve"> </w:t>
      </w:r>
      <w:r w:rsidRPr="00B23DA8" w:rsidR="00DD0C08">
        <w:rPr>
          <w:rFonts w:ascii="Arial" w:hAnsi="Arial" w:cs="Arial"/>
          <w:bCs/>
          <w:iCs/>
          <w:sz w:val="22"/>
          <w:szCs w:val="22"/>
          <w:highlight w:val="yellow"/>
        </w:rPr>
        <w:t>[</w:t>
      </w:r>
      <w:r w:rsidRPr="00B23DA8" w:rsidR="00DD0C08">
        <w:rPr>
          <w:rFonts w:ascii="Arial" w:hAnsi="Arial" w:cs="Arial"/>
          <w:b/>
          <w:iCs/>
          <w:sz w:val="22"/>
          <w:szCs w:val="22"/>
          <w:highlight w:val="yellow"/>
        </w:rPr>
        <w:t>Nota Pinheiro Neto</w:t>
      </w:r>
      <w:r w:rsidRPr="00B23DA8" w:rsidR="00DD0C08">
        <w:rPr>
          <w:rFonts w:ascii="Arial" w:hAnsi="Arial" w:cs="Arial"/>
          <w:bCs/>
          <w:iCs/>
          <w:sz w:val="22"/>
          <w:szCs w:val="22"/>
          <w:highlight w:val="yellow"/>
        </w:rPr>
        <w:t xml:space="preserve">: </w:t>
      </w:r>
      <w:r w:rsidR="00DD0C08">
        <w:rPr>
          <w:rFonts w:ascii="Arial" w:hAnsi="Arial" w:cs="Arial"/>
          <w:bCs/>
          <w:iCs/>
          <w:sz w:val="22"/>
          <w:szCs w:val="22"/>
          <w:highlight w:val="yellow"/>
        </w:rPr>
        <w:t>matéria do dia a ser complementada conforme necessidade de novos ajustes</w:t>
      </w:r>
      <w:r w:rsidRPr="00B23DA8" w:rsidR="00DD0C08">
        <w:rPr>
          <w:rFonts w:ascii="Arial" w:hAnsi="Arial" w:cs="Arial"/>
          <w:bCs/>
          <w:iCs/>
          <w:sz w:val="22"/>
          <w:szCs w:val="22"/>
          <w:highlight w:val="yellow"/>
        </w:rPr>
        <w:t>.]</w:t>
      </w:r>
      <w:r w:rsidR="001E783D">
        <w:rPr>
          <w:rFonts w:ascii="Arial" w:hAnsi="Arial" w:cs="Arial"/>
          <w:bCs/>
          <w:iCs/>
          <w:sz w:val="22"/>
          <w:szCs w:val="22"/>
        </w:rPr>
        <w:t xml:space="preserve"> [</w:t>
      </w:r>
      <w:r w:rsidRPr="00F506D6" w:rsidR="001E783D">
        <w:rPr>
          <w:rFonts w:ascii="Arial" w:hAnsi="Arial" w:cs="Arial"/>
          <w:b/>
          <w:iCs/>
          <w:sz w:val="22"/>
          <w:szCs w:val="22"/>
          <w:highlight w:val="lightGray"/>
        </w:rPr>
        <w:t>Nota Cescon Barrieu:</w:t>
      </w:r>
      <w:r w:rsidRPr="00F506D6" w:rsidR="001E783D">
        <w:rPr>
          <w:rFonts w:ascii="Arial" w:hAnsi="Arial" w:cs="Arial"/>
          <w:bCs/>
          <w:iCs/>
          <w:sz w:val="22"/>
          <w:szCs w:val="22"/>
          <w:highlight w:val="lightGray"/>
        </w:rPr>
        <w:t xml:space="preserve"> favor incluir a autorização </w:t>
      </w:r>
      <w:r w:rsidRPr="00374AD2" w:rsidR="00374AD2">
        <w:rPr>
          <w:rFonts w:ascii="Arial" w:hAnsi="Arial" w:cs="Arial"/>
          <w:bCs/>
          <w:iCs/>
          <w:sz w:val="22"/>
          <w:szCs w:val="22"/>
          <w:highlight w:val="lightGray"/>
        </w:rPr>
        <w:t>para a</w:t>
      </w:r>
      <w:r w:rsidRPr="00F506D6" w:rsidR="001E783D">
        <w:rPr>
          <w:rFonts w:ascii="Arial" w:hAnsi="Arial" w:cs="Arial"/>
          <w:bCs/>
          <w:iCs/>
          <w:sz w:val="22"/>
          <w:szCs w:val="22"/>
          <w:highlight w:val="lightGray"/>
        </w:rPr>
        <w:t xml:space="preserve"> atualização do rol das garantias que compõem a definição dos Direitos Cedidos do Contrato de Cessão, para </w:t>
      </w:r>
      <w:r w:rsidR="007944E9">
        <w:rPr>
          <w:rFonts w:ascii="Arial" w:hAnsi="Arial" w:cs="Arial"/>
          <w:bCs/>
          <w:iCs/>
          <w:sz w:val="22"/>
          <w:szCs w:val="22"/>
          <w:highlight w:val="lightGray"/>
        </w:rPr>
        <w:t>inclusão da</w:t>
      </w:r>
      <w:r w:rsidRPr="00F506D6" w:rsidR="001E783D">
        <w:rPr>
          <w:rFonts w:ascii="Arial" w:hAnsi="Arial" w:cs="Arial"/>
          <w:bCs/>
          <w:iCs/>
          <w:sz w:val="22"/>
          <w:szCs w:val="22"/>
          <w:highlight w:val="lightGray"/>
        </w:rPr>
        <w:t xml:space="preserve"> Cessão Fiduciária Conta Desembolso</w:t>
      </w:r>
      <w:r w:rsidRPr="00F506D6" w:rsidR="00374AD2">
        <w:rPr>
          <w:rFonts w:ascii="Arial" w:hAnsi="Arial" w:cs="Arial"/>
          <w:bCs/>
          <w:iCs/>
          <w:sz w:val="22"/>
          <w:szCs w:val="22"/>
          <w:highlight w:val="lightGray"/>
        </w:rPr>
        <w:t xml:space="preserve">, </w:t>
      </w:r>
      <w:r w:rsidR="009D2A59">
        <w:rPr>
          <w:rFonts w:ascii="Arial" w:hAnsi="Arial" w:cs="Arial"/>
          <w:bCs/>
          <w:iCs/>
          <w:sz w:val="22"/>
          <w:szCs w:val="22"/>
          <w:highlight w:val="lightGray"/>
        </w:rPr>
        <w:t xml:space="preserve">bem como </w:t>
      </w:r>
      <w:r w:rsidRPr="00F506D6" w:rsidR="00374AD2">
        <w:rPr>
          <w:rFonts w:ascii="Arial" w:hAnsi="Arial" w:cs="Arial"/>
          <w:bCs/>
          <w:iCs/>
          <w:sz w:val="22"/>
          <w:szCs w:val="22"/>
          <w:highlight w:val="lightGray"/>
        </w:rPr>
        <w:t>os recursos excedentes decorrentes da excussão e venda do Imóvel Rio de Janeiro e do Imóvel Porto Alegre</w:t>
      </w:r>
      <w:r w:rsidR="001E783D">
        <w:rPr>
          <w:rFonts w:ascii="Arial" w:hAnsi="Arial" w:cs="Arial"/>
          <w:bCs/>
          <w:iCs/>
          <w:sz w:val="22"/>
          <w:szCs w:val="22"/>
        </w:rPr>
        <w:t>]</w:t>
      </w:r>
    </w:p>
    <w:p w:rsidR="00F45FCF" w:rsidP="00F45FCF" w14:paraId="5647C4B3" w14:textId="60B95E64">
      <w:pPr>
        <w:widowControl/>
        <w:autoSpaceDE w:val="0"/>
        <w:autoSpaceDN w:val="0"/>
        <w:adjustRightInd w:val="0"/>
        <w:spacing w:line="312" w:lineRule="auto"/>
        <w:ind w:right="-232"/>
        <w:rPr>
          <w:rFonts w:ascii="Arial" w:hAnsi="Arial" w:cs="Arial"/>
          <w:bCs/>
          <w:iCs/>
          <w:sz w:val="22"/>
          <w:szCs w:val="22"/>
        </w:rPr>
      </w:pPr>
    </w:p>
    <w:p w:rsidR="00F45FCF" w:rsidRPr="00A92230" w:rsidP="00A92230" w14:paraId="53F7AD67" w14:textId="3FC073EC">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nos termos desta Cláusula 4.5 e sub-cláusulas.</w:t>
      </w:r>
      <w:r w:rsidR="003D3BD5">
        <w:rPr>
          <w:rFonts w:ascii="Arial" w:hAnsi="Arial" w:cs="Arial"/>
          <w:i/>
          <w:iCs/>
          <w:sz w:val="22"/>
          <w:szCs w:val="22"/>
        </w:rPr>
        <w:t>”</w:t>
      </w:r>
    </w:p>
    <w:p w:rsidR="00BA4A36" w:rsidP="00A92230" w14:paraId="0667E375" w14:textId="77777777">
      <w:pPr>
        <w:pStyle w:val="ListParagraph"/>
        <w:widowControl/>
        <w:autoSpaceDE w:val="0"/>
        <w:autoSpaceDN w:val="0"/>
        <w:adjustRightInd w:val="0"/>
        <w:spacing w:line="312" w:lineRule="auto"/>
        <w:ind w:left="284" w:right="-232"/>
        <w:rPr>
          <w:rFonts w:ascii="Arial" w:hAnsi="Arial" w:cs="Arial"/>
          <w:bCs/>
          <w:iCs/>
          <w:sz w:val="22"/>
          <w:szCs w:val="22"/>
        </w:rPr>
      </w:pPr>
    </w:p>
    <w:p w:rsidR="009D2A59" w:rsidP="009D2A59" w14:paraId="36DBC277" w14:textId="4D4C9367">
      <w:pPr>
        <w:pStyle w:val="ListParagraph"/>
        <w:widowControl/>
        <w:autoSpaceDE w:val="0"/>
        <w:autoSpaceDN w:val="0"/>
        <w:adjustRightInd w:val="0"/>
        <w:spacing w:line="312" w:lineRule="auto"/>
        <w:ind w:left="284" w:right="-232"/>
        <w:rPr>
          <w:rFonts w:ascii="Arial" w:hAnsi="Arial" w:cs="Arial"/>
          <w:bCs/>
          <w:iCs/>
          <w:sz w:val="22"/>
          <w:szCs w:val="22"/>
        </w:rPr>
      </w:pPr>
      <w:r>
        <w:rPr>
          <w:rFonts w:ascii="Arial" w:hAnsi="Arial" w:cs="Arial"/>
          <w:bCs/>
          <w:iCs/>
          <w:sz w:val="22"/>
          <w:szCs w:val="22"/>
        </w:rPr>
        <w:t>[</w:t>
      </w:r>
      <w:r w:rsidRPr="00F506D6">
        <w:rPr>
          <w:rFonts w:ascii="Arial" w:hAnsi="Arial" w:cs="Arial"/>
          <w:b/>
          <w:iCs/>
          <w:sz w:val="22"/>
          <w:szCs w:val="22"/>
          <w:highlight w:val="lightGray"/>
        </w:rPr>
        <w:t xml:space="preserve">Nota Cescon Barrieu: </w:t>
      </w:r>
      <w:r w:rsidRPr="00F506D6">
        <w:rPr>
          <w:rFonts w:ascii="Arial" w:hAnsi="Arial" w:cs="Arial"/>
          <w:bCs/>
          <w:iCs/>
          <w:sz w:val="22"/>
          <w:szCs w:val="22"/>
          <w:highlight w:val="lightGray"/>
        </w:rPr>
        <w:t xml:space="preserve">favor incluir </w:t>
      </w:r>
      <w:r w:rsidRPr="001F4977">
        <w:rPr>
          <w:rFonts w:ascii="Arial" w:hAnsi="Arial" w:cs="Arial"/>
          <w:bCs/>
          <w:iCs/>
          <w:sz w:val="22"/>
          <w:szCs w:val="22"/>
          <w:highlight w:val="lightGray"/>
        </w:rPr>
        <w:t xml:space="preserve">autorização para </w:t>
      </w:r>
      <w:r w:rsidRPr="001F4977" w:rsidR="001F4977">
        <w:rPr>
          <w:rFonts w:ascii="Arial" w:hAnsi="Arial" w:cs="Arial"/>
          <w:bCs/>
          <w:iCs/>
          <w:sz w:val="22"/>
          <w:szCs w:val="22"/>
          <w:highlight w:val="lightGray"/>
        </w:rPr>
        <w:t xml:space="preserve">(i) </w:t>
      </w:r>
      <w:r w:rsidRPr="00F506D6">
        <w:rPr>
          <w:rFonts w:ascii="Arial" w:hAnsi="Arial" w:cs="Arial"/>
          <w:bCs/>
          <w:iCs/>
          <w:sz w:val="22"/>
          <w:szCs w:val="22"/>
          <w:highlight w:val="lightGray"/>
        </w:rPr>
        <w:t>a alteração da periodicidade da obrigação de aditar o Contrato de Alienação Fiduciária de Equipamentos caso a Alienante venha a adquirir novos bens e equipamentos para qualquer dos Data Centers</w:t>
      </w:r>
      <w:r w:rsidRPr="00F506D6" w:rsidR="001F4977">
        <w:rPr>
          <w:rFonts w:ascii="Arial" w:hAnsi="Arial" w:cs="Arial"/>
          <w:bCs/>
          <w:iCs/>
          <w:sz w:val="22"/>
          <w:szCs w:val="22"/>
          <w:highlight w:val="lightGray"/>
        </w:rPr>
        <w:t>; e (ii) a alteração do Anexo III do Contrato de Alienação Fiduciária de Equipamentos para a inclusão do Data Center Rio de Janeiro e do Data Center Porto Alegre</w:t>
      </w:r>
      <w:r>
        <w:rPr>
          <w:rFonts w:ascii="Arial" w:hAnsi="Arial" w:cs="Arial"/>
          <w:bCs/>
          <w:iCs/>
          <w:sz w:val="22"/>
          <w:szCs w:val="22"/>
        </w:rPr>
        <w:t>]</w:t>
      </w:r>
    </w:p>
    <w:p w:rsidR="001F4977" w:rsidP="009D2A59" w14:paraId="0DBFC35E" w14:textId="5535A62F">
      <w:pPr>
        <w:pStyle w:val="ListParagraph"/>
        <w:widowControl/>
        <w:autoSpaceDE w:val="0"/>
        <w:autoSpaceDN w:val="0"/>
        <w:adjustRightInd w:val="0"/>
        <w:spacing w:line="312" w:lineRule="auto"/>
        <w:ind w:left="284" w:right="-232"/>
        <w:rPr>
          <w:rFonts w:ascii="Arial" w:hAnsi="Arial" w:cs="Arial"/>
          <w:bCs/>
          <w:iCs/>
          <w:sz w:val="22"/>
          <w:szCs w:val="22"/>
        </w:rPr>
      </w:pPr>
    </w:p>
    <w:p w:rsidR="001F4977" w:rsidRPr="001F4977" w:rsidP="009D2A59" w14:paraId="06354952" w14:textId="1334D21E">
      <w:pPr>
        <w:pStyle w:val="ListParagraph"/>
        <w:widowControl/>
        <w:autoSpaceDE w:val="0"/>
        <w:autoSpaceDN w:val="0"/>
        <w:adjustRightInd w:val="0"/>
        <w:spacing w:line="312" w:lineRule="auto"/>
        <w:ind w:left="284" w:right="-232"/>
        <w:rPr>
          <w:rFonts w:ascii="Arial" w:hAnsi="Arial" w:cs="Arial"/>
          <w:bCs/>
          <w:iCs/>
          <w:sz w:val="22"/>
          <w:szCs w:val="22"/>
        </w:rPr>
      </w:pPr>
      <w:r>
        <w:rPr>
          <w:rFonts w:ascii="Arial" w:hAnsi="Arial" w:cs="Arial"/>
          <w:bCs/>
          <w:iCs/>
          <w:sz w:val="22"/>
          <w:szCs w:val="22"/>
        </w:rPr>
        <w:t>[</w:t>
      </w:r>
      <w:r w:rsidRPr="00F506D6">
        <w:rPr>
          <w:rFonts w:ascii="Arial" w:hAnsi="Arial" w:cs="Arial"/>
          <w:b/>
          <w:iCs/>
          <w:sz w:val="22"/>
          <w:szCs w:val="22"/>
          <w:highlight w:val="lightGray"/>
        </w:rPr>
        <w:t>Nota Cescon Barrieu:</w:t>
      </w:r>
      <w:r w:rsidRPr="00F506D6">
        <w:rPr>
          <w:rFonts w:ascii="Arial" w:hAnsi="Arial" w:cs="Arial"/>
          <w:bCs/>
          <w:iCs/>
          <w:sz w:val="22"/>
          <w:szCs w:val="22"/>
          <w:highlight w:val="lightGray"/>
        </w:rPr>
        <w:t xml:space="preserve"> favor confirmar se será necessário constar da presente AGD autorização para não declaração de vencimento antecipado decorrente da reorganização societária do grupo econômico da Emissora por meio da qual a Elea Holding passou a ser a única acionista direta da Emissora, sucedendo a Piemonte e o Sr. Alessandro]</w:t>
      </w:r>
    </w:p>
    <w:p w:rsidR="009D2A59" w:rsidRPr="00F506D6" w:rsidP="00F506D6" w14:paraId="72EF299F" w14:textId="77777777">
      <w:pPr>
        <w:widowControl/>
        <w:autoSpaceDE w:val="0"/>
        <w:autoSpaceDN w:val="0"/>
        <w:adjustRightInd w:val="0"/>
        <w:spacing w:line="312" w:lineRule="auto"/>
        <w:ind w:right="-232"/>
        <w:rPr>
          <w:rFonts w:ascii="Arial" w:hAnsi="Arial" w:cs="Arial"/>
          <w:bCs/>
          <w:iCs/>
          <w:sz w:val="22"/>
          <w:szCs w:val="22"/>
        </w:rPr>
      </w:pPr>
    </w:p>
    <w:p w:rsidR="008C39DA" w14:paraId="1B4893CD" w14:textId="017B4EF9">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aso a</w:t>
      </w:r>
      <w:r w:rsidR="00C90912">
        <w:rPr>
          <w:rFonts w:ascii="Arial" w:hAnsi="Arial" w:cs="Arial"/>
          <w:bCs/>
          <w:iCs/>
          <w:sz w:val="22"/>
          <w:szCs w:val="22"/>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dos Contratos de Garantia Real </w:t>
      </w:r>
      <w:r w:rsidR="001F4977">
        <w:rPr>
          <w:rFonts w:ascii="Arial" w:hAnsi="Arial" w:cs="Arial"/>
          <w:bCs/>
          <w:iCs/>
          <w:sz w:val="22"/>
          <w:szCs w:val="22"/>
        </w:rPr>
        <w:t xml:space="preserve">Originais </w:t>
      </w:r>
      <w:r w:rsidR="00B012B0">
        <w:rPr>
          <w:rFonts w:ascii="Arial" w:hAnsi="Arial" w:cs="Arial"/>
          <w:bCs/>
          <w:iCs/>
          <w:sz w:val="22"/>
          <w:szCs w:val="22"/>
        </w:rPr>
        <w:t xml:space="preserve">e do </w:t>
      </w:r>
      <w:r w:rsidR="00C90912">
        <w:rPr>
          <w:rFonts w:ascii="Arial" w:hAnsi="Arial" w:cs="Arial"/>
          <w:bCs/>
          <w:iCs/>
          <w:sz w:val="22"/>
          <w:szCs w:val="22"/>
        </w:rPr>
        <w:t>“</w:t>
      </w:r>
      <w:r w:rsidRPr="00A92230" w:rsidR="00C90912">
        <w:rPr>
          <w:rFonts w:ascii="Arial" w:hAnsi="Arial" w:cs="Arial"/>
          <w:bCs/>
          <w:i/>
          <w:iCs/>
          <w:sz w:val="22"/>
          <w:szCs w:val="22"/>
        </w:rPr>
        <w:t>C</w:t>
      </w:r>
      <w:r w:rsidRPr="00A92230" w:rsidR="00B012B0">
        <w:rPr>
          <w:rFonts w:ascii="Arial" w:hAnsi="Arial" w:cs="Arial"/>
          <w:bCs/>
          <w:i/>
          <w:iCs/>
          <w:sz w:val="22"/>
          <w:szCs w:val="22"/>
        </w:rPr>
        <w:t xml:space="preserve">ontrato de </w:t>
      </w:r>
      <w:r w:rsidRPr="00A92230" w:rsidR="00C90912">
        <w:rPr>
          <w:rFonts w:ascii="Arial" w:hAnsi="Arial" w:cs="Arial"/>
          <w:bCs/>
          <w:i/>
          <w:iCs/>
          <w:sz w:val="22"/>
          <w:szCs w:val="22"/>
        </w:rPr>
        <w:t>P</w:t>
      </w:r>
      <w:r w:rsidRPr="00A92230" w:rsidR="00B012B0">
        <w:rPr>
          <w:rFonts w:ascii="Arial" w:hAnsi="Arial" w:cs="Arial"/>
          <w:bCs/>
          <w:i/>
          <w:iCs/>
          <w:sz w:val="22"/>
          <w:szCs w:val="22"/>
        </w:rPr>
        <w:t xml:space="preserve">restação de </w:t>
      </w:r>
      <w:r w:rsidRPr="00A92230" w:rsidR="00C90912">
        <w:rPr>
          <w:rFonts w:ascii="Arial" w:hAnsi="Arial" w:cs="Arial"/>
          <w:bCs/>
          <w:i/>
          <w:iCs/>
          <w:sz w:val="22"/>
          <w:szCs w:val="22"/>
        </w:rPr>
        <w:t>S</w:t>
      </w:r>
      <w:r w:rsidRPr="00A92230" w:rsidR="00B012B0">
        <w:rPr>
          <w:rFonts w:ascii="Arial" w:hAnsi="Arial" w:cs="Arial"/>
          <w:bCs/>
          <w:i/>
          <w:iCs/>
          <w:sz w:val="22"/>
          <w:szCs w:val="22"/>
        </w:rPr>
        <w:t xml:space="preserve">erviços de </w:t>
      </w:r>
      <w:r w:rsidRPr="00A92230" w:rsidR="00C90912">
        <w:rPr>
          <w:rFonts w:ascii="Arial" w:hAnsi="Arial" w:cs="Arial"/>
          <w:bCs/>
          <w:i/>
          <w:iCs/>
          <w:sz w:val="22"/>
          <w:szCs w:val="22"/>
        </w:rPr>
        <w:t>D</w:t>
      </w:r>
      <w:r w:rsidRPr="00A92230" w:rsidR="00B012B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Pr="00A92230" w:rsidR="00C90912">
        <w:rPr>
          <w:rFonts w:ascii="Arial" w:hAnsi="Arial" w:cs="Arial"/>
          <w:bCs/>
          <w:iCs/>
          <w:sz w:val="22"/>
          <w:szCs w:val="22"/>
          <w:u w:val="single"/>
        </w:rPr>
        <w:t>Contrato de Depositário</w:t>
      </w:r>
      <w:r w:rsidR="00C90912">
        <w:rPr>
          <w:rFonts w:ascii="Arial" w:hAnsi="Arial" w:cs="Arial"/>
          <w:bCs/>
          <w:iCs/>
          <w:sz w:val="22"/>
          <w:szCs w:val="22"/>
        </w:rPr>
        <w:t>”)</w:t>
      </w:r>
      <w:r w:rsidR="001B255A">
        <w:rPr>
          <w:rFonts w:ascii="Arial" w:hAnsi="Arial" w:cs="Arial"/>
          <w:bCs/>
          <w:iCs/>
          <w:sz w:val="22"/>
          <w:szCs w:val="22"/>
        </w:rPr>
        <w:t>.</w:t>
      </w:r>
      <w:r w:rsidR="00C90912">
        <w:rPr>
          <w:rFonts w:ascii="Arial" w:hAnsi="Arial" w:cs="Arial"/>
          <w:bCs/>
          <w:iCs/>
          <w:sz w:val="22"/>
          <w:szCs w:val="22"/>
        </w:rPr>
        <w:t xml:space="preserve"> </w:t>
      </w:r>
      <w:r w:rsidR="001F4977">
        <w:rPr>
          <w:rFonts w:ascii="Arial" w:hAnsi="Arial" w:cs="Arial"/>
          <w:bCs/>
          <w:iCs/>
          <w:sz w:val="22"/>
          <w:szCs w:val="22"/>
        </w:rPr>
        <w:t>[</w:t>
      </w:r>
      <w:r w:rsidRPr="00F506D6" w:rsidR="001F4977">
        <w:rPr>
          <w:rFonts w:ascii="Arial" w:hAnsi="Arial" w:cs="Arial"/>
          <w:b/>
          <w:iCs/>
          <w:sz w:val="22"/>
          <w:szCs w:val="22"/>
          <w:highlight w:val="lightGray"/>
        </w:rPr>
        <w:t>Nota Cescon Barrieu</w:t>
      </w:r>
      <w:r w:rsidR="007944E9">
        <w:rPr>
          <w:rFonts w:ascii="Arial" w:hAnsi="Arial" w:cs="Arial"/>
          <w:b/>
          <w:iCs/>
          <w:sz w:val="22"/>
          <w:szCs w:val="22"/>
          <w:highlight w:val="lightGray"/>
        </w:rPr>
        <w:t xml:space="preserve"> 1</w:t>
      </w:r>
      <w:r w:rsidRPr="00F506D6" w:rsidR="001F4977">
        <w:rPr>
          <w:rFonts w:ascii="Arial" w:hAnsi="Arial" w:cs="Arial"/>
          <w:b/>
          <w:iCs/>
          <w:sz w:val="22"/>
          <w:szCs w:val="22"/>
          <w:highlight w:val="lightGray"/>
        </w:rPr>
        <w:t>:</w:t>
      </w:r>
      <w:r w:rsidRPr="00F506D6" w:rsidR="001F4977">
        <w:rPr>
          <w:rFonts w:ascii="Arial" w:hAnsi="Arial" w:cs="Arial"/>
          <w:bCs/>
          <w:iCs/>
          <w:sz w:val="22"/>
          <w:szCs w:val="22"/>
          <w:highlight w:val="lightGray"/>
        </w:rPr>
        <w:t xml:space="preserve"> entendemos que o Contrato de Prestação de Serviços com o BTG será rescindido, considerando a conclusão da aquisição do Imóvel Rio de Janeiro. Favor confirmar entendimento</w:t>
      </w:r>
      <w:r w:rsidR="001F4977">
        <w:rPr>
          <w:rFonts w:ascii="Arial" w:hAnsi="Arial" w:cs="Arial"/>
          <w:bCs/>
          <w:iCs/>
          <w:sz w:val="22"/>
          <w:szCs w:val="22"/>
        </w:rPr>
        <w:t>]</w:t>
      </w:r>
      <w:r w:rsidR="00AF43FE">
        <w:rPr>
          <w:rFonts w:ascii="Arial" w:hAnsi="Arial" w:cs="Arial"/>
          <w:bCs/>
          <w:iCs/>
          <w:sz w:val="22"/>
          <w:szCs w:val="22"/>
        </w:rPr>
        <w:t xml:space="preserve"> [</w:t>
      </w:r>
      <w:r w:rsidRPr="00F506D6" w:rsidR="00AF43FE">
        <w:rPr>
          <w:rFonts w:ascii="Arial" w:hAnsi="Arial" w:cs="Arial"/>
          <w:b/>
          <w:iCs/>
          <w:sz w:val="22"/>
          <w:szCs w:val="22"/>
          <w:highlight w:val="lightGray"/>
        </w:rPr>
        <w:t>Nota Cescon Barrieu</w:t>
      </w:r>
      <w:r w:rsidR="007944E9">
        <w:rPr>
          <w:rFonts w:ascii="Arial" w:hAnsi="Arial" w:cs="Arial"/>
          <w:b/>
          <w:iCs/>
          <w:sz w:val="22"/>
          <w:szCs w:val="22"/>
          <w:highlight w:val="lightGray"/>
        </w:rPr>
        <w:t xml:space="preserve"> 2</w:t>
      </w:r>
      <w:r w:rsidRPr="00F506D6" w:rsidR="00AF43FE">
        <w:rPr>
          <w:rFonts w:ascii="Arial" w:hAnsi="Arial" w:cs="Arial"/>
          <w:bCs/>
          <w:iCs/>
          <w:sz w:val="22"/>
          <w:szCs w:val="22"/>
          <w:highlight w:val="lightGray"/>
        </w:rPr>
        <w:t>: favor incluir autorização para celebração de novo Contrato de Depositário para fins da Cessão CAPEX</w:t>
      </w:r>
      <w:r w:rsidRPr="00F506D6" w:rsidR="00595084">
        <w:rPr>
          <w:rFonts w:ascii="Arial" w:hAnsi="Arial" w:cs="Arial"/>
          <w:bCs/>
          <w:iCs/>
          <w:sz w:val="22"/>
          <w:szCs w:val="22"/>
          <w:highlight w:val="lightGray"/>
        </w:rPr>
        <w:t>, bem como celebração dos Contratos de AF dos Imóveis Porto Alegre e Rio de Janeiro</w:t>
      </w:r>
      <w:r w:rsidR="00AF43FE">
        <w:rPr>
          <w:rFonts w:ascii="Arial" w:hAnsi="Arial" w:cs="Arial"/>
          <w:bCs/>
          <w:iCs/>
          <w:sz w:val="22"/>
          <w:szCs w:val="22"/>
        </w:rPr>
        <w:t xml:space="preserve">] </w:t>
      </w:r>
      <w:r w:rsidR="007944E9">
        <w:rPr>
          <w:rFonts w:ascii="Arial" w:hAnsi="Arial" w:cs="Arial"/>
          <w:bCs/>
          <w:iCs/>
          <w:sz w:val="22"/>
          <w:szCs w:val="22"/>
        </w:rPr>
        <w:t>[</w:t>
      </w:r>
      <w:r w:rsidRPr="00F506D6" w:rsidR="007944E9">
        <w:rPr>
          <w:rFonts w:ascii="Arial" w:hAnsi="Arial" w:cs="Arial"/>
          <w:b/>
          <w:iCs/>
          <w:sz w:val="22"/>
          <w:szCs w:val="22"/>
          <w:highlight w:val="lightGray"/>
        </w:rPr>
        <w:t>Nota Cescon Barrieu 3:</w:t>
      </w:r>
      <w:r w:rsidRPr="00F506D6" w:rsidR="007944E9">
        <w:rPr>
          <w:rFonts w:ascii="Arial" w:hAnsi="Arial" w:cs="Arial"/>
          <w:bCs/>
          <w:iCs/>
          <w:sz w:val="22"/>
          <w:szCs w:val="22"/>
          <w:highlight w:val="lightGray"/>
        </w:rPr>
        <w:t xml:space="preserve"> Sugerimos a inclusão das minutas dos Aditamentos + Novos Contratos de Garantia como anexo à presente AGD</w:t>
      </w:r>
      <w:r w:rsidR="007944E9">
        <w:rPr>
          <w:rFonts w:ascii="Arial" w:hAnsi="Arial" w:cs="Arial"/>
          <w:bCs/>
          <w:iCs/>
          <w:sz w:val="22"/>
          <w:szCs w:val="22"/>
        </w:rPr>
        <w:t>]</w:t>
      </w:r>
    </w:p>
    <w:p w:rsidR="008C39DA" w14:paraId="4A5AED9F" w14:textId="77777777">
      <w:pPr>
        <w:pStyle w:val="ListParagraph"/>
        <w:spacing w:line="312" w:lineRule="auto"/>
        <w:ind w:left="76" w:right="-235"/>
        <w:rPr>
          <w:rFonts w:ascii="Arial" w:hAnsi="Arial" w:cs="Arial"/>
          <w:sz w:val="22"/>
          <w:szCs w:val="22"/>
        </w:rPr>
      </w:pPr>
    </w:p>
    <w:p w:rsidR="008C39DA" w:rsidRPr="007944E9" w14:paraId="1D5AD7E9" w14:textId="5E0A2A17">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r w:rsidR="007944E9">
        <w:rPr>
          <w:rFonts w:ascii="Arial" w:hAnsi="Arial" w:cs="Arial"/>
          <w:sz w:val="22"/>
          <w:szCs w:val="22"/>
        </w:rPr>
        <w:t xml:space="preserve"> [</w:t>
      </w:r>
      <w:r w:rsidRPr="00F506D6" w:rsidR="007944E9">
        <w:rPr>
          <w:rFonts w:ascii="Arial" w:hAnsi="Arial" w:cs="Arial"/>
          <w:b/>
          <w:bCs/>
          <w:sz w:val="22"/>
          <w:szCs w:val="22"/>
          <w:highlight w:val="lightGray"/>
        </w:rPr>
        <w:t>Nota Cescon Barrieu:</w:t>
      </w:r>
      <w:r w:rsidRPr="00F506D6" w:rsidR="007944E9">
        <w:rPr>
          <w:rFonts w:ascii="Arial" w:hAnsi="Arial" w:cs="Arial"/>
          <w:sz w:val="22"/>
          <w:szCs w:val="22"/>
          <w:highlight w:val="lightGray"/>
        </w:rPr>
        <w:t xml:space="preserve"> favor implementar também nas deliberações as notas acima</w:t>
      </w:r>
      <w:r w:rsidR="007944E9">
        <w:rPr>
          <w:rFonts w:ascii="Arial" w:hAnsi="Arial" w:cs="Arial"/>
          <w:sz w:val="22"/>
          <w:szCs w:val="22"/>
        </w:rPr>
        <w:t>]</w:t>
      </w:r>
    </w:p>
    <w:p w:rsidR="008C39DA" w14:paraId="4119D5BE" w14:textId="77777777">
      <w:pPr>
        <w:spacing w:line="312" w:lineRule="auto"/>
        <w:ind w:left="-284" w:right="-235"/>
        <w:rPr>
          <w:rFonts w:ascii="Arial" w:hAnsi="Arial" w:cs="Arial"/>
          <w:b/>
          <w:bCs/>
          <w:sz w:val="22"/>
          <w:szCs w:val="22"/>
        </w:rPr>
      </w:pPr>
    </w:p>
    <w:p w:rsidR="00E32F18" w14:paraId="1729BA89" w14:textId="0BE1C4BE">
      <w:pPr>
        <w:pStyle w:val="ListParagraph"/>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Pr="00B23DA8" w:rsidR="00C7009B">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Pr="00A92230" w:rsidR="00C7009B">
        <w:rPr>
          <w:rFonts w:ascii="Arial" w:hAnsi="Arial" w:cs="Arial"/>
          <w:bCs/>
          <w:sz w:val="22"/>
          <w:szCs w:val="16"/>
        </w:rPr>
        <w:t xml:space="preserve">3ª Emissão de </w:t>
      </w:r>
      <w:r w:rsidRPr="00A92230" w:rsidR="00C7009B">
        <w:rPr>
          <w:rFonts w:ascii="Arial" w:hAnsi="Arial" w:cs="Arial"/>
          <w:bCs/>
          <w:sz w:val="22"/>
          <w:szCs w:val="16"/>
        </w:rPr>
        <w:t>Debêntures</w:t>
      </w:r>
      <w:r w:rsidRPr="003D2FF1" w:rsidR="00C7009B">
        <w:rPr>
          <w:rFonts w:ascii="Arial" w:hAnsi="Arial" w:cs="Arial"/>
          <w:bCs/>
          <w:sz w:val="22"/>
          <w:szCs w:val="16"/>
        </w:rPr>
        <w:t xml:space="preserve">, </w:t>
      </w:r>
      <w:r w:rsidR="00C7009B">
        <w:rPr>
          <w:rFonts w:ascii="Arial" w:hAnsi="Arial" w:cs="Arial"/>
          <w:bCs/>
          <w:sz w:val="22"/>
          <w:szCs w:val="16"/>
        </w:rPr>
        <w:t xml:space="preserve">conforme </w:t>
      </w:r>
      <w:r w:rsidRPr="003D2FF1" w:rsidR="00C7009B">
        <w:rPr>
          <w:rFonts w:ascii="Arial" w:hAnsi="Arial" w:cs="Arial"/>
          <w:bCs/>
          <w:sz w:val="22"/>
          <w:szCs w:val="16"/>
        </w:rPr>
        <w:t>previsto na Cláusula 6.1.1.1, ite</w:t>
      </w:r>
      <w:r w:rsidR="00C7009B">
        <w:rPr>
          <w:rFonts w:ascii="Arial" w:hAnsi="Arial" w:cs="Arial"/>
          <w:bCs/>
          <w:sz w:val="22"/>
          <w:szCs w:val="16"/>
        </w:rPr>
        <w:t>m</w:t>
      </w:r>
      <w:r w:rsidRPr="003D2FF1" w:rsidR="00C7009B">
        <w:rPr>
          <w:rFonts w:ascii="Arial" w:hAnsi="Arial" w:cs="Arial"/>
          <w:bCs/>
          <w:sz w:val="22"/>
          <w:szCs w:val="16"/>
        </w:rPr>
        <w:t xml:space="preserve"> </w:t>
      </w:r>
      <w:r w:rsidR="00AF43FE">
        <w:rPr>
          <w:rFonts w:ascii="Arial" w:hAnsi="Arial" w:cs="Arial"/>
          <w:bCs/>
          <w:sz w:val="22"/>
          <w:szCs w:val="16"/>
        </w:rPr>
        <w:t>“</w:t>
      </w:r>
      <w:r w:rsidRPr="003D2FF1" w:rsidR="00C7009B">
        <w:rPr>
          <w:rFonts w:ascii="Arial" w:hAnsi="Arial" w:cs="Arial"/>
          <w:bCs/>
          <w:sz w:val="22"/>
          <w:szCs w:val="16"/>
        </w:rPr>
        <w:t>(</w:t>
      </w:r>
      <w:r w:rsidR="00C7009B">
        <w:rPr>
          <w:rFonts w:ascii="Arial" w:hAnsi="Arial" w:cs="Arial"/>
          <w:bCs/>
          <w:sz w:val="22"/>
          <w:szCs w:val="16"/>
        </w:rPr>
        <w:t>t</w:t>
      </w:r>
      <w:r w:rsidRPr="003D2FF1" w:rsidR="00C7009B">
        <w:rPr>
          <w:rFonts w:ascii="Arial" w:hAnsi="Arial" w:cs="Arial"/>
          <w:bCs/>
          <w:sz w:val="22"/>
          <w:szCs w:val="16"/>
        </w:rPr>
        <w:t>)</w:t>
      </w:r>
      <w:r w:rsidR="00AF43FE">
        <w:rPr>
          <w:rFonts w:ascii="Arial" w:hAnsi="Arial" w:cs="Arial"/>
          <w:bCs/>
          <w:sz w:val="22"/>
          <w:szCs w:val="16"/>
        </w:rPr>
        <w:t>”</w:t>
      </w:r>
      <w:r w:rsidRPr="003D2FF1" w:rsidR="00C7009B">
        <w:rPr>
          <w:rFonts w:ascii="Arial" w:hAnsi="Arial" w:cs="Arial"/>
          <w:bCs/>
          <w:sz w:val="22"/>
          <w:szCs w:val="16"/>
        </w:rPr>
        <w:t xml:space="preserve"> da Escritura</w:t>
      </w:r>
      <w:r w:rsidR="00C7009B">
        <w:rPr>
          <w:rFonts w:ascii="Arial" w:hAnsi="Arial" w:cs="Arial"/>
          <w:bCs/>
          <w:sz w:val="22"/>
          <w:szCs w:val="16"/>
        </w:rPr>
        <w:t xml:space="preserve"> de Emissão</w:t>
      </w:r>
      <w:r w:rsidRPr="003D2FF1" w:rsidR="00C7009B">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rsidR="008C39DA" w14:paraId="36E5CB73" w14:textId="77777777">
      <w:pPr>
        <w:widowControl/>
        <w:autoSpaceDE w:val="0"/>
        <w:autoSpaceDN w:val="0"/>
        <w:adjustRightInd w:val="0"/>
        <w:spacing w:line="240" w:lineRule="auto"/>
        <w:jc w:val="left"/>
        <w:rPr>
          <w:rFonts w:ascii="Arial" w:hAnsi="Arial" w:cs="Arial"/>
          <w:sz w:val="22"/>
          <w:szCs w:val="22"/>
        </w:rPr>
      </w:pPr>
    </w:p>
    <w:p w:rsidR="00D37E8D" w:rsidP="00094E50" w14:paraId="6BB63C00" w14:textId="20CC80CB">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Pr="00094E50" w:rsidR="00C7009B">
        <w:rPr>
          <w:rFonts w:ascii="Arial" w:hAnsi="Arial" w:cs="Arial"/>
          <w:bCs/>
          <w:sz w:val="22"/>
          <w:szCs w:val="16"/>
        </w:rPr>
        <w:t xml:space="preserve">concessão de </w:t>
      </w:r>
      <w:r w:rsidRPr="00B23DA8" w:rsidR="00C7009B">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no âmbito da Emissão: (a) Alienação Fiduciária de Ações, originalmente constituída nos termos do Contrato de Alienação Fiduciária de Ações; (b) Alienação Fiduciária de Imóvel, originalmente constituída nos termos do Contrato de Alienação Fiduciária de Imóvel;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Pr="007740CC" w:rsidR="00C7009B">
        <w:rPr>
          <w:rFonts w:ascii="Arial" w:hAnsi="Arial" w:cs="Arial"/>
          <w:bCs/>
          <w:sz w:val="22"/>
          <w:szCs w:val="16"/>
        </w:rPr>
        <w:t>3</w:t>
      </w:r>
      <w:r w:rsidRPr="00B23DA8" w:rsidR="00C7009B">
        <w:rPr>
          <w:rFonts w:ascii="Arial" w:hAnsi="Arial" w:cs="Arial"/>
          <w:bCs/>
          <w:sz w:val="22"/>
          <w:szCs w:val="16"/>
        </w:rPr>
        <w:t>ª Emissão</w:t>
      </w:r>
      <w:r w:rsidR="00C7009B">
        <w:rPr>
          <w:rFonts w:ascii="Arial" w:hAnsi="Arial" w:cs="Arial"/>
          <w:bCs/>
          <w:sz w:val="22"/>
          <w:szCs w:val="16"/>
        </w:rPr>
        <w:t xml:space="preserve"> de Debêntures da Companhia</w:t>
      </w:r>
      <w:r w:rsidRPr="00B23DA8" w:rsidR="00C7009B">
        <w:rPr>
          <w:rFonts w:ascii="Arial" w:hAnsi="Arial" w:cs="Arial"/>
          <w:bCs/>
          <w:sz w:val="22"/>
          <w:szCs w:val="16"/>
        </w:rPr>
        <w:t xml:space="preserve">, conforme previsto na Cláusula 6.1.1.1, itens </w:t>
      </w:r>
      <w:r>
        <w:rPr>
          <w:rFonts w:ascii="Arial" w:hAnsi="Arial" w:cs="Arial"/>
          <w:bCs/>
          <w:sz w:val="22"/>
          <w:szCs w:val="16"/>
        </w:rPr>
        <w:t>“</w:t>
      </w:r>
      <w:r w:rsidRPr="00B23DA8" w:rsidR="00C7009B">
        <w:rPr>
          <w:rFonts w:ascii="Arial" w:hAnsi="Arial" w:cs="Arial"/>
          <w:bCs/>
          <w:sz w:val="22"/>
          <w:szCs w:val="16"/>
        </w:rPr>
        <w:t>(d)</w:t>
      </w:r>
      <w:r>
        <w:rPr>
          <w:rFonts w:ascii="Arial" w:hAnsi="Arial" w:cs="Arial"/>
          <w:bCs/>
          <w:sz w:val="22"/>
          <w:szCs w:val="16"/>
        </w:rPr>
        <w:t>”</w:t>
      </w:r>
      <w:r w:rsidRPr="00B23DA8" w:rsidR="00C7009B">
        <w:rPr>
          <w:rFonts w:ascii="Arial" w:hAnsi="Arial" w:cs="Arial"/>
          <w:bCs/>
          <w:sz w:val="22"/>
          <w:szCs w:val="16"/>
        </w:rPr>
        <w:t xml:space="preserve">, </w:t>
      </w:r>
      <w:r>
        <w:rPr>
          <w:rFonts w:ascii="Arial" w:hAnsi="Arial" w:cs="Arial"/>
          <w:bCs/>
          <w:sz w:val="22"/>
          <w:szCs w:val="16"/>
        </w:rPr>
        <w:t>“</w:t>
      </w:r>
      <w:r w:rsidRPr="00B23DA8" w:rsidR="00C7009B">
        <w:rPr>
          <w:rFonts w:ascii="Arial" w:hAnsi="Arial" w:cs="Arial"/>
          <w:bCs/>
          <w:sz w:val="22"/>
          <w:szCs w:val="16"/>
        </w:rPr>
        <w:t>(e)</w:t>
      </w:r>
      <w:r>
        <w:rPr>
          <w:rFonts w:ascii="Arial" w:hAnsi="Arial" w:cs="Arial"/>
          <w:bCs/>
          <w:sz w:val="22"/>
          <w:szCs w:val="16"/>
        </w:rPr>
        <w:t>”</w:t>
      </w:r>
      <w:r w:rsidRPr="00B23DA8" w:rsidR="00C7009B">
        <w:rPr>
          <w:rFonts w:ascii="Arial" w:hAnsi="Arial" w:cs="Arial"/>
          <w:bCs/>
          <w:sz w:val="22"/>
          <w:szCs w:val="16"/>
        </w:rPr>
        <w:t xml:space="preserve"> e </w:t>
      </w:r>
      <w:r>
        <w:rPr>
          <w:rFonts w:ascii="Arial" w:hAnsi="Arial" w:cs="Arial"/>
          <w:bCs/>
          <w:sz w:val="22"/>
          <w:szCs w:val="16"/>
        </w:rPr>
        <w:t>“</w:t>
      </w:r>
      <w:r w:rsidRPr="00B23DA8" w:rsidR="00C7009B">
        <w:rPr>
          <w:rFonts w:ascii="Arial" w:hAnsi="Arial" w:cs="Arial"/>
          <w:bCs/>
          <w:sz w:val="22"/>
          <w:szCs w:val="16"/>
        </w:rPr>
        <w:t>(o)</w:t>
      </w:r>
      <w:r>
        <w:rPr>
          <w:rFonts w:ascii="Arial" w:hAnsi="Arial" w:cs="Arial"/>
          <w:bCs/>
          <w:sz w:val="22"/>
          <w:szCs w:val="16"/>
        </w:rPr>
        <w:t>”</w:t>
      </w:r>
      <w:r w:rsidRPr="00B23DA8" w:rsidR="00C7009B">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rsidR="00C7009B" w:rsidRPr="00A92230" w:rsidP="00F506D6" w14:paraId="7D5615F4" w14:textId="77777777">
      <w:pPr>
        <w:rPr>
          <w:iCs/>
          <w:szCs w:val="22"/>
        </w:rPr>
      </w:pPr>
    </w:p>
    <w:p w:rsidR="00C7009B" w:rsidRPr="00A92230" w:rsidP="00094E50" w14:paraId="391D043F" w14:textId="070F0507">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os índices financeiros 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(iii) acima;</w:t>
      </w:r>
    </w:p>
    <w:p w:rsidR="005760F9" w:rsidRPr="00A92230" w:rsidP="00A92230" w14:paraId="796261BB" w14:textId="77777777">
      <w:pPr>
        <w:pStyle w:val="ListParagraph"/>
        <w:rPr>
          <w:rFonts w:ascii="Arial" w:hAnsi="Arial" w:cs="Arial"/>
          <w:bCs/>
          <w:sz w:val="22"/>
          <w:szCs w:val="16"/>
        </w:rPr>
      </w:pPr>
    </w:p>
    <w:p w:rsidR="005760F9" w:rsidRPr="00A92230" w:rsidP="00094E50" w14:paraId="3C71EB73" w14:textId="271633C1">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a Cláusula 4.5 do </w:t>
      </w:r>
      <w:r w:rsidRPr="00A92230">
        <w:rPr>
          <w:rFonts w:ascii="Arial" w:hAnsi="Arial" w:cs="Arial"/>
          <w:bCs/>
          <w:sz w:val="22"/>
          <w:szCs w:val="16"/>
        </w:rPr>
        <w:t>Contrato de Cessão Fiduciária, nos termos da ordem do dia (iv) acima; e</w:t>
      </w:r>
    </w:p>
    <w:p w:rsidR="00C7009B" w:rsidRPr="00A92230" w:rsidP="00A92230" w14:paraId="2938B955" w14:textId="77777777">
      <w:pPr>
        <w:pStyle w:val="ListParagraph"/>
        <w:rPr>
          <w:rFonts w:ascii="Arial" w:hAnsi="Arial" w:cs="Arial"/>
          <w:bCs/>
          <w:iCs/>
          <w:sz w:val="22"/>
          <w:szCs w:val="22"/>
        </w:rPr>
      </w:pPr>
    </w:p>
    <w:p w:rsidR="00E32F18" w:rsidRPr="00E32F18" w:rsidP="00094E50" w14:paraId="28BABEAA" w14:textId="73C8E463">
      <w:pPr>
        <w:pStyle w:val="ListParagraph"/>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autorizar</w:t>
      </w:r>
      <w:r w:rsidRPr="00A745D9">
        <w:rPr>
          <w:rFonts w:ascii="Arial" w:hAnsi="Arial" w:cs="Arial"/>
          <w:bCs/>
          <w:iCs/>
          <w:sz w:val="22"/>
          <w:szCs w:val="22"/>
        </w:rPr>
        <w:t xml:space="preserve"> a Emissora e o Agente Fiduciário a praticar</w:t>
      </w:r>
      <w:r w:rsidR="005760F9">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Pr="00A92230" w:rsidR="00751271">
        <w:rPr>
          <w:rFonts w:ascii="Arial" w:hAnsi="Arial" w:cs="Arial"/>
          <w:bCs/>
          <w:iCs/>
          <w:sz w:val="22"/>
          <w:szCs w:val="22"/>
        </w:rPr>
        <w:t>Contrato de Depositário</w:t>
      </w:r>
      <w:r w:rsidRPr="00E32F18">
        <w:rPr>
          <w:rFonts w:ascii="Arial" w:hAnsi="Arial" w:cs="Arial"/>
          <w:bCs/>
          <w:sz w:val="22"/>
          <w:szCs w:val="16"/>
        </w:rPr>
        <w:t>.</w:t>
      </w:r>
    </w:p>
    <w:p w:rsidR="008C39DA" w14:paraId="1F3148F7" w14:textId="77777777">
      <w:pPr>
        <w:spacing w:line="312" w:lineRule="auto"/>
        <w:ind w:left="-284" w:right="-235"/>
        <w:rPr>
          <w:rFonts w:ascii="Arial" w:hAnsi="Arial" w:cs="Arial"/>
          <w:sz w:val="22"/>
          <w:szCs w:val="22"/>
        </w:rPr>
      </w:pPr>
    </w:p>
    <w:p w:rsidR="008C39DA" w14:paraId="40C8F0F7" w14:textId="77777777">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rsidR="008C39DA" w14:paraId="77D10746" w14:textId="77777777">
      <w:pPr>
        <w:spacing w:line="312" w:lineRule="auto"/>
        <w:ind w:left="-284" w:right="-235"/>
        <w:rPr>
          <w:rFonts w:ascii="Arial" w:hAnsi="Arial" w:cs="Arial"/>
          <w:sz w:val="22"/>
          <w:szCs w:val="22"/>
        </w:rPr>
      </w:pPr>
    </w:p>
    <w:p w:rsidR="008C39DA" w14:paraId="2910F693" w14:textId="77777777">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rsidR="008C39DA" w14:paraId="0AD03FD8" w14:textId="77777777">
      <w:pPr>
        <w:spacing w:line="312" w:lineRule="auto"/>
        <w:ind w:left="-284" w:right="-235"/>
        <w:rPr>
          <w:rFonts w:ascii="Arial" w:hAnsi="Arial" w:cs="Arial"/>
          <w:sz w:val="22"/>
          <w:szCs w:val="22"/>
        </w:rPr>
      </w:pPr>
    </w:p>
    <w:p w:rsidR="008C39DA" w14:paraId="722DFE28" w14:textId="77777777">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rsidR="008C39DA" w14:paraId="697C49AD" w14:textId="77777777">
      <w:pPr>
        <w:spacing w:line="312" w:lineRule="auto"/>
        <w:ind w:left="-284" w:right="-235"/>
        <w:rPr>
          <w:rFonts w:ascii="Arial" w:hAnsi="Arial" w:cs="Arial"/>
          <w:sz w:val="22"/>
          <w:szCs w:val="22"/>
        </w:rPr>
      </w:pPr>
    </w:p>
    <w:p w:rsidR="008C39DA" w14:paraId="60236982" w14:textId="77777777">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rsidR="008C39DA" w14:paraId="49937D23" w14:textId="77777777">
      <w:pPr>
        <w:spacing w:line="312" w:lineRule="auto"/>
        <w:ind w:left="-284" w:right="-235"/>
        <w:rPr>
          <w:rFonts w:ascii="Arial" w:hAnsi="Arial" w:cs="Arial"/>
          <w:sz w:val="22"/>
          <w:szCs w:val="22"/>
        </w:rPr>
      </w:pPr>
    </w:p>
    <w:p w:rsidR="008C39DA" w14:paraId="3A348A8C" w14:textId="2A3F0F36">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rsidR="008C39DA" w14:paraId="0CB3E6BE" w14:textId="77777777">
      <w:pPr>
        <w:spacing w:line="312" w:lineRule="auto"/>
        <w:ind w:left="-284" w:right="-235"/>
        <w:jc w:val="center"/>
        <w:rPr>
          <w:rFonts w:ascii="Arial" w:hAnsi="Arial" w:cs="Arial"/>
          <w:bCs/>
          <w:sz w:val="22"/>
          <w:szCs w:val="22"/>
        </w:rPr>
      </w:pPr>
    </w:p>
    <w:p w:rsidR="008C39DA" w14:paraId="6CA7BE3E" w14:textId="77777777">
      <w:pPr>
        <w:spacing w:line="312" w:lineRule="auto"/>
        <w:ind w:left="-284" w:right="-235"/>
        <w:jc w:val="center"/>
        <w:rPr>
          <w:rFonts w:ascii="Arial" w:hAnsi="Arial" w:cs="Arial"/>
          <w:bCs/>
          <w:sz w:val="22"/>
          <w:szCs w:val="22"/>
        </w:rPr>
      </w:pPr>
    </w:p>
    <w:tbl>
      <w:tblPr>
        <w:tblW w:w="0" w:type="auto"/>
        <w:tblLook w:val="01E0"/>
      </w:tblPr>
      <w:tblGrid>
        <w:gridCol w:w="4252"/>
        <w:gridCol w:w="4253"/>
      </w:tblGrid>
      <w:tr w14:paraId="5B8F8A50" w14:textId="77777777">
        <w:tblPrEx>
          <w:tblW w:w="0" w:type="auto"/>
          <w:tblLook w:val="01E0"/>
        </w:tblPrEx>
        <w:tc>
          <w:tcPr>
            <w:tcW w:w="4463" w:type="dxa"/>
          </w:tcPr>
          <w:p w:rsidR="008C39DA" w14:paraId="7A3A4BB4"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rsidR="008C39DA" w14:paraId="297729E9"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14:paraId="544804A6" w14:textId="77777777">
        <w:tblPrEx>
          <w:tblW w:w="0" w:type="auto"/>
          <w:tblLook w:val="01E0"/>
        </w:tblPrEx>
        <w:tc>
          <w:tcPr>
            <w:tcW w:w="4463" w:type="dxa"/>
          </w:tcPr>
          <w:p w:rsidR="00751271" w14:paraId="5D2A2BA2" w14:textId="7827BDF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rsidR="00A348B6" w:rsidP="00A92230" w14:paraId="28E8F6A6" w14:textId="07C7C202">
            <w:pPr>
              <w:spacing w:line="312" w:lineRule="auto"/>
              <w:ind w:left="171" w:right="-235"/>
              <w:jc w:val="left"/>
              <w:rPr>
                <w:rFonts w:ascii="Arial" w:hAnsi="Arial" w:cs="Arial"/>
                <w:sz w:val="22"/>
                <w:szCs w:val="22"/>
              </w:rPr>
            </w:pPr>
            <w:r>
              <w:rPr>
                <w:rFonts w:ascii="Arial" w:hAnsi="Arial" w:cs="Arial"/>
                <w:sz w:val="22"/>
                <w:szCs w:val="22"/>
              </w:rPr>
              <w:t>Nome:</w:t>
            </w:r>
          </w:p>
          <w:p w:rsidR="008C39DA" w:rsidRPr="00094E50" w:rsidP="00A92230" w14:paraId="76D918B7" w14:textId="3C19D082">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rsidR="008C39DA" w:rsidRPr="00094E50" w14:paraId="019616AD" w14:textId="4560D2DC">
            <w:pPr>
              <w:spacing w:line="312" w:lineRule="auto"/>
              <w:ind w:left="-284" w:right="-235"/>
              <w:jc w:val="center"/>
              <w:rPr>
                <w:rFonts w:ascii="Arial" w:hAnsi="Arial" w:cs="Arial"/>
                <w:sz w:val="22"/>
                <w:szCs w:val="22"/>
              </w:rPr>
            </w:pPr>
          </w:p>
        </w:tc>
        <w:tc>
          <w:tcPr>
            <w:tcW w:w="4464" w:type="dxa"/>
          </w:tcPr>
          <w:p w:rsidR="00751271" w14:paraId="60C27028" w14:textId="67DE70CA">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rsidR="00751271" w:rsidP="00A92230" w14:paraId="79E73DBB" w14:textId="764AFA94">
            <w:pPr>
              <w:spacing w:line="312" w:lineRule="auto"/>
              <w:ind w:left="179" w:right="-235"/>
              <w:jc w:val="left"/>
              <w:rPr>
                <w:rFonts w:ascii="Arial" w:hAnsi="Arial" w:cs="Arial"/>
                <w:sz w:val="22"/>
                <w:szCs w:val="22"/>
              </w:rPr>
            </w:pPr>
            <w:r>
              <w:rPr>
                <w:rFonts w:ascii="Arial" w:hAnsi="Arial" w:cs="Arial"/>
                <w:sz w:val="22"/>
                <w:szCs w:val="22"/>
              </w:rPr>
              <w:t>Nome:</w:t>
            </w:r>
          </w:p>
          <w:p w:rsidR="008C39DA" w:rsidRPr="00094E50" w:rsidP="00A92230" w14:paraId="324320A4" w14:textId="6589D15F">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tc>
      </w:tr>
    </w:tbl>
    <w:p w:rsidR="008C39DA" w14:paraId="69E742AC" w14:textId="77777777">
      <w:pPr>
        <w:spacing w:line="312" w:lineRule="auto"/>
        <w:ind w:left="-284" w:right="-235"/>
        <w:jc w:val="center"/>
        <w:rPr>
          <w:rFonts w:ascii="Arial" w:hAnsi="Arial" w:cs="Arial"/>
          <w:bCs/>
          <w:sz w:val="22"/>
          <w:szCs w:val="22"/>
        </w:rPr>
      </w:pPr>
    </w:p>
    <w:p w:rsidR="008C39DA" w14:paraId="67F5AFAD" w14:textId="77777777">
      <w:pPr>
        <w:spacing w:line="312" w:lineRule="auto"/>
        <w:ind w:left="-284" w:right="-235"/>
        <w:jc w:val="center"/>
        <w:rPr>
          <w:rFonts w:ascii="Arial" w:hAnsi="Arial" w:cs="Arial"/>
          <w:bCs/>
          <w:sz w:val="22"/>
          <w:szCs w:val="22"/>
        </w:rPr>
      </w:pPr>
    </w:p>
    <w:p w:rsidR="008C39DA" w14:paraId="57616EF7" w14:textId="77777777">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rsidR="008C39DA" w14:paraId="4FEAE1E1" w14:textId="7FE0F003">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r w:rsidR="00595084">
        <w:rPr>
          <w:rFonts w:ascii="Arial" w:hAnsi="Arial" w:cs="Arial"/>
          <w:i/>
          <w:sz w:val="22"/>
          <w:szCs w:val="22"/>
        </w:rPr>
        <w:t>Elea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Pr="00912079" w:rsid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14:paraId="00E86104" w14:textId="77777777">
      <w:pPr>
        <w:spacing w:line="312" w:lineRule="auto"/>
        <w:ind w:right="-235"/>
        <w:rPr>
          <w:rFonts w:ascii="Arial" w:hAnsi="Arial" w:cs="Arial"/>
          <w:sz w:val="22"/>
          <w:szCs w:val="22"/>
        </w:rPr>
      </w:pPr>
    </w:p>
    <w:p w:rsidR="008C39DA" w14:paraId="6DDE759F" w14:textId="77777777">
      <w:pPr>
        <w:spacing w:line="312" w:lineRule="auto"/>
        <w:ind w:left="-284" w:right="-235"/>
        <w:rPr>
          <w:rFonts w:ascii="Arial" w:hAnsi="Arial" w:cs="Arial"/>
          <w:sz w:val="22"/>
          <w:szCs w:val="22"/>
        </w:rPr>
      </w:pPr>
    </w:p>
    <w:p w:rsidR="008C39DA" w14:paraId="0A53442F" w14:textId="77777777">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rsidR="008C39DA" w14:paraId="376B81FC" w14:textId="77777777">
      <w:pPr>
        <w:spacing w:line="312" w:lineRule="auto"/>
        <w:ind w:left="567" w:hanging="567"/>
        <w:jc w:val="center"/>
        <w:rPr>
          <w:rFonts w:ascii="Arial" w:hAnsi="Arial" w:cs="Arial"/>
          <w:sz w:val="22"/>
          <w:szCs w:val="22"/>
        </w:rPr>
      </w:pPr>
    </w:p>
    <w:p w:rsidR="008C39DA" w14:paraId="32668241" w14:textId="77777777">
      <w:pPr>
        <w:spacing w:line="312" w:lineRule="auto"/>
        <w:ind w:left="567" w:hanging="567"/>
        <w:jc w:val="center"/>
        <w:rPr>
          <w:rFonts w:ascii="Arial" w:hAnsi="Arial" w:cs="Arial"/>
          <w:sz w:val="22"/>
          <w:szCs w:val="22"/>
        </w:rPr>
      </w:pPr>
    </w:p>
    <w:p w:rsidR="008C39DA" w14:paraId="219FCC0F" w14:textId="77777777">
      <w:pPr>
        <w:spacing w:line="312" w:lineRule="auto"/>
        <w:ind w:left="567" w:hanging="567"/>
        <w:jc w:val="center"/>
        <w:rPr>
          <w:rFonts w:ascii="Arial" w:hAnsi="Arial" w:cs="Arial"/>
          <w:sz w:val="22"/>
          <w:szCs w:val="22"/>
        </w:rPr>
      </w:pPr>
    </w:p>
    <w:tbl>
      <w:tblPr>
        <w:tblW w:w="0" w:type="auto"/>
        <w:tblInd w:w="-284" w:type="dxa"/>
        <w:tblLook w:val="01E0"/>
      </w:tblPr>
      <w:tblGrid>
        <w:gridCol w:w="4536"/>
        <w:gridCol w:w="4253"/>
      </w:tblGrid>
      <w:tr w14:paraId="4C5767D5" w14:textId="77777777" w:rsidTr="00A92230">
        <w:tblPrEx>
          <w:tblW w:w="0" w:type="auto"/>
          <w:tblInd w:w="-284" w:type="dxa"/>
          <w:tblLook w:val="01E0"/>
        </w:tblPrEx>
        <w:tc>
          <w:tcPr>
            <w:tcW w:w="4536" w:type="dxa"/>
          </w:tcPr>
          <w:p w:rsidR="008C39DA" w14:paraId="3FB0DCD3"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rsidR="008C39DA" w14:paraId="7F146443"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14:paraId="5952AF53" w14:textId="77777777" w:rsidTr="00A92230">
        <w:tblPrEx>
          <w:tblW w:w="0" w:type="auto"/>
          <w:tblInd w:w="-284" w:type="dxa"/>
          <w:tblLook w:val="01E0"/>
        </w:tblPrEx>
        <w:tc>
          <w:tcPr>
            <w:tcW w:w="4536" w:type="dxa"/>
          </w:tcPr>
          <w:p w:rsidR="008C39DA" w:rsidRPr="003B64AA" w:rsidP="00A92230" w14:paraId="50373C35" w14:textId="3E2AE551">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rsidR="008C39DA" w:rsidP="00A92230" w14:paraId="6764043E" w14:textId="0EAC31DD">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rsidR="003B64AA" w:rsidP="00A92230" w14:paraId="720D9152" w14:textId="45A85F7C">
            <w:pPr>
              <w:spacing w:line="312" w:lineRule="auto"/>
              <w:ind w:left="-284" w:right="-235"/>
              <w:rPr>
                <w:rFonts w:ascii="Arial" w:hAnsi="Arial" w:cs="Arial"/>
                <w:sz w:val="22"/>
                <w:szCs w:val="22"/>
              </w:rPr>
            </w:pPr>
          </w:p>
        </w:tc>
        <w:tc>
          <w:tcPr>
            <w:tcW w:w="4253" w:type="dxa"/>
          </w:tcPr>
          <w:p w:rsidR="008C39DA" w:rsidRPr="003B64AA" w:rsidP="00A92230" w14:paraId="0D8CEF5A" w14:textId="7F1CEF03">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rsidR="008C39DA" w:rsidP="00A92230" w14:paraId="72C70D35" w14:textId="140A4CBD">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rsidR="008C39DA" w14:paraId="541CF3C5" w14:textId="77777777">
      <w:pPr>
        <w:spacing w:line="312" w:lineRule="auto"/>
        <w:ind w:left="-284" w:right="-235"/>
        <w:rPr>
          <w:rFonts w:ascii="Arial" w:hAnsi="Arial" w:cs="Arial"/>
          <w:sz w:val="22"/>
          <w:szCs w:val="22"/>
        </w:rPr>
      </w:pPr>
    </w:p>
    <w:p w:rsidR="008C39DA" w14:paraId="75C0A6A1" w14:textId="77777777">
      <w:pPr>
        <w:widowControl/>
        <w:spacing w:line="312" w:lineRule="auto"/>
        <w:jc w:val="left"/>
        <w:rPr>
          <w:rFonts w:ascii="Arial" w:hAnsi="Arial" w:cs="Arial"/>
          <w:sz w:val="22"/>
          <w:szCs w:val="22"/>
          <w:u w:val="single"/>
        </w:rPr>
      </w:pPr>
      <w:r>
        <w:rPr>
          <w:rFonts w:ascii="Arial" w:hAnsi="Arial" w:cs="Arial"/>
          <w:sz w:val="22"/>
          <w:szCs w:val="22"/>
          <w:u w:val="single"/>
        </w:rPr>
        <w:br w:type="page"/>
      </w:r>
    </w:p>
    <w:p w:rsidR="008C39DA" w14:paraId="7AC55510" w14:textId="7364A576">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Pr="00912079" w:rsidR="003B64AA">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14:paraId="7F5D3A46" w14:textId="77777777">
      <w:pPr>
        <w:spacing w:line="312" w:lineRule="auto"/>
        <w:ind w:left="-284" w:right="-235"/>
        <w:rPr>
          <w:rFonts w:ascii="Arial" w:hAnsi="Arial" w:cs="Arial"/>
          <w:sz w:val="22"/>
          <w:szCs w:val="22"/>
          <w:u w:val="single"/>
        </w:rPr>
      </w:pPr>
    </w:p>
    <w:p w:rsidR="008C39DA" w14:paraId="36918C30" w14:textId="77777777">
      <w:pPr>
        <w:spacing w:line="312" w:lineRule="auto"/>
        <w:ind w:left="-284" w:right="-235"/>
        <w:rPr>
          <w:rFonts w:ascii="Arial" w:hAnsi="Arial" w:cs="Arial"/>
          <w:sz w:val="22"/>
          <w:szCs w:val="22"/>
          <w:u w:val="single"/>
        </w:rPr>
      </w:pPr>
    </w:p>
    <w:p w:rsidR="008C39DA" w14:paraId="08BBD18D" w14:textId="77777777">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rsidR="008C39DA" w14:paraId="2862C5F9" w14:textId="77777777">
      <w:pPr>
        <w:spacing w:line="312" w:lineRule="auto"/>
        <w:ind w:left="567" w:hanging="567"/>
        <w:jc w:val="center"/>
        <w:rPr>
          <w:rFonts w:ascii="Arial" w:hAnsi="Arial" w:cs="Arial"/>
          <w:sz w:val="22"/>
          <w:szCs w:val="22"/>
        </w:rPr>
      </w:pPr>
    </w:p>
    <w:p w:rsidR="008C39DA" w14:paraId="70519A53" w14:textId="77777777">
      <w:pPr>
        <w:spacing w:line="312" w:lineRule="auto"/>
        <w:ind w:left="-284" w:right="-235"/>
        <w:jc w:val="center"/>
        <w:rPr>
          <w:rFonts w:ascii="Arial" w:hAnsi="Arial" w:cs="Arial"/>
          <w:sz w:val="22"/>
          <w:szCs w:val="22"/>
        </w:rPr>
      </w:pPr>
    </w:p>
    <w:p w:rsidR="008C39DA" w14:paraId="059A5D30" w14:textId="77777777">
      <w:pPr>
        <w:spacing w:line="312" w:lineRule="auto"/>
        <w:ind w:left="-284" w:right="-235"/>
        <w:jc w:val="center"/>
        <w:rPr>
          <w:rFonts w:ascii="Arial" w:hAnsi="Arial" w:cs="Arial"/>
          <w:sz w:val="22"/>
          <w:szCs w:val="22"/>
        </w:rPr>
      </w:pPr>
    </w:p>
    <w:p w:rsidR="008C39DA" w14:paraId="0DF5B7CF" w14:textId="77777777">
      <w:pPr>
        <w:spacing w:line="312" w:lineRule="auto"/>
        <w:ind w:left="-284" w:right="-235"/>
        <w:jc w:val="center"/>
        <w:rPr>
          <w:rFonts w:ascii="Arial" w:hAnsi="Arial" w:cs="Arial"/>
          <w:sz w:val="22"/>
          <w:szCs w:val="22"/>
        </w:rPr>
      </w:pPr>
    </w:p>
    <w:p w:rsidR="008C39DA" w14:paraId="26992A9C" w14:textId="77777777">
      <w:pPr>
        <w:spacing w:line="312" w:lineRule="auto"/>
        <w:ind w:left="567" w:hanging="567"/>
        <w:jc w:val="center"/>
        <w:rPr>
          <w:rFonts w:ascii="Arial" w:hAnsi="Arial" w:cs="Arial"/>
          <w:smallCaps/>
          <w:sz w:val="22"/>
          <w:szCs w:val="22"/>
        </w:rPr>
      </w:pPr>
    </w:p>
    <w:p w:rsidR="008C39DA" w14:paraId="5D04752B" w14:textId="77777777">
      <w:pPr>
        <w:spacing w:line="312" w:lineRule="auto"/>
        <w:ind w:left="567" w:hanging="567"/>
        <w:rPr>
          <w:rFonts w:ascii="Arial" w:hAnsi="Arial" w:cs="Arial"/>
          <w:smallCaps/>
          <w:sz w:val="22"/>
          <w:szCs w:val="22"/>
        </w:rPr>
      </w:pPr>
    </w:p>
    <w:tbl>
      <w:tblPr>
        <w:tblW w:w="4820" w:type="dxa"/>
        <w:jc w:val="center"/>
        <w:tblLayout w:type="fixed"/>
        <w:tblCellMar>
          <w:left w:w="71" w:type="dxa"/>
          <w:right w:w="71" w:type="dxa"/>
        </w:tblCellMar>
        <w:tblLook w:val="0000"/>
      </w:tblPr>
      <w:tblGrid>
        <w:gridCol w:w="4253"/>
        <w:gridCol w:w="567"/>
      </w:tblGrid>
      <w:tr w14:paraId="72DD9130" w14:textId="77777777">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8C39DA" w14:paraId="0F0FCBF0" w14:textId="533488DD">
            <w:pPr>
              <w:spacing w:line="312" w:lineRule="auto"/>
              <w:rPr>
                <w:rFonts w:ascii="Arial" w:hAnsi="Arial" w:cs="Arial"/>
                <w:sz w:val="22"/>
                <w:szCs w:val="22"/>
              </w:rPr>
            </w:pPr>
            <w:r>
              <w:rPr>
                <w:rFonts w:ascii="Arial" w:hAnsi="Arial" w:cs="Arial"/>
                <w:sz w:val="22"/>
                <w:szCs w:val="22"/>
              </w:rPr>
              <w:t>Nome:</w:t>
            </w:r>
          </w:p>
          <w:p w:rsidR="008C39DA" w14:paraId="294C4E4A" w14:textId="258BC5FB">
            <w:pPr>
              <w:spacing w:line="312" w:lineRule="auto"/>
              <w:rPr>
                <w:rFonts w:ascii="Arial" w:hAnsi="Arial" w:cs="Arial"/>
                <w:i/>
                <w:iCs/>
                <w:sz w:val="22"/>
                <w:szCs w:val="22"/>
              </w:rPr>
            </w:pPr>
            <w:r>
              <w:rPr>
                <w:rFonts w:ascii="Arial" w:hAnsi="Arial" w:cs="Arial"/>
                <w:sz w:val="22"/>
                <w:szCs w:val="22"/>
              </w:rPr>
              <w:t>CPF:</w:t>
            </w:r>
          </w:p>
        </w:tc>
        <w:tc>
          <w:tcPr>
            <w:tcW w:w="567" w:type="dxa"/>
          </w:tcPr>
          <w:p w:rsidR="008C39DA" w14:paraId="6F6438A2" w14:textId="77777777">
            <w:pPr>
              <w:spacing w:line="312" w:lineRule="auto"/>
              <w:rPr>
                <w:rFonts w:ascii="Arial" w:hAnsi="Arial" w:cs="Arial"/>
                <w:sz w:val="22"/>
                <w:szCs w:val="22"/>
              </w:rPr>
            </w:pPr>
          </w:p>
        </w:tc>
      </w:tr>
    </w:tbl>
    <w:p w:rsidR="008C39DA" w14:paraId="3917E5D5" w14:textId="77777777">
      <w:pPr>
        <w:widowControl/>
        <w:spacing w:line="312" w:lineRule="auto"/>
        <w:jc w:val="left"/>
        <w:rPr>
          <w:rFonts w:ascii="Arial" w:hAnsi="Arial" w:cs="Arial"/>
          <w:sz w:val="22"/>
          <w:szCs w:val="22"/>
        </w:rPr>
      </w:pPr>
      <w:r>
        <w:rPr>
          <w:rFonts w:ascii="Arial" w:hAnsi="Arial" w:cs="Arial"/>
          <w:sz w:val="22"/>
          <w:szCs w:val="22"/>
        </w:rPr>
        <w:br w:type="page"/>
      </w:r>
    </w:p>
    <w:p w:rsidR="008C39DA" w14:paraId="64D8FEE8" w14:textId="772CA22A">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Elea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Pr="00912079" w:rsidR="003B64AA">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14:paraId="73B80503" w14:textId="77777777">
      <w:pPr>
        <w:spacing w:line="312" w:lineRule="auto"/>
        <w:ind w:left="-284" w:right="-235"/>
        <w:rPr>
          <w:rFonts w:ascii="Arial" w:hAnsi="Arial" w:cs="Arial"/>
          <w:i/>
          <w:iCs/>
          <w:kern w:val="20"/>
          <w:sz w:val="22"/>
          <w:szCs w:val="22"/>
          <w:lang w:eastAsia="en-US"/>
        </w:rPr>
      </w:pPr>
    </w:p>
    <w:p w:rsidR="008C39DA" w14:paraId="75A53228" w14:textId="77777777">
      <w:pPr>
        <w:spacing w:line="312" w:lineRule="auto"/>
        <w:ind w:left="-284" w:right="-235"/>
        <w:rPr>
          <w:rFonts w:ascii="Arial" w:hAnsi="Arial" w:cs="Arial"/>
          <w:i/>
          <w:iCs/>
          <w:kern w:val="20"/>
          <w:sz w:val="22"/>
          <w:szCs w:val="22"/>
          <w:lang w:eastAsia="en-US"/>
        </w:rPr>
      </w:pPr>
    </w:p>
    <w:p w:rsidR="008C39DA" w14:paraId="5D82224A" w14:textId="77777777">
      <w:pPr>
        <w:spacing w:line="312" w:lineRule="auto"/>
        <w:ind w:left="567" w:hanging="567"/>
        <w:jc w:val="center"/>
        <w:rPr>
          <w:rFonts w:ascii="Arial" w:hAnsi="Arial" w:cs="Arial"/>
          <w:b/>
          <w:sz w:val="22"/>
          <w:szCs w:val="22"/>
        </w:rPr>
      </w:pPr>
      <w:r>
        <w:rPr>
          <w:rFonts w:ascii="Arial" w:hAnsi="Arial" w:cs="Arial"/>
          <w:b/>
          <w:sz w:val="22"/>
          <w:szCs w:val="22"/>
        </w:rPr>
        <w:t>ALESSANDRO LOMBARDI</w:t>
      </w:r>
    </w:p>
    <w:p w:rsidR="008C39DA" w14:paraId="646A512A" w14:textId="77777777">
      <w:pPr>
        <w:spacing w:line="312" w:lineRule="auto"/>
        <w:ind w:left="567" w:hanging="567"/>
        <w:rPr>
          <w:rFonts w:ascii="Arial" w:hAnsi="Arial" w:cs="Arial"/>
          <w:smallCaps/>
          <w:sz w:val="22"/>
          <w:szCs w:val="22"/>
        </w:rPr>
      </w:pPr>
    </w:p>
    <w:p w:rsidR="008C39DA" w14:paraId="5DB8A1C1" w14:textId="77777777">
      <w:pPr>
        <w:spacing w:line="312" w:lineRule="auto"/>
        <w:rPr>
          <w:rFonts w:ascii="Arial" w:hAnsi="Arial" w:cs="Arial"/>
          <w:smallCaps/>
          <w:sz w:val="22"/>
          <w:szCs w:val="22"/>
        </w:rPr>
      </w:pPr>
    </w:p>
    <w:tbl>
      <w:tblPr>
        <w:tblW w:w="0" w:type="auto"/>
        <w:jc w:val="center"/>
        <w:tblLook w:val="01E0"/>
      </w:tblPr>
      <w:tblGrid>
        <w:gridCol w:w="4252"/>
      </w:tblGrid>
      <w:tr w14:paraId="34BF2AA7" w14:textId="77777777">
        <w:tblPrEx>
          <w:tblW w:w="0" w:type="auto"/>
          <w:jc w:val="center"/>
          <w:tblLook w:val="01E0"/>
        </w:tblPrEx>
        <w:trPr>
          <w:jc w:val="center"/>
        </w:trPr>
        <w:tc>
          <w:tcPr>
            <w:tcW w:w="4252" w:type="dxa"/>
          </w:tcPr>
          <w:p w:rsidR="008C39DA" w14:paraId="0F225FBA"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14:paraId="77BB783A" w14:textId="77777777">
        <w:tblPrEx>
          <w:tblW w:w="0" w:type="auto"/>
          <w:jc w:val="center"/>
          <w:tblLook w:val="01E0"/>
        </w:tblPrEx>
        <w:trPr>
          <w:jc w:val="center"/>
        </w:trPr>
        <w:tc>
          <w:tcPr>
            <w:tcW w:w="4252" w:type="dxa"/>
          </w:tcPr>
          <w:p w:rsidR="008C39DA" w14:paraId="24D41878" w14:textId="77777777">
            <w:pPr>
              <w:spacing w:line="312" w:lineRule="auto"/>
              <w:ind w:left="-284" w:right="-235"/>
              <w:jc w:val="center"/>
              <w:rPr>
                <w:rFonts w:ascii="Arial" w:hAnsi="Arial" w:cs="Arial"/>
                <w:sz w:val="22"/>
                <w:szCs w:val="22"/>
              </w:rPr>
            </w:pPr>
            <w:r>
              <w:rPr>
                <w:rFonts w:ascii="Arial" w:hAnsi="Arial" w:cs="Arial"/>
                <w:sz w:val="22"/>
                <w:szCs w:val="22"/>
              </w:rPr>
              <w:t xml:space="preserve">CPF: </w:t>
            </w:r>
            <w:r w:rsidRPr="00A92230" w:rsidR="00C16AEB">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rsidR="008C39DA" w14:paraId="6E003198" w14:textId="77777777">
      <w:pPr>
        <w:spacing w:line="312" w:lineRule="auto"/>
        <w:ind w:left="567" w:hanging="567"/>
        <w:jc w:val="center"/>
        <w:rPr>
          <w:rFonts w:ascii="Arial" w:hAnsi="Arial" w:cs="Arial"/>
          <w:smallCaps/>
          <w:sz w:val="22"/>
          <w:szCs w:val="22"/>
        </w:rPr>
      </w:pPr>
    </w:p>
    <w:p w:rsidR="008C39DA" w14:paraId="187B7D0C" w14:textId="77777777">
      <w:pPr>
        <w:spacing w:line="312" w:lineRule="auto"/>
        <w:ind w:left="567" w:hanging="567"/>
        <w:jc w:val="center"/>
        <w:rPr>
          <w:rFonts w:ascii="Arial" w:hAnsi="Arial" w:cs="Arial"/>
          <w:smallCaps/>
          <w:sz w:val="22"/>
          <w:szCs w:val="22"/>
        </w:rPr>
      </w:pPr>
    </w:p>
    <w:p w:rsidR="008C39DA" w14:paraId="5478ED54" w14:textId="77777777">
      <w:pPr>
        <w:spacing w:line="312" w:lineRule="auto"/>
        <w:ind w:left="567" w:hanging="567"/>
        <w:jc w:val="center"/>
        <w:rPr>
          <w:rFonts w:ascii="Arial" w:hAnsi="Arial" w:cs="Arial"/>
          <w:smallCaps/>
          <w:sz w:val="22"/>
          <w:szCs w:val="22"/>
        </w:rPr>
      </w:pPr>
    </w:p>
    <w:p w:rsidR="008C39DA" w14:paraId="3E35A3A8" w14:textId="77777777">
      <w:pPr>
        <w:spacing w:line="312" w:lineRule="auto"/>
        <w:ind w:left="-284" w:right="-235"/>
        <w:rPr>
          <w:rFonts w:ascii="Arial" w:hAnsi="Arial" w:cs="Arial"/>
          <w:i/>
          <w:iCs/>
          <w:kern w:val="20"/>
          <w:sz w:val="22"/>
          <w:szCs w:val="22"/>
          <w:lang w:eastAsia="en-US"/>
        </w:rPr>
      </w:pPr>
    </w:p>
    <w:p w:rsidR="008C39DA" w14:paraId="2AD42C57" w14:textId="77777777">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rsidR="008C39DA" w14:paraId="28B5C3F3" w14:textId="77777777">
      <w:pPr>
        <w:spacing w:line="312" w:lineRule="auto"/>
        <w:ind w:left="567" w:hanging="567"/>
        <w:rPr>
          <w:rFonts w:ascii="Arial" w:hAnsi="Arial" w:cs="Arial"/>
          <w:smallCaps/>
          <w:sz w:val="22"/>
          <w:szCs w:val="22"/>
        </w:rPr>
      </w:pPr>
    </w:p>
    <w:p w:rsidR="008C39DA" w14:paraId="602AF98C" w14:textId="77777777">
      <w:pPr>
        <w:spacing w:line="312" w:lineRule="auto"/>
        <w:ind w:left="567" w:hanging="567"/>
        <w:jc w:val="center"/>
        <w:rPr>
          <w:rFonts w:ascii="Arial" w:hAnsi="Arial" w:cs="Arial"/>
          <w:smallCaps/>
          <w:sz w:val="22"/>
          <w:szCs w:val="22"/>
        </w:rPr>
      </w:pPr>
    </w:p>
    <w:tbl>
      <w:tblPr>
        <w:tblW w:w="0" w:type="auto"/>
        <w:jc w:val="center"/>
        <w:tblLook w:val="01E0"/>
      </w:tblPr>
      <w:tblGrid>
        <w:gridCol w:w="4252"/>
      </w:tblGrid>
      <w:tr w14:paraId="00DAAE6A" w14:textId="77777777">
        <w:tblPrEx>
          <w:tblW w:w="0" w:type="auto"/>
          <w:jc w:val="center"/>
          <w:tblLook w:val="01E0"/>
        </w:tblPrEx>
        <w:trPr>
          <w:jc w:val="center"/>
        </w:trPr>
        <w:tc>
          <w:tcPr>
            <w:tcW w:w="4252" w:type="dxa"/>
          </w:tcPr>
          <w:p w:rsidR="008C39DA" w14:paraId="6BB45982" w14:textId="77777777">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14:paraId="54E3770C" w14:textId="77777777">
        <w:tblPrEx>
          <w:tblW w:w="0" w:type="auto"/>
          <w:jc w:val="center"/>
          <w:tblLook w:val="01E0"/>
        </w:tblPrEx>
        <w:trPr>
          <w:jc w:val="center"/>
        </w:trPr>
        <w:tc>
          <w:tcPr>
            <w:tcW w:w="4252" w:type="dxa"/>
          </w:tcPr>
          <w:p w:rsidR="008C39DA" w:rsidP="00A92230" w14:paraId="6061D86C" w14:textId="6DE3779F">
            <w:pPr>
              <w:spacing w:line="312" w:lineRule="auto"/>
              <w:ind w:left="171" w:right="-235"/>
              <w:rPr>
                <w:rFonts w:ascii="Arial" w:hAnsi="Arial" w:cs="Arial"/>
                <w:sz w:val="22"/>
                <w:szCs w:val="22"/>
              </w:rPr>
            </w:pPr>
            <w:r>
              <w:rPr>
                <w:rFonts w:ascii="Arial" w:hAnsi="Arial" w:cs="Arial"/>
                <w:sz w:val="22"/>
                <w:szCs w:val="22"/>
              </w:rPr>
              <w:t>Nome:</w:t>
            </w:r>
          </w:p>
          <w:p w:rsidR="008C39DA" w:rsidP="00A92230" w14:paraId="24B87EC1" w14:textId="2279FA7C">
            <w:pPr>
              <w:spacing w:line="312" w:lineRule="auto"/>
              <w:ind w:left="171" w:right="-235"/>
              <w:jc w:val="left"/>
              <w:rPr>
                <w:rFonts w:ascii="Arial" w:hAnsi="Arial" w:cs="Arial"/>
                <w:sz w:val="22"/>
                <w:szCs w:val="22"/>
              </w:rPr>
            </w:pPr>
            <w:r>
              <w:rPr>
                <w:rFonts w:ascii="Arial" w:hAnsi="Arial" w:cs="Arial"/>
                <w:sz w:val="22"/>
                <w:szCs w:val="22"/>
              </w:rPr>
              <w:t>CPF:</w:t>
            </w:r>
          </w:p>
        </w:tc>
      </w:tr>
    </w:tbl>
    <w:p w:rsidR="008C39DA" w14:paraId="355AE565" w14:textId="77777777">
      <w:pPr>
        <w:widowControl/>
        <w:spacing w:line="240" w:lineRule="auto"/>
        <w:jc w:val="left"/>
        <w:rPr>
          <w:rFonts w:ascii="Arial" w:hAnsi="Arial" w:cs="Arial"/>
          <w:i/>
          <w:iCs/>
          <w:kern w:val="20"/>
          <w:sz w:val="22"/>
          <w:szCs w:val="22"/>
          <w:lang w:eastAsia="en-US"/>
        </w:rPr>
      </w:pPr>
    </w:p>
    <w:p w:rsidR="008C39DA" w14:paraId="7B1F2BF4" w14:textId="77777777">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rsidR="008C39DA" w14:paraId="75E62ECA" w14:textId="77777777">
      <w:pPr>
        <w:spacing w:line="312" w:lineRule="auto"/>
        <w:ind w:left="-284" w:right="-235"/>
        <w:rPr>
          <w:rFonts w:ascii="Arial" w:hAnsi="Arial" w:cs="Arial"/>
          <w:i/>
          <w:iCs/>
          <w:kern w:val="20"/>
          <w:sz w:val="22"/>
          <w:szCs w:val="22"/>
          <w:lang w:eastAsia="en-US"/>
        </w:rPr>
      </w:pPr>
    </w:p>
    <w:p w:rsidR="008C39DA" w14:paraId="1A9E0507" w14:textId="065620AB">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Pr="00912079" w:rsidR="003B64AA">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9A4E28" w14:paraId="78A17FE2" w14:textId="77777777">
      <w:pPr>
        <w:spacing w:line="312" w:lineRule="auto"/>
        <w:ind w:left="-284" w:right="-235"/>
        <w:rPr>
          <w:rFonts w:ascii="Arial" w:hAnsi="Arial" w:cs="Arial"/>
          <w:i/>
          <w:iCs/>
          <w:kern w:val="20"/>
          <w:sz w:val="22"/>
          <w:szCs w:val="22"/>
          <w:lang w:eastAsia="en-US"/>
        </w:rPr>
      </w:pPr>
    </w:p>
    <w:p w:rsidR="008C39DA" w14:paraId="3B33AAF2" w14:textId="51D17194">
      <w:pPr>
        <w:spacing w:line="312" w:lineRule="auto"/>
        <w:ind w:left="-284" w:right="-232"/>
        <w:jc w:val="center"/>
        <w:rPr>
          <w:rFonts w:ascii="Arial" w:hAnsi="Arial" w:cs="Arial"/>
          <w:sz w:val="22"/>
          <w:szCs w:val="22"/>
        </w:rPr>
      </w:pPr>
      <w:r w:rsidRPr="00A92230">
        <w:rPr>
          <w:rFonts w:ascii="Arial" w:hAnsi="Arial" w:cs="Arial"/>
          <w:sz w:val="22"/>
          <w:szCs w:val="22"/>
          <w:highlight w:val="yellow"/>
        </w:rPr>
        <w:t>[</w:t>
      </w:r>
      <w:r w:rsidRPr="00A92230">
        <w:rPr>
          <w:rFonts w:ascii="Arial" w:hAnsi="Arial" w:cs="Arial"/>
          <w:b/>
          <w:bCs/>
          <w:sz w:val="22"/>
          <w:szCs w:val="22"/>
          <w:highlight w:val="yellow"/>
        </w:rPr>
        <w:t>Nota Pinheiro Neto</w:t>
      </w:r>
      <w:r w:rsidRPr="00A92230">
        <w:rPr>
          <w:rFonts w:ascii="Arial" w:hAnsi="Arial" w:cs="Arial"/>
          <w:sz w:val="22"/>
          <w:szCs w:val="22"/>
          <w:highlight w:val="yellow"/>
        </w:rPr>
        <w:t>: Simplific, favor confirmar lista de Debenturistas.]</w:t>
      </w:r>
    </w:p>
    <w:p w:rsidR="008C39DA" w14:paraId="4831D1BE" w14:textId="77777777">
      <w:pPr>
        <w:spacing w:line="312" w:lineRule="auto"/>
        <w:rPr>
          <w:rFonts w:ascii="Arial" w:hAnsi="Arial" w:cs="Arial"/>
          <w:b/>
          <w:bCs/>
          <w:sz w:val="22"/>
          <w:szCs w:val="22"/>
        </w:rPr>
      </w:pPr>
    </w:p>
    <w:p w:rsidR="00B00279" w14:paraId="7FBE5EDA" w14:textId="77777777">
      <w:pPr>
        <w:spacing w:line="312" w:lineRule="auto"/>
        <w:rPr>
          <w:rFonts w:ascii="Arial" w:hAnsi="Arial" w:cs="Arial"/>
          <w:b/>
          <w:bCs/>
          <w:sz w:val="22"/>
          <w:szCs w:val="22"/>
        </w:rPr>
      </w:pPr>
    </w:p>
    <w:p w:rsidR="00B00279" w:rsidRPr="00A13EE8" w:rsidP="005E06F2" w14:paraId="4549CC74" w14:textId="77777777">
      <w:pPr>
        <w:spacing w:line="312" w:lineRule="auto"/>
        <w:jc w:val="center"/>
        <w:rPr>
          <w:rFonts w:ascii="Arial" w:hAnsi="Arial" w:cs="Arial"/>
          <w:b/>
          <w:bCs/>
          <w:sz w:val="22"/>
          <w:szCs w:val="22"/>
        </w:rPr>
      </w:pPr>
      <w:r w:rsidRPr="00A348B6">
        <w:rPr>
          <w:rFonts w:ascii="Arial" w:hAnsi="Arial" w:cs="Arial"/>
          <w:b/>
          <w:bCs/>
          <w:sz w:val="22"/>
          <w:szCs w:val="22"/>
        </w:rPr>
        <w:t>BANCO DO BRASIL S.A.</w:t>
      </w:r>
    </w:p>
    <w:p w:rsidR="00107961" w:rsidRPr="0043366A" w:rsidP="005E06F2" w14:paraId="3B355056" w14:textId="77777777">
      <w:pPr>
        <w:spacing w:line="312" w:lineRule="auto"/>
        <w:jc w:val="center"/>
        <w:rPr>
          <w:rFonts w:ascii="Arial" w:hAnsi="Arial" w:cs="Arial"/>
          <w:sz w:val="22"/>
          <w:szCs w:val="22"/>
        </w:rPr>
      </w:pPr>
      <w:r w:rsidRPr="009C1F42">
        <w:rPr>
          <w:rFonts w:ascii="Arial" w:hAnsi="Arial" w:cs="Arial"/>
          <w:sz w:val="22"/>
          <w:szCs w:val="22"/>
        </w:rPr>
        <w:t>CNPJ</w:t>
      </w:r>
      <w:r w:rsidRPr="0043366A" w:rsidR="00E32F18">
        <w:rPr>
          <w:rFonts w:ascii="Arial" w:hAnsi="Arial" w:cs="Arial"/>
          <w:sz w:val="22"/>
          <w:szCs w:val="22"/>
        </w:rPr>
        <w:t xml:space="preserve"> 00.000.000/0001-91</w:t>
      </w:r>
    </w:p>
    <w:p w:rsidR="00094E50" w:rsidRPr="00F45FCF" w:rsidP="005E06F2" w14:paraId="0757D70D" w14:textId="77777777">
      <w:pPr>
        <w:spacing w:line="312" w:lineRule="auto"/>
        <w:jc w:val="center"/>
        <w:rPr>
          <w:rFonts w:ascii="Arial" w:hAnsi="Arial" w:cs="Arial"/>
          <w:sz w:val="22"/>
          <w:szCs w:val="22"/>
        </w:rPr>
      </w:pPr>
    </w:p>
    <w:p w:rsidR="009338A8" w:rsidRPr="00F45FCF" w:rsidP="005E06F2" w14:paraId="4FE1BF1A" w14:textId="77777777">
      <w:pPr>
        <w:spacing w:line="312" w:lineRule="auto"/>
        <w:jc w:val="center"/>
        <w:rPr>
          <w:rFonts w:ascii="Arial" w:hAnsi="Arial" w:cs="Arial"/>
          <w:sz w:val="22"/>
          <w:szCs w:val="22"/>
        </w:rPr>
      </w:pPr>
    </w:p>
    <w:p w:rsidR="00B00279" w:rsidRPr="00F45FCF" w:rsidP="00B00279" w14:paraId="226D16D3" w14:textId="77777777">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73B7F3D6" w14:textId="77777777" w:rsidTr="009338A8">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810A81" w:rsidRPr="00A92230" w:rsidP="00107961" w14:paraId="4E114FFA" w14:textId="30D154C1">
            <w:pPr>
              <w:pStyle w:val="null"/>
              <w:spacing w:before="0" w:beforeAutospacing="0" w:after="0" w:afterAutospacing="0"/>
              <w:rPr>
                <w:rStyle w:val="null1"/>
                <w:rFonts w:ascii="Arial" w:hAnsi="Arial" w:cs="Arial"/>
              </w:rPr>
            </w:pPr>
            <w:r w:rsidRPr="00A92230">
              <w:rPr>
                <w:rStyle w:val="null1"/>
                <w:rFonts w:ascii="Arial" w:hAnsi="Arial" w:cs="Arial"/>
              </w:rPr>
              <w:t>Nome:</w:t>
            </w:r>
          </w:p>
          <w:p w:rsidR="00810A81" w:rsidRPr="00A92230" w:rsidP="00107961" w14:paraId="093613EC" w14:textId="69AD3AD1">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sidR="000C7CBB">
              <w:rPr>
                <w:rStyle w:val="null1"/>
                <w:rFonts w:ascii="Arial" w:hAnsi="Arial" w:cs="Arial"/>
              </w:rPr>
              <w:t xml:space="preserve"> </w:t>
            </w:r>
          </w:p>
        </w:tc>
        <w:tc>
          <w:tcPr>
            <w:tcW w:w="4248" w:type="dxa"/>
          </w:tcPr>
          <w:p w:rsidR="00810A81" w:rsidRPr="00A92230" w:rsidP="00107961" w14:paraId="7AA70000" w14:textId="77777777">
            <w:pPr>
              <w:pStyle w:val="null"/>
              <w:spacing w:before="0" w:beforeAutospacing="0" w:after="0" w:afterAutospacing="0"/>
              <w:rPr>
                <w:rStyle w:val="null1"/>
                <w:rFonts w:ascii="Arial" w:hAnsi="Arial" w:cs="Arial"/>
              </w:rPr>
            </w:pPr>
          </w:p>
        </w:tc>
      </w:tr>
    </w:tbl>
    <w:p w:rsidR="00107961" w:rsidRPr="00A92230" w:rsidP="00107961" w14:paraId="7312520C" w14:textId="77777777">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rsidR="00107961" w:rsidRPr="00A92230" w:rsidP="00107961" w14:paraId="20E29990" w14:textId="77777777">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rsidR="00B00279" w:rsidRPr="00A348B6" w:rsidP="00B00279" w14:paraId="3029DEE3" w14:textId="77777777">
      <w:pPr>
        <w:spacing w:line="312" w:lineRule="auto"/>
        <w:jc w:val="center"/>
        <w:rPr>
          <w:rFonts w:ascii="Arial" w:hAnsi="Arial" w:cs="Arial"/>
          <w:sz w:val="22"/>
          <w:szCs w:val="22"/>
        </w:rPr>
      </w:pPr>
    </w:p>
    <w:p w:rsidR="00B00279" w:rsidRPr="00DC4A15" w:rsidP="005E06F2" w14:paraId="51587F6F" w14:textId="77777777">
      <w:pPr>
        <w:spacing w:line="312" w:lineRule="auto"/>
        <w:jc w:val="center"/>
        <w:rPr>
          <w:rFonts w:ascii="Arial" w:hAnsi="Arial" w:cs="Arial"/>
          <w:b/>
          <w:bCs/>
          <w:sz w:val="22"/>
          <w:szCs w:val="22"/>
        </w:rPr>
      </w:pPr>
      <w:r w:rsidRPr="00A13EE8">
        <w:rPr>
          <w:rFonts w:ascii="Arial" w:hAnsi="Arial" w:cs="Arial"/>
          <w:b/>
          <w:bCs/>
          <w:sz w:val="22"/>
          <w:szCs w:val="22"/>
        </w:rPr>
        <w:t>BANCO BRADESCO S.A.</w:t>
      </w:r>
    </w:p>
    <w:p w:rsidR="00107961" w:rsidRPr="0043366A" w:rsidP="005E06F2" w14:paraId="4B1D9E6A" w14:textId="77777777">
      <w:pPr>
        <w:spacing w:line="312" w:lineRule="auto"/>
        <w:jc w:val="center"/>
        <w:rPr>
          <w:rFonts w:ascii="Arial" w:hAnsi="Arial" w:cs="Arial"/>
          <w:sz w:val="22"/>
          <w:szCs w:val="22"/>
        </w:rPr>
      </w:pPr>
      <w:r w:rsidRPr="009C1F42">
        <w:rPr>
          <w:rFonts w:ascii="Arial" w:hAnsi="Arial" w:cs="Arial"/>
          <w:sz w:val="22"/>
          <w:szCs w:val="22"/>
        </w:rPr>
        <w:t>CNPJ</w:t>
      </w:r>
      <w:r w:rsidRPr="0043366A" w:rsidR="009E50C2">
        <w:rPr>
          <w:rFonts w:ascii="Arial" w:hAnsi="Arial" w:cs="Arial"/>
          <w:sz w:val="22"/>
          <w:szCs w:val="22"/>
        </w:rPr>
        <w:t xml:space="preserve"> 60.746.948/0001-12</w:t>
      </w:r>
    </w:p>
    <w:p w:rsidR="00094E50" w:rsidRPr="00F45FCF" w:rsidP="005E06F2" w14:paraId="4A532139" w14:textId="77777777">
      <w:pPr>
        <w:spacing w:line="312" w:lineRule="auto"/>
        <w:jc w:val="center"/>
        <w:rPr>
          <w:rFonts w:ascii="Arial" w:hAnsi="Arial" w:cs="Arial"/>
          <w:sz w:val="22"/>
          <w:szCs w:val="22"/>
        </w:rPr>
      </w:pPr>
    </w:p>
    <w:p w:rsidR="00B00279" w:rsidRPr="00F45FCF" w:rsidP="00B00279" w14:paraId="722E63F1" w14:textId="77777777">
      <w:pPr>
        <w:spacing w:line="312" w:lineRule="auto"/>
        <w:jc w:val="center"/>
        <w:rPr>
          <w:rFonts w:ascii="Arial" w:hAnsi="Arial" w:cs="Arial"/>
          <w:sz w:val="22"/>
          <w:szCs w:val="22"/>
        </w:rPr>
      </w:pPr>
    </w:p>
    <w:p w:rsidR="005E06F2" w:rsidRPr="00F45FCF" w:rsidP="00B00279" w14:paraId="78BD0564" w14:textId="77777777">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327E52CD"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A92230" w:rsidP="00FB4193" w14:paraId="0684BC73" w14:textId="35B64170">
            <w:pPr>
              <w:pStyle w:val="null"/>
              <w:spacing w:before="0" w:beforeAutospacing="0" w:after="0" w:afterAutospacing="0"/>
              <w:rPr>
                <w:rStyle w:val="null1"/>
                <w:rFonts w:ascii="Arial" w:hAnsi="Arial" w:cs="Arial"/>
              </w:rPr>
            </w:pPr>
            <w:r w:rsidRPr="00A92230">
              <w:rPr>
                <w:rStyle w:val="null1"/>
                <w:rFonts w:ascii="Arial" w:hAnsi="Arial" w:cs="Arial"/>
              </w:rPr>
              <w:t>Nome:</w:t>
            </w:r>
            <w:r w:rsidRPr="00A92230" w:rsidR="000C7CBB">
              <w:rPr>
                <w:rStyle w:val="null1"/>
                <w:rFonts w:ascii="Arial" w:hAnsi="Arial" w:cs="Arial"/>
              </w:rPr>
              <w:t xml:space="preserve"> </w:t>
            </w:r>
          </w:p>
          <w:p w:rsidR="005E06F2" w:rsidRPr="00A92230" w:rsidP="00FB4193" w14:paraId="2D3E49A4" w14:textId="2BF9338A">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sidR="000C7CBB">
              <w:rPr>
                <w:rFonts w:ascii="Arial" w:hAnsi="Arial" w:cs="Arial"/>
              </w:rPr>
              <w:t xml:space="preserve"> </w:t>
            </w:r>
          </w:p>
        </w:tc>
        <w:tc>
          <w:tcPr>
            <w:tcW w:w="4248" w:type="dxa"/>
          </w:tcPr>
          <w:p w:rsidR="005E06F2" w:rsidRPr="00A92230" w:rsidP="00FB4193" w14:paraId="499BE574" w14:textId="123B0469">
            <w:pPr>
              <w:pStyle w:val="null"/>
              <w:spacing w:before="0" w:beforeAutospacing="0" w:after="0" w:afterAutospacing="0"/>
              <w:rPr>
                <w:rStyle w:val="null1"/>
                <w:rFonts w:ascii="Arial" w:hAnsi="Arial" w:cs="Arial"/>
              </w:rPr>
            </w:pPr>
            <w:r w:rsidRPr="00A92230">
              <w:rPr>
                <w:rStyle w:val="null1"/>
                <w:rFonts w:ascii="Arial" w:hAnsi="Arial" w:cs="Arial"/>
              </w:rPr>
              <w:t>Nome:</w:t>
            </w:r>
          </w:p>
          <w:p w:rsidR="005E06F2" w:rsidRPr="00A92230" w:rsidP="00FB4193" w14:paraId="7CBE7AEA" w14:textId="7D24EA5C">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sidR="00A93AAE">
              <w:rPr>
                <w:rFonts w:ascii="Arial" w:hAnsi="Arial" w:cs="Arial"/>
              </w:rPr>
              <w:t xml:space="preserve"> </w:t>
            </w:r>
          </w:p>
        </w:tc>
      </w:tr>
    </w:tbl>
    <w:p w:rsidR="005E06F2" w:rsidRPr="00A348B6" w:rsidP="00B00279" w14:paraId="333B5C9D" w14:textId="77777777">
      <w:pPr>
        <w:spacing w:line="312" w:lineRule="auto"/>
        <w:jc w:val="center"/>
        <w:rPr>
          <w:rFonts w:ascii="Arial" w:hAnsi="Arial" w:cs="Arial"/>
          <w:sz w:val="22"/>
          <w:szCs w:val="22"/>
        </w:rPr>
      </w:pPr>
    </w:p>
    <w:p w:rsidR="00B00279" w:rsidRPr="00A13EE8" w:rsidP="00B00279" w14:paraId="075CBA39" w14:textId="77777777">
      <w:pPr>
        <w:spacing w:line="312" w:lineRule="auto"/>
        <w:jc w:val="center"/>
        <w:rPr>
          <w:rFonts w:ascii="Arial" w:hAnsi="Arial" w:cs="Arial"/>
          <w:sz w:val="22"/>
          <w:szCs w:val="22"/>
        </w:rPr>
      </w:pPr>
    </w:p>
    <w:p w:rsidR="009338A8" w:rsidRPr="009C1F42" w:rsidP="005E06F2" w14:paraId="0B60BF41" w14:textId="77777777">
      <w:pPr>
        <w:spacing w:line="312" w:lineRule="auto"/>
        <w:jc w:val="center"/>
        <w:rPr>
          <w:rFonts w:ascii="Arial" w:hAnsi="Arial" w:cs="Arial"/>
          <w:b/>
          <w:bCs/>
          <w:sz w:val="22"/>
          <w:szCs w:val="22"/>
        </w:rPr>
      </w:pPr>
    </w:p>
    <w:p w:rsidR="00B00279" w:rsidRPr="0043366A" w:rsidP="005E06F2" w14:paraId="1995C9FA" w14:textId="77777777">
      <w:pPr>
        <w:spacing w:line="312" w:lineRule="auto"/>
        <w:jc w:val="center"/>
        <w:rPr>
          <w:rFonts w:ascii="Arial" w:hAnsi="Arial" w:cs="Arial"/>
          <w:b/>
          <w:bCs/>
          <w:sz w:val="22"/>
          <w:szCs w:val="22"/>
        </w:rPr>
      </w:pPr>
      <w:r w:rsidRPr="0043366A">
        <w:rPr>
          <w:rFonts w:ascii="Arial" w:hAnsi="Arial" w:cs="Arial"/>
          <w:b/>
          <w:bCs/>
          <w:sz w:val="22"/>
          <w:szCs w:val="22"/>
        </w:rPr>
        <w:t>BANCO BTG PACTUAL S.A.</w:t>
      </w:r>
    </w:p>
    <w:p w:rsidR="00107961" w:rsidRPr="00F45FCF" w:rsidP="005E06F2" w14:paraId="2272397D" w14:textId="77777777">
      <w:pPr>
        <w:spacing w:line="312" w:lineRule="auto"/>
        <w:jc w:val="center"/>
        <w:rPr>
          <w:rFonts w:ascii="Arial" w:hAnsi="Arial" w:cs="Arial"/>
          <w:sz w:val="22"/>
          <w:szCs w:val="22"/>
        </w:rPr>
      </w:pPr>
      <w:r w:rsidRPr="00F45FCF">
        <w:rPr>
          <w:rFonts w:ascii="Arial" w:hAnsi="Arial" w:cs="Arial"/>
          <w:sz w:val="22"/>
          <w:szCs w:val="22"/>
        </w:rPr>
        <w:t>CNPJ</w:t>
      </w:r>
      <w:r w:rsidRPr="00F45FCF" w:rsidR="009E50C2">
        <w:rPr>
          <w:rFonts w:ascii="Arial" w:hAnsi="Arial" w:cs="Arial"/>
          <w:sz w:val="22"/>
          <w:szCs w:val="22"/>
        </w:rPr>
        <w:t xml:space="preserve"> 30.306.294/0001-45</w:t>
      </w:r>
    </w:p>
    <w:p w:rsidR="00094E50" w:rsidRPr="009A4E28" w:rsidP="005E06F2" w14:paraId="131436B2" w14:textId="77777777">
      <w:pPr>
        <w:spacing w:line="312" w:lineRule="auto"/>
        <w:jc w:val="center"/>
        <w:rPr>
          <w:rFonts w:ascii="Arial" w:hAnsi="Arial" w:cs="Arial"/>
          <w:sz w:val="22"/>
          <w:szCs w:val="22"/>
        </w:rPr>
      </w:pPr>
    </w:p>
    <w:p w:rsidR="005E06F2" w:rsidRPr="009A4E28" w:rsidP="00B00279" w14:paraId="09830CAE" w14:textId="77777777">
      <w:pPr>
        <w:spacing w:line="312" w:lineRule="auto"/>
        <w:jc w:val="center"/>
        <w:rPr>
          <w:rFonts w:ascii="Arial" w:hAnsi="Arial" w:cs="Arial"/>
          <w:sz w:val="22"/>
          <w:szCs w:val="22"/>
        </w:rPr>
      </w:pPr>
    </w:p>
    <w:p w:rsidR="005E06F2" w:rsidRPr="009A4E28" w:rsidP="00B00279" w14:paraId="038A23AA" w14:textId="77777777">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tblPr>
      <w:tblGrid>
        <w:gridCol w:w="4247"/>
        <w:gridCol w:w="4248"/>
      </w:tblGrid>
      <w:tr w14:paraId="0688B7BB" w14:textId="77777777" w:rsidTr="00FB4193">
        <w:tblPrEx>
          <w:tblW w:w="0" w:type="auto"/>
          <w:tblBorders>
            <w:left w:val="none" w:sz="0" w:space="0" w:color="auto"/>
            <w:bottom w:val="none" w:sz="0" w:space="0" w:color="auto"/>
            <w:right w:val="none" w:sz="0" w:space="0" w:color="auto"/>
            <w:insideV w:val="none" w:sz="0" w:space="0" w:color="auto"/>
          </w:tblBorders>
          <w:tblLook w:val="04A0"/>
        </w:tblPrEx>
        <w:tc>
          <w:tcPr>
            <w:tcW w:w="4247" w:type="dxa"/>
          </w:tcPr>
          <w:p w:rsidR="005E06F2" w:rsidRPr="00A92230" w:rsidP="00FB4193" w14:paraId="6586E9ED" w14:textId="0C3FD0CC">
            <w:pPr>
              <w:pStyle w:val="null"/>
              <w:spacing w:before="0" w:beforeAutospacing="0" w:after="0" w:afterAutospacing="0"/>
              <w:rPr>
                <w:rStyle w:val="null1"/>
                <w:rFonts w:ascii="Arial" w:hAnsi="Arial" w:cs="Arial"/>
              </w:rPr>
            </w:pPr>
            <w:r w:rsidRPr="00A92230">
              <w:rPr>
                <w:rStyle w:val="null1"/>
                <w:rFonts w:ascii="Arial" w:hAnsi="Arial" w:cs="Arial"/>
              </w:rPr>
              <w:t>Nome:</w:t>
            </w:r>
            <w:r w:rsidRPr="00A92230" w:rsidR="00A93AAE">
              <w:rPr>
                <w:rStyle w:val="null1"/>
                <w:rFonts w:ascii="Arial" w:hAnsi="Arial" w:cs="Arial"/>
              </w:rPr>
              <w:t xml:space="preserve"> </w:t>
            </w:r>
          </w:p>
          <w:p w:rsidR="005E06F2" w:rsidRPr="00A92230" w:rsidP="00FB4193" w14:paraId="03C919A5" w14:textId="0739E1E1">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sidR="00A93AAE">
              <w:rPr>
                <w:rFonts w:ascii="Arial" w:hAnsi="Arial" w:cs="Arial"/>
              </w:rPr>
              <w:t xml:space="preserve"> </w:t>
            </w:r>
          </w:p>
        </w:tc>
        <w:tc>
          <w:tcPr>
            <w:tcW w:w="4248" w:type="dxa"/>
          </w:tcPr>
          <w:p w:rsidR="005E06F2" w:rsidRPr="00A92230" w:rsidP="00FB4193" w14:paraId="54E97BAC" w14:textId="529B17F4">
            <w:pPr>
              <w:pStyle w:val="null"/>
              <w:spacing w:before="0" w:beforeAutospacing="0" w:after="0" w:afterAutospacing="0"/>
              <w:rPr>
                <w:rStyle w:val="null1"/>
                <w:rFonts w:ascii="Arial" w:hAnsi="Arial" w:cs="Arial"/>
              </w:rPr>
            </w:pPr>
            <w:r w:rsidRPr="00A92230">
              <w:rPr>
                <w:rStyle w:val="null1"/>
                <w:rFonts w:ascii="Arial" w:hAnsi="Arial" w:cs="Arial"/>
              </w:rPr>
              <w:t>Nome:</w:t>
            </w:r>
          </w:p>
          <w:p w:rsidR="005E06F2" w:rsidRPr="00A92230" w:rsidP="00FB4193" w14:paraId="1C3A602F" w14:textId="22F2D3B8">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rsidR="005E06F2" w:rsidRPr="00A348B6" w:rsidP="00B00279" w14:paraId="45FD2D71" w14:textId="77777777">
      <w:pPr>
        <w:spacing w:line="312" w:lineRule="auto"/>
        <w:jc w:val="center"/>
        <w:rPr>
          <w:rFonts w:ascii="Arial" w:hAnsi="Arial" w:cs="Arial"/>
          <w:sz w:val="22"/>
          <w:szCs w:val="22"/>
        </w:rPr>
      </w:pPr>
    </w:p>
    <w:p w:rsidR="00B00279" w:rsidRPr="00A13EE8" w:rsidP="00B00279" w14:paraId="1CC51DD9" w14:textId="77777777">
      <w:pPr>
        <w:spacing w:line="312" w:lineRule="auto"/>
        <w:jc w:val="center"/>
        <w:rPr>
          <w:rFonts w:ascii="Arial" w:hAnsi="Arial" w:cs="Arial"/>
          <w:sz w:val="22"/>
          <w:szCs w:val="22"/>
        </w:rPr>
      </w:pPr>
    </w:p>
    <w:p w:rsidR="00B00279" w:rsidP="00B00279" w14:paraId="5116C07C" w14:textId="77777777">
      <w:pPr>
        <w:spacing w:line="312" w:lineRule="auto"/>
        <w:jc w:val="center"/>
        <w:rPr>
          <w:rFonts w:ascii="Arial" w:hAnsi="Arial" w:cs="Arial"/>
          <w:sz w:val="22"/>
          <w:szCs w:val="22"/>
        </w:rPr>
      </w:pPr>
    </w:p>
    <w:p w:rsidR="00B00279" w:rsidP="009338A8" w14:paraId="70E326CA" w14:textId="77777777">
      <w:pPr>
        <w:spacing w:line="312" w:lineRule="auto"/>
        <w:jc w:val="center"/>
        <w:rPr>
          <w:rFonts w:ascii="Arial" w:hAnsi="Arial" w:cs="Arial"/>
          <w:b/>
          <w:bCs/>
          <w:sz w:val="22"/>
          <w:szCs w:val="22"/>
        </w:rPr>
      </w:pPr>
    </w:p>
    <w:p w:rsidR="008C39DA" w14:paraId="55541A1A" w14:textId="77777777">
      <w:pPr>
        <w:pStyle w:val="Default"/>
        <w:spacing w:line="312" w:lineRule="auto"/>
        <w:rPr>
          <w:rStyle w:val="PageNumber"/>
          <w:b/>
          <w:bCs/>
          <w:color w:val="auto"/>
          <w:sz w:val="22"/>
          <w:szCs w:val="22"/>
          <w:lang w:val="pt-BR"/>
        </w:rPr>
      </w:pPr>
    </w:p>
    <w:sectPr>
      <w:headerReference w:type="even" r:id="rId6"/>
      <w:headerReference w:type="default" r:id="rId7"/>
      <w:footerReference w:type="even" r:id="rId8"/>
      <w:footerReference w:type="default" r:id="rId9"/>
      <w:headerReference w:type="first" r:id="rId10"/>
      <w:footerReference w:type="first" r:id="rId11"/>
      <w:pgSz w:w="11907" w:h="16840" w:code="9"/>
      <w:pgMar w:top="1417" w:right="1701" w:bottom="1417" w:left="1701" w:header="850" w:footer="85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656" w14:paraId="7FC085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rsidRPr="00A92230" w14:paraId="5BEB2B91" w14:textId="4465F16A">
    <w:pPr>
      <w:rPr>
        <w:color w:val="FFFFFF" w:themeColor="background1"/>
        <w:sz w:val="16"/>
        <w:szCs w:val="10"/>
      </w:rPr>
    </w:pPr>
    <w:r w:rsidR="007A7656">
      <w:rPr>
        <w:color w:val="FFFFFF" w:themeColor="background1"/>
        <w:sz w:val="16"/>
        <w:szCs w:val="10"/>
      </w:rPr>
      <w:t>{imProfileDatabase-16955269v2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C17" w:rsidRPr="00A92230" w14:paraId="72040553" w14:textId="7EC2C8FE">
    <w:pPr>
      <w:rPr>
        <w:color w:val="FFFFFF" w:themeColor="background1"/>
        <w:sz w:val="16"/>
        <w:szCs w:val="16"/>
      </w:rPr>
    </w:pPr>
    <w:r w:rsidR="007A7656">
      <w:rPr>
        <w:color w:val="FFFFFF" w:themeColor="background1"/>
        <w:sz w:val="16"/>
        <w:szCs w:val="16"/>
      </w:rPr>
      <w:t>{imProfileDatabase-16955269v2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656" w14:paraId="276E72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14:paraId="5A9180C8" w14:textId="77777777">
    <w:pPr>
      <w:pStyle w:val="Header"/>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A3D08" w:rsidRPr="00B42280" w:rsidP="00BE0062" w14:textId="1C821668">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d7848f48d4ba44f1e62cd29" o:spid="_x0000_s2049" type="#_x0000_t202" alt="{&quot;HashCode&quot;:344086827,&quot;Height&quot;:842.0,&quot;Width&quot;:595.0,&quot;Placement&quot;:&quot;Header&quot;,&quot;Index&quot;:&quot;Primary&quot;,&quot;Section&quot;:1,&quot;Top&quot;:0.0,&quot;Left&quot;:0.0}" style="width:595.3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20pt,0">
                <w:txbxContent>
                  <w:p w:rsidR="00CA3D08" w:rsidRPr="00B42280" w:rsidP="00BE0062" w14:paraId="2AB8BD2A" w14:textId="1C821668">
                    <w:pPr>
                      <w:jc w:val="center"/>
                      <w:rPr>
                        <w:rFonts w:ascii="Calibri" w:hAnsi="Calibri" w:cs="Calibri"/>
                        <w:color w:val="000000"/>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9DA" w14:paraId="7A8A43E9" w14:textId="4CBA2F29">
    <w:pPr>
      <w:pStyle w:val="Header"/>
      <w:spacing w:line="300" w:lineRule="exact"/>
      <w:rPr>
        <w:rFonts w:ascii="Arial" w:hAnsi="Arial" w:cs="Arial"/>
        <w:b/>
        <w:sz w:val="22"/>
        <w:szCs w:val="22"/>
      </w:rPr>
    </w:pPr>
    <w:r>
      <w:rPr>
        <w:rFonts w:ascii="Arial" w:hAnsi="Arial" w:cs="Arial"/>
        <w:b/>
        <w:sz w:val="22"/>
        <w:szCs w:val="22"/>
      </w:rPr>
      <w:t>Comentários Sindicato e Cescon Barrieu</w:t>
    </w:r>
  </w:p>
  <w:p w:rsidR="008C39DA" w14:paraId="255C473E" w14:textId="1DB01D80">
    <w:pPr>
      <w:pStyle w:val="Header"/>
      <w:spacing w:line="300" w:lineRule="exact"/>
      <w:rPr>
        <w:rFonts w:ascii="Arial" w:hAnsi="Arial" w:cs="Arial"/>
        <w:b/>
        <w:sz w:val="22"/>
        <w:szCs w:val="22"/>
      </w:rPr>
    </w:pPr>
    <w:r>
      <w:rPr>
        <w:rFonts w:ascii="Arial" w:hAnsi="Arial" w:cs="Arial"/>
        <w:b/>
        <w:sz w:val="22"/>
        <w:szCs w:val="22"/>
      </w:rPr>
      <w:t>(</w:t>
    </w:r>
    <w:r w:rsidR="00080462">
      <w:rPr>
        <w:rFonts w:ascii="Arial" w:hAnsi="Arial" w:cs="Arial"/>
        <w:b/>
        <w:sz w:val="22"/>
        <w:szCs w:val="22"/>
      </w:rPr>
      <w:t>17</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rsidR="008C39DA" w14:paraId="6025EA44" w14:textId="77777777">
    <w:pPr>
      <w:pStyle w:val="Header"/>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F361B"/>
    <w:multiLevelType w:val="hybridMultilevel"/>
    <w:tmpl w:val="A0B24AD6"/>
    <w:lvl w:ilvl="0">
      <w:start w:val="1"/>
      <w:numFmt w:val="upperRoman"/>
      <w:lvlText w:val="%1."/>
      <w:lvlJc w:val="left"/>
      <w:pPr>
        <w:tabs>
          <w:tab w:val="num" w:pos="1418"/>
        </w:tabs>
        <w:ind w:left="1418" w:hanging="709"/>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nsid w:val="169A4FE9"/>
    <w:multiLevelType w:val="hybridMultilevel"/>
    <w:tmpl w:val="5C6ABF9C"/>
    <w:lvl w:ilvl="0">
      <w:start w:val="1"/>
      <w:numFmt w:val="lowerRoman"/>
      <w:lvlText w:val="(%1)"/>
      <w:lvlJc w:val="left"/>
      <w:pPr>
        <w:ind w:left="1080" w:hanging="72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0937A7B"/>
    <w:multiLevelType w:val="hybridMultilevel"/>
    <w:tmpl w:val="3C68D360"/>
    <w:lvl w:ilvl="0">
      <w:start w:val="1"/>
      <w:numFmt w:val="lowerRoman"/>
      <w:lvlText w:val="(%1)"/>
      <w:lvlJc w:val="left"/>
      <w:pPr>
        <w:ind w:left="436" w:hanging="720"/>
      </w:pPr>
      <w:rPr>
        <w:rFonts w:hint="default"/>
        <w:b/>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7">
    <w:nsid w:val="48CB554B"/>
    <w:multiLevelType w:val="hybridMultilevel"/>
    <w:tmpl w:val="D0748B42"/>
    <w:lvl w:ilvl="0">
      <w:start w:val="1"/>
      <w:numFmt w:val="lowerRoman"/>
      <w:lvlText w:val="(%1)"/>
      <w:lvlJc w:val="left"/>
      <w:pPr>
        <w:ind w:left="436" w:hanging="720"/>
      </w:pPr>
      <w:rPr>
        <w:rFonts w:hint="default"/>
        <w:b/>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8">
    <w:nsid w:val="7B314C6C"/>
    <w:multiLevelType w:val="hybridMultilevel"/>
    <w:tmpl w:val="9356E03C"/>
    <w:lvl w:ilvl="0">
      <w:start w:val="1"/>
      <w:numFmt w:val="lowerRoman"/>
      <w:lvlText w:val="(%1)"/>
      <w:lvlJc w:val="left"/>
      <w:pPr>
        <w:ind w:left="436" w:hanging="720"/>
      </w:pPr>
      <w:rPr>
        <w:rFonts w:hint="default"/>
        <w:b/>
        <w:sz w:val="22"/>
        <w:szCs w:val="22"/>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8"/>
  </w:num>
  <w:num w:numId="6">
    <w:abstractNumId w:val="6"/>
  </w:num>
  <w:num w:numId="7">
    <w:abstractNumId w:val="7"/>
  </w:num>
  <w:num w:numId="8">
    <w:abstractNumId w:val="3"/>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26"/>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DA"/>
    <w:rsid w:val="00002F0D"/>
    <w:rsid w:val="00054C7D"/>
    <w:rsid w:val="00080462"/>
    <w:rsid w:val="00087708"/>
    <w:rsid w:val="00094E50"/>
    <w:rsid w:val="000A2CD4"/>
    <w:rsid w:val="000C1FFD"/>
    <w:rsid w:val="000C7CBB"/>
    <w:rsid w:val="000F6512"/>
    <w:rsid w:val="001065E0"/>
    <w:rsid w:val="00107961"/>
    <w:rsid w:val="00164C17"/>
    <w:rsid w:val="00195CA1"/>
    <w:rsid w:val="001B255A"/>
    <w:rsid w:val="001E783D"/>
    <w:rsid w:val="001F4977"/>
    <w:rsid w:val="0030137D"/>
    <w:rsid w:val="0030438B"/>
    <w:rsid w:val="00346407"/>
    <w:rsid w:val="00374AD2"/>
    <w:rsid w:val="00391C82"/>
    <w:rsid w:val="00394D75"/>
    <w:rsid w:val="003B64AA"/>
    <w:rsid w:val="003D2FF1"/>
    <w:rsid w:val="003D3BD5"/>
    <w:rsid w:val="003F695D"/>
    <w:rsid w:val="0043366A"/>
    <w:rsid w:val="00495D69"/>
    <w:rsid w:val="004B692E"/>
    <w:rsid w:val="005728B4"/>
    <w:rsid w:val="005760F9"/>
    <w:rsid w:val="00595084"/>
    <w:rsid w:val="005E06F2"/>
    <w:rsid w:val="00601E6B"/>
    <w:rsid w:val="0061201D"/>
    <w:rsid w:val="00630C28"/>
    <w:rsid w:val="006A617E"/>
    <w:rsid w:val="006D6E79"/>
    <w:rsid w:val="006F7AF6"/>
    <w:rsid w:val="00705DE5"/>
    <w:rsid w:val="00732427"/>
    <w:rsid w:val="00751271"/>
    <w:rsid w:val="007740CC"/>
    <w:rsid w:val="007944E9"/>
    <w:rsid w:val="0079760C"/>
    <w:rsid w:val="007A7656"/>
    <w:rsid w:val="007E72AC"/>
    <w:rsid w:val="007F42DF"/>
    <w:rsid w:val="008067F2"/>
    <w:rsid w:val="00810A81"/>
    <w:rsid w:val="0089705E"/>
    <w:rsid w:val="008C39DA"/>
    <w:rsid w:val="008C4F9A"/>
    <w:rsid w:val="00912079"/>
    <w:rsid w:val="009338A8"/>
    <w:rsid w:val="009A4E28"/>
    <w:rsid w:val="009C1F42"/>
    <w:rsid w:val="009D2A59"/>
    <w:rsid w:val="009E50C2"/>
    <w:rsid w:val="00A13EE8"/>
    <w:rsid w:val="00A348B6"/>
    <w:rsid w:val="00A364DF"/>
    <w:rsid w:val="00A745D9"/>
    <w:rsid w:val="00A92230"/>
    <w:rsid w:val="00A93AAE"/>
    <w:rsid w:val="00AF43FE"/>
    <w:rsid w:val="00AF5EF9"/>
    <w:rsid w:val="00B00279"/>
    <w:rsid w:val="00B012B0"/>
    <w:rsid w:val="00B23DA8"/>
    <w:rsid w:val="00B268CB"/>
    <w:rsid w:val="00B42280"/>
    <w:rsid w:val="00BA4A36"/>
    <w:rsid w:val="00BB1684"/>
    <w:rsid w:val="00BE0062"/>
    <w:rsid w:val="00C16AEB"/>
    <w:rsid w:val="00C57224"/>
    <w:rsid w:val="00C5723C"/>
    <w:rsid w:val="00C7009B"/>
    <w:rsid w:val="00C74143"/>
    <w:rsid w:val="00C90912"/>
    <w:rsid w:val="00CA3D08"/>
    <w:rsid w:val="00CC1BF1"/>
    <w:rsid w:val="00CF3FEE"/>
    <w:rsid w:val="00D108F0"/>
    <w:rsid w:val="00D22BB7"/>
    <w:rsid w:val="00D37E8D"/>
    <w:rsid w:val="00D5584D"/>
    <w:rsid w:val="00D8330A"/>
    <w:rsid w:val="00DC4A15"/>
    <w:rsid w:val="00DD0C08"/>
    <w:rsid w:val="00DF15A7"/>
    <w:rsid w:val="00E32F18"/>
    <w:rsid w:val="00E66C9C"/>
    <w:rsid w:val="00F32055"/>
    <w:rsid w:val="00F45FCF"/>
    <w:rsid w:val="00F506D6"/>
    <w:rsid w:val="00F8415C"/>
    <w:rsid w:val="00F87FA0"/>
    <w:rsid w:val="00FB4193"/>
    <w:rsid w:val="00FC699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link w:val="Ttulo2Char"/>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right"/>
    </w:pPr>
  </w:style>
  <w:style w:type="character" w:styleId="PageNumber">
    <w:name w:val="page number"/>
    <w:basedOn w:val="DefaultParagraphFont"/>
    <w:uiPriority w:val="99"/>
  </w:style>
  <w:style w:type="paragraph" w:styleId="Footer">
    <w:name w:val="footer"/>
    <w:basedOn w:val="Normal"/>
    <w:pPr>
      <w:spacing w:line="1440" w:lineRule="auto"/>
    </w:pPr>
    <w:rPr>
      <w:sz w:val="14"/>
      <w:lang w:val="en-US"/>
    </w:rPr>
  </w:style>
  <w:style w:type="paragraph" w:styleId="FootnoteText">
    <w:name w:val="footnote text"/>
    <w:basedOn w:val="Normal"/>
    <w:semiHidden/>
    <w:pPr>
      <w:tabs>
        <w:tab w:val="left" w:pos="284"/>
      </w:tabs>
      <w:ind w:left="284" w:hanging="284"/>
    </w:pPr>
    <w:rPr>
      <w:b/>
      <w:i/>
      <w:sz w:val="16"/>
      <w:lang w:val="en-US"/>
    </w:rPr>
  </w:style>
  <w:style w:type="character" w:customStyle="1" w:styleId="Ttulo2Char">
    <w:name w:val="Título 2 Char"/>
    <w:basedOn w:val="DefaultParagraphFont"/>
    <w:link w:val="Heading2"/>
    <w:rPr>
      <w:b/>
    </w:rPr>
  </w:style>
  <w:style w:type="paragraph" w:styleId="ListParagraph">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leGrid">
    <w:name w:val="Table Grid"/>
    <w:basedOn w:val="Table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ListParagraph"/>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BalloonText">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semiHidden/>
    <w:rPr>
      <w:rFonts w:ascii="Segoe UI" w:eastAsia="Times New Roman"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TextodecomentrioChar"/>
    <w:pPr>
      <w:spacing w:line="240" w:lineRule="auto"/>
    </w:pPr>
    <w:rPr>
      <w:sz w:val="20"/>
    </w:rPr>
  </w:style>
  <w:style w:type="character" w:customStyle="1" w:styleId="TextodecomentrioChar">
    <w:name w:val="Texto de comentário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AssuntodocomentrioChar"/>
    <w:semiHidden/>
    <w:unhideWhenUsed/>
    <w:rPr>
      <w:b/>
      <w:bCs/>
    </w:rPr>
  </w:style>
  <w:style w:type="character" w:customStyle="1" w:styleId="AssuntodocomentrioChar">
    <w:name w:val="Assunto do comentário Char"/>
    <w:basedOn w:val="Textodecomentrio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hAnsi="Calibri" w:eastAsiaTheme="minorHAnsi" w:cs="Calibri"/>
      <w:sz w:val="22"/>
      <w:szCs w:val="22"/>
    </w:rPr>
  </w:style>
  <w:style w:type="character" w:customStyle="1" w:styleId="null1">
    <w:name w:val="null1"/>
    <w:basedOn w:val="DefaultParagraphFont"/>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 S C B F - S P ! 1 6 9 5 5 2 6 9 . 2 < / d o c u m e n t i d >  
     < s e n d e r i d > V S I M O N I < / s e n d e r i d >  
     < s e n d e r e m a i l > V I T T O R I A . S I M O N I @ C E S C O N B A R R I E U . C O M . B R < / s e n d e r e m a i l >  
     < l a s t m o d i f i e d > 2 0 2 2 - 1 1 - 1 7 T 2 1 : 0 1 : 0 0 . 0 0 0 0 0 0 0 - 0 3 : 0 0 < / l a s t m o d i f i e d >  
     < d a t a b a s e > S C B F - S P < / d a t a b a s e >  
 < / p r o p e r t i e s > 
</file>

<file path=customXml/item2.xml>��< ? x m l   v e r s i o n = " 1 . 0 "   e n c o d i n g = " u t f - 1 6 " ? > < p r o p e r t i e s   x m l n s = " h t t p : / / w w w . i m a n a g e . c o m / w o r k / x m l s c h e m a " >  
     < d o c u m e n t i d > J U R _ R J ! 2 9 4 6 0 1 1 8 . 2 < / d o c u m e n t i d >  
     < s e n d e r i d > M S P < / s e n d e r i d >  
     < s e n d e r e m a i l > M P R O E N C A @ P N . C O M . B R < / s e n d e r e m a i l >  
     < l a s t m o d i f i e d > 2 0 2 2 - 1 1 - 1 6 T 1 4 : 3 6 : 0 0 . 0 0 0 0 0 0 0 - 0 3 : 0 0 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0242D14-BEA6-42AF-8894-FBD097F5E4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2389</Words>
  <Characters>13840</Characters>
  <Application>Microsoft Office Word</Application>
  <DocSecurity>0</DocSecurity>
  <Lines>243</Lines>
  <Paragraphs>89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