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B5556" w14:paraId="0501C2CE"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F9B1CCC" w14:textId="77777777">
      <w:pPr>
        <w:spacing w:line="300" w:lineRule="exact"/>
        <w:rPr>
          <w:rFonts w:ascii="Times New Roman" w:hAnsi="Times New Roman"/>
          <w:sz w:val="22"/>
          <w:szCs w:val="22"/>
        </w:rPr>
      </w:pPr>
    </w:p>
    <w:p w:rsidR="001B5556" w14:paraId="6CAC8E48"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B5556" w14:paraId="32DB47A2" w14:textId="77777777">
      <w:pPr>
        <w:spacing w:line="300" w:lineRule="exact"/>
        <w:rPr>
          <w:rFonts w:ascii="Times New Roman" w:hAnsi="Times New Roman"/>
          <w:sz w:val="22"/>
          <w:szCs w:val="22"/>
        </w:rPr>
      </w:pPr>
    </w:p>
    <w:p w:rsidR="001B5556" w14:paraId="2157E5D9"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B5556" w14:paraId="4419810F"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B5556" w14:paraId="21790460" w14:textId="77777777">
      <w:pPr>
        <w:spacing w:line="300" w:lineRule="exact"/>
        <w:jc w:val="center"/>
        <w:rPr>
          <w:rFonts w:ascii="Times New Roman" w:hAnsi="Times New Roman"/>
          <w:sz w:val="22"/>
          <w:szCs w:val="22"/>
        </w:rPr>
      </w:pPr>
    </w:p>
    <w:p w:rsidR="001B5556" w14:paraId="3AA9AE3E" w14:textId="77777777">
      <w:pPr>
        <w:spacing w:line="300" w:lineRule="exact"/>
        <w:jc w:val="center"/>
        <w:rPr>
          <w:rFonts w:ascii="Times New Roman" w:hAnsi="Times New Roman"/>
          <w:sz w:val="22"/>
          <w:szCs w:val="22"/>
        </w:rPr>
      </w:pPr>
    </w:p>
    <w:p w:rsidR="001B5556" w14:paraId="1A8E526C"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B5556" w14:paraId="60FCC12A"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B5556" w14:paraId="5B8B507B" w14:textId="77777777">
      <w:pPr>
        <w:spacing w:line="300" w:lineRule="exact"/>
        <w:rPr>
          <w:rFonts w:ascii="Times New Roman" w:hAnsi="Times New Roman"/>
          <w:sz w:val="22"/>
          <w:szCs w:val="22"/>
        </w:rPr>
      </w:pPr>
    </w:p>
    <w:p w:rsidR="001B5556" w14:paraId="0A9B71ED"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B5556" w14:paraId="086E5284" w14:textId="77777777">
      <w:pPr>
        <w:spacing w:after="0" w:line="300" w:lineRule="exact"/>
        <w:jc w:val="center"/>
        <w:rPr>
          <w:rFonts w:ascii="Times New Roman" w:hAnsi="Times New Roman"/>
          <w:b/>
          <w:bCs/>
          <w:iCs/>
          <w:sz w:val="22"/>
          <w:szCs w:val="22"/>
        </w:rPr>
      </w:pPr>
    </w:p>
    <w:p w:rsidR="001B5556" w14:paraId="0B603506"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B5556" w14:paraId="04DEDAF6" w14:textId="77777777">
      <w:pPr>
        <w:spacing w:after="0" w:line="300" w:lineRule="exact"/>
        <w:jc w:val="center"/>
        <w:rPr>
          <w:rFonts w:ascii="Times New Roman" w:hAnsi="Times New Roman"/>
          <w:iCs/>
          <w:sz w:val="22"/>
          <w:szCs w:val="22"/>
        </w:rPr>
      </w:pPr>
    </w:p>
    <w:p w:rsidR="001B5556" w14:paraId="7482B02F"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B5556" w14:paraId="54ADEA58" w14:textId="77777777">
      <w:pPr>
        <w:spacing w:after="0" w:line="300" w:lineRule="exact"/>
        <w:jc w:val="center"/>
        <w:rPr>
          <w:rFonts w:ascii="Times New Roman" w:hAnsi="Times New Roman"/>
          <w:b/>
          <w:bCs/>
          <w:iCs/>
          <w:sz w:val="22"/>
          <w:szCs w:val="22"/>
        </w:rPr>
      </w:pPr>
    </w:p>
    <w:p w:rsidR="001B5556" w14:paraId="2F0401C5" w14:textId="77777777">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rsidR="001B5556" w14:paraId="47C4A733" w14:textId="77777777">
      <w:pPr>
        <w:spacing w:after="0" w:line="300" w:lineRule="exact"/>
        <w:jc w:val="center"/>
        <w:rPr>
          <w:rFonts w:ascii="Times New Roman" w:hAnsi="Times New Roman"/>
          <w:b/>
          <w:bCs/>
          <w:iCs/>
          <w:sz w:val="22"/>
          <w:szCs w:val="22"/>
        </w:rPr>
      </w:pPr>
    </w:p>
    <w:p w:rsidR="001B5556" w14:paraId="5E4F380D"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B5556" w14:paraId="2026337A" w14:textId="77777777">
      <w:pPr>
        <w:spacing w:after="0" w:line="300" w:lineRule="exact"/>
        <w:jc w:val="center"/>
        <w:rPr>
          <w:rFonts w:ascii="Times New Roman" w:hAnsi="Times New Roman"/>
          <w:smallCaps/>
          <w:color w:val="000000" w:themeColor="text1"/>
          <w:sz w:val="22"/>
          <w:szCs w:val="22"/>
        </w:rPr>
      </w:pPr>
    </w:p>
    <w:p w:rsidR="001B5556" w14:paraId="7491803F" w14:textId="77777777">
      <w:pPr>
        <w:pStyle w:val="Title"/>
        <w:spacing w:line="300" w:lineRule="exact"/>
        <w:jc w:val="center"/>
        <w:rPr>
          <w:rFonts w:ascii="Times New Roman" w:hAnsi="Times New Roman" w:cs="Times New Roman"/>
          <w:smallCaps/>
          <w:color w:val="000000" w:themeColor="text1"/>
          <w:szCs w:val="22"/>
        </w:rPr>
      </w:pPr>
    </w:p>
    <w:p w:rsidR="001B5556" w14:paraId="0CF1E22F"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B5556" w14:paraId="367ECAC4"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393582B1"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B5556" w14:paraId="54E390B3" w14:textId="77777777">
      <w:pPr>
        <w:spacing w:after="0" w:line="300" w:lineRule="exact"/>
        <w:rPr>
          <w:rFonts w:ascii="Times New Roman" w:hAnsi="Times New Roman"/>
          <w:sz w:val="22"/>
          <w:szCs w:val="22"/>
        </w:rPr>
      </w:pPr>
    </w:p>
    <w:p w:rsidR="001B5556" w14:paraId="3932F90C"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1B5556" w14:paraId="738908EA" w14:textId="77777777">
      <w:pPr>
        <w:spacing w:after="0" w:line="300" w:lineRule="exact"/>
        <w:rPr>
          <w:rFonts w:ascii="Times New Roman" w:hAnsi="Times New Roman"/>
          <w:sz w:val="22"/>
          <w:szCs w:val="22"/>
        </w:rPr>
      </w:pPr>
    </w:p>
    <w:p w:rsidR="001B5556" w14:paraId="6B27E4C1"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B5556" w14:paraId="747FA1BE" w14:textId="77777777">
      <w:pPr>
        <w:spacing w:after="0" w:line="300" w:lineRule="exact"/>
        <w:rPr>
          <w:rFonts w:ascii="Times New Roman" w:hAnsi="Times New Roman"/>
          <w:bCs/>
          <w:sz w:val="22"/>
          <w:szCs w:val="22"/>
        </w:rPr>
      </w:pPr>
    </w:p>
    <w:p w:rsidR="001B5556" w14:paraId="5F6CE9F0"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B5556" w14:paraId="70577606" w14:textId="77777777">
      <w:pPr>
        <w:spacing w:after="0" w:line="300" w:lineRule="exact"/>
        <w:rPr>
          <w:rFonts w:ascii="Times New Roman" w:hAnsi="Times New Roman"/>
          <w:bCs/>
          <w:sz w:val="22"/>
          <w:szCs w:val="22"/>
        </w:rPr>
      </w:pPr>
    </w:p>
    <w:p w:rsidR="001B5556" w14:paraId="6657BC36"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B5556" w14:paraId="4EDC6385" w14:textId="77777777">
      <w:pPr>
        <w:spacing w:after="0" w:line="300" w:lineRule="exact"/>
        <w:rPr>
          <w:rFonts w:ascii="Times New Roman" w:hAnsi="Times New Roman"/>
          <w:bCs/>
          <w:sz w:val="22"/>
          <w:szCs w:val="22"/>
        </w:rPr>
      </w:pPr>
    </w:p>
    <w:p w:rsidR="001B5556" w14:paraId="77E2C17A" w14:textId="77777777">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rsidR="001B5556" w14:paraId="51254F31" w14:textId="77777777">
      <w:pPr>
        <w:spacing w:after="0" w:line="300" w:lineRule="exact"/>
        <w:rPr>
          <w:rFonts w:ascii="Times New Roman" w:hAnsi="Times New Roman"/>
          <w:sz w:val="22"/>
          <w:szCs w:val="22"/>
        </w:rPr>
      </w:pPr>
    </w:p>
    <w:p w:rsidR="001B5556" w14:paraId="1F5BFDF8" w14:textId="77777777">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r>
        <w:rPr>
          <w:rFonts w:ascii="Times New Roman" w:hAnsi="Times New Roman"/>
          <w:sz w:val="22"/>
          <w:szCs w:val="22"/>
        </w:rPr>
        <w:t>Bayside</w:t>
      </w:r>
      <w:r>
        <w:rPr>
          <w:rFonts w:ascii="Times New Roman" w:hAnsi="Times New Roman"/>
          <w:sz w:val="22"/>
          <w:szCs w:val="22"/>
        </w:rPr>
        <w:t xml:space="preserve"> </w:t>
      </w:r>
      <w:r>
        <w:rPr>
          <w:rFonts w:ascii="Times New Roman" w:hAnsi="Times New Roman"/>
          <w:sz w:val="22"/>
          <w:szCs w:val="22"/>
        </w:rPr>
        <w:t>Executive</w:t>
      </w:r>
      <w:r>
        <w:rPr>
          <w:rFonts w:ascii="Times New Roman" w:hAnsi="Times New Roman"/>
          <w:sz w:val="22"/>
          <w:szCs w:val="22"/>
        </w:rPr>
        <w:t xml:space="preserve"> Park, Building nº3 - West </w:t>
      </w:r>
      <w:r>
        <w:rPr>
          <w:rFonts w:ascii="Times New Roman" w:hAnsi="Times New Roman"/>
          <w:sz w:val="22"/>
          <w:szCs w:val="22"/>
        </w:rPr>
        <w:t>Bay</w:t>
      </w:r>
      <w:r>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rsidR="001B5556" w14:paraId="272ACD8A" w14:textId="77777777">
      <w:pPr>
        <w:spacing w:after="0" w:line="300" w:lineRule="exact"/>
        <w:rPr>
          <w:rFonts w:ascii="Times New Roman" w:hAnsi="Times New Roman"/>
          <w:bCs/>
          <w:sz w:val="22"/>
          <w:szCs w:val="22"/>
        </w:rPr>
      </w:pPr>
    </w:p>
    <w:p w:rsidR="001B5556" w14:paraId="301BF4AF"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B5556" w14:paraId="3B86B757" w14:textId="77777777">
      <w:pPr>
        <w:spacing w:after="0" w:line="300" w:lineRule="exact"/>
        <w:rPr>
          <w:rFonts w:ascii="Times New Roman" w:hAnsi="Times New Roman"/>
          <w:sz w:val="22"/>
          <w:szCs w:val="22"/>
        </w:rPr>
      </w:pPr>
    </w:p>
    <w:p w:rsidR="001B5556" w14:paraId="3A344F4F"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B5556" w14:paraId="03D36737" w14:textId="77777777">
      <w:pPr>
        <w:pStyle w:val="Body"/>
        <w:spacing w:after="0" w:line="300" w:lineRule="exact"/>
        <w:rPr>
          <w:rFonts w:ascii="Times New Roman" w:hAnsi="Times New Roman"/>
          <w:sz w:val="22"/>
          <w:szCs w:val="22"/>
        </w:rPr>
      </w:pPr>
    </w:p>
    <w:p w:rsidR="001B5556" w14:paraId="602B5077"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B5556" w14:paraId="78BADADD" w14:textId="77777777">
      <w:pPr>
        <w:pStyle w:val="Parties"/>
        <w:numPr>
          <w:ilvl w:val="0"/>
          <w:numId w:val="0"/>
        </w:numPr>
        <w:spacing w:after="0" w:line="300" w:lineRule="exact"/>
        <w:rPr>
          <w:rFonts w:ascii="Times New Roman" w:hAnsi="Times New Roman"/>
          <w:color w:val="000000" w:themeColor="text1"/>
          <w:sz w:val="22"/>
          <w:szCs w:val="22"/>
        </w:rPr>
      </w:pPr>
    </w:p>
    <w:p w:rsidR="001B5556" w14:paraId="336B573B"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B5556" w14:paraId="37FE5185"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B5556" w14:paraId="328A220D"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B5556" w14:paraId="7849122E"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B5556" w14:paraId="264B572A" w14:textId="77777777">
      <w:pPr>
        <w:pStyle w:val="Level2"/>
        <w:numPr>
          <w:ilvl w:val="0"/>
          <w:numId w:val="0"/>
        </w:numPr>
        <w:spacing w:after="0" w:line="300" w:lineRule="exact"/>
        <w:rPr>
          <w:rFonts w:ascii="Times New Roman" w:hAnsi="Times New Roman"/>
          <w:sz w:val="22"/>
          <w:szCs w:val="22"/>
        </w:rPr>
      </w:pPr>
    </w:p>
    <w:p w:rsidR="001B5556" w14:paraId="335BA1D4"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B5556" w14:paraId="5D5C0500" w14:textId="77777777">
      <w:pPr>
        <w:pStyle w:val="ListParagraph"/>
        <w:rPr>
          <w:rFonts w:ascii="Times New Roman" w:hAnsi="Times New Roman"/>
          <w:sz w:val="22"/>
          <w:szCs w:val="22"/>
        </w:rPr>
      </w:pPr>
    </w:p>
    <w:p w:rsidR="001B5556" w14:paraId="2E38B9AD" w14:textId="77777777">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rsidR="001B5556" w14:paraId="5137F22C" w14:textId="77777777">
      <w:pPr>
        <w:pStyle w:val="Level2"/>
        <w:numPr>
          <w:ilvl w:val="0"/>
          <w:numId w:val="0"/>
        </w:numPr>
        <w:spacing w:after="0" w:line="300" w:lineRule="exact"/>
        <w:rPr>
          <w:rFonts w:ascii="Times New Roman" w:hAnsi="Times New Roman"/>
          <w:sz w:val="22"/>
          <w:szCs w:val="22"/>
        </w:rPr>
      </w:pPr>
    </w:p>
    <w:p w:rsidR="001B5556" w14:paraId="6A525108"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B5556" w14:paraId="72FB91F2" w14:textId="77777777">
      <w:pPr>
        <w:pStyle w:val="Level2"/>
        <w:numPr>
          <w:ilvl w:val="0"/>
          <w:numId w:val="0"/>
        </w:numPr>
        <w:spacing w:after="0" w:line="300" w:lineRule="exact"/>
        <w:rPr>
          <w:rFonts w:ascii="Times New Roman" w:hAnsi="Times New Roman"/>
          <w:sz w:val="22"/>
          <w:szCs w:val="22"/>
        </w:rPr>
      </w:pPr>
    </w:p>
    <w:p w:rsidR="001B5556" w14:paraId="381ADC4A"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B5556" w14:paraId="7981C198"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B5556" w14:paraId="01ECE5B3" w14:textId="77777777">
      <w:pPr>
        <w:pStyle w:val="Level2"/>
        <w:numPr>
          <w:ilvl w:val="0"/>
          <w:numId w:val="0"/>
        </w:numPr>
        <w:spacing w:after="0" w:line="300" w:lineRule="exact"/>
        <w:rPr>
          <w:rFonts w:ascii="Times New Roman" w:hAnsi="Times New Roman"/>
          <w:b/>
          <w:sz w:val="22"/>
          <w:szCs w:val="22"/>
        </w:rPr>
      </w:pPr>
    </w:p>
    <w:p w:rsidR="001B5556" w14:paraId="7834B2B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rsidR="001B5556" w14:paraId="18B8A9D1" w14:textId="77777777">
      <w:pPr>
        <w:pStyle w:val="Level2"/>
        <w:numPr>
          <w:ilvl w:val="0"/>
          <w:numId w:val="0"/>
        </w:numPr>
        <w:spacing w:after="0" w:line="300" w:lineRule="exact"/>
        <w:rPr>
          <w:rFonts w:ascii="Times New Roman" w:hAnsi="Times New Roman"/>
          <w:bCs/>
          <w:sz w:val="22"/>
          <w:szCs w:val="22"/>
        </w:rPr>
      </w:pPr>
    </w:p>
    <w:p w:rsidR="001B5556" w14:paraId="7F577C3B"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B5556" w14:paraId="5A45E44F"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B5556" w14:paraId="465494B9"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B5556" w14:paraId="35DA57DF" w14:textId="77777777">
      <w:pPr>
        <w:pStyle w:val="Default"/>
        <w:spacing w:line="300" w:lineRule="exact"/>
        <w:jc w:val="both"/>
        <w:rPr>
          <w:rFonts w:ascii="Times New Roman" w:hAnsi="Times New Roman" w:cs="Times New Roman"/>
          <w:color w:val="auto"/>
          <w:sz w:val="22"/>
          <w:szCs w:val="22"/>
        </w:rPr>
      </w:pPr>
      <w:bookmarkEnd w:id="8"/>
    </w:p>
    <w:p w:rsidR="001B5556" w14:paraId="1469D79D"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B5556" w14:paraId="3B814E18" w14:textId="77777777">
      <w:pPr>
        <w:pStyle w:val="Default"/>
        <w:spacing w:line="300" w:lineRule="exact"/>
        <w:jc w:val="both"/>
        <w:rPr>
          <w:rFonts w:ascii="Times New Roman" w:hAnsi="Times New Roman" w:cs="Times New Roman"/>
          <w:color w:val="auto"/>
          <w:sz w:val="22"/>
          <w:szCs w:val="22"/>
        </w:rPr>
      </w:pPr>
    </w:p>
    <w:p w:rsidR="001B5556" w14:paraId="6A9DC11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B5556" w14:paraId="4104748E" w14:textId="77777777">
      <w:pPr>
        <w:pStyle w:val="Level2"/>
        <w:numPr>
          <w:ilvl w:val="0"/>
          <w:numId w:val="0"/>
        </w:numPr>
        <w:spacing w:after="0" w:line="300" w:lineRule="exact"/>
        <w:rPr>
          <w:rFonts w:ascii="Times New Roman" w:hAnsi="Times New Roman"/>
          <w:sz w:val="22"/>
          <w:szCs w:val="22"/>
        </w:rPr>
      </w:pPr>
    </w:p>
    <w:p w:rsidR="001B5556" w14:paraId="62F83B15"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B5556" w14:paraId="67FF8A1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rsidR="001B5556" w14:paraId="5162738B" w14:textId="77777777">
      <w:pPr>
        <w:pStyle w:val="Level2"/>
        <w:numPr>
          <w:ilvl w:val="0"/>
          <w:numId w:val="0"/>
        </w:numPr>
        <w:spacing w:after="0" w:line="300" w:lineRule="exact"/>
        <w:rPr>
          <w:rFonts w:ascii="Times New Roman" w:hAnsi="Times New Roman"/>
          <w:bCs/>
          <w:sz w:val="22"/>
          <w:szCs w:val="22"/>
        </w:rPr>
      </w:pPr>
    </w:p>
    <w:p w:rsidR="001B5556" w14:paraId="48F782B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B5556" w14:paraId="5A5FBEC3" w14:textId="77777777">
      <w:pPr>
        <w:pStyle w:val="Level2"/>
        <w:numPr>
          <w:ilvl w:val="0"/>
          <w:numId w:val="0"/>
        </w:numPr>
        <w:spacing w:after="0" w:line="300" w:lineRule="exact"/>
        <w:rPr>
          <w:rFonts w:ascii="Times New Roman" w:hAnsi="Times New Roman"/>
          <w:bCs/>
          <w:sz w:val="22"/>
          <w:szCs w:val="22"/>
        </w:rPr>
      </w:pPr>
    </w:p>
    <w:p w:rsidR="001B5556" w14:paraId="262635D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1B5556" w14:paraId="22EBCA94" w14:textId="77777777">
      <w:pPr>
        <w:pStyle w:val="Level2"/>
        <w:numPr>
          <w:ilvl w:val="0"/>
          <w:numId w:val="0"/>
        </w:numPr>
        <w:spacing w:after="0" w:line="300" w:lineRule="exact"/>
        <w:rPr>
          <w:rFonts w:ascii="Times New Roman" w:hAnsi="Times New Roman"/>
          <w:bCs/>
          <w:sz w:val="22"/>
          <w:szCs w:val="22"/>
        </w:rPr>
      </w:pPr>
    </w:p>
    <w:p w:rsidR="001B5556" w14:paraId="4AC74AF5" w14:textId="4AC41AD9">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B5556" w14:paraId="5A9385E0" w14:textId="77777777">
      <w:pPr>
        <w:pStyle w:val="Level2"/>
        <w:numPr>
          <w:ilvl w:val="0"/>
          <w:numId w:val="0"/>
        </w:numPr>
        <w:spacing w:after="0" w:line="300" w:lineRule="exact"/>
        <w:rPr>
          <w:rFonts w:ascii="Times New Roman" w:hAnsi="Times New Roman"/>
          <w:bCs/>
          <w:sz w:val="22"/>
          <w:szCs w:val="22"/>
        </w:rPr>
      </w:pPr>
    </w:p>
    <w:p w:rsidR="001B5556" w14:paraId="6883B94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B5556" w14:paraId="206840B3" w14:textId="77777777">
      <w:pPr>
        <w:pStyle w:val="Level2"/>
        <w:numPr>
          <w:ilvl w:val="0"/>
          <w:numId w:val="0"/>
        </w:numPr>
        <w:spacing w:after="0" w:line="300" w:lineRule="exact"/>
        <w:rPr>
          <w:rFonts w:ascii="Times New Roman" w:hAnsi="Times New Roman"/>
          <w:bCs/>
          <w:sz w:val="22"/>
          <w:szCs w:val="22"/>
        </w:rPr>
      </w:pPr>
    </w:p>
    <w:p w:rsidR="001B5556" w14:paraId="5A86CD52"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B5556" w14:paraId="007FA8C5" w14:textId="77777777">
      <w:pPr>
        <w:spacing w:after="0" w:line="300" w:lineRule="exact"/>
        <w:rPr>
          <w:rFonts w:ascii="Times New Roman" w:hAnsi="Times New Roman"/>
          <w:sz w:val="22"/>
          <w:szCs w:val="22"/>
        </w:rPr>
      </w:pPr>
    </w:p>
    <w:p w:rsidR="001B5556" w14:paraId="3C7A4936"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B5556" w14:paraId="3A576693" w14:textId="77777777">
      <w:pPr>
        <w:spacing w:after="0" w:line="300" w:lineRule="exact"/>
        <w:rPr>
          <w:rFonts w:ascii="Times New Roman" w:hAnsi="Times New Roman"/>
          <w:sz w:val="22"/>
          <w:szCs w:val="22"/>
        </w:rPr>
      </w:pPr>
    </w:p>
    <w:p w:rsidR="001B5556" w14:paraId="4606DF0F"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1B5556" w14:paraId="10A80B22" w14:textId="77777777">
      <w:pPr>
        <w:spacing w:after="0" w:line="300" w:lineRule="exact"/>
        <w:rPr>
          <w:rFonts w:ascii="Times New Roman" w:hAnsi="Times New Roman"/>
          <w:sz w:val="22"/>
          <w:szCs w:val="22"/>
        </w:rPr>
      </w:pPr>
    </w:p>
    <w:p w:rsidR="001B5556" w14:paraId="19BFD22C" w14:textId="32BC3095">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1B5556" w14:paraId="6EEEAC03" w14:textId="77777777">
      <w:pPr>
        <w:pStyle w:val="Level2"/>
        <w:numPr>
          <w:ilvl w:val="0"/>
          <w:numId w:val="0"/>
        </w:numPr>
        <w:spacing w:after="0" w:line="300" w:lineRule="exact"/>
        <w:rPr>
          <w:rFonts w:ascii="Times New Roman" w:hAnsi="Times New Roman"/>
          <w:sz w:val="22"/>
          <w:szCs w:val="22"/>
        </w:rPr>
      </w:pPr>
    </w:p>
    <w:p w:rsidR="001B5556" w14:paraId="5549DA9C"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B5556" w14:paraId="0D5485B1" w14:textId="77777777">
      <w:pPr>
        <w:spacing w:after="0" w:line="300" w:lineRule="exact"/>
        <w:rPr>
          <w:rFonts w:ascii="Times New Roman" w:hAnsi="Times New Roman"/>
          <w:sz w:val="22"/>
          <w:szCs w:val="22"/>
        </w:rPr>
      </w:pPr>
    </w:p>
    <w:p w:rsidR="001B5556" w14:paraId="7E9983CE"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B5556" w14:paraId="626271FE" w14:textId="77777777">
      <w:pPr>
        <w:spacing w:after="0" w:line="300" w:lineRule="exact"/>
        <w:rPr>
          <w:rFonts w:ascii="Times New Roman" w:hAnsi="Times New Roman"/>
          <w:sz w:val="22"/>
          <w:szCs w:val="22"/>
        </w:rPr>
      </w:pPr>
    </w:p>
    <w:p w:rsidR="001B5556" w14:paraId="75BBF65C"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rsidR="001B5556" w14:paraId="46E72680" w14:textId="77777777">
      <w:pPr>
        <w:spacing w:after="0" w:line="300" w:lineRule="exact"/>
        <w:rPr>
          <w:rFonts w:ascii="Times New Roman" w:hAnsi="Times New Roman"/>
          <w:sz w:val="22"/>
          <w:szCs w:val="22"/>
        </w:rPr>
      </w:pPr>
    </w:p>
    <w:p w:rsidR="001B5556" w14:paraId="2CBCD8BD"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B5556" w14:paraId="63D39523" w14:textId="77777777">
      <w:pPr>
        <w:spacing w:after="0" w:line="300" w:lineRule="exact"/>
        <w:rPr>
          <w:rFonts w:ascii="Times New Roman" w:hAnsi="Times New Roman"/>
          <w:sz w:val="22"/>
          <w:szCs w:val="22"/>
        </w:rPr>
      </w:pPr>
    </w:p>
    <w:p w:rsidR="001B5556" w14:paraId="470D4EAF" w14:textId="77777777">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rsidR="001B5556" w14:paraId="649069C9" w14:textId="77777777">
      <w:pPr>
        <w:pStyle w:val="Level2"/>
        <w:numPr>
          <w:ilvl w:val="0"/>
          <w:numId w:val="0"/>
        </w:numPr>
        <w:spacing w:after="0" w:line="300" w:lineRule="exact"/>
        <w:rPr>
          <w:rFonts w:ascii="Times New Roman" w:hAnsi="Times New Roman"/>
          <w:sz w:val="22"/>
          <w:szCs w:val="22"/>
        </w:rPr>
      </w:pPr>
    </w:p>
    <w:p w:rsidR="001B5556" w14:paraId="13373889"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B5556" w14:paraId="4880A48E" w14:textId="77777777">
      <w:pPr>
        <w:spacing w:after="0" w:line="300" w:lineRule="exact"/>
        <w:rPr>
          <w:rFonts w:ascii="Times New Roman" w:hAnsi="Times New Roman"/>
          <w:b/>
          <w:sz w:val="22"/>
          <w:szCs w:val="22"/>
        </w:rPr>
      </w:pPr>
    </w:p>
    <w:p w:rsidR="001B5556" w14:paraId="0A35ABB0"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B5556" w14:paraId="48083915" w14:textId="77777777">
      <w:pPr>
        <w:spacing w:after="0" w:line="300" w:lineRule="exact"/>
        <w:rPr>
          <w:rFonts w:ascii="Times New Roman" w:hAnsi="Times New Roman"/>
          <w:b/>
          <w:sz w:val="22"/>
          <w:szCs w:val="22"/>
        </w:rPr>
      </w:pPr>
    </w:p>
    <w:p w:rsidR="001B5556" w14:paraId="7E82B2AB"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B5556" w14:paraId="770D345E" w14:textId="77777777">
      <w:pPr>
        <w:spacing w:after="0" w:line="300" w:lineRule="exact"/>
        <w:ind w:left="1418"/>
        <w:rPr>
          <w:rFonts w:ascii="Times New Roman" w:hAnsi="Times New Roman"/>
          <w:sz w:val="22"/>
          <w:szCs w:val="22"/>
        </w:rPr>
      </w:pPr>
    </w:p>
    <w:p w:rsidR="001B5556" w14:paraId="509EE9DE"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B5556" w14:paraId="7B7EBCE4" w14:textId="77777777">
      <w:pPr>
        <w:spacing w:after="0" w:line="300" w:lineRule="exact"/>
        <w:ind w:left="2126"/>
        <w:rPr>
          <w:rFonts w:ascii="Times New Roman" w:hAnsi="Times New Roman"/>
          <w:b/>
          <w:sz w:val="22"/>
          <w:szCs w:val="22"/>
        </w:rPr>
      </w:pPr>
    </w:p>
    <w:p w:rsidR="001B5556" w14:paraId="48216F76"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B5556" w14:paraId="45BDECCA" w14:textId="77777777">
      <w:pPr>
        <w:spacing w:after="0" w:line="300" w:lineRule="exact"/>
        <w:rPr>
          <w:rFonts w:ascii="Times New Roman" w:hAnsi="Times New Roman"/>
          <w:sz w:val="22"/>
          <w:szCs w:val="22"/>
        </w:rPr>
      </w:pPr>
    </w:p>
    <w:p w:rsidR="001B5556" w14:paraId="2231E2F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B5556" w14:paraId="6EDBFE0E"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B5556" w14:paraId="08AE5C5F"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B5556" w14:paraId="241A509A"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B5556" w14:paraId="2092DE3E" w14:textId="77777777">
      <w:pPr>
        <w:pStyle w:val="Level1"/>
        <w:numPr>
          <w:ilvl w:val="0"/>
          <w:numId w:val="0"/>
        </w:numPr>
        <w:spacing w:after="0" w:line="300" w:lineRule="exact"/>
        <w:jc w:val="center"/>
        <w:rPr>
          <w:rFonts w:ascii="Times New Roman" w:hAnsi="Times New Roman"/>
          <w:b/>
          <w:sz w:val="22"/>
          <w:szCs w:val="22"/>
        </w:rPr>
      </w:pPr>
    </w:p>
    <w:p w:rsidR="001B5556" w14:paraId="3D64B02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B5556" w14:paraId="5AC610B8"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B5556" w14:paraId="7B7C5328" w14:textId="77777777">
      <w:pPr>
        <w:spacing w:after="0" w:line="300" w:lineRule="exact"/>
        <w:rPr>
          <w:rFonts w:ascii="Times New Roman" w:hAnsi="Times New Roman"/>
          <w:sz w:val="22"/>
          <w:szCs w:val="22"/>
        </w:rPr>
      </w:pPr>
    </w:p>
    <w:p w:rsidR="001B5556" w14:paraId="6B8F307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B5556" w14:paraId="6F427C9F" w14:textId="77D0FE7E">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o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 xml:space="preserve">das debêntures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r>
        <w:rPr>
          <w:rFonts w:ascii="Times New Roman" w:hAnsi="Times New Roman"/>
          <w:bCs/>
          <w:sz w:val="22"/>
          <w:szCs w:val="22"/>
        </w:rPr>
        <w:t>Elea</w:t>
      </w:r>
      <w:r>
        <w:rPr>
          <w:rFonts w:ascii="Times New Roman" w:hAnsi="Times New Roman"/>
          <w:bCs/>
          <w:sz w:val="22"/>
          <w:szCs w:val="22"/>
        </w:rPr>
        <w:t xml:space="preserve"> Digital Titan Holding S.A. pela Emissora </w:t>
      </w:r>
      <w:r w:rsidRPr="00F6344A">
        <w:rPr>
          <w:rFonts w:ascii="Times New Roman" w:hAnsi="Times New Roman"/>
          <w:bCs/>
          <w:sz w:val="22"/>
          <w:szCs w:val="22"/>
        </w:rPr>
        <w:t>(“</w:t>
      </w:r>
      <w:r w:rsidRPr="00F6344A" w:rsidR="00AC66E3">
        <w:rPr>
          <w:rFonts w:ascii="Times New Roman" w:hAnsi="Times New Roman"/>
          <w:bCs/>
          <w:sz w:val="22"/>
          <w:szCs w:val="22"/>
          <w:u w:val="single"/>
        </w:rPr>
        <w:t>Pagamento</w:t>
      </w:r>
      <w:r w:rsidRPr="00113411" w:rsidR="00AC66E3">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rsidR="001B5556" w14:paraId="64B3DFAA" w14:textId="77777777">
      <w:pPr>
        <w:spacing w:after="0" w:line="300" w:lineRule="exact"/>
        <w:rPr>
          <w:rFonts w:ascii="Times New Roman" w:hAnsi="Times New Roman"/>
          <w:bCs/>
          <w:sz w:val="22"/>
          <w:szCs w:val="22"/>
        </w:rPr>
      </w:pPr>
    </w:p>
    <w:p w:rsidR="001B5556" w14:paraId="639858FE" w14:textId="04607DC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rsidR="001B5556" w14:paraId="669AF91D" w14:textId="77777777">
      <w:pPr>
        <w:spacing w:after="0" w:line="300" w:lineRule="exact"/>
        <w:rPr>
          <w:rFonts w:ascii="Times New Roman" w:hAnsi="Times New Roman"/>
          <w:bCs/>
          <w:sz w:val="22"/>
          <w:szCs w:val="22"/>
        </w:rPr>
      </w:pPr>
    </w:p>
    <w:p w:rsidR="001B5556" w14:paraId="6253BC8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B5556" w14:paraId="41737B14" w14:textId="77777777">
      <w:pPr>
        <w:pStyle w:val="Level1"/>
        <w:numPr>
          <w:ilvl w:val="0"/>
          <w:numId w:val="0"/>
        </w:numPr>
        <w:spacing w:line="300" w:lineRule="exact"/>
        <w:ind w:left="720"/>
        <w:rPr>
          <w:rFonts w:ascii="Times New Roman" w:hAnsi="Times New Roman"/>
          <w:b/>
          <w:sz w:val="22"/>
          <w:szCs w:val="22"/>
        </w:rPr>
      </w:pPr>
    </w:p>
    <w:p w:rsidR="001B5556" w14:paraId="06457C6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B5556" w14:paraId="32C2D9A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B5556" w14:paraId="7824D220" w14:textId="77777777">
      <w:pPr>
        <w:spacing w:after="0" w:line="300" w:lineRule="exact"/>
        <w:rPr>
          <w:rFonts w:ascii="Times New Roman" w:hAnsi="Times New Roman"/>
          <w:b/>
          <w:sz w:val="22"/>
          <w:szCs w:val="22"/>
        </w:rPr>
      </w:pPr>
    </w:p>
    <w:p w:rsidR="001B5556" w14:paraId="379E1C7F"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B5556" w14:paraId="47B80C2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R$250.000.000,00 (duzentos e cinquenta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B5556" w14:paraId="7AB80498" w14:textId="77777777">
      <w:pPr>
        <w:spacing w:after="0" w:line="300" w:lineRule="exact"/>
        <w:rPr>
          <w:rFonts w:ascii="Times New Roman" w:hAnsi="Times New Roman"/>
          <w:b/>
          <w:sz w:val="22"/>
          <w:szCs w:val="22"/>
        </w:rPr>
      </w:pPr>
    </w:p>
    <w:p w:rsidR="001B5556" w14:paraId="00952AC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B5556" w14:paraId="75974CB0"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B5556" w14:paraId="4865FCD1" w14:textId="77777777">
      <w:pPr>
        <w:spacing w:after="0" w:line="300" w:lineRule="exact"/>
        <w:rPr>
          <w:rFonts w:ascii="Times New Roman" w:hAnsi="Times New Roman"/>
          <w:bCs/>
          <w:sz w:val="22"/>
          <w:szCs w:val="22"/>
        </w:rPr>
      </w:pPr>
    </w:p>
    <w:p w:rsidR="001B5556" w14:paraId="0BA0AD21"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1B5556" w14:paraId="2E1E7E3E"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1B5556" w14:paraId="62DDCD4A" w14:textId="77777777">
      <w:pPr>
        <w:spacing w:after="0" w:line="300" w:lineRule="exact"/>
        <w:rPr>
          <w:rFonts w:ascii="Times New Roman" w:hAnsi="Times New Roman"/>
          <w:sz w:val="22"/>
          <w:szCs w:val="22"/>
        </w:rPr>
      </w:pPr>
    </w:p>
    <w:p w:rsidR="001B5556" w14:paraId="721975A2"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1B5556" w14:paraId="55C2BB51" w14:textId="77777777">
      <w:pPr>
        <w:spacing w:after="0" w:line="300" w:lineRule="exact"/>
        <w:rPr>
          <w:rFonts w:ascii="Times New Roman" w:hAnsi="Times New Roman"/>
          <w:bCs/>
          <w:sz w:val="22"/>
          <w:szCs w:val="22"/>
        </w:rPr>
      </w:pPr>
    </w:p>
    <w:p w:rsidR="001B5556" w14:paraId="2A98E8D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B5556" w14:paraId="47288453"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B5556" w14:paraId="78693B4A" w14:textId="77777777">
      <w:pPr>
        <w:spacing w:after="0" w:line="300" w:lineRule="exact"/>
        <w:rPr>
          <w:rFonts w:ascii="Times New Roman" w:hAnsi="Times New Roman"/>
          <w:b/>
          <w:sz w:val="22"/>
          <w:szCs w:val="22"/>
        </w:rPr>
      </w:pPr>
    </w:p>
    <w:p w:rsidR="001B5556" w14:paraId="78148F9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B5556" w14:paraId="47D5DB64" w14:textId="77777777">
      <w:pPr>
        <w:spacing w:after="0" w:line="300" w:lineRule="exact"/>
        <w:rPr>
          <w:rFonts w:ascii="Times New Roman" w:hAnsi="Times New Roman"/>
          <w:bCs/>
          <w:sz w:val="22"/>
          <w:szCs w:val="22"/>
        </w:rPr>
      </w:pPr>
    </w:p>
    <w:p w:rsidR="001B5556" w14:paraId="724E5A1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B5556" w14:paraId="42E2876F" w14:textId="77777777">
      <w:pPr>
        <w:spacing w:after="0" w:line="300" w:lineRule="exact"/>
        <w:rPr>
          <w:rFonts w:ascii="Times New Roman" w:hAnsi="Times New Roman"/>
          <w:bCs/>
          <w:sz w:val="22"/>
          <w:szCs w:val="22"/>
        </w:rPr>
      </w:pPr>
    </w:p>
    <w:p w:rsidR="001B5556" w14:paraId="077282F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B5556" w14:paraId="4F172F2C" w14:textId="77777777">
      <w:pPr>
        <w:spacing w:after="0" w:line="300" w:lineRule="exact"/>
        <w:rPr>
          <w:rFonts w:ascii="Times New Roman" w:hAnsi="Times New Roman"/>
          <w:bCs/>
          <w:sz w:val="22"/>
          <w:szCs w:val="22"/>
        </w:rPr>
      </w:pPr>
    </w:p>
    <w:p w:rsidR="001B5556" w14:paraId="477984F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B5556" w14:paraId="1BEF2411" w14:textId="77777777">
      <w:pPr>
        <w:spacing w:after="0" w:line="300" w:lineRule="exact"/>
        <w:rPr>
          <w:rFonts w:ascii="Times New Roman" w:hAnsi="Times New Roman"/>
          <w:bCs/>
          <w:sz w:val="22"/>
          <w:szCs w:val="22"/>
        </w:rPr>
      </w:pPr>
    </w:p>
    <w:p w:rsidR="001B5556" w14:paraId="4047715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B5556" w14:paraId="0FD34C21" w14:textId="77777777">
      <w:pPr>
        <w:spacing w:after="0" w:line="300" w:lineRule="exact"/>
        <w:rPr>
          <w:rFonts w:ascii="Times New Roman" w:hAnsi="Times New Roman"/>
          <w:bCs/>
          <w:sz w:val="22"/>
          <w:szCs w:val="22"/>
        </w:rPr>
      </w:pPr>
    </w:p>
    <w:p w:rsidR="001B5556" w14:paraId="381C52B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B5556" w14:paraId="319D6629" w14:textId="77777777">
      <w:pPr>
        <w:spacing w:after="0" w:line="300" w:lineRule="exact"/>
        <w:rPr>
          <w:rFonts w:ascii="Times New Roman" w:hAnsi="Times New Roman"/>
          <w:bCs/>
          <w:sz w:val="22"/>
          <w:szCs w:val="22"/>
        </w:rPr>
      </w:pPr>
    </w:p>
    <w:p w:rsidR="001B5556" w14:paraId="7E64F12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1B5556" w14:paraId="01848991" w14:textId="77777777">
      <w:pPr>
        <w:spacing w:after="0" w:line="300" w:lineRule="exact"/>
        <w:rPr>
          <w:rFonts w:ascii="Times New Roman" w:hAnsi="Times New Roman"/>
          <w:bCs/>
          <w:sz w:val="22"/>
          <w:szCs w:val="22"/>
        </w:rPr>
      </w:pPr>
    </w:p>
    <w:p w:rsidR="001B5556" w14:paraId="549E20D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1B5556" w14:paraId="515FD065" w14:textId="77777777">
      <w:pPr>
        <w:spacing w:after="0" w:line="300" w:lineRule="exact"/>
        <w:rPr>
          <w:rFonts w:ascii="Times New Roman" w:hAnsi="Times New Roman"/>
          <w:bCs/>
          <w:sz w:val="22"/>
          <w:szCs w:val="22"/>
        </w:rPr>
      </w:pPr>
    </w:p>
    <w:p w:rsidR="001B5556" w14:paraId="63CA9FA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B5556" w14:paraId="6F5B0E19"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B5556" w14:paraId="1338C5C7" w14:textId="77777777">
      <w:pPr>
        <w:spacing w:after="0" w:line="300" w:lineRule="exact"/>
        <w:rPr>
          <w:rFonts w:ascii="Times New Roman" w:hAnsi="Times New Roman"/>
          <w:bCs/>
          <w:sz w:val="22"/>
          <w:szCs w:val="22"/>
          <w:u w:val="single"/>
        </w:rPr>
      </w:pPr>
    </w:p>
    <w:p w:rsidR="001B5556" w14:paraId="04081DF7" w14:textId="6788158C">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B5556" w14:paraId="467248D3" w14:textId="77777777">
      <w:pPr>
        <w:pStyle w:val="ListParagraph"/>
        <w:spacing w:after="0" w:line="300" w:lineRule="exact"/>
        <w:ind w:left="1080"/>
        <w:rPr>
          <w:rFonts w:ascii="Times New Roman" w:hAnsi="Times New Roman"/>
          <w:bCs/>
          <w:sz w:val="22"/>
          <w:szCs w:val="22"/>
        </w:rPr>
      </w:pPr>
    </w:p>
    <w:p w:rsidR="001B5556" w14:paraId="2960940E"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rsidR="001B5556" w14:paraId="791CA8E9" w14:textId="77777777">
      <w:pPr>
        <w:spacing w:after="0" w:line="300" w:lineRule="exact"/>
        <w:rPr>
          <w:rFonts w:ascii="Times New Roman" w:hAnsi="Times New Roman"/>
          <w:bCs/>
          <w:sz w:val="22"/>
          <w:szCs w:val="22"/>
        </w:rPr>
      </w:pPr>
    </w:p>
    <w:p w:rsidR="001B5556" w14:paraId="5B88EBF4" w14:textId="41F7CDE3">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 a Emissora (atual denominação social da </w:t>
      </w:r>
      <w:r>
        <w:rPr>
          <w:rFonts w:ascii="Times New Roman" w:hAnsi="Times New Roman"/>
          <w:bCs/>
          <w:sz w:val="22"/>
          <w:szCs w:val="22"/>
        </w:rPr>
        <w:t>Elea</w:t>
      </w:r>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1B5556" w14:paraId="2ED0CC7A" w14:textId="77777777">
      <w:pPr>
        <w:spacing w:after="0" w:line="300" w:lineRule="exact"/>
        <w:rPr>
          <w:rFonts w:ascii="Times New Roman" w:hAnsi="Times New Roman"/>
          <w:bCs/>
          <w:sz w:val="22"/>
          <w:szCs w:val="22"/>
        </w:rPr>
      </w:pPr>
    </w:p>
    <w:p w:rsidR="001B5556" w14:paraId="1B41402F"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Pr>
          <w:rFonts w:ascii="Times New Roman" w:hAnsi="Times New Roman"/>
          <w:bCs/>
          <w:sz w:val="22"/>
          <w:szCs w:val="22"/>
        </w:rPr>
        <w:t>matricula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rsidR="001B5556" w14:paraId="31481913" w14:textId="77777777">
      <w:pPr>
        <w:spacing w:after="0" w:line="300" w:lineRule="exact"/>
        <w:rPr>
          <w:rFonts w:ascii="Times New Roman" w:hAnsi="Times New Roman"/>
          <w:bCs/>
          <w:sz w:val="22"/>
          <w:szCs w:val="22"/>
        </w:rPr>
      </w:pPr>
    </w:p>
    <w:p w:rsidR="001B5556" w14:paraId="35F6CB1D" w14:textId="0FAF311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p>
    <w:p w:rsidR="001B5556" w14:paraId="57DAEFE0" w14:textId="77777777">
      <w:pPr>
        <w:spacing w:after="0" w:line="300" w:lineRule="exact"/>
        <w:rPr>
          <w:rFonts w:ascii="Times New Roman" w:hAnsi="Times New Roman"/>
          <w:bCs/>
          <w:sz w:val="22"/>
          <w:szCs w:val="22"/>
        </w:rPr>
      </w:pPr>
    </w:p>
    <w:p w:rsidR="001B5556" w14:paraId="05314423"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B5556" w14:paraId="4E0FAB6F" w14:textId="77777777">
      <w:pPr>
        <w:spacing w:after="0" w:line="300" w:lineRule="exact"/>
        <w:rPr>
          <w:rFonts w:ascii="Times New Roman" w:hAnsi="Times New Roman"/>
          <w:bCs/>
          <w:sz w:val="22"/>
          <w:szCs w:val="22"/>
        </w:rPr>
      </w:pPr>
    </w:p>
    <w:p w:rsidR="001B5556" w14:paraId="4A30AE6B"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B5556" w14:paraId="48A02AB1" w14:textId="77777777">
      <w:pPr>
        <w:spacing w:after="0" w:line="300" w:lineRule="exact"/>
        <w:rPr>
          <w:rFonts w:ascii="Times New Roman" w:hAnsi="Times New Roman"/>
          <w:bCs/>
          <w:sz w:val="22"/>
          <w:szCs w:val="22"/>
        </w:rPr>
      </w:pPr>
    </w:p>
    <w:p w:rsidR="001B5556" w14:paraId="4392B0C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rsidR="001B5556" w14:paraId="6D939787" w14:textId="77777777">
      <w:pPr>
        <w:spacing w:after="0" w:line="300" w:lineRule="exact"/>
        <w:rPr>
          <w:rFonts w:ascii="Times New Roman" w:hAnsi="Times New Roman"/>
          <w:bCs/>
          <w:sz w:val="22"/>
          <w:szCs w:val="22"/>
        </w:rPr>
      </w:pPr>
    </w:p>
    <w:p w:rsidR="001B5556" w14:paraId="522917D1"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B5556" w14:paraId="0D839DD9" w14:textId="77777777">
      <w:pPr>
        <w:pStyle w:val="Level1"/>
        <w:numPr>
          <w:ilvl w:val="0"/>
          <w:numId w:val="0"/>
        </w:numPr>
        <w:spacing w:after="0" w:line="300" w:lineRule="exact"/>
        <w:ind w:hanging="11"/>
        <w:rPr>
          <w:rFonts w:ascii="Times New Roman" w:hAnsi="Times New Roman"/>
          <w:b/>
          <w:sz w:val="22"/>
          <w:szCs w:val="22"/>
        </w:rPr>
      </w:pPr>
    </w:p>
    <w:p w:rsidR="001B5556" w14:paraId="0D4B370C"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B5556" w14:paraId="198B7717" w14:textId="77777777">
      <w:pPr>
        <w:pStyle w:val="Level1"/>
        <w:numPr>
          <w:ilvl w:val="0"/>
          <w:numId w:val="0"/>
        </w:numPr>
        <w:spacing w:after="0" w:line="300" w:lineRule="exact"/>
        <w:ind w:hanging="11"/>
        <w:rPr>
          <w:rFonts w:ascii="Times New Roman" w:hAnsi="Times New Roman"/>
          <w:bCs/>
          <w:sz w:val="22"/>
          <w:szCs w:val="22"/>
        </w:rPr>
      </w:pPr>
    </w:p>
    <w:p w:rsidR="001B5556" w14:paraId="16647BE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rsidR="001B5556" w14:paraId="27F14E5E" w14:textId="77777777">
      <w:pPr>
        <w:pStyle w:val="Level1"/>
        <w:numPr>
          <w:ilvl w:val="0"/>
          <w:numId w:val="0"/>
        </w:numPr>
        <w:spacing w:after="0" w:line="300" w:lineRule="exact"/>
        <w:ind w:hanging="11"/>
        <w:rPr>
          <w:rFonts w:ascii="Times New Roman" w:hAnsi="Times New Roman"/>
          <w:bCs/>
          <w:sz w:val="22"/>
          <w:szCs w:val="22"/>
        </w:rPr>
      </w:pPr>
    </w:p>
    <w:p w:rsidR="001B5556" w14:paraId="6F5827A4"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rsidR="001B5556" w14:paraId="23F5A0F6" w14:textId="77777777">
      <w:pPr>
        <w:pStyle w:val="ListParagraph"/>
        <w:spacing w:line="300" w:lineRule="exact"/>
        <w:ind w:left="0" w:hanging="11"/>
        <w:rPr>
          <w:rFonts w:ascii="Times New Roman" w:hAnsi="Times New Roman"/>
          <w:bCs/>
          <w:sz w:val="22"/>
          <w:szCs w:val="22"/>
        </w:rPr>
      </w:pPr>
    </w:p>
    <w:p w:rsidR="001B5556" w14:paraId="212CC3E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1B5556" w14:paraId="4D633F4B" w14:textId="77777777">
      <w:pPr>
        <w:pStyle w:val="Level1"/>
        <w:numPr>
          <w:ilvl w:val="0"/>
          <w:numId w:val="0"/>
        </w:numPr>
        <w:spacing w:after="0" w:line="300" w:lineRule="exact"/>
        <w:ind w:hanging="11"/>
        <w:rPr>
          <w:rFonts w:ascii="Times New Roman" w:hAnsi="Times New Roman"/>
          <w:bCs/>
          <w:sz w:val="22"/>
          <w:szCs w:val="22"/>
        </w:rPr>
      </w:pPr>
    </w:p>
    <w:p w:rsidR="001B5556" w14:paraId="737FEEB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B5556" w14:paraId="0DF50353" w14:textId="77777777">
      <w:pPr>
        <w:pStyle w:val="ListParagraph"/>
        <w:spacing w:line="300" w:lineRule="exact"/>
        <w:ind w:left="0" w:hanging="11"/>
        <w:rPr>
          <w:rFonts w:ascii="Times New Roman" w:hAnsi="Times New Roman"/>
          <w:bCs/>
          <w:sz w:val="22"/>
          <w:szCs w:val="22"/>
        </w:rPr>
      </w:pPr>
    </w:p>
    <w:p w:rsidR="001B5556" w14:paraId="0B8D46E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1B5556" w14:paraId="45E66EF3" w14:textId="77777777">
      <w:pPr>
        <w:pStyle w:val="ListParagraph"/>
        <w:spacing w:line="300" w:lineRule="exact"/>
        <w:ind w:left="0" w:hanging="11"/>
        <w:rPr>
          <w:rFonts w:ascii="Times New Roman" w:hAnsi="Times New Roman"/>
          <w:bCs/>
          <w:sz w:val="22"/>
          <w:szCs w:val="22"/>
        </w:rPr>
      </w:pPr>
    </w:p>
    <w:p w:rsidR="001B5556" w14:paraId="343B485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1B5556" w14:paraId="615389FF" w14:textId="77777777">
      <w:pPr>
        <w:pStyle w:val="ListParagraph"/>
        <w:spacing w:line="300" w:lineRule="exact"/>
        <w:ind w:left="0" w:hanging="11"/>
        <w:rPr>
          <w:rFonts w:ascii="Times New Roman" w:hAnsi="Times New Roman"/>
          <w:bCs/>
          <w:sz w:val="22"/>
          <w:szCs w:val="22"/>
        </w:rPr>
      </w:pPr>
    </w:p>
    <w:p w:rsidR="001B5556" w14:paraId="5CE1EBA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1B5556" w14:paraId="621A54B6" w14:textId="77777777">
      <w:pPr>
        <w:pStyle w:val="ListParagraph"/>
        <w:spacing w:line="300" w:lineRule="exact"/>
        <w:ind w:left="0" w:hanging="11"/>
        <w:rPr>
          <w:rFonts w:ascii="Times New Roman" w:hAnsi="Times New Roman"/>
          <w:bCs/>
          <w:sz w:val="22"/>
          <w:szCs w:val="22"/>
        </w:rPr>
      </w:pPr>
    </w:p>
    <w:p w:rsidR="001B5556" w14:paraId="2730AB4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B5556" w14:paraId="11287301" w14:textId="77777777">
      <w:pPr>
        <w:pStyle w:val="ListParagraph"/>
        <w:spacing w:line="300" w:lineRule="exact"/>
        <w:ind w:left="0" w:hanging="11"/>
        <w:rPr>
          <w:rFonts w:ascii="Times New Roman" w:hAnsi="Times New Roman"/>
          <w:bCs/>
          <w:sz w:val="22"/>
          <w:szCs w:val="22"/>
        </w:rPr>
      </w:pPr>
    </w:p>
    <w:p w:rsidR="001B5556" w14:paraId="57D0B28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1B5556" w14:paraId="7C5D8B41" w14:textId="77777777">
      <w:pPr>
        <w:pStyle w:val="ListParagraph"/>
        <w:spacing w:line="300" w:lineRule="exact"/>
        <w:ind w:left="0" w:hanging="11"/>
        <w:rPr>
          <w:rFonts w:ascii="Times New Roman" w:hAnsi="Times New Roman"/>
          <w:bCs/>
          <w:sz w:val="22"/>
          <w:szCs w:val="22"/>
        </w:rPr>
      </w:pPr>
    </w:p>
    <w:p w:rsidR="001B5556" w14:paraId="2BB42EE1"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B5556" w14:paraId="3A7747BA" w14:textId="77777777">
      <w:pPr>
        <w:pStyle w:val="ListParagraph"/>
        <w:spacing w:line="300" w:lineRule="exact"/>
        <w:ind w:left="0" w:hanging="11"/>
        <w:rPr>
          <w:rFonts w:ascii="Times New Roman" w:hAnsi="Times New Roman"/>
          <w:bCs/>
          <w:sz w:val="22"/>
          <w:szCs w:val="22"/>
        </w:rPr>
      </w:pPr>
    </w:p>
    <w:p w:rsidR="001B5556" w14:paraId="0D078A2F"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B5556" w14:paraId="754CD7DB" w14:textId="77777777">
      <w:pPr>
        <w:pStyle w:val="Level1"/>
        <w:numPr>
          <w:ilvl w:val="0"/>
          <w:numId w:val="0"/>
        </w:numPr>
        <w:spacing w:after="0" w:line="300" w:lineRule="exact"/>
        <w:jc w:val="center"/>
        <w:rPr>
          <w:rFonts w:ascii="Times New Roman" w:hAnsi="Times New Roman"/>
          <w:b/>
          <w:bCs/>
          <w:sz w:val="22"/>
          <w:szCs w:val="22"/>
        </w:rPr>
      </w:pPr>
    </w:p>
    <w:p w:rsidR="001B5556" w14:paraId="2001E1E6"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B5556" w14:paraId="0343F96B"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B5556" w14:paraId="61C42E93" w14:textId="77777777">
      <w:pPr>
        <w:pStyle w:val="Level1"/>
        <w:numPr>
          <w:ilvl w:val="0"/>
          <w:numId w:val="0"/>
        </w:numPr>
        <w:spacing w:after="0" w:line="300" w:lineRule="exact"/>
        <w:jc w:val="center"/>
        <w:rPr>
          <w:rFonts w:ascii="Times New Roman" w:hAnsi="Times New Roman"/>
          <w:b/>
          <w:bCs/>
          <w:sz w:val="22"/>
          <w:szCs w:val="22"/>
        </w:rPr>
      </w:pPr>
    </w:p>
    <w:p w:rsidR="001B5556" w14:paraId="3E3B99C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B5556" w14:paraId="0F87C9CE" w14:textId="77777777">
      <w:pPr>
        <w:pStyle w:val="Level1"/>
        <w:numPr>
          <w:ilvl w:val="0"/>
          <w:numId w:val="0"/>
        </w:numPr>
        <w:spacing w:after="0" w:line="300" w:lineRule="exact"/>
        <w:rPr>
          <w:rFonts w:ascii="Times New Roman" w:hAnsi="Times New Roman"/>
          <w:b/>
          <w:bCs/>
          <w:sz w:val="22"/>
          <w:szCs w:val="22"/>
        </w:rPr>
      </w:pPr>
    </w:p>
    <w:p w:rsidR="001B5556" w14:paraId="67559B22"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1B5556" w14:paraId="5A2D4323" w14:textId="77777777">
      <w:pPr>
        <w:pStyle w:val="Level1"/>
        <w:numPr>
          <w:ilvl w:val="0"/>
          <w:numId w:val="0"/>
        </w:numPr>
        <w:spacing w:after="0" w:line="300" w:lineRule="exact"/>
        <w:rPr>
          <w:rFonts w:ascii="Times New Roman" w:hAnsi="Times New Roman"/>
          <w:b/>
          <w:bCs/>
          <w:sz w:val="22"/>
          <w:szCs w:val="22"/>
        </w:rPr>
      </w:pPr>
    </w:p>
    <w:p w:rsidR="001B5556" w14:paraId="1575831D"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B5556" w14:paraId="5833AA81" w14:textId="77777777">
      <w:pPr>
        <w:pStyle w:val="Level1"/>
        <w:numPr>
          <w:ilvl w:val="0"/>
          <w:numId w:val="0"/>
        </w:numPr>
        <w:spacing w:after="0" w:line="300" w:lineRule="exact"/>
        <w:rPr>
          <w:rFonts w:ascii="Times New Roman" w:hAnsi="Times New Roman"/>
          <w:b/>
          <w:bCs/>
          <w:sz w:val="22"/>
          <w:szCs w:val="22"/>
        </w:rPr>
      </w:pPr>
    </w:p>
    <w:p w:rsidR="001B5556" w14:paraId="5120EED4"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B5556" w14:paraId="77771E4B" w14:textId="77777777">
      <w:pPr>
        <w:pStyle w:val="Level1"/>
        <w:numPr>
          <w:ilvl w:val="0"/>
          <w:numId w:val="0"/>
        </w:numPr>
        <w:spacing w:after="0" w:line="300" w:lineRule="exact"/>
        <w:rPr>
          <w:rFonts w:ascii="Times New Roman" w:hAnsi="Times New Roman"/>
          <w:b/>
          <w:bCs/>
          <w:sz w:val="22"/>
          <w:szCs w:val="22"/>
        </w:rPr>
      </w:pPr>
    </w:p>
    <w:p w:rsidR="001B5556" w14:paraId="2FD216F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B5556" w14:paraId="29C6BA0C" w14:textId="77777777">
      <w:pPr>
        <w:pStyle w:val="Level1"/>
        <w:numPr>
          <w:ilvl w:val="0"/>
          <w:numId w:val="0"/>
        </w:numPr>
        <w:spacing w:after="0" w:line="300" w:lineRule="exact"/>
        <w:rPr>
          <w:rFonts w:ascii="Times New Roman" w:hAnsi="Times New Roman"/>
          <w:b/>
          <w:bCs/>
          <w:sz w:val="22"/>
          <w:szCs w:val="22"/>
        </w:rPr>
      </w:pPr>
    </w:p>
    <w:p w:rsidR="001B5556" w14:paraId="47DC356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1B5556" w14:paraId="65FA72FB" w14:textId="77777777">
      <w:pPr>
        <w:pStyle w:val="Level1"/>
        <w:numPr>
          <w:ilvl w:val="0"/>
          <w:numId w:val="0"/>
        </w:numPr>
        <w:spacing w:after="0" w:line="300" w:lineRule="exact"/>
        <w:rPr>
          <w:rFonts w:ascii="Times New Roman" w:hAnsi="Times New Roman"/>
          <w:sz w:val="22"/>
          <w:szCs w:val="22"/>
        </w:rPr>
      </w:pPr>
    </w:p>
    <w:p w:rsidR="001B5556" w14:paraId="541A05F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B5556" w14:paraId="05639519" w14:textId="77777777">
      <w:pPr>
        <w:pStyle w:val="Level1"/>
        <w:numPr>
          <w:ilvl w:val="0"/>
          <w:numId w:val="0"/>
        </w:numPr>
        <w:spacing w:after="0" w:line="300" w:lineRule="exact"/>
        <w:rPr>
          <w:rFonts w:ascii="Times New Roman" w:hAnsi="Times New Roman"/>
          <w:b/>
          <w:bCs/>
          <w:sz w:val="22"/>
          <w:szCs w:val="22"/>
        </w:rPr>
      </w:pPr>
    </w:p>
    <w:p w:rsidR="001B5556" w14:paraId="585B94AE"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B5556" w14:paraId="4C63C4AE" w14:textId="77777777">
      <w:pPr>
        <w:pStyle w:val="Level1"/>
        <w:numPr>
          <w:ilvl w:val="0"/>
          <w:numId w:val="0"/>
        </w:numPr>
        <w:spacing w:after="0" w:line="300" w:lineRule="exact"/>
        <w:rPr>
          <w:rFonts w:ascii="Times New Roman" w:hAnsi="Times New Roman"/>
          <w:sz w:val="22"/>
          <w:szCs w:val="22"/>
        </w:rPr>
      </w:pPr>
    </w:p>
    <w:p w:rsidR="001B5556" w14:paraId="2A7D2F8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B5556" w14:paraId="1F948870" w14:textId="77777777">
      <w:pPr>
        <w:pStyle w:val="Level1"/>
        <w:numPr>
          <w:ilvl w:val="0"/>
          <w:numId w:val="0"/>
        </w:numPr>
        <w:spacing w:after="0" w:line="300" w:lineRule="exact"/>
        <w:rPr>
          <w:rFonts w:ascii="Times New Roman" w:hAnsi="Times New Roman"/>
          <w:b/>
          <w:bCs/>
          <w:sz w:val="22"/>
          <w:szCs w:val="22"/>
        </w:rPr>
      </w:pPr>
    </w:p>
    <w:p w:rsidR="001B5556" w14:paraId="2042EDFB"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B5556" w14:paraId="42B07FFD" w14:textId="77777777">
      <w:pPr>
        <w:pStyle w:val="Level1"/>
        <w:numPr>
          <w:ilvl w:val="0"/>
          <w:numId w:val="0"/>
        </w:numPr>
        <w:spacing w:after="0" w:line="300" w:lineRule="exact"/>
        <w:rPr>
          <w:rFonts w:ascii="Times New Roman" w:hAnsi="Times New Roman"/>
          <w:sz w:val="22"/>
          <w:szCs w:val="22"/>
        </w:rPr>
      </w:pPr>
    </w:p>
    <w:p w:rsidR="001B5556" w14:paraId="082AE38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B5556" w14:paraId="70678AFB" w14:textId="77777777">
      <w:pPr>
        <w:pStyle w:val="Level1"/>
        <w:numPr>
          <w:ilvl w:val="0"/>
          <w:numId w:val="0"/>
        </w:numPr>
        <w:spacing w:after="0" w:line="300" w:lineRule="exact"/>
        <w:rPr>
          <w:rFonts w:ascii="Times New Roman" w:hAnsi="Times New Roman"/>
          <w:b/>
          <w:bCs/>
          <w:sz w:val="22"/>
          <w:szCs w:val="22"/>
        </w:rPr>
      </w:pPr>
    </w:p>
    <w:p w:rsidR="001B5556" w14:paraId="4F4BB05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1B5556" w14:paraId="25B844C8" w14:textId="77777777">
      <w:pPr>
        <w:pStyle w:val="Level1"/>
        <w:numPr>
          <w:ilvl w:val="0"/>
          <w:numId w:val="0"/>
        </w:numPr>
        <w:spacing w:after="0" w:line="300" w:lineRule="exact"/>
        <w:rPr>
          <w:rFonts w:ascii="Times New Roman" w:hAnsi="Times New Roman"/>
          <w:sz w:val="22"/>
          <w:szCs w:val="22"/>
        </w:rPr>
      </w:pPr>
    </w:p>
    <w:p w:rsidR="001B5556" w14:paraId="2933845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B5556" w14:paraId="38682B8F" w14:textId="77777777">
      <w:pPr>
        <w:pStyle w:val="Level1"/>
        <w:numPr>
          <w:ilvl w:val="0"/>
          <w:numId w:val="0"/>
        </w:numPr>
        <w:spacing w:after="0" w:line="300" w:lineRule="exact"/>
        <w:rPr>
          <w:rFonts w:ascii="Times New Roman" w:hAnsi="Times New Roman"/>
          <w:b/>
          <w:bCs/>
          <w:sz w:val="22"/>
          <w:szCs w:val="22"/>
        </w:rPr>
      </w:pPr>
    </w:p>
    <w:p w:rsidR="001B5556" w14:paraId="0F5BEAC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B5556" w14:paraId="5449FE33" w14:textId="77777777">
      <w:pPr>
        <w:pStyle w:val="Level1"/>
        <w:numPr>
          <w:ilvl w:val="0"/>
          <w:numId w:val="0"/>
        </w:numPr>
        <w:spacing w:after="0" w:line="300" w:lineRule="exact"/>
        <w:rPr>
          <w:rFonts w:ascii="Times New Roman" w:hAnsi="Times New Roman"/>
          <w:sz w:val="22"/>
          <w:szCs w:val="22"/>
        </w:rPr>
      </w:pPr>
    </w:p>
    <w:p w:rsidR="001B5556" w14:paraId="35A9CFAE"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B5556" w14:paraId="4E91284B" w14:textId="77777777">
      <w:pPr>
        <w:pStyle w:val="Level1"/>
        <w:numPr>
          <w:ilvl w:val="0"/>
          <w:numId w:val="0"/>
        </w:numPr>
        <w:spacing w:after="0" w:line="300" w:lineRule="exact"/>
        <w:rPr>
          <w:rFonts w:ascii="Times New Roman" w:hAnsi="Times New Roman"/>
          <w:b/>
          <w:bCs/>
          <w:sz w:val="22"/>
          <w:szCs w:val="22"/>
        </w:rPr>
      </w:pPr>
    </w:p>
    <w:p w:rsidR="001B5556" w14:paraId="31C3962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 xml:space="preserve">Serão emitidas 250.000 (duzentas e cinquenta mil) Debêntures. </w:t>
      </w:r>
    </w:p>
    <w:p w:rsidR="001B5556" w14:paraId="3764D00E"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B5556" w14:paraId="318E7A29"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B5556" w14:paraId="41F13EE7" w14:textId="77777777">
      <w:pPr>
        <w:pStyle w:val="Level1"/>
        <w:numPr>
          <w:ilvl w:val="0"/>
          <w:numId w:val="0"/>
        </w:numPr>
        <w:spacing w:after="0" w:line="300" w:lineRule="exact"/>
        <w:rPr>
          <w:rFonts w:ascii="Times New Roman" w:hAnsi="Times New Roman"/>
          <w:b/>
          <w:bCs/>
          <w:sz w:val="22"/>
          <w:szCs w:val="22"/>
        </w:rPr>
      </w:pPr>
    </w:p>
    <w:p w:rsidR="001B5556" w14:paraId="5F06ECBF"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1B5556" w14:paraId="27B54A82" w14:textId="77777777">
      <w:pPr>
        <w:spacing w:after="0" w:line="300" w:lineRule="exact"/>
        <w:rPr>
          <w:rFonts w:ascii="Times New Roman" w:hAnsi="Times New Roman"/>
          <w:sz w:val="22"/>
          <w:szCs w:val="22"/>
        </w:rPr>
      </w:pPr>
    </w:p>
    <w:p w:rsidR="001B5556" w14:paraId="70F81F03" w14:textId="77777777">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B5556" w14:paraId="79CAA25C" w14:textId="77777777">
      <w:pPr>
        <w:pStyle w:val="ListParagraph"/>
        <w:spacing w:after="0" w:line="300" w:lineRule="exact"/>
        <w:ind w:left="0"/>
        <w:rPr>
          <w:rFonts w:ascii="Times New Roman" w:hAnsi="Times New Roman"/>
          <w:sz w:val="22"/>
          <w:szCs w:val="22"/>
        </w:rPr>
      </w:pPr>
    </w:p>
    <w:p w:rsidR="001B5556" w14:paraId="6DC38F64"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B5556" w14:paraId="0260E5CB" w14:textId="77777777">
      <w:pPr>
        <w:pStyle w:val="ListParagraph"/>
        <w:spacing w:after="0" w:line="300" w:lineRule="exact"/>
        <w:ind w:left="0"/>
        <w:rPr>
          <w:rFonts w:ascii="Times New Roman" w:hAnsi="Times New Roman"/>
          <w:b/>
          <w:bCs/>
          <w:sz w:val="22"/>
          <w:szCs w:val="22"/>
        </w:rPr>
      </w:pPr>
    </w:p>
    <w:p w:rsidR="001B5556" w14:paraId="5A5C56F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B5556" w14:paraId="238120BE" w14:textId="77777777">
      <w:pPr>
        <w:pStyle w:val="ListParagraph"/>
        <w:spacing w:after="0" w:line="300" w:lineRule="exact"/>
        <w:ind w:left="0"/>
        <w:rPr>
          <w:rFonts w:ascii="Times New Roman" w:hAnsi="Times New Roman"/>
          <w:sz w:val="22"/>
          <w:szCs w:val="22"/>
        </w:rPr>
      </w:pPr>
    </w:p>
    <w:p w:rsidR="001B5556" w14:paraId="2BD1EFC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B5556" w14:paraId="2FE8FF43" w14:textId="77777777">
      <w:pPr>
        <w:pStyle w:val="ListParagraph"/>
        <w:spacing w:after="0" w:line="300" w:lineRule="exact"/>
        <w:ind w:left="0"/>
        <w:rPr>
          <w:rFonts w:ascii="Times New Roman" w:hAnsi="Times New Roman"/>
          <w:sz w:val="22"/>
          <w:szCs w:val="22"/>
        </w:rPr>
      </w:pPr>
    </w:p>
    <w:p w:rsidR="001B5556" w14:paraId="18956FE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B5556" w14:paraId="37F1C99B" w14:textId="77777777">
      <w:pPr>
        <w:pStyle w:val="ListParagraph"/>
        <w:spacing w:after="0" w:line="300" w:lineRule="exact"/>
        <w:ind w:left="0"/>
        <w:rPr>
          <w:rFonts w:ascii="Times New Roman" w:hAnsi="Times New Roman"/>
          <w:sz w:val="22"/>
          <w:szCs w:val="22"/>
        </w:rPr>
      </w:pPr>
    </w:p>
    <w:p w:rsidR="001B5556" w14:paraId="51D001FE"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rsidR="001B5556" w14:paraId="33E96070" w14:textId="77777777">
      <w:pPr>
        <w:pStyle w:val="ListParagraph"/>
        <w:spacing w:after="0" w:line="300" w:lineRule="exact"/>
        <w:ind w:left="0"/>
        <w:rPr>
          <w:rFonts w:ascii="Times New Roman" w:hAnsi="Times New Roman"/>
          <w:sz w:val="22"/>
          <w:szCs w:val="22"/>
        </w:rPr>
      </w:pPr>
    </w:p>
    <w:p w:rsidR="001B5556" w14:paraId="1B25897F" w14:textId="77777777">
      <w:pPr>
        <w:pStyle w:val="ListParagraph"/>
        <w:spacing w:after="0" w:line="300" w:lineRule="exact"/>
        <w:ind w:left="0"/>
        <w:rPr>
          <w:rFonts w:ascii="Times New Roman" w:hAnsi="Times New Roman"/>
          <w:vanish/>
          <w:sz w:val="22"/>
          <w:szCs w:val="22"/>
        </w:rPr>
      </w:pPr>
    </w:p>
    <w:p w:rsidR="001B5556" w14:paraId="0A189AB1" w14:textId="77777777">
      <w:pPr>
        <w:pStyle w:val="ListParagraph"/>
        <w:spacing w:after="0" w:line="300" w:lineRule="exact"/>
        <w:ind w:left="0"/>
        <w:rPr>
          <w:rFonts w:ascii="Times New Roman" w:hAnsi="Times New Roman"/>
          <w:b/>
          <w:bCs/>
          <w:vanish/>
          <w:sz w:val="22"/>
          <w:szCs w:val="22"/>
        </w:rPr>
      </w:pPr>
    </w:p>
    <w:p w:rsidR="001B5556" w14:paraId="6CF32BB3"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1B5556" w14:paraId="47E06318"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06466D4F"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B5556" w14:paraId="56DC1E27" w14:textId="77777777">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de Emissão ou saldo do Valor Nominal Unitário das Debêntures, informado/calculado com 8 (oito) casas decimais, sem arredondamento;</w:t>
      </w:r>
    </w:p>
    <w:p w:rsidR="001B5556" w14:paraId="557DAFAF"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B5556" w14:paraId="51C9AD88"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B5556" w14:paraId="411315E5"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143BC3B7"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B5556" w14:paraId="53D00EEF"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B5556" w14:paraId="6FD9BD4A"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0F3FB141" w14:textId="77777777">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1B5556" w14:paraId="197FB759" w14:textId="77777777">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B5556" w14:paraId="53A995AA"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B5556" w14:paraId="2BDF8DC6"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3A4EB7CD" w14:textId="77777777">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B5556" w14:paraId="78EE0943"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B5556" w14:paraId="5EE64EB7" w14:textId="77777777">
      <w:pPr>
        <w:pStyle w:val="Body3"/>
        <w:spacing w:line="300" w:lineRule="exact"/>
        <w:rPr>
          <w:rFonts w:ascii="Times New Roman" w:hAnsi="Times New Roman"/>
          <w:sz w:val="22"/>
          <w:szCs w:val="22"/>
        </w:rPr>
      </w:pPr>
    </w:p>
    <w:p w:rsidR="001B5556" w14:paraId="4466BA97" w14:textId="77777777">
      <w:pPr>
        <w:pStyle w:val="Body3"/>
        <w:spacing w:line="300" w:lineRule="exact"/>
        <w:rPr>
          <w:rFonts w:ascii="Times New Roman" w:hAnsi="Times New Roman"/>
          <w:sz w:val="22"/>
          <w:szCs w:val="22"/>
        </w:rPr>
      </w:pPr>
    </w:p>
    <w:p w:rsidR="001B5556" w14:paraId="34111337"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B5556" w14:paraId="0E1AEF17"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3A52EB1F"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B5556" w14:paraId="1A12CCB8"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1B5556" w14:paraId="5E447B1F"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B5556" w14:paraId="04342AA8"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B5556" w14:paraId="60553311" w14:textId="77777777">
      <w:pPr>
        <w:pStyle w:val="ListParagraph"/>
        <w:spacing w:after="0" w:line="300" w:lineRule="exact"/>
        <w:ind w:left="0"/>
        <w:rPr>
          <w:rFonts w:ascii="Times New Roman" w:hAnsi="Times New Roman"/>
          <w:sz w:val="22"/>
          <w:szCs w:val="22"/>
        </w:rPr>
      </w:pPr>
    </w:p>
    <w:p w:rsidR="001B5556" w14:paraId="3F94EA51" w14:textId="77777777">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1B5556" w14:paraId="4EEE08C8" w14:textId="77777777">
      <w:pPr>
        <w:pStyle w:val="ListParagraph"/>
        <w:spacing w:after="0" w:line="300" w:lineRule="exact"/>
        <w:ind w:left="0"/>
        <w:rPr>
          <w:rFonts w:ascii="Times New Roman" w:hAnsi="Times New Roman"/>
          <w:b/>
          <w:bCs/>
          <w:vanish/>
          <w:sz w:val="22"/>
          <w:szCs w:val="22"/>
        </w:rPr>
      </w:pPr>
    </w:p>
    <w:p w:rsidR="001B5556" w14:paraId="1CD3B4F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B5556" w14:paraId="00D1B562" w14:textId="77777777">
      <w:pPr>
        <w:pStyle w:val="ListParagraph"/>
        <w:spacing w:after="0" w:line="300" w:lineRule="exact"/>
        <w:ind w:left="0"/>
        <w:rPr>
          <w:rFonts w:ascii="Times New Roman" w:hAnsi="Times New Roman"/>
          <w:sz w:val="22"/>
          <w:szCs w:val="22"/>
        </w:rPr>
      </w:pPr>
    </w:p>
    <w:p w:rsidR="001B5556" w14:paraId="082821A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B5556" w14:paraId="06A0E915" w14:textId="77777777">
      <w:pPr>
        <w:pStyle w:val="ListParagraph"/>
        <w:spacing w:after="0" w:line="300" w:lineRule="exact"/>
        <w:ind w:left="0"/>
        <w:rPr>
          <w:rFonts w:ascii="Times New Roman" w:hAnsi="Times New Roman"/>
          <w:sz w:val="22"/>
          <w:szCs w:val="22"/>
        </w:rPr>
      </w:pPr>
    </w:p>
    <w:p w:rsidR="001B5556" w14:paraId="661A7393"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B5556" w14:paraId="1FD0C5A7" w14:textId="77777777">
      <w:pPr>
        <w:pStyle w:val="ListParagraph"/>
        <w:spacing w:after="0" w:line="300" w:lineRule="exact"/>
        <w:ind w:left="0"/>
        <w:rPr>
          <w:rFonts w:ascii="Times New Roman" w:hAnsi="Times New Roman"/>
          <w:sz w:val="22"/>
          <w:szCs w:val="22"/>
        </w:rPr>
      </w:pPr>
    </w:p>
    <w:p w:rsidR="001B5556" w14:paraId="273B616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1B5556" w14:paraId="2C1455B4" w14:textId="77777777">
      <w:pPr>
        <w:pStyle w:val="ListParagraph"/>
        <w:spacing w:after="0" w:line="300" w:lineRule="exact"/>
        <w:ind w:left="0"/>
        <w:rPr>
          <w:rFonts w:ascii="Times New Roman" w:hAnsi="Times New Roman"/>
          <w:sz w:val="22"/>
          <w:szCs w:val="22"/>
        </w:rPr>
      </w:pPr>
    </w:p>
    <w:p w:rsidR="001B5556" w14:paraId="2328B77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1B5556" w14:paraId="6C12A78B" w14:textId="77777777">
      <w:pPr>
        <w:pStyle w:val="ListParagraph"/>
        <w:spacing w:after="0" w:line="300" w:lineRule="exact"/>
        <w:ind w:left="0"/>
        <w:rPr>
          <w:rFonts w:ascii="Times New Roman" w:hAnsi="Times New Roman"/>
          <w:sz w:val="22"/>
          <w:szCs w:val="22"/>
        </w:rPr>
      </w:pPr>
    </w:p>
    <w:p w:rsidR="001B5556" w14:paraId="22B2678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B5556" w14:paraId="31395179" w14:textId="77777777">
      <w:pPr>
        <w:pStyle w:val="ListParagraph"/>
        <w:spacing w:after="0" w:line="300" w:lineRule="exact"/>
        <w:ind w:left="0"/>
        <w:rPr>
          <w:rFonts w:ascii="Times New Roman" w:hAnsi="Times New Roman"/>
          <w:sz w:val="22"/>
          <w:szCs w:val="22"/>
        </w:rPr>
      </w:pPr>
    </w:p>
    <w:p w:rsidR="001B5556" w14:paraId="7EF75CB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B5556" w14:paraId="72AD609A" w14:textId="77777777">
      <w:pPr>
        <w:pStyle w:val="ListParagraph"/>
        <w:spacing w:after="0" w:line="300" w:lineRule="exact"/>
        <w:ind w:left="0"/>
        <w:rPr>
          <w:rFonts w:ascii="Times New Roman" w:hAnsi="Times New Roman"/>
          <w:b/>
          <w:bCs/>
          <w:sz w:val="22"/>
          <w:szCs w:val="22"/>
        </w:rPr>
      </w:pPr>
    </w:p>
    <w:p w:rsidR="001B5556" w14:paraId="005FD8B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B5556" w14:paraId="780A16E2" w14:textId="77777777">
      <w:pPr>
        <w:pStyle w:val="ListParagraph"/>
        <w:spacing w:after="0" w:line="300" w:lineRule="exact"/>
        <w:ind w:left="0"/>
        <w:rPr>
          <w:rFonts w:ascii="Times New Roman" w:hAnsi="Times New Roman"/>
          <w:sz w:val="22"/>
          <w:szCs w:val="22"/>
        </w:rPr>
      </w:pPr>
    </w:p>
    <w:p w:rsidR="001B5556" w14:paraId="361CC89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1B5556" w14:paraId="09487E69" w14:textId="77777777">
      <w:pPr>
        <w:pStyle w:val="ListParagraph"/>
        <w:spacing w:after="0" w:line="300" w:lineRule="exact"/>
        <w:ind w:left="0"/>
        <w:rPr>
          <w:rFonts w:ascii="Times New Roman" w:hAnsi="Times New Roman"/>
          <w:sz w:val="22"/>
          <w:szCs w:val="22"/>
        </w:rPr>
      </w:pPr>
    </w:p>
    <w:p w:rsidR="001B5556" w14:paraId="3D263A0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B5556" w14:paraId="7E8D7ECD" w14:textId="77777777">
      <w:pPr>
        <w:pStyle w:val="ListParagraph"/>
        <w:spacing w:after="0" w:line="300" w:lineRule="exact"/>
        <w:ind w:left="0"/>
        <w:rPr>
          <w:rFonts w:ascii="Times New Roman" w:hAnsi="Times New Roman"/>
          <w:b/>
          <w:bCs/>
          <w:sz w:val="22"/>
          <w:szCs w:val="22"/>
        </w:rPr>
      </w:pPr>
    </w:p>
    <w:p w:rsidR="001B5556" w14:paraId="15467144"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B5556" w14:paraId="4A73FBAB"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BBB7EEA"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B5556" w14:paraId="5E8AB147"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B5556" w14:paraId="09BFC8B0"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B5556" w14:paraId="1D82BDE3"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523FEE0D" w14:textId="77777777">
        <w:tblPrEx>
          <w:tblW w:w="0" w:type="auto"/>
          <w:tblInd w:w="108" w:type="dxa"/>
          <w:tblLook w:val="04A0"/>
        </w:tblPrEx>
        <w:tc>
          <w:tcPr>
            <w:tcW w:w="1124" w:type="dxa"/>
            <w:shd w:val="clear" w:color="auto" w:fill="auto"/>
          </w:tcPr>
          <w:p w:rsidR="001B5556" w14:paraId="23009B7F"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B5556" w14:paraId="695A0B5C"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72B96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0CA10312" w14:textId="77777777">
        <w:tblPrEx>
          <w:tblW w:w="0" w:type="auto"/>
          <w:tblInd w:w="108" w:type="dxa"/>
          <w:tblLook w:val="04A0"/>
        </w:tblPrEx>
        <w:tc>
          <w:tcPr>
            <w:tcW w:w="1124" w:type="dxa"/>
            <w:shd w:val="clear" w:color="auto" w:fill="auto"/>
          </w:tcPr>
          <w:p w:rsidR="001B5556" w14:paraId="799C3AB1"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B5556" w14:paraId="79848D8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D37B17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D3190C5" w14:textId="77777777">
        <w:tblPrEx>
          <w:tblW w:w="0" w:type="auto"/>
          <w:tblInd w:w="108" w:type="dxa"/>
          <w:tblLook w:val="04A0"/>
        </w:tblPrEx>
        <w:tc>
          <w:tcPr>
            <w:tcW w:w="1124" w:type="dxa"/>
            <w:shd w:val="clear" w:color="auto" w:fill="auto"/>
          </w:tcPr>
          <w:p w:rsidR="001B5556" w14:paraId="17FF8A5B"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B5556" w14:paraId="416B7D1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AB498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6EA650EF" w14:textId="77777777">
        <w:tblPrEx>
          <w:tblW w:w="0" w:type="auto"/>
          <w:tblInd w:w="108" w:type="dxa"/>
          <w:tblLook w:val="04A0"/>
        </w:tblPrEx>
        <w:tc>
          <w:tcPr>
            <w:tcW w:w="1124" w:type="dxa"/>
            <w:shd w:val="clear" w:color="auto" w:fill="auto"/>
          </w:tcPr>
          <w:p w:rsidR="001B5556" w14:paraId="218BBAA6"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B5556" w14:paraId="0884272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0DDF90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645A6F35" w14:textId="77777777">
        <w:tblPrEx>
          <w:tblW w:w="0" w:type="auto"/>
          <w:tblInd w:w="108" w:type="dxa"/>
          <w:tblLook w:val="04A0"/>
        </w:tblPrEx>
        <w:tc>
          <w:tcPr>
            <w:tcW w:w="1124" w:type="dxa"/>
            <w:shd w:val="clear" w:color="auto" w:fill="auto"/>
          </w:tcPr>
          <w:p w:rsidR="001B5556" w14:paraId="7D7BDC27"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B5556" w14:paraId="13B9C3C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898434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319FA732" w14:textId="77777777">
        <w:tblPrEx>
          <w:tblW w:w="0" w:type="auto"/>
          <w:tblInd w:w="108" w:type="dxa"/>
          <w:tblLook w:val="04A0"/>
        </w:tblPrEx>
        <w:tc>
          <w:tcPr>
            <w:tcW w:w="1124" w:type="dxa"/>
            <w:shd w:val="clear" w:color="auto" w:fill="auto"/>
          </w:tcPr>
          <w:p w:rsidR="001B5556" w14:paraId="7C6931B9"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1B5556" w14:paraId="6AA56E8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78D45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34E4073B" w14:textId="77777777">
        <w:tblPrEx>
          <w:tblW w:w="0" w:type="auto"/>
          <w:tblInd w:w="108" w:type="dxa"/>
          <w:tblLook w:val="04A0"/>
        </w:tblPrEx>
        <w:tc>
          <w:tcPr>
            <w:tcW w:w="1124" w:type="dxa"/>
            <w:shd w:val="clear" w:color="auto" w:fill="auto"/>
          </w:tcPr>
          <w:p w:rsidR="001B5556" w14:paraId="54DDF2F8"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1B5556" w14:paraId="61BEEAB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43F210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4411CE59" w14:textId="77777777">
        <w:tblPrEx>
          <w:tblW w:w="0" w:type="auto"/>
          <w:tblInd w:w="108" w:type="dxa"/>
          <w:tblLook w:val="04A0"/>
        </w:tblPrEx>
        <w:tc>
          <w:tcPr>
            <w:tcW w:w="1124" w:type="dxa"/>
            <w:shd w:val="clear" w:color="auto" w:fill="auto"/>
          </w:tcPr>
          <w:p w:rsidR="001B5556" w14:paraId="2AF620B3"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1B5556" w14:paraId="3F514AB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CAB56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4F39E530" w14:textId="77777777">
        <w:tblPrEx>
          <w:tblW w:w="0" w:type="auto"/>
          <w:tblInd w:w="108" w:type="dxa"/>
          <w:tblLook w:val="04A0"/>
        </w:tblPrEx>
        <w:tc>
          <w:tcPr>
            <w:tcW w:w="1124" w:type="dxa"/>
            <w:shd w:val="clear" w:color="auto" w:fill="auto"/>
          </w:tcPr>
          <w:p w:rsidR="001B5556" w14:paraId="7A26160D"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1B5556" w14:paraId="2228FC3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961926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76BDFC86" w14:textId="77777777">
        <w:tblPrEx>
          <w:tblW w:w="0" w:type="auto"/>
          <w:tblInd w:w="108" w:type="dxa"/>
          <w:tblLook w:val="04A0"/>
        </w:tblPrEx>
        <w:tc>
          <w:tcPr>
            <w:tcW w:w="1124" w:type="dxa"/>
            <w:shd w:val="clear" w:color="auto" w:fill="auto"/>
          </w:tcPr>
          <w:p w:rsidR="001B5556" w14:paraId="7B1A3AA0"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1B5556" w14:paraId="3848045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DA32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092175B0" w14:textId="77777777">
        <w:tblPrEx>
          <w:tblW w:w="0" w:type="auto"/>
          <w:tblInd w:w="108" w:type="dxa"/>
          <w:tblLook w:val="04A0"/>
        </w:tblPrEx>
        <w:tc>
          <w:tcPr>
            <w:tcW w:w="1124" w:type="dxa"/>
            <w:shd w:val="clear" w:color="auto" w:fill="auto"/>
          </w:tcPr>
          <w:p w:rsidR="001B5556" w14:paraId="718D938B"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1B5556" w14:paraId="5F6226D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79F7B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14C8E4C5" w14:textId="77777777">
        <w:tblPrEx>
          <w:tblW w:w="0" w:type="auto"/>
          <w:tblInd w:w="108" w:type="dxa"/>
          <w:tblLook w:val="04A0"/>
        </w:tblPrEx>
        <w:tc>
          <w:tcPr>
            <w:tcW w:w="1124" w:type="dxa"/>
            <w:shd w:val="clear" w:color="auto" w:fill="auto"/>
          </w:tcPr>
          <w:p w:rsidR="001B5556" w14:paraId="63AC8F9E"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1B5556" w14:paraId="6E0E807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62DD1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3A9D8C56" w14:textId="77777777">
        <w:tblPrEx>
          <w:tblW w:w="0" w:type="auto"/>
          <w:tblInd w:w="108" w:type="dxa"/>
          <w:tblLook w:val="04A0"/>
        </w:tblPrEx>
        <w:tc>
          <w:tcPr>
            <w:tcW w:w="1124" w:type="dxa"/>
            <w:shd w:val="clear" w:color="auto" w:fill="auto"/>
          </w:tcPr>
          <w:p w:rsidR="001B5556" w14:paraId="79FD277D"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1B5556" w14:paraId="7FE0E30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171ECF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0E2980A5" w14:textId="77777777">
        <w:tblPrEx>
          <w:tblW w:w="0" w:type="auto"/>
          <w:tblInd w:w="108" w:type="dxa"/>
          <w:tblLook w:val="04A0"/>
        </w:tblPrEx>
        <w:tc>
          <w:tcPr>
            <w:tcW w:w="1124" w:type="dxa"/>
            <w:shd w:val="clear" w:color="auto" w:fill="auto"/>
          </w:tcPr>
          <w:p w:rsidR="001B5556" w14:paraId="491DA4C5"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1B5556" w14:paraId="1146F82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AA9C64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20A89723" w14:textId="77777777">
        <w:tblPrEx>
          <w:tblW w:w="0" w:type="auto"/>
          <w:tblInd w:w="108" w:type="dxa"/>
          <w:tblLook w:val="04A0"/>
        </w:tblPrEx>
        <w:tc>
          <w:tcPr>
            <w:tcW w:w="1124" w:type="dxa"/>
            <w:shd w:val="clear" w:color="auto" w:fill="auto"/>
          </w:tcPr>
          <w:p w:rsidR="001B5556" w14:paraId="6938F967"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1B5556" w14:paraId="49C4DED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0A6236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4F317F9F" w14:textId="77777777">
        <w:tblPrEx>
          <w:tblW w:w="0" w:type="auto"/>
          <w:tblInd w:w="108" w:type="dxa"/>
          <w:tblLook w:val="04A0"/>
        </w:tblPrEx>
        <w:tc>
          <w:tcPr>
            <w:tcW w:w="1124" w:type="dxa"/>
            <w:shd w:val="clear" w:color="auto" w:fill="auto"/>
          </w:tcPr>
          <w:p w:rsidR="001B5556" w14:paraId="7EBACB17"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1B5556" w14:paraId="5F0E261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CD8408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312ABD65" w14:textId="77777777">
        <w:tblPrEx>
          <w:tblW w:w="0" w:type="auto"/>
          <w:tblInd w:w="108" w:type="dxa"/>
          <w:tblLook w:val="04A0"/>
        </w:tblPrEx>
        <w:tc>
          <w:tcPr>
            <w:tcW w:w="1124" w:type="dxa"/>
            <w:shd w:val="clear" w:color="auto" w:fill="auto"/>
          </w:tcPr>
          <w:p w:rsidR="001B5556" w14:paraId="38F9D027"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1B5556" w14:paraId="62B3366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03A8C7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526FC280" w14:textId="77777777">
        <w:tblPrEx>
          <w:tblW w:w="0" w:type="auto"/>
          <w:tblInd w:w="108" w:type="dxa"/>
          <w:tblLook w:val="04A0"/>
        </w:tblPrEx>
        <w:tc>
          <w:tcPr>
            <w:tcW w:w="1124" w:type="dxa"/>
            <w:shd w:val="clear" w:color="auto" w:fill="auto"/>
          </w:tcPr>
          <w:p w:rsidR="001B5556" w14:paraId="4FB08636"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1B5556" w14:paraId="42199A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B3B065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6983001C" w14:textId="77777777">
        <w:tblPrEx>
          <w:tblW w:w="0" w:type="auto"/>
          <w:tblInd w:w="108" w:type="dxa"/>
          <w:tblLook w:val="04A0"/>
        </w:tblPrEx>
        <w:tc>
          <w:tcPr>
            <w:tcW w:w="1124" w:type="dxa"/>
            <w:shd w:val="clear" w:color="auto" w:fill="auto"/>
          </w:tcPr>
          <w:p w:rsidR="001B5556" w14:paraId="248582A4"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1B5556" w14:paraId="30F194C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E4C5B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52DB6B3C" w14:textId="77777777">
        <w:tblPrEx>
          <w:tblW w:w="0" w:type="auto"/>
          <w:tblInd w:w="108" w:type="dxa"/>
          <w:tblLook w:val="04A0"/>
        </w:tblPrEx>
        <w:tc>
          <w:tcPr>
            <w:tcW w:w="1124" w:type="dxa"/>
            <w:shd w:val="clear" w:color="auto" w:fill="auto"/>
          </w:tcPr>
          <w:p w:rsidR="001B5556" w14:paraId="61A81633"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1B5556" w14:paraId="08688F2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E49735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1541F432" w14:textId="77777777">
        <w:tblPrEx>
          <w:tblW w:w="0" w:type="auto"/>
          <w:tblInd w:w="108" w:type="dxa"/>
          <w:tblLook w:val="04A0"/>
        </w:tblPrEx>
        <w:tc>
          <w:tcPr>
            <w:tcW w:w="1124" w:type="dxa"/>
            <w:shd w:val="clear" w:color="auto" w:fill="auto"/>
          </w:tcPr>
          <w:p w:rsidR="001B5556" w14:paraId="46ADBC55"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1B5556" w14:paraId="121ED31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393B98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76B3CBEE" w14:textId="77777777">
        <w:tblPrEx>
          <w:tblW w:w="0" w:type="auto"/>
          <w:tblInd w:w="108" w:type="dxa"/>
          <w:tblLook w:val="04A0"/>
        </w:tblPrEx>
        <w:tc>
          <w:tcPr>
            <w:tcW w:w="1124" w:type="dxa"/>
            <w:shd w:val="clear" w:color="auto" w:fill="auto"/>
          </w:tcPr>
          <w:p w:rsidR="001B5556" w14:paraId="1E41EED1"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1B5556" w14:paraId="62739AC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080659E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2F1DAFEA" w14:textId="77777777">
        <w:tblPrEx>
          <w:tblW w:w="0" w:type="auto"/>
          <w:tblInd w:w="108" w:type="dxa"/>
          <w:tblLook w:val="04A0"/>
        </w:tblPrEx>
        <w:tc>
          <w:tcPr>
            <w:tcW w:w="1124" w:type="dxa"/>
            <w:shd w:val="clear" w:color="auto" w:fill="auto"/>
          </w:tcPr>
          <w:p w:rsidR="001B5556" w14:paraId="6AA36192"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1B5556" w14:paraId="18E2FE7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74939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666B1ACF" w14:textId="77777777">
        <w:tblPrEx>
          <w:tblW w:w="0" w:type="auto"/>
          <w:tblInd w:w="108" w:type="dxa"/>
          <w:tblLook w:val="04A0"/>
        </w:tblPrEx>
        <w:tc>
          <w:tcPr>
            <w:tcW w:w="1124" w:type="dxa"/>
            <w:shd w:val="clear" w:color="auto" w:fill="auto"/>
          </w:tcPr>
          <w:p w:rsidR="001B5556" w14:paraId="20F26CD7"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1B5556" w14:paraId="0F463CD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499AC1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014421AB" w14:textId="77777777">
        <w:tblPrEx>
          <w:tblW w:w="0" w:type="auto"/>
          <w:tblInd w:w="108" w:type="dxa"/>
          <w:tblLook w:val="04A0"/>
        </w:tblPrEx>
        <w:tc>
          <w:tcPr>
            <w:tcW w:w="1124" w:type="dxa"/>
            <w:shd w:val="clear" w:color="auto" w:fill="auto"/>
          </w:tcPr>
          <w:p w:rsidR="001B5556" w14:paraId="35F06319"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1B5556" w14:paraId="62167F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4183F6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3A23EFD8" w14:textId="77777777">
        <w:tblPrEx>
          <w:tblW w:w="0" w:type="auto"/>
          <w:tblInd w:w="108" w:type="dxa"/>
          <w:tblLook w:val="04A0"/>
        </w:tblPrEx>
        <w:tc>
          <w:tcPr>
            <w:tcW w:w="1124" w:type="dxa"/>
            <w:shd w:val="clear" w:color="auto" w:fill="auto"/>
          </w:tcPr>
          <w:p w:rsidR="001B5556" w14:paraId="2DCC3DCB"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1B5556" w14:paraId="0F6B4FB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2DE02F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0FE15E74" w14:textId="77777777">
        <w:tblPrEx>
          <w:tblW w:w="0" w:type="auto"/>
          <w:tblInd w:w="108" w:type="dxa"/>
          <w:tblLook w:val="04A0"/>
        </w:tblPrEx>
        <w:tc>
          <w:tcPr>
            <w:tcW w:w="1124" w:type="dxa"/>
            <w:shd w:val="clear" w:color="auto" w:fill="auto"/>
          </w:tcPr>
          <w:p w:rsidR="001B5556" w14:paraId="0FB4FF36"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1B5556" w14:paraId="2DAF6C3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D783A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78D984CD" w14:textId="77777777">
        <w:tblPrEx>
          <w:tblW w:w="0" w:type="auto"/>
          <w:tblInd w:w="108" w:type="dxa"/>
          <w:tblLook w:val="04A0"/>
        </w:tblPrEx>
        <w:tc>
          <w:tcPr>
            <w:tcW w:w="1124" w:type="dxa"/>
            <w:shd w:val="clear" w:color="auto" w:fill="auto"/>
          </w:tcPr>
          <w:p w:rsidR="001B5556" w14:paraId="53F14D00"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B5556" w14:paraId="6B23D010"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B5556" w14:paraId="57F1F89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B5556" w14:paraId="4BC89A2B"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B5556" w14:paraId="69CF3A76"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B5556" w14:paraId="4E02AEB6" w14:textId="77777777">
      <w:pPr>
        <w:pStyle w:val="ListParagraph"/>
        <w:spacing w:after="0" w:line="300" w:lineRule="exact"/>
        <w:ind w:left="0"/>
        <w:rPr>
          <w:rFonts w:ascii="Times New Roman" w:hAnsi="Times New Roman"/>
          <w:b/>
          <w:bCs/>
          <w:sz w:val="22"/>
          <w:szCs w:val="22"/>
        </w:rPr>
      </w:pPr>
    </w:p>
    <w:p w:rsidR="001B5556" w14:paraId="57F560E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1B5556" w14:paraId="7B9316CA" w14:textId="77777777">
      <w:pPr>
        <w:pStyle w:val="Level3"/>
        <w:numPr>
          <w:ilvl w:val="0"/>
          <w:numId w:val="0"/>
        </w:numPr>
        <w:spacing w:after="0" w:line="300" w:lineRule="exact"/>
        <w:rPr>
          <w:rFonts w:ascii="Times New Roman" w:hAnsi="Times New Roman"/>
          <w:sz w:val="22"/>
          <w:szCs w:val="22"/>
        </w:rPr>
      </w:pPr>
    </w:p>
    <w:p w:rsidR="001B5556" w14:paraId="54DE4F4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B5556" w14:paraId="6F940F10" w14:textId="77777777">
      <w:pPr>
        <w:pStyle w:val="Level3"/>
        <w:numPr>
          <w:ilvl w:val="0"/>
          <w:numId w:val="0"/>
        </w:numPr>
        <w:spacing w:after="0" w:line="300" w:lineRule="exact"/>
        <w:rPr>
          <w:rFonts w:ascii="Times New Roman" w:hAnsi="Times New Roman"/>
          <w:sz w:val="22"/>
          <w:szCs w:val="22"/>
        </w:rPr>
      </w:pPr>
    </w:p>
    <w:p w:rsidR="001B5556" w14:paraId="1E12C27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B5556" w14:paraId="50BB0734" w14:textId="77777777">
      <w:pPr>
        <w:pStyle w:val="Level3"/>
        <w:numPr>
          <w:ilvl w:val="0"/>
          <w:numId w:val="0"/>
        </w:numPr>
        <w:spacing w:after="0" w:line="300" w:lineRule="exact"/>
        <w:rPr>
          <w:rFonts w:ascii="Times New Roman" w:hAnsi="Times New Roman"/>
          <w:sz w:val="22"/>
          <w:szCs w:val="22"/>
        </w:rPr>
      </w:pPr>
    </w:p>
    <w:p w:rsidR="001B5556" w14:paraId="321023A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p>
    <w:p w:rsidR="001B5556" w14:paraId="30351F6E" w14:textId="77777777">
      <w:pPr>
        <w:pStyle w:val="Level3"/>
        <w:numPr>
          <w:ilvl w:val="0"/>
          <w:numId w:val="0"/>
        </w:numPr>
        <w:spacing w:after="0" w:line="300" w:lineRule="exact"/>
        <w:rPr>
          <w:rFonts w:ascii="Times New Roman" w:hAnsi="Times New Roman"/>
          <w:sz w:val="22"/>
          <w:szCs w:val="22"/>
        </w:rPr>
      </w:pPr>
    </w:p>
    <w:p w:rsidR="001B5556" w14:paraId="01037D4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B5556" w14:paraId="7DEAD19B" w14:textId="77777777">
      <w:pPr>
        <w:pStyle w:val="Level3"/>
        <w:numPr>
          <w:ilvl w:val="0"/>
          <w:numId w:val="0"/>
        </w:numPr>
        <w:spacing w:after="0" w:line="300" w:lineRule="exact"/>
        <w:rPr>
          <w:rFonts w:ascii="Times New Roman" w:hAnsi="Times New Roman"/>
          <w:sz w:val="22"/>
          <w:szCs w:val="22"/>
        </w:rPr>
      </w:pPr>
    </w:p>
    <w:p w:rsidR="001B5556" w14:paraId="347810F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B5556" w14:paraId="7D2F70B9" w14:textId="77777777">
      <w:pPr>
        <w:pStyle w:val="Level3"/>
        <w:numPr>
          <w:ilvl w:val="0"/>
          <w:numId w:val="0"/>
        </w:numPr>
        <w:spacing w:after="0" w:line="300" w:lineRule="exact"/>
        <w:rPr>
          <w:rFonts w:ascii="Times New Roman" w:hAnsi="Times New Roman"/>
          <w:sz w:val="22"/>
          <w:szCs w:val="22"/>
        </w:rPr>
      </w:pPr>
    </w:p>
    <w:p w:rsidR="001B5556" w14:paraId="200474B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B5556" w14:paraId="65FEBF70" w14:textId="77777777">
      <w:pPr>
        <w:pStyle w:val="Level3"/>
        <w:numPr>
          <w:ilvl w:val="0"/>
          <w:numId w:val="0"/>
        </w:numPr>
        <w:spacing w:after="0" w:line="300" w:lineRule="exact"/>
        <w:rPr>
          <w:rFonts w:ascii="Times New Roman" w:hAnsi="Times New Roman"/>
          <w:sz w:val="22"/>
          <w:szCs w:val="22"/>
        </w:rPr>
      </w:pPr>
    </w:p>
    <w:p w:rsidR="001B5556" w14:paraId="79030A8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1B5556" w14:paraId="04B8750E" w14:textId="77777777">
      <w:pPr>
        <w:pStyle w:val="Level3"/>
        <w:numPr>
          <w:ilvl w:val="0"/>
          <w:numId w:val="0"/>
        </w:numPr>
        <w:spacing w:after="0" w:line="300" w:lineRule="exact"/>
        <w:rPr>
          <w:rFonts w:ascii="Times New Roman" w:hAnsi="Times New Roman"/>
          <w:sz w:val="22"/>
          <w:szCs w:val="22"/>
        </w:rPr>
      </w:pPr>
    </w:p>
    <w:p w:rsidR="001B5556" w14:paraId="336F459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B5556" w14:paraId="4ECEACB1" w14:textId="77777777">
      <w:pPr>
        <w:pStyle w:val="Level3"/>
        <w:numPr>
          <w:ilvl w:val="0"/>
          <w:numId w:val="0"/>
        </w:numPr>
        <w:spacing w:after="0" w:line="300" w:lineRule="exact"/>
        <w:rPr>
          <w:rFonts w:ascii="Times New Roman" w:hAnsi="Times New Roman"/>
          <w:sz w:val="22"/>
          <w:szCs w:val="22"/>
        </w:rPr>
      </w:pPr>
    </w:p>
    <w:p w:rsidR="001B5556" w14:paraId="69C3EA8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B5556" w14:paraId="1C0909EC" w14:textId="77777777">
      <w:pPr>
        <w:pStyle w:val="Level3"/>
        <w:numPr>
          <w:ilvl w:val="0"/>
          <w:numId w:val="0"/>
        </w:numPr>
        <w:spacing w:after="0" w:line="300" w:lineRule="exact"/>
        <w:rPr>
          <w:rFonts w:ascii="Times New Roman" w:hAnsi="Times New Roman"/>
          <w:sz w:val="22"/>
          <w:szCs w:val="22"/>
        </w:rPr>
      </w:pPr>
    </w:p>
    <w:p w:rsidR="001B5556" w14:paraId="21CE642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B5556" w14:paraId="05E4CF3D" w14:textId="77777777">
      <w:pPr>
        <w:pStyle w:val="Level3"/>
        <w:numPr>
          <w:ilvl w:val="0"/>
          <w:numId w:val="0"/>
        </w:numPr>
        <w:spacing w:after="0" w:line="300" w:lineRule="exact"/>
        <w:rPr>
          <w:rFonts w:ascii="Times New Roman" w:hAnsi="Times New Roman"/>
          <w:sz w:val="22"/>
          <w:szCs w:val="22"/>
        </w:rPr>
      </w:pPr>
    </w:p>
    <w:p w:rsidR="001B5556" w14:paraId="35EF0AF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r>
        <w:rPr>
          <w:rFonts w:ascii="Times New Roman" w:hAnsi="Times New Roman"/>
          <w:sz w:val="22"/>
          <w:szCs w:val="22"/>
        </w:rPr>
        <w:t>www</w:t>
      </w:r>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B5556" w14:paraId="2E83605F" w14:textId="77777777">
      <w:pPr>
        <w:pStyle w:val="Level3"/>
        <w:numPr>
          <w:ilvl w:val="0"/>
          <w:numId w:val="0"/>
        </w:numPr>
        <w:spacing w:after="0" w:line="300" w:lineRule="exact"/>
        <w:rPr>
          <w:rFonts w:ascii="Times New Roman" w:hAnsi="Times New Roman"/>
          <w:sz w:val="22"/>
          <w:szCs w:val="22"/>
        </w:rPr>
      </w:pPr>
    </w:p>
    <w:p w:rsidR="001B5556" w14:paraId="0114E56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B5556" w14:paraId="19B20999" w14:textId="77777777">
      <w:pPr>
        <w:pStyle w:val="Level3"/>
        <w:numPr>
          <w:ilvl w:val="0"/>
          <w:numId w:val="0"/>
        </w:numPr>
        <w:spacing w:after="0" w:line="300" w:lineRule="exact"/>
        <w:rPr>
          <w:rFonts w:ascii="Times New Roman" w:hAnsi="Times New Roman"/>
          <w:sz w:val="22"/>
          <w:szCs w:val="22"/>
        </w:rPr>
      </w:pPr>
    </w:p>
    <w:p w:rsidR="001B5556" w14:paraId="5E26F03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B5556" w14:paraId="16DB9909" w14:textId="77777777">
      <w:pPr>
        <w:pStyle w:val="Level3"/>
        <w:numPr>
          <w:ilvl w:val="0"/>
          <w:numId w:val="0"/>
        </w:numPr>
        <w:spacing w:after="0" w:line="300" w:lineRule="exact"/>
        <w:rPr>
          <w:rFonts w:ascii="Times New Roman" w:hAnsi="Times New Roman"/>
          <w:sz w:val="22"/>
          <w:szCs w:val="22"/>
        </w:rPr>
      </w:pPr>
    </w:p>
    <w:p w:rsidR="001B5556" w14:paraId="018ABEE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B5556" w14:paraId="42CA1BC0" w14:textId="77777777">
      <w:pPr>
        <w:pStyle w:val="Level3"/>
        <w:numPr>
          <w:ilvl w:val="0"/>
          <w:numId w:val="0"/>
        </w:numPr>
        <w:spacing w:after="0" w:line="300" w:lineRule="exact"/>
        <w:rPr>
          <w:rFonts w:ascii="Times New Roman" w:hAnsi="Times New Roman"/>
          <w:sz w:val="22"/>
          <w:szCs w:val="22"/>
        </w:rPr>
      </w:pPr>
    </w:p>
    <w:p w:rsidR="001B5556" w14:paraId="5E97764E" w14:textId="15315D03">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sidR="004D569B">
        <w:rPr>
          <w:rFonts w:ascii="Times New Roman" w:hAnsi="Times New Roman"/>
          <w:sz w:val="22"/>
        </w:rPr>
        <w:t xml:space="preserve"> ou</w:t>
      </w:r>
      <w:r>
        <w:rPr>
          <w:rFonts w:ascii="Times New Roman" w:hAnsi="Times New Roman"/>
          <w:sz w:val="22"/>
        </w:rPr>
        <w:t xml:space="preserve">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B5556" w14:paraId="73A286AB" w14:textId="77777777">
      <w:pPr>
        <w:pStyle w:val="ListParagraph"/>
        <w:spacing w:after="0" w:line="300" w:lineRule="exact"/>
        <w:ind w:left="0"/>
        <w:rPr>
          <w:rFonts w:ascii="Times New Roman" w:hAnsi="Times New Roman"/>
          <w:sz w:val="22"/>
          <w:szCs w:val="22"/>
        </w:rPr>
      </w:pPr>
    </w:p>
    <w:p w:rsidR="001B5556" w14:paraId="3D154362"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B5556" w14:paraId="73C6EAC7"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B5556" w14:paraId="3129CEE0" w14:textId="77777777">
      <w:pPr>
        <w:pStyle w:val="ListParagraph"/>
        <w:spacing w:after="0" w:line="300" w:lineRule="exact"/>
        <w:ind w:left="0"/>
        <w:jc w:val="center"/>
        <w:rPr>
          <w:rFonts w:ascii="Times New Roman" w:hAnsi="Times New Roman"/>
          <w:b/>
          <w:bCs/>
          <w:sz w:val="22"/>
          <w:szCs w:val="22"/>
        </w:rPr>
      </w:pPr>
    </w:p>
    <w:p w:rsidR="001B5556" w14:paraId="2BF24782"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B5556" w14:paraId="08AE21CB" w14:textId="10527E53">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Pr="00A307A3" w:rsidR="00377710">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 xml:space="preserve">pro rata </w:t>
      </w:r>
      <w:r w:rsidRPr="00A307A3" w:rsidR="00377710">
        <w:rPr>
          <w:rFonts w:ascii="Times New Roman" w:hAnsi="Times New Roman"/>
          <w:i/>
          <w:iCs/>
          <w:kern w:val="0"/>
          <w:sz w:val="22"/>
          <w:szCs w:val="22"/>
          <w:lang w:eastAsia="pt-BR"/>
        </w:rPr>
        <w:t>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rsidR="00377710" w14:paraId="3C9BCF6D" w14:textId="40716B34">
      <w:pPr>
        <w:pStyle w:val="Level3"/>
        <w:numPr>
          <w:ilvl w:val="0"/>
          <w:numId w:val="0"/>
        </w:numPr>
        <w:spacing w:after="0" w:line="300" w:lineRule="exact"/>
        <w:rPr>
          <w:rFonts w:ascii="Times New Roman" w:hAnsi="Times New Roman"/>
          <w:sz w:val="22"/>
          <w:szCs w:val="22"/>
        </w:rPr>
      </w:pPr>
    </w:p>
    <w:p w:rsidR="001B5556" w14:paraId="7EFE578F" w14:textId="77777777">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B5556" w14:paraId="7E721390"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 .</w:t>
      </w:r>
    </w:p>
    <w:p w:rsidR="001B5556" w14:paraId="79657D03"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Banco Liquidante.</w:t>
      </w:r>
    </w:p>
    <w:p w:rsidR="001B5556" w14:paraId="4579C61D"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B5556" w14:paraId="6BB22145"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B5556" w14:paraId="2BB352FF"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rsidR="001B5556" w14:paraId="1983CF17" w14:textId="372210A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ao: (a) Valor Nominal Unitário das Debêntures ou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Pr="00761A65" w:rsidR="00761A65">
        <w:rPr>
          <w:rFonts w:ascii="Times New Roman" w:hAnsi="Times New Roman"/>
          <w:sz w:val="22"/>
          <w:szCs w:val="22"/>
        </w:rPr>
        <w:t xml:space="preserve">de prêmio equivalente a </w:t>
      </w:r>
      <w:r w:rsidR="00761A65">
        <w:rPr>
          <w:rFonts w:ascii="Times New Roman" w:hAnsi="Times New Roman"/>
          <w:sz w:val="22"/>
          <w:szCs w:val="22"/>
        </w:rPr>
        <w:t>0,50</w:t>
      </w:r>
      <w:r w:rsidRPr="00761A65" w:rsidR="00761A65">
        <w:rPr>
          <w:rFonts w:ascii="Times New Roman" w:hAnsi="Times New Roman"/>
          <w:sz w:val="22"/>
          <w:szCs w:val="22"/>
        </w:rPr>
        <w:t>% (</w:t>
      </w:r>
      <w:r w:rsidR="00761A65">
        <w:rPr>
          <w:rFonts w:ascii="Times New Roman" w:hAnsi="Times New Roman"/>
          <w:sz w:val="22"/>
          <w:szCs w:val="22"/>
        </w:rPr>
        <w:t>cinquenta centésimos</w:t>
      </w:r>
      <w:r w:rsidRPr="00761A65" w:rsidR="00761A65">
        <w:rPr>
          <w:rFonts w:ascii="Times New Roman" w:hAnsi="Times New Roman"/>
          <w:sz w:val="22"/>
          <w:szCs w:val="22"/>
        </w:rPr>
        <w:t xml:space="preserve"> por cento) </w:t>
      </w:r>
      <w:r w:rsidR="00761A65">
        <w:rPr>
          <w:rFonts w:ascii="Times New Roman" w:hAnsi="Times New Roman"/>
          <w:sz w:val="22"/>
          <w:szCs w:val="22"/>
        </w:rPr>
        <w:t xml:space="preserve"> </w:t>
      </w:r>
      <w:r w:rsidRPr="00761A65" w:rsidR="00761A65">
        <w:rPr>
          <w:rFonts w:ascii="Times New Roman" w:hAnsi="Times New Roman"/>
          <w:sz w:val="22"/>
          <w:szCs w:val="22"/>
        </w:rPr>
        <w:t xml:space="preserve">ao ano, pro </w:t>
      </w:r>
      <w:r w:rsidRPr="00A307A3" w:rsidR="00761A65">
        <w:rPr>
          <w:rFonts w:ascii="Times New Roman" w:hAnsi="Times New Roman"/>
          <w:i/>
          <w:iCs/>
          <w:sz w:val="22"/>
          <w:szCs w:val="22"/>
        </w:rPr>
        <w:t xml:space="preserve">rata </w:t>
      </w:r>
      <w:r w:rsidRPr="00A307A3" w:rsidR="00761A65">
        <w:rPr>
          <w:rFonts w:ascii="Times New Roman" w:hAnsi="Times New Roman"/>
          <w:i/>
          <w:iCs/>
          <w:sz w:val="22"/>
          <w:szCs w:val="22"/>
        </w:rPr>
        <w:t>temporis</w:t>
      </w:r>
      <w:r w:rsidR="00761A65">
        <w:rPr>
          <w:rFonts w:ascii="Times New Roman" w:hAnsi="Times New Roman"/>
          <w:sz w:val="22"/>
          <w:szCs w:val="22"/>
        </w:rPr>
        <w:t xml:space="preserve"> </w:t>
      </w:r>
      <w:r w:rsidRPr="00761A65" w:rsid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Pr="00761A65" w:rsid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rsidR="001B5556" w14:paraId="3807C2C3" w14:textId="77777777">
      <w:pPr>
        <w:pStyle w:val="Level2"/>
        <w:numPr>
          <w:ilvl w:val="0"/>
          <w:numId w:val="0"/>
        </w:numPr>
        <w:spacing w:line="300" w:lineRule="exact"/>
        <w:rPr>
          <w:rFonts w:ascii="Times New Roman" w:hAnsi="Times New Roman"/>
          <w:b/>
          <w:bCs/>
          <w:sz w:val="22"/>
          <w:szCs w:val="22"/>
        </w:rPr>
      </w:pPr>
    </w:p>
    <w:p w:rsidR="001B5556" w14:paraId="1CC774DB" w14:textId="77777777">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B5556" w14:paraId="2ADAAA03"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1B5556" w14:paraId="21B8EE43"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Banco Liquidante.</w:t>
      </w:r>
    </w:p>
    <w:p w:rsidR="001B5556" w14:paraId="4E994A85"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B5556" w14:paraId="69CCA369"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B5556" w14:paraId="6AA5DDD7"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B5556" w14:paraId="783C741E"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B5556" w14:paraId="423F9C22"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B5556" w14:paraId="1D559A4C"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B5556" w14:paraId="780D1632" w14:textId="77777777">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1B5556" w14:paraId="29196C0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B5556" w14:paraId="4F525016"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B5556" w14:paraId="23D74C63"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1B5556" w14:paraId="159A3720"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B5556" w14:paraId="58419333"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rsidR="001B5556" w14:paraId="66B8FDCA"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B5556" w14:paraId="61ED2EA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B5556" w14:paraId="6323E208" w14:textId="77777777">
      <w:pPr>
        <w:pStyle w:val="Level2"/>
        <w:numPr>
          <w:ilvl w:val="0"/>
          <w:numId w:val="0"/>
        </w:numPr>
        <w:spacing w:after="0" w:line="300" w:lineRule="exact"/>
        <w:jc w:val="center"/>
        <w:rPr>
          <w:rFonts w:ascii="Times New Roman" w:hAnsi="Times New Roman"/>
          <w:b/>
          <w:sz w:val="22"/>
          <w:szCs w:val="22"/>
        </w:rPr>
      </w:pPr>
    </w:p>
    <w:p w:rsidR="001B5556" w14:paraId="72A3488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B5556" w14:paraId="7D22A4BB"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B5556" w14:paraId="3516889B" w14:textId="77777777">
      <w:pPr>
        <w:pStyle w:val="Level2"/>
        <w:numPr>
          <w:ilvl w:val="0"/>
          <w:numId w:val="0"/>
        </w:numPr>
        <w:spacing w:after="0" w:line="300" w:lineRule="exact"/>
        <w:jc w:val="center"/>
        <w:rPr>
          <w:rFonts w:ascii="Times New Roman" w:hAnsi="Times New Roman"/>
          <w:b/>
          <w:sz w:val="22"/>
          <w:szCs w:val="22"/>
        </w:rPr>
      </w:pPr>
    </w:p>
    <w:p w:rsidR="001B5556" w14:paraId="3C8360B9"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B5556" w14:paraId="17227ED0" w14:textId="77777777">
      <w:pPr>
        <w:pStyle w:val="Level2"/>
        <w:numPr>
          <w:ilvl w:val="0"/>
          <w:numId w:val="0"/>
        </w:numPr>
        <w:spacing w:after="0" w:line="300" w:lineRule="exact"/>
        <w:rPr>
          <w:rFonts w:ascii="Times New Roman" w:hAnsi="Times New Roman"/>
          <w:b/>
          <w:sz w:val="22"/>
          <w:szCs w:val="22"/>
        </w:rPr>
      </w:pPr>
    </w:p>
    <w:p w:rsidR="001B5556" w14:paraId="2167B0B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B5556" w14:paraId="21F3AE22" w14:textId="77777777">
      <w:pPr>
        <w:pStyle w:val="Level2"/>
        <w:numPr>
          <w:ilvl w:val="0"/>
          <w:numId w:val="0"/>
        </w:numPr>
        <w:spacing w:after="0" w:line="300" w:lineRule="exact"/>
        <w:rPr>
          <w:rFonts w:ascii="Times New Roman" w:hAnsi="Times New Roman"/>
          <w:bCs/>
          <w:sz w:val="22"/>
          <w:szCs w:val="22"/>
        </w:rPr>
      </w:pPr>
    </w:p>
    <w:p w:rsidR="001B5556" w14:paraId="1C6C0AAC" w14:textId="77777777">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B5556" w14:paraId="77E2246D" w14:textId="77777777">
      <w:pPr>
        <w:pStyle w:val="Level2"/>
        <w:numPr>
          <w:ilvl w:val="0"/>
          <w:numId w:val="0"/>
        </w:numPr>
        <w:spacing w:after="0" w:line="300" w:lineRule="exact"/>
        <w:rPr>
          <w:rFonts w:ascii="Times New Roman" w:hAnsi="Times New Roman"/>
          <w:bCs/>
          <w:sz w:val="22"/>
          <w:szCs w:val="22"/>
        </w:rPr>
      </w:pPr>
    </w:p>
    <w:p w:rsidR="001B5556" w14:paraId="399C4F6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rsidR="001B5556" w14:paraId="3C9FDCBE" w14:textId="77777777">
      <w:pPr>
        <w:pStyle w:val="Level2"/>
        <w:numPr>
          <w:ilvl w:val="0"/>
          <w:numId w:val="0"/>
        </w:numPr>
        <w:spacing w:after="0" w:line="300" w:lineRule="exact"/>
        <w:ind w:left="567"/>
        <w:rPr>
          <w:rFonts w:ascii="Times New Roman" w:hAnsi="Times New Roman"/>
          <w:bCs/>
          <w:sz w:val="22"/>
          <w:szCs w:val="22"/>
        </w:rPr>
      </w:pPr>
    </w:p>
    <w:p w:rsidR="001B5556" w14:paraId="5BE43E3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1B5556" w14:paraId="5E32971F" w14:textId="77777777">
      <w:pPr>
        <w:pStyle w:val="Level2"/>
        <w:numPr>
          <w:ilvl w:val="0"/>
          <w:numId w:val="0"/>
        </w:numPr>
        <w:spacing w:after="0" w:line="300" w:lineRule="exact"/>
        <w:ind w:left="567"/>
        <w:rPr>
          <w:rFonts w:ascii="Times New Roman" w:hAnsi="Times New Roman"/>
          <w:bCs/>
          <w:sz w:val="22"/>
          <w:szCs w:val="22"/>
        </w:rPr>
      </w:pPr>
    </w:p>
    <w:p w:rsidR="001B5556" w14:paraId="55DC586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1B5556" w14:paraId="01374C19" w14:textId="77777777">
      <w:pPr>
        <w:pStyle w:val="Level2"/>
        <w:numPr>
          <w:ilvl w:val="0"/>
          <w:numId w:val="0"/>
        </w:numPr>
        <w:spacing w:after="0" w:line="300" w:lineRule="exact"/>
        <w:ind w:left="567"/>
        <w:rPr>
          <w:rFonts w:ascii="Times New Roman" w:hAnsi="Times New Roman"/>
          <w:bCs/>
          <w:sz w:val="22"/>
          <w:szCs w:val="22"/>
        </w:rPr>
      </w:pPr>
    </w:p>
    <w:p w:rsidR="001B5556" w14:paraId="416EF9C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rsidR="001B5556" w14:paraId="59721972" w14:textId="77777777">
      <w:pPr>
        <w:pStyle w:val="Level2"/>
        <w:numPr>
          <w:ilvl w:val="0"/>
          <w:numId w:val="0"/>
        </w:numPr>
        <w:spacing w:after="0" w:line="300" w:lineRule="exact"/>
        <w:ind w:left="567"/>
        <w:rPr>
          <w:rFonts w:ascii="Times New Roman" w:hAnsi="Times New Roman"/>
          <w:bCs/>
          <w:sz w:val="22"/>
          <w:szCs w:val="22"/>
        </w:rPr>
      </w:pPr>
    </w:p>
    <w:p w:rsidR="001B5556" w14:paraId="094705E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B5556" w14:paraId="04BA4072" w14:textId="77777777">
      <w:pPr>
        <w:pStyle w:val="Level2"/>
        <w:numPr>
          <w:ilvl w:val="0"/>
          <w:numId w:val="0"/>
        </w:numPr>
        <w:spacing w:after="0" w:line="300" w:lineRule="exact"/>
        <w:ind w:left="567"/>
        <w:rPr>
          <w:rFonts w:ascii="Times New Roman" w:hAnsi="Times New Roman"/>
          <w:bCs/>
          <w:sz w:val="22"/>
          <w:szCs w:val="22"/>
        </w:rPr>
      </w:pPr>
    </w:p>
    <w:p w:rsidR="001B5556" w14:paraId="7846FA8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B5556" w14:paraId="5604FD54" w14:textId="77777777">
      <w:pPr>
        <w:pStyle w:val="Level2"/>
        <w:numPr>
          <w:ilvl w:val="0"/>
          <w:numId w:val="0"/>
        </w:numPr>
        <w:spacing w:after="0" w:line="300" w:lineRule="exact"/>
        <w:ind w:left="567"/>
        <w:rPr>
          <w:rFonts w:ascii="Times New Roman" w:hAnsi="Times New Roman"/>
          <w:bCs/>
          <w:sz w:val="22"/>
          <w:szCs w:val="22"/>
        </w:rPr>
      </w:pPr>
    </w:p>
    <w:p w:rsidR="001B5556" w14:paraId="18777109" w14:textId="0947DE5C">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w:t>
      </w:r>
      <w:r>
        <w:rPr>
          <w:rFonts w:ascii="Times New Roman" w:hAnsi="Times New Roman"/>
          <w:sz w:val="22"/>
          <w:szCs w:val="22"/>
        </w:rPr>
        <w:t>respectivas Controladas</w:t>
      </w:r>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Pr="000B003C" w:rsidR="000B003C">
        <w:rPr>
          <w:rFonts w:ascii="Times New Roman" w:hAnsi="Times New Roman"/>
          <w:sz w:val="22"/>
          <w:szCs w:val="22"/>
        </w:rPr>
        <w:t>8</w:t>
      </w:r>
      <w:r w:rsidRPr="000B003C">
        <w:rPr>
          <w:rFonts w:ascii="Times New Roman" w:hAnsi="Times New Roman"/>
          <w:sz w:val="22"/>
          <w:szCs w:val="22"/>
        </w:rPr>
        <w:t>.000.000,00 (</w:t>
      </w:r>
      <w:r w:rsidRPr="000B003C" w:rsid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rsidR="001B5556" w14:paraId="393820DD" w14:textId="77777777">
      <w:pPr>
        <w:pStyle w:val="Level2"/>
        <w:numPr>
          <w:ilvl w:val="0"/>
          <w:numId w:val="0"/>
        </w:numPr>
        <w:spacing w:after="0" w:line="300" w:lineRule="exact"/>
        <w:ind w:left="567"/>
        <w:rPr>
          <w:rFonts w:ascii="Times New Roman" w:hAnsi="Times New Roman"/>
          <w:bCs/>
          <w:sz w:val="22"/>
          <w:szCs w:val="22"/>
        </w:rPr>
      </w:pPr>
    </w:p>
    <w:p w:rsidR="001B5556" w14:paraId="395199C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B5556" w14:paraId="0A851275" w14:textId="77777777">
      <w:pPr>
        <w:pStyle w:val="Level2"/>
        <w:numPr>
          <w:ilvl w:val="0"/>
          <w:numId w:val="0"/>
        </w:numPr>
        <w:spacing w:after="0" w:line="300" w:lineRule="exact"/>
        <w:ind w:left="567"/>
        <w:rPr>
          <w:rFonts w:ascii="Times New Roman" w:hAnsi="Times New Roman"/>
          <w:bCs/>
          <w:sz w:val="22"/>
          <w:szCs w:val="22"/>
        </w:rPr>
      </w:pPr>
    </w:p>
    <w:p w:rsidR="001B5556" w14:paraId="2E21B798" w14:textId="201107A1">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w:t>
      </w:r>
      <w:r w:rsidR="00842488">
        <w:rPr>
          <w:rFonts w:ascii="Times New Roman" w:hAnsi="Times New Roman"/>
          <w:sz w:val="22"/>
          <w:szCs w:val="22"/>
        </w:rPr>
        <w:t>ii</w:t>
      </w:r>
      <w:r w:rsidR="00842488">
        <w:rPr>
          <w:rFonts w:ascii="Times New Roman" w:hAnsi="Times New Roman"/>
          <w:sz w:val="22"/>
          <w:szCs w:val="22"/>
        </w:rPr>
        <w:t xml:space="preserve">)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w:t>
      </w:r>
      <w:r w:rsidR="00842488">
        <w:rPr>
          <w:rFonts w:ascii="Times New Roman" w:hAnsi="Times New Roman"/>
          <w:sz w:val="22"/>
          <w:szCs w:val="22"/>
        </w:rPr>
        <w:t>ii</w:t>
      </w:r>
      <w:r w:rsidR="00842488">
        <w:rPr>
          <w:rFonts w:ascii="Times New Roman" w:hAnsi="Times New Roman"/>
          <w:sz w:val="22"/>
          <w:szCs w:val="22"/>
        </w:rPr>
        <w:t>)</w:t>
      </w:r>
      <w:r>
        <w:rPr>
          <w:rFonts w:ascii="Times New Roman" w:hAnsi="Times New Roman"/>
          <w:sz w:val="22"/>
          <w:szCs w:val="22"/>
        </w:rPr>
        <w:t>;</w:t>
      </w:r>
    </w:p>
    <w:p w:rsidR="001B5556" w14:paraId="5E8D18AF" w14:textId="77777777">
      <w:pPr>
        <w:pStyle w:val="Level2"/>
        <w:numPr>
          <w:ilvl w:val="0"/>
          <w:numId w:val="0"/>
        </w:numPr>
        <w:spacing w:after="0" w:line="300" w:lineRule="exact"/>
        <w:ind w:left="567"/>
        <w:rPr>
          <w:rFonts w:ascii="Times New Roman" w:hAnsi="Times New Roman"/>
          <w:bCs/>
          <w:sz w:val="22"/>
          <w:szCs w:val="22"/>
        </w:rPr>
      </w:pPr>
    </w:p>
    <w:p w:rsidR="001B5556" w14:paraId="65F8E2F0" w14:textId="252A2DD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rsidR="001B5556" w14:paraId="18270A93" w14:textId="77777777">
      <w:pPr>
        <w:pStyle w:val="Level2"/>
        <w:numPr>
          <w:ilvl w:val="0"/>
          <w:numId w:val="0"/>
        </w:numPr>
        <w:spacing w:after="0" w:line="300" w:lineRule="exact"/>
        <w:ind w:left="567"/>
        <w:rPr>
          <w:rFonts w:ascii="Times New Roman" w:hAnsi="Times New Roman"/>
          <w:bCs/>
          <w:sz w:val="22"/>
          <w:szCs w:val="22"/>
        </w:rPr>
      </w:pPr>
    </w:p>
    <w:p w:rsidR="001B5556" w14:paraId="2CCD66C5" w14:textId="5E2D5058">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w:t>
      </w:r>
      <w:r>
        <w:rPr>
          <w:rFonts w:ascii="Times New Roman" w:hAnsi="Times New Roman"/>
          <w:color w:val="000000"/>
          <w:sz w:val="22"/>
          <w:szCs w:val="22"/>
        </w:rPr>
        <w:t xml:space="preserve">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rsidR="001B5556" w14:paraId="5EEC6456" w14:textId="77777777">
      <w:pPr>
        <w:pStyle w:val="Level2"/>
        <w:numPr>
          <w:ilvl w:val="0"/>
          <w:numId w:val="0"/>
        </w:numPr>
        <w:spacing w:after="0" w:line="300" w:lineRule="exact"/>
        <w:ind w:left="567"/>
        <w:rPr>
          <w:rFonts w:ascii="Times New Roman" w:hAnsi="Times New Roman"/>
          <w:bCs/>
          <w:sz w:val="22"/>
          <w:szCs w:val="22"/>
        </w:rPr>
      </w:pPr>
    </w:p>
    <w:p w:rsidR="001B5556" w14:paraId="2DD2301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B5556" w14:paraId="738C2EC2" w14:textId="77777777">
      <w:pPr>
        <w:pStyle w:val="Level2"/>
        <w:numPr>
          <w:ilvl w:val="0"/>
          <w:numId w:val="0"/>
        </w:numPr>
        <w:spacing w:after="0" w:line="300" w:lineRule="exact"/>
        <w:ind w:left="567"/>
        <w:rPr>
          <w:rFonts w:ascii="Times New Roman" w:hAnsi="Times New Roman"/>
          <w:bCs/>
          <w:sz w:val="22"/>
          <w:szCs w:val="22"/>
        </w:rPr>
      </w:pPr>
    </w:p>
    <w:p w:rsidR="001B5556" w14:paraId="63EAB61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B5556" w14:paraId="3E58AD08" w14:textId="77777777">
      <w:pPr>
        <w:pStyle w:val="Level2"/>
        <w:numPr>
          <w:ilvl w:val="0"/>
          <w:numId w:val="0"/>
        </w:numPr>
        <w:spacing w:after="0" w:line="300" w:lineRule="exact"/>
        <w:ind w:left="567"/>
        <w:rPr>
          <w:rFonts w:ascii="Times New Roman" w:hAnsi="Times New Roman"/>
          <w:bCs/>
          <w:sz w:val="22"/>
          <w:szCs w:val="22"/>
        </w:rPr>
      </w:pPr>
    </w:p>
    <w:p w:rsidR="001B5556" w14:paraId="6AF2DE7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rsidR="001B5556" w14:paraId="024DCE9B" w14:textId="77777777">
      <w:pPr>
        <w:pStyle w:val="Level2"/>
        <w:numPr>
          <w:ilvl w:val="0"/>
          <w:numId w:val="0"/>
        </w:numPr>
        <w:spacing w:after="0" w:line="300" w:lineRule="exact"/>
        <w:ind w:left="567"/>
        <w:rPr>
          <w:rFonts w:ascii="Times New Roman" w:hAnsi="Times New Roman"/>
          <w:bCs/>
          <w:sz w:val="22"/>
          <w:szCs w:val="22"/>
        </w:rPr>
      </w:pPr>
    </w:p>
    <w:p w:rsidR="001B5556" w14:paraId="7DFBD38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B5556" w14:paraId="40EE6C89" w14:textId="77777777">
      <w:pPr>
        <w:pStyle w:val="Level2"/>
        <w:numPr>
          <w:ilvl w:val="0"/>
          <w:numId w:val="0"/>
        </w:numPr>
        <w:spacing w:after="0" w:line="300" w:lineRule="exact"/>
        <w:ind w:left="567"/>
        <w:rPr>
          <w:rFonts w:ascii="Times New Roman" w:hAnsi="Times New Roman"/>
          <w:bCs/>
          <w:sz w:val="22"/>
          <w:szCs w:val="22"/>
        </w:rPr>
      </w:pPr>
    </w:p>
    <w:p w:rsidR="001B5556" w14:paraId="15C69EC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1B5556" w14:paraId="7FC73945" w14:textId="77777777">
      <w:pPr>
        <w:pStyle w:val="Level2"/>
        <w:numPr>
          <w:ilvl w:val="0"/>
          <w:numId w:val="0"/>
        </w:numPr>
        <w:spacing w:after="0" w:line="300" w:lineRule="exact"/>
        <w:rPr>
          <w:rFonts w:ascii="Times New Roman" w:hAnsi="Times New Roman"/>
          <w:bCs/>
          <w:sz w:val="22"/>
          <w:szCs w:val="22"/>
        </w:rPr>
      </w:pPr>
    </w:p>
    <w:p w:rsidR="001B5556" w14:paraId="18ED169D" w14:textId="0E7F385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rsidR="001B5556" w14:paraId="5A8932F7" w14:textId="77777777">
      <w:pPr>
        <w:pStyle w:val="Level2"/>
        <w:numPr>
          <w:ilvl w:val="0"/>
          <w:numId w:val="0"/>
        </w:numPr>
        <w:spacing w:after="0" w:line="300" w:lineRule="exact"/>
        <w:ind w:left="567"/>
        <w:rPr>
          <w:rFonts w:ascii="Times New Roman" w:hAnsi="Times New Roman"/>
          <w:bCs/>
          <w:sz w:val="22"/>
          <w:szCs w:val="22"/>
        </w:rPr>
      </w:pPr>
    </w:p>
    <w:p w:rsidR="001B5556" w14:paraId="5C7514D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B5556" w14:paraId="12AD06D3" w14:textId="77777777">
      <w:pPr>
        <w:pStyle w:val="Level2"/>
        <w:numPr>
          <w:ilvl w:val="0"/>
          <w:numId w:val="0"/>
        </w:numPr>
        <w:spacing w:after="0" w:line="300" w:lineRule="exact"/>
        <w:ind w:left="567"/>
        <w:rPr>
          <w:rFonts w:ascii="Times New Roman" w:hAnsi="Times New Roman"/>
          <w:bCs/>
          <w:sz w:val="22"/>
          <w:szCs w:val="22"/>
        </w:rPr>
      </w:pPr>
    </w:p>
    <w:p w:rsidR="001B5556" w14:paraId="12EB7F2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B5556" w14:paraId="6F79E557" w14:textId="77777777">
      <w:pPr>
        <w:pStyle w:val="Level2"/>
        <w:numPr>
          <w:ilvl w:val="0"/>
          <w:numId w:val="0"/>
        </w:numPr>
        <w:spacing w:after="0" w:line="300" w:lineRule="exact"/>
        <w:ind w:left="567"/>
        <w:rPr>
          <w:rFonts w:ascii="Times New Roman" w:hAnsi="Times New Roman"/>
          <w:bCs/>
          <w:sz w:val="22"/>
          <w:szCs w:val="22"/>
        </w:rPr>
      </w:pPr>
    </w:p>
    <w:p w:rsidR="001B5556" w14:paraId="3260233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1B5556" w14:paraId="2D33719C" w14:textId="77777777">
      <w:pPr>
        <w:pStyle w:val="Level2"/>
        <w:numPr>
          <w:ilvl w:val="0"/>
          <w:numId w:val="0"/>
        </w:numPr>
        <w:spacing w:after="0" w:line="300" w:lineRule="exact"/>
        <w:ind w:left="567"/>
        <w:rPr>
          <w:rFonts w:ascii="Times New Roman" w:hAnsi="Times New Roman"/>
          <w:bCs/>
          <w:sz w:val="22"/>
          <w:szCs w:val="22"/>
        </w:rPr>
      </w:pPr>
    </w:p>
    <w:p w:rsidR="001B5556" w14:paraId="299A40D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rsidR="001B5556" w14:paraId="1DB669C6" w14:textId="77777777">
      <w:pPr>
        <w:pStyle w:val="ListParagraph"/>
        <w:rPr>
          <w:rFonts w:ascii="Times New Roman" w:hAnsi="Times New Roman"/>
          <w:bCs/>
          <w:sz w:val="22"/>
          <w:szCs w:val="22"/>
        </w:rPr>
      </w:pPr>
    </w:p>
    <w:p w:rsidR="001B5556" w14:paraId="7A049975" w14:textId="1FA5544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rsidR="001B5556" w14:paraId="1D80171D" w14:textId="77777777">
      <w:pPr>
        <w:pStyle w:val="Level2"/>
        <w:numPr>
          <w:ilvl w:val="0"/>
          <w:numId w:val="0"/>
        </w:numPr>
        <w:spacing w:after="0" w:line="300" w:lineRule="exact"/>
        <w:rPr>
          <w:rFonts w:ascii="Times New Roman" w:hAnsi="Times New Roman"/>
          <w:bCs/>
          <w:sz w:val="22"/>
          <w:szCs w:val="22"/>
        </w:rPr>
      </w:pPr>
    </w:p>
    <w:p w:rsidR="001B5556" w14:paraId="560385E1"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B5556" w14:paraId="6033FA7A"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51D102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rsidR="001B5556" w14:paraId="0702AA34"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C48392D" w14:textId="2989DACE">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caso não haja a quitação integral de todos os valores devidos pela Emissora no âmbito da 1ª Emissão </w:t>
      </w:r>
      <w:r w:rsidR="002B04D2">
        <w:rPr>
          <w:rFonts w:ascii="Times New Roman" w:hAnsi="Times New Roman"/>
          <w:sz w:val="22"/>
          <w:szCs w:val="22"/>
          <w:lang w:eastAsia="pt-BR"/>
        </w:rPr>
        <w:t>na</w:t>
      </w:r>
      <w:r>
        <w:rPr>
          <w:rFonts w:ascii="Times New Roman" w:hAnsi="Times New Roman"/>
          <w:sz w:val="22"/>
          <w:szCs w:val="22"/>
          <w:lang w:eastAsia="pt-BR"/>
        </w:rPr>
        <w:t xml:space="preserve"> Data de Início da Rentabilidade;</w:t>
      </w:r>
    </w:p>
    <w:p w:rsidR="001B5556" w14:paraId="49C6343C" w14:textId="77777777">
      <w:pPr>
        <w:pStyle w:val="Level3"/>
        <w:numPr>
          <w:ilvl w:val="0"/>
          <w:numId w:val="0"/>
        </w:numPr>
        <w:spacing w:after="0" w:line="300" w:lineRule="exact"/>
        <w:ind w:left="567"/>
        <w:outlineLvl w:val="2"/>
        <w:rPr>
          <w:rFonts w:ascii="Times New Roman" w:hAnsi="Times New Roman"/>
          <w:sz w:val="22"/>
          <w:szCs w:val="22"/>
        </w:rPr>
      </w:pPr>
    </w:p>
    <w:p w:rsidR="001B5556" w:rsidRPr="00113411" w14:paraId="53CEC72D" w14:textId="3CD47D24">
      <w:pPr>
        <w:pStyle w:val="Level3"/>
        <w:numPr>
          <w:ilvl w:val="0"/>
          <w:numId w:val="62"/>
        </w:numPr>
        <w:spacing w:after="0" w:line="300" w:lineRule="exact"/>
        <w:ind w:left="567" w:firstLine="0"/>
        <w:outlineLvl w:val="2"/>
        <w:rPr>
          <w:rFonts w:ascii="Times New Roman" w:hAnsi="Times New Roman"/>
          <w:sz w:val="22"/>
          <w:szCs w:val="22"/>
          <w:lang w:eastAsia="pt-BR"/>
        </w:rPr>
      </w:pPr>
      <w:r w:rsidRPr="00113411">
        <w:rPr>
          <w:rFonts w:ascii="Times New Roman" w:hAnsi="Times New Roman"/>
          <w:sz w:val="22"/>
          <w:szCs w:val="22"/>
        </w:rPr>
        <w:t xml:space="preserve">protesto de títulos realizado contra a Emissora, e/ou contra os Garantidores e/ou suas </w:t>
      </w:r>
      <w:r w:rsidRPr="00113411">
        <w:rPr>
          <w:rFonts w:ascii="Times New Roman" w:hAnsi="Times New Roman"/>
          <w:sz w:val="22"/>
          <w:szCs w:val="22"/>
        </w:rPr>
        <w:t>respectivas Controladas</w:t>
      </w:r>
      <w:r w:rsidRPr="00113411">
        <w:rPr>
          <w:rFonts w:ascii="Times New Roman" w:hAnsi="Times New Roman"/>
          <w:sz w:val="22"/>
          <w:szCs w:val="22"/>
        </w:rPr>
        <w:t xml:space="preserve"> </w:t>
      </w:r>
      <w:r w:rsidRPr="00113411">
        <w:rPr>
          <w:rFonts w:ascii="Times New Roman" w:hAnsi="Times New Roman"/>
          <w:sz w:val="22"/>
          <w:szCs w:val="22"/>
          <w:lang w:eastAsia="pt-BR"/>
        </w:rPr>
        <w:t>diretas ou indiretas</w:t>
      </w:r>
      <w:r w:rsidRPr="00113411">
        <w:rPr>
          <w:rFonts w:ascii="Times New Roman" w:hAnsi="Times New Roman"/>
          <w:sz w:val="22"/>
          <w:szCs w:val="22"/>
        </w:rPr>
        <w:t xml:space="preserve">, ainda que na qualidade de garantidor, conforme o caso, com valor individual ou agregado superior a </w:t>
      </w:r>
      <w:r w:rsidRPr="00113411" w:rsidR="000B003C">
        <w:rPr>
          <w:rFonts w:ascii="Times New Roman" w:hAnsi="Times New Roman"/>
          <w:sz w:val="22"/>
          <w:szCs w:val="22"/>
        </w:rPr>
        <w:t>R$8.000.000,00 (oito milhões de reais)</w:t>
      </w:r>
      <w:r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sidRPr="00113411">
        <w:rPr>
          <w:rFonts w:ascii="Times New Roman" w:hAnsi="Times New Roman"/>
          <w:sz w:val="22"/>
          <w:szCs w:val="22"/>
        </w:rPr>
        <w:t>5 (</w:t>
      </w:r>
      <w:r w:rsidR="00842488">
        <w:rPr>
          <w:rFonts w:ascii="Times New Roman" w:hAnsi="Times New Roman"/>
          <w:sz w:val="22"/>
          <w:szCs w:val="22"/>
        </w:rPr>
        <w:t>quinze</w:t>
      </w:r>
      <w:r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Pr="00113411">
        <w:rPr>
          <w:rFonts w:ascii="Times New Roman" w:hAnsi="Times New Roman"/>
          <w:sz w:val="22"/>
          <w:szCs w:val="22"/>
        </w:rPr>
        <w:t>) teve a sua exigibilidade suspensa;</w:t>
      </w:r>
    </w:p>
    <w:p w:rsidR="001B5556" w14:paraId="3EBBD9F9"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7A5EA0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B5556" w14:paraId="430F7D03"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43BA29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1B5556" w14:paraId="3ED99E8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A262F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1B5556" w14:paraId="19BAE4F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1ED8AC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rsidR="001B5556" w14:paraId="00F2BC7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7B3584A2"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B5556" w14:paraId="4F2E45C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3772C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B5556" w14:paraId="133C135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2BDD30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B5556" w14:paraId="4755B41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EBD76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1B5556" w14:paraId="1BB3D94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5DA3FFA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p>
    <w:p w:rsidR="001B5556" w14:paraId="779317E8" w14:textId="77777777">
      <w:pPr>
        <w:pStyle w:val="Level3"/>
        <w:numPr>
          <w:ilvl w:val="0"/>
          <w:numId w:val="0"/>
        </w:numPr>
        <w:spacing w:after="0" w:line="300" w:lineRule="exact"/>
        <w:outlineLvl w:val="2"/>
        <w:rPr>
          <w:rFonts w:ascii="Times New Roman" w:hAnsi="Times New Roman"/>
          <w:sz w:val="22"/>
          <w:szCs w:val="22"/>
          <w:lang w:eastAsia="pt-BR"/>
        </w:rPr>
      </w:pPr>
    </w:p>
    <w:p w:rsidR="001B5556" w14:paraId="61091D9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B5556" w14:paraId="35C1CD1A"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32D57F1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B5556" w14:paraId="66E639B5"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B5556" w14:paraId="2940B7B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5C08A3CF" w14:textId="77777777">
        <w:tblPrEx>
          <w:tblW w:w="0" w:type="auto"/>
          <w:tblLook w:val="04A0"/>
        </w:tblPrEx>
        <w:tc>
          <w:tcPr>
            <w:tcW w:w="4490" w:type="dxa"/>
            <w:shd w:val="clear" w:color="auto" w:fill="auto"/>
          </w:tcPr>
          <w:p w:rsidR="001B5556" w14:paraId="437A50E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B5556" w14:paraId="467D9D4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14:paraId="1B97D07F" w14:textId="77777777">
        <w:tblPrEx>
          <w:tblW w:w="0" w:type="auto"/>
          <w:tblLook w:val="04A0"/>
        </w:tblPrEx>
        <w:tc>
          <w:tcPr>
            <w:tcW w:w="4490" w:type="dxa"/>
            <w:shd w:val="clear" w:color="auto" w:fill="auto"/>
          </w:tcPr>
          <w:p w:rsidR="001B5556" w14:paraId="52811A4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B5556" w14:paraId="3DDB27E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ao exercício social findo em 31 de dezembro de 2022 </w:t>
            </w:r>
          </w:p>
        </w:tc>
      </w:tr>
      <w:tr w14:paraId="2E9D99EE" w14:textId="77777777">
        <w:tblPrEx>
          <w:tblW w:w="0" w:type="auto"/>
          <w:tblLook w:val="04A0"/>
        </w:tblPrEx>
        <w:tc>
          <w:tcPr>
            <w:tcW w:w="4490" w:type="dxa"/>
            <w:shd w:val="clear" w:color="auto" w:fill="auto"/>
          </w:tcPr>
          <w:p w:rsidR="001B5556" w14:paraId="2A26555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B5556" w14:paraId="1BA546E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 inclusive, bem como aos exercícios sociais subsequentes.</w:t>
            </w:r>
          </w:p>
        </w:tc>
      </w:tr>
    </w:tbl>
    <w:p w:rsidR="001B5556" w14:paraId="6F271806" w14:textId="77777777">
      <w:pPr>
        <w:pStyle w:val="Level2"/>
        <w:numPr>
          <w:ilvl w:val="0"/>
          <w:numId w:val="0"/>
        </w:numPr>
        <w:spacing w:after="0" w:line="300" w:lineRule="exact"/>
        <w:rPr>
          <w:rFonts w:ascii="Times New Roman" w:hAnsi="Times New Roman"/>
          <w:bCs/>
          <w:sz w:val="22"/>
          <w:szCs w:val="22"/>
        </w:rPr>
      </w:pPr>
    </w:p>
    <w:p w:rsidR="001B5556" w14:paraId="49D192D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B5556" w14:paraId="07FB3B45" w14:textId="77777777">
      <w:pPr>
        <w:pStyle w:val="Level2"/>
        <w:numPr>
          <w:ilvl w:val="0"/>
          <w:numId w:val="0"/>
        </w:numPr>
        <w:spacing w:after="0" w:line="300" w:lineRule="exact"/>
        <w:rPr>
          <w:rFonts w:ascii="Times New Roman" w:hAnsi="Times New Roman"/>
          <w:bCs/>
          <w:sz w:val="22"/>
          <w:szCs w:val="22"/>
        </w:rPr>
      </w:pPr>
    </w:p>
    <w:p w:rsidR="001B5556" w14:paraId="4C1D6E8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B5556" w14:paraId="20260E2E" w14:textId="77777777">
      <w:pPr>
        <w:pStyle w:val="Level2"/>
        <w:numPr>
          <w:ilvl w:val="0"/>
          <w:numId w:val="0"/>
        </w:numPr>
        <w:spacing w:after="0" w:line="300" w:lineRule="exact"/>
        <w:ind w:left="567"/>
        <w:rPr>
          <w:rFonts w:ascii="Times New Roman" w:hAnsi="Times New Roman"/>
          <w:bCs/>
          <w:sz w:val="22"/>
          <w:szCs w:val="22"/>
        </w:rPr>
      </w:pPr>
    </w:p>
    <w:p w:rsidR="001B5556" w14:paraId="6EFACC15"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B5556" w14:paraId="26742583" w14:textId="77777777">
      <w:pPr>
        <w:pStyle w:val="Level2"/>
        <w:numPr>
          <w:ilvl w:val="0"/>
          <w:numId w:val="0"/>
        </w:numPr>
        <w:spacing w:after="0" w:line="300" w:lineRule="exact"/>
        <w:ind w:left="567"/>
        <w:rPr>
          <w:rFonts w:ascii="Times New Roman" w:hAnsi="Times New Roman"/>
          <w:bCs/>
          <w:sz w:val="22"/>
          <w:szCs w:val="22"/>
        </w:rPr>
      </w:pPr>
    </w:p>
    <w:p w:rsidR="001B5556" w14:paraId="50CFCB03"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ações preferenciais resgatáveis a critério exclusivo do 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 xml:space="preserve">com a OI S.A. – em Recuperação </w:t>
      </w:r>
      <w:r>
        <w:rPr>
          <w:rFonts w:ascii="Times New Roman" w:hAnsi="Times New Roman"/>
          <w:bCs/>
          <w:sz w:val="22"/>
          <w:szCs w:val="22"/>
        </w:rPr>
        <w:t>Jucidical</w:t>
      </w:r>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1B5556" w14:paraId="4EAC0350" w14:textId="77777777">
      <w:pPr>
        <w:pStyle w:val="Level2"/>
        <w:numPr>
          <w:ilvl w:val="0"/>
          <w:numId w:val="0"/>
        </w:numPr>
        <w:spacing w:after="0" w:line="300" w:lineRule="exact"/>
        <w:ind w:left="567"/>
        <w:rPr>
          <w:rFonts w:ascii="Times New Roman" w:hAnsi="Times New Roman"/>
          <w:bCs/>
          <w:sz w:val="22"/>
          <w:szCs w:val="22"/>
        </w:rPr>
      </w:pPr>
    </w:p>
    <w:p w:rsidR="001B5556" w14:paraId="3807EA02"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conforme cada item seja reportado nas demonstrações financeiras consolidadas da Emissora; e</w:t>
      </w:r>
    </w:p>
    <w:p w:rsidR="001B5556" w14:paraId="22A90F51" w14:textId="77777777">
      <w:pPr>
        <w:pStyle w:val="Level2"/>
        <w:numPr>
          <w:ilvl w:val="0"/>
          <w:numId w:val="0"/>
        </w:numPr>
        <w:spacing w:after="0" w:line="300" w:lineRule="exact"/>
        <w:ind w:left="567"/>
        <w:rPr>
          <w:rFonts w:ascii="Times New Roman" w:hAnsi="Times New Roman"/>
          <w:bCs/>
          <w:sz w:val="22"/>
          <w:szCs w:val="22"/>
        </w:rPr>
      </w:pPr>
    </w:p>
    <w:p w:rsidR="001B5556" w14:paraId="4ABD5FEE" w14:textId="3C713429">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rsidR="001B5556" w14:paraId="5E160E91" w14:textId="77777777">
      <w:pPr>
        <w:pStyle w:val="Level2"/>
        <w:numPr>
          <w:ilvl w:val="0"/>
          <w:numId w:val="0"/>
        </w:numPr>
        <w:spacing w:after="0" w:line="300" w:lineRule="exact"/>
        <w:rPr>
          <w:rFonts w:ascii="Times New Roman" w:hAnsi="Times New Roman"/>
          <w:bCs/>
          <w:sz w:val="22"/>
          <w:szCs w:val="22"/>
        </w:rPr>
      </w:pPr>
    </w:p>
    <w:p w:rsidR="001B5556" w14:paraId="0F39BA1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B5556" w14:paraId="34A540BA" w14:textId="77777777">
      <w:pPr>
        <w:pStyle w:val="Level2"/>
        <w:numPr>
          <w:ilvl w:val="0"/>
          <w:numId w:val="0"/>
        </w:numPr>
        <w:spacing w:after="0" w:line="300" w:lineRule="exact"/>
        <w:rPr>
          <w:rFonts w:ascii="Times New Roman" w:hAnsi="Times New Roman"/>
          <w:bCs/>
          <w:sz w:val="22"/>
          <w:szCs w:val="22"/>
        </w:rPr>
      </w:pPr>
    </w:p>
    <w:p w:rsidR="001B5556" w14:paraId="42B0EBC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1B5556" w14:paraId="1851DA5B" w14:textId="77777777">
      <w:pPr>
        <w:pStyle w:val="Level2"/>
        <w:numPr>
          <w:ilvl w:val="0"/>
          <w:numId w:val="0"/>
        </w:numPr>
        <w:spacing w:after="0" w:line="300" w:lineRule="exact"/>
        <w:rPr>
          <w:rFonts w:ascii="Times New Roman" w:hAnsi="Times New Roman"/>
          <w:bCs/>
          <w:sz w:val="22"/>
          <w:szCs w:val="22"/>
        </w:rPr>
      </w:pPr>
    </w:p>
    <w:p w:rsidR="001B5556" w14:paraId="17329D3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1B5556" w14:paraId="0BC61DC0" w14:textId="77777777">
      <w:pPr>
        <w:pStyle w:val="Level2"/>
        <w:numPr>
          <w:ilvl w:val="0"/>
          <w:numId w:val="0"/>
        </w:numPr>
        <w:spacing w:after="0" w:line="300" w:lineRule="exact"/>
        <w:rPr>
          <w:rFonts w:ascii="Times New Roman" w:hAnsi="Times New Roman"/>
          <w:bCs/>
          <w:sz w:val="22"/>
          <w:szCs w:val="22"/>
        </w:rPr>
      </w:pPr>
    </w:p>
    <w:p w:rsidR="001B5556" w14:paraId="4A700F4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r>
        <w:rPr>
          <w:rFonts w:ascii="Times New Roman" w:hAnsi="Times New Roman"/>
          <w:bCs/>
          <w:sz w:val="22"/>
          <w:szCs w:val="22"/>
        </w:rPr>
        <w:t>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B5556" w14:paraId="4806663D" w14:textId="77777777">
      <w:pPr>
        <w:pStyle w:val="Level2"/>
        <w:numPr>
          <w:ilvl w:val="0"/>
          <w:numId w:val="0"/>
        </w:numPr>
        <w:spacing w:after="0" w:line="300" w:lineRule="exact"/>
        <w:rPr>
          <w:rFonts w:ascii="Times New Roman" w:hAnsi="Times New Roman"/>
          <w:bCs/>
          <w:sz w:val="22"/>
          <w:szCs w:val="22"/>
        </w:rPr>
      </w:pPr>
    </w:p>
    <w:p w:rsidR="001B5556" w14:paraId="388D176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1B5556" w14:paraId="17C71A04" w14:textId="77777777">
      <w:pPr>
        <w:pStyle w:val="Level2"/>
        <w:numPr>
          <w:ilvl w:val="0"/>
          <w:numId w:val="0"/>
        </w:numPr>
        <w:spacing w:after="0" w:line="300" w:lineRule="exact"/>
        <w:rPr>
          <w:rFonts w:ascii="Times New Roman" w:hAnsi="Times New Roman"/>
          <w:bCs/>
          <w:sz w:val="22"/>
          <w:szCs w:val="22"/>
        </w:rPr>
      </w:pPr>
    </w:p>
    <w:p w:rsidR="001B5556" w14:paraId="4C3DD84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B5556" w14:paraId="7B9E166B" w14:textId="77777777">
      <w:pPr>
        <w:pStyle w:val="Level2"/>
        <w:numPr>
          <w:ilvl w:val="0"/>
          <w:numId w:val="0"/>
        </w:numPr>
        <w:spacing w:after="0" w:line="300" w:lineRule="exact"/>
        <w:rPr>
          <w:rFonts w:ascii="Times New Roman" w:hAnsi="Times New Roman"/>
          <w:bCs/>
          <w:sz w:val="22"/>
          <w:szCs w:val="22"/>
        </w:rPr>
      </w:pPr>
    </w:p>
    <w:p w:rsidR="001B5556" w14:paraId="7ACEFAC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B5556" w14:paraId="7177CADB"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B5556" w14:paraId="1BAE2BAC" w14:textId="77777777">
      <w:pPr>
        <w:pStyle w:val="Level2"/>
        <w:numPr>
          <w:ilvl w:val="0"/>
          <w:numId w:val="0"/>
        </w:numPr>
        <w:spacing w:after="0" w:line="300" w:lineRule="exact"/>
        <w:rPr>
          <w:rFonts w:ascii="Times New Roman" w:hAnsi="Times New Roman"/>
          <w:bCs/>
          <w:sz w:val="22"/>
          <w:szCs w:val="22"/>
        </w:rPr>
      </w:pPr>
    </w:p>
    <w:p w:rsidR="001B5556" w14:paraId="03CE1F8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rsidR="001B5556" w14:paraId="159D5BA9" w14:textId="77777777">
      <w:pPr>
        <w:pStyle w:val="Level2"/>
        <w:numPr>
          <w:ilvl w:val="0"/>
          <w:numId w:val="0"/>
        </w:numPr>
        <w:spacing w:after="0" w:line="300" w:lineRule="exact"/>
        <w:rPr>
          <w:rFonts w:ascii="Times New Roman" w:hAnsi="Times New Roman"/>
          <w:bCs/>
          <w:sz w:val="22"/>
          <w:szCs w:val="22"/>
        </w:rPr>
      </w:pPr>
    </w:p>
    <w:p w:rsidR="001B5556" w14:paraId="50D22A6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B5556" w14:paraId="29B17A40" w14:textId="77777777">
      <w:pPr>
        <w:pStyle w:val="Level2"/>
        <w:numPr>
          <w:ilvl w:val="0"/>
          <w:numId w:val="0"/>
        </w:numPr>
        <w:spacing w:after="0" w:line="300" w:lineRule="exact"/>
        <w:ind w:left="1080"/>
        <w:rPr>
          <w:rFonts w:ascii="Times New Roman" w:hAnsi="Times New Roman"/>
          <w:bCs/>
          <w:sz w:val="22"/>
          <w:szCs w:val="22"/>
        </w:rPr>
      </w:pPr>
    </w:p>
    <w:p w:rsidR="001B5556" w14:paraId="18ABB202"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B5556" w14:paraId="0DD8B884"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B5556" w14:paraId="4E2B65DC"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rsidR="001B5556" w14:paraId="71EF94D1"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B5556" w14:paraId="0F2D0559"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rsidR="001B5556" w14:paraId="4D32DEB4"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rsidR="001B5556" w14:paraId="33968226"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B5556" w14:paraId="300BAEB8"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B5556" w14:paraId="4B3A8430"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B5556" w14:paraId="1EEDF9E2"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1B5556" w14:paraId="2A9821C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B5556" w14:paraId="29549E7E" w14:textId="77777777">
      <w:pPr>
        <w:pStyle w:val="Level2"/>
        <w:numPr>
          <w:ilvl w:val="0"/>
          <w:numId w:val="0"/>
        </w:numPr>
        <w:spacing w:after="0" w:line="300" w:lineRule="exact"/>
        <w:ind w:left="1080"/>
        <w:rPr>
          <w:rFonts w:ascii="Times New Roman" w:hAnsi="Times New Roman"/>
          <w:bCs/>
          <w:sz w:val="22"/>
          <w:szCs w:val="22"/>
        </w:rPr>
      </w:pPr>
    </w:p>
    <w:p w:rsidR="001B5556" w14:paraId="2E512164"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1B5556" w14:paraId="797AB617" w14:textId="77777777">
      <w:pPr>
        <w:pStyle w:val="Level2"/>
        <w:numPr>
          <w:ilvl w:val="0"/>
          <w:numId w:val="0"/>
        </w:numPr>
        <w:spacing w:after="0" w:line="300" w:lineRule="exact"/>
        <w:ind w:left="1080"/>
        <w:rPr>
          <w:rFonts w:ascii="Times New Roman" w:hAnsi="Times New Roman"/>
          <w:color w:val="000000"/>
          <w:sz w:val="22"/>
          <w:szCs w:val="22"/>
        </w:rPr>
      </w:pPr>
    </w:p>
    <w:p w:rsidR="001B5556" w14:paraId="73A89C78"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B5556" w14:paraId="26879B36" w14:textId="77777777">
      <w:pPr>
        <w:pStyle w:val="Level2"/>
        <w:numPr>
          <w:ilvl w:val="0"/>
          <w:numId w:val="0"/>
        </w:numPr>
        <w:spacing w:after="0" w:line="300" w:lineRule="exact"/>
        <w:ind w:left="1080"/>
        <w:rPr>
          <w:rFonts w:ascii="Times New Roman" w:hAnsi="Times New Roman"/>
          <w:color w:val="000000"/>
          <w:sz w:val="22"/>
          <w:szCs w:val="22"/>
        </w:rPr>
      </w:pPr>
    </w:p>
    <w:p w:rsidR="001B5556" w14:paraId="3B5A2495"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B5556" w14:paraId="0C3A4A4A" w14:textId="77777777">
      <w:pPr>
        <w:pStyle w:val="Level2"/>
        <w:numPr>
          <w:ilvl w:val="0"/>
          <w:numId w:val="0"/>
        </w:numPr>
        <w:spacing w:after="0" w:line="300" w:lineRule="exact"/>
        <w:ind w:left="1080"/>
        <w:rPr>
          <w:rFonts w:ascii="Times New Roman" w:hAnsi="Times New Roman"/>
          <w:bCs/>
          <w:sz w:val="22"/>
          <w:szCs w:val="22"/>
        </w:rPr>
      </w:pPr>
    </w:p>
    <w:p w:rsidR="001B5556" w14:paraId="3340AA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B5556" w14:paraId="52D65A75" w14:textId="77777777">
      <w:pPr>
        <w:pStyle w:val="Level2"/>
        <w:numPr>
          <w:ilvl w:val="0"/>
          <w:numId w:val="0"/>
        </w:numPr>
        <w:spacing w:after="0" w:line="300" w:lineRule="exact"/>
        <w:ind w:left="1080"/>
        <w:rPr>
          <w:rFonts w:ascii="Times New Roman" w:hAnsi="Times New Roman"/>
          <w:bCs/>
          <w:sz w:val="22"/>
          <w:szCs w:val="22"/>
        </w:rPr>
      </w:pPr>
    </w:p>
    <w:p w:rsidR="001B5556" w14:paraId="04590BF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e o Agente Fiduciário;</w:t>
      </w:r>
    </w:p>
    <w:p w:rsidR="001B5556" w14:paraId="672C541F" w14:textId="77777777">
      <w:pPr>
        <w:pStyle w:val="Level2"/>
        <w:numPr>
          <w:ilvl w:val="0"/>
          <w:numId w:val="0"/>
        </w:numPr>
        <w:spacing w:after="0" w:line="300" w:lineRule="exact"/>
        <w:ind w:left="1080"/>
        <w:rPr>
          <w:rFonts w:ascii="Times New Roman" w:hAnsi="Times New Roman"/>
          <w:bCs/>
          <w:sz w:val="22"/>
          <w:szCs w:val="22"/>
        </w:rPr>
      </w:pPr>
    </w:p>
    <w:p w:rsidR="001B5556" w14:paraId="2AA42A3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B5556" w14:paraId="76F44A9B" w14:textId="77777777">
      <w:pPr>
        <w:pStyle w:val="Level2"/>
        <w:numPr>
          <w:ilvl w:val="0"/>
          <w:numId w:val="0"/>
        </w:numPr>
        <w:spacing w:after="0" w:line="300" w:lineRule="exact"/>
        <w:ind w:left="1080"/>
        <w:rPr>
          <w:rFonts w:ascii="Times New Roman" w:hAnsi="Times New Roman"/>
          <w:bCs/>
          <w:sz w:val="22"/>
          <w:szCs w:val="22"/>
        </w:rPr>
      </w:pPr>
    </w:p>
    <w:p w:rsidR="001B5556" w14:paraId="14DF193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rsidR="001B5556" w14:paraId="4DD72507" w14:textId="77777777">
      <w:pPr>
        <w:pStyle w:val="Level2"/>
        <w:numPr>
          <w:ilvl w:val="0"/>
          <w:numId w:val="0"/>
        </w:numPr>
        <w:spacing w:after="0" w:line="300" w:lineRule="exact"/>
        <w:ind w:left="1080"/>
        <w:rPr>
          <w:rFonts w:ascii="Times New Roman" w:hAnsi="Times New Roman"/>
          <w:bCs/>
          <w:sz w:val="22"/>
          <w:szCs w:val="22"/>
        </w:rPr>
      </w:pPr>
    </w:p>
    <w:p w:rsidR="001B5556" w14:paraId="51B453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B5556" w14:paraId="0DF0C322" w14:textId="77777777">
      <w:pPr>
        <w:pStyle w:val="Level2"/>
        <w:numPr>
          <w:ilvl w:val="0"/>
          <w:numId w:val="0"/>
        </w:numPr>
        <w:spacing w:after="0" w:line="300" w:lineRule="exact"/>
        <w:ind w:left="1080"/>
        <w:rPr>
          <w:rFonts w:ascii="Times New Roman" w:hAnsi="Times New Roman"/>
          <w:bCs/>
          <w:sz w:val="22"/>
          <w:szCs w:val="22"/>
        </w:rPr>
      </w:pPr>
    </w:p>
    <w:p w:rsidR="001B5556" w14:paraId="687A969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B5556" w14:paraId="41F0E5C5" w14:textId="77777777">
      <w:pPr>
        <w:pStyle w:val="Level2"/>
        <w:numPr>
          <w:ilvl w:val="0"/>
          <w:numId w:val="0"/>
        </w:numPr>
        <w:spacing w:after="0" w:line="300" w:lineRule="exact"/>
        <w:ind w:left="1080"/>
        <w:rPr>
          <w:rFonts w:ascii="Times New Roman" w:hAnsi="Times New Roman"/>
          <w:bCs/>
          <w:sz w:val="22"/>
          <w:szCs w:val="22"/>
        </w:rPr>
      </w:pPr>
    </w:p>
    <w:p w:rsidR="001B5556" w14:paraId="51AB7D2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B5556" w14:paraId="3AECF8B1" w14:textId="77777777">
      <w:pPr>
        <w:pStyle w:val="Level2"/>
        <w:numPr>
          <w:ilvl w:val="0"/>
          <w:numId w:val="0"/>
        </w:numPr>
        <w:spacing w:after="0" w:line="300" w:lineRule="exact"/>
        <w:ind w:left="1080"/>
        <w:rPr>
          <w:rFonts w:ascii="Times New Roman" w:hAnsi="Times New Roman"/>
          <w:bCs/>
          <w:sz w:val="22"/>
          <w:szCs w:val="22"/>
        </w:rPr>
      </w:pPr>
    </w:p>
    <w:p w:rsidR="001B5556" w14:paraId="300D68A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1B5556" w14:paraId="0D73C986" w14:textId="77777777">
      <w:pPr>
        <w:pStyle w:val="Level2"/>
        <w:numPr>
          <w:ilvl w:val="0"/>
          <w:numId w:val="0"/>
        </w:numPr>
        <w:spacing w:after="0" w:line="300" w:lineRule="exact"/>
        <w:ind w:left="1080"/>
        <w:rPr>
          <w:rFonts w:ascii="Times New Roman" w:hAnsi="Times New Roman"/>
          <w:bCs/>
          <w:sz w:val="22"/>
          <w:szCs w:val="22"/>
        </w:rPr>
      </w:pPr>
    </w:p>
    <w:p w:rsidR="001B5556" w14:paraId="2E06D5C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B5556" w14:paraId="5743DA54" w14:textId="77777777">
      <w:pPr>
        <w:pStyle w:val="Level2"/>
        <w:numPr>
          <w:ilvl w:val="0"/>
          <w:numId w:val="0"/>
        </w:numPr>
        <w:spacing w:after="0" w:line="300" w:lineRule="exact"/>
        <w:ind w:left="1080"/>
        <w:rPr>
          <w:rFonts w:ascii="Times New Roman" w:hAnsi="Times New Roman"/>
          <w:bCs/>
          <w:sz w:val="22"/>
          <w:szCs w:val="22"/>
        </w:rPr>
      </w:pPr>
    </w:p>
    <w:p w:rsidR="001B5556" w14:paraId="611BBAB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1B5556" w14:paraId="7FD684B2" w14:textId="77777777">
      <w:pPr>
        <w:pStyle w:val="Level2"/>
        <w:numPr>
          <w:ilvl w:val="0"/>
          <w:numId w:val="0"/>
        </w:numPr>
        <w:spacing w:after="0" w:line="300" w:lineRule="exact"/>
        <w:ind w:left="1080"/>
        <w:rPr>
          <w:rFonts w:ascii="Times New Roman" w:hAnsi="Times New Roman"/>
          <w:bCs/>
          <w:sz w:val="22"/>
          <w:szCs w:val="22"/>
        </w:rPr>
      </w:pPr>
    </w:p>
    <w:p w:rsidR="001B5556" w14:paraId="63ADA3C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w:t>
      </w:r>
      <w:r>
        <w:rPr>
          <w:rFonts w:ascii="Times New Roman" w:hAnsi="Times New Roman"/>
          <w:bCs/>
          <w:i/>
          <w:iCs/>
          <w:sz w:val="22"/>
          <w:szCs w:val="22"/>
        </w:rPr>
        <w:t>of</w:t>
      </w:r>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1B5556" w14:paraId="1771516E" w14:textId="77777777">
      <w:pPr>
        <w:pStyle w:val="Level2"/>
        <w:numPr>
          <w:ilvl w:val="0"/>
          <w:numId w:val="0"/>
        </w:numPr>
        <w:spacing w:after="0" w:line="300" w:lineRule="exact"/>
        <w:ind w:left="1080"/>
        <w:rPr>
          <w:rFonts w:ascii="Times New Roman" w:hAnsi="Times New Roman"/>
          <w:bCs/>
          <w:sz w:val="22"/>
          <w:szCs w:val="22"/>
        </w:rPr>
      </w:pPr>
    </w:p>
    <w:p w:rsidR="001B5556" w14:paraId="714DA2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B5556" w14:paraId="4A65DBA0" w14:textId="77777777">
      <w:pPr>
        <w:pStyle w:val="Level2"/>
        <w:numPr>
          <w:ilvl w:val="0"/>
          <w:numId w:val="0"/>
        </w:numPr>
        <w:spacing w:after="0" w:line="300" w:lineRule="exact"/>
        <w:ind w:left="1080"/>
        <w:rPr>
          <w:rFonts w:ascii="Times New Roman" w:hAnsi="Times New Roman"/>
          <w:bCs/>
          <w:sz w:val="22"/>
          <w:szCs w:val="22"/>
        </w:rPr>
      </w:pPr>
    </w:p>
    <w:p w:rsidR="001B5556" w14:paraId="40A765D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B5556" w14:paraId="70F9AA7C" w14:textId="77777777">
      <w:pPr>
        <w:pStyle w:val="Level2"/>
        <w:numPr>
          <w:ilvl w:val="0"/>
          <w:numId w:val="0"/>
        </w:numPr>
        <w:spacing w:after="0" w:line="300" w:lineRule="exact"/>
        <w:ind w:left="1080"/>
        <w:rPr>
          <w:rFonts w:ascii="Times New Roman" w:hAnsi="Times New Roman"/>
          <w:bCs/>
          <w:sz w:val="22"/>
          <w:szCs w:val="22"/>
        </w:rPr>
      </w:pPr>
    </w:p>
    <w:p w:rsidR="001B5556" w14:paraId="350E53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B5556" w14:paraId="01AC0A35" w14:textId="77777777">
      <w:pPr>
        <w:pStyle w:val="Level2"/>
        <w:numPr>
          <w:ilvl w:val="0"/>
          <w:numId w:val="0"/>
        </w:numPr>
        <w:spacing w:after="0" w:line="300" w:lineRule="exact"/>
        <w:ind w:left="1080"/>
        <w:rPr>
          <w:rFonts w:ascii="Times New Roman" w:hAnsi="Times New Roman"/>
          <w:bCs/>
          <w:sz w:val="22"/>
          <w:szCs w:val="22"/>
        </w:rPr>
      </w:pPr>
    </w:p>
    <w:p w:rsidR="001B5556" w14:paraId="4010533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1B5556" w14:paraId="4D565003" w14:textId="77777777">
      <w:pPr>
        <w:pStyle w:val="ListParagraph"/>
        <w:rPr>
          <w:rFonts w:ascii="Times New Roman" w:hAnsi="Times New Roman"/>
          <w:bCs/>
          <w:sz w:val="22"/>
          <w:szCs w:val="22"/>
        </w:rPr>
      </w:pPr>
    </w:p>
    <w:p w:rsidR="001B5556" w14:paraId="03484F7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B5556" w14:paraId="081C7F6A" w14:textId="77777777">
      <w:pPr>
        <w:pStyle w:val="Level2"/>
        <w:numPr>
          <w:ilvl w:val="0"/>
          <w:numId w:val="0"/>
        </w:numPr>
        <w:spacing w:after="0" w:line="300" w:lineRule="exact"/>
        <w:rPr>
          <w:rFonts w:ascii="Times New Roman" w:hAnsi="Times New Roman"/>
          <w:bCs/>
          <w:sz w:val="22"/>
          <w:szCs w:val="22"/>
        </w:rPr>
      </w:pPr>
    </w:p>
    <w:p w:rsidR="001B5556" w14:paraId="4850C56C"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B5556" w14:paraId="5DB2AEBE"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B5556" w14:paraId="2AE69CDF" w14:textId="77777777">
      <w:pPr>
        <w:pStyle w:val="Level2"/>
        <w:numPr>
          <w:ilvl w:val="0"/>
          <w:numId w:val="0"/>
        </w:numPr>
        <w:spacing w:after="0" w:line="300" w:lineRule="exact"/>
        <w:jc w:val="center"/>
        <w:rPr>
          <w:rFonts w:ascii="Times New Roman" w:hAnsi="Times New Roman"/>
          <w:b/>
          <w:bCs/>
          <w:sz w:val="22"/>
          <w:szCs w:val="22"/>
        </w:rPr>
      </w:pPr>
    </w:p>
    <w:p w:rsidR="001B5556" w14:paraId="6C1CD56D"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B5556" w14:paraId="29349C3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B5556" w14:paraId="6259360E" w14:textId="77777777">
      <w:pPr>
        <w:pStyle w:val="Level2"/>
        <w:numPr>
          <w:ilvl w:val="0"/>
          <w:numId w:val="0"/>
        </w:numPr>
        <w:spacing w:after="0" w:line="300" w:lineRule="exact"/>
        <w:rPr>
          <w:rFonts w:ascii="Times New Roman" w:hAnsi="Times New Roman"/>
          <w:bCs/>
          <w:sz w:val="22"/>
          <w:szCs w:val="22"/>
        </w:rPr>
      </w:pPr>
    </w:p>
    <w:p w:rsidR="001B5556" w14:paraId="137B95A6"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B5556" w14:paraId="0728BDA0" w14:textId="77777777">
      <w:pPr>
        <w:pStyle w:val="Level2"/>
        <w:numPr>
          <w:ilvl w:val="0"/>
          <w:numId w:val="0"/>
        </w:numPr>
        <w:spacing w:after="0" w:line="300" w:lineRule="exact"/>
        <w:rPr>
          <w:rFonts w:ascii="Times New Roman" w:hAnsi="Times New Roman"/>
          <w:b/>
          <w:sz w:val="22"/>
          <w:szCs w:val="22"/>
        </w:rPr>
      </w:pPr>
    </w:p>
    <w:p w:rsidR="001B5556" w14:paraId="40FF5F11"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B5556" w14:paraId="1FEEF501" w14:textId="77777777">
      <w:pPr>
        <w:spacing w:after="0" w:line="300" w:lineRule="exact"/>
        <w:rPr>
          <w:rFonts w:ascii="Times New Roman" w:hAnsi="Times New Roman"/>
          <w:sz w:val="22"/>
          <w:szCs w:val="22"/>
        </w:rPr>
      </w:pPr>
    </w:p>
    <w:p w:rsidR="001B5556" w14:paraId="2D39FB6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B5556" w14:paraId="246FA386" w14:textId="77777777">
      <w:pPr>
        <w:pStyle w:val="Level4"/>
        <w:numPr>
          <w:ilvl w:val="0"/>
          <w:numId w:val="0"/>
        </w:numPr>
        <w:spacing w:after="0" w:line="300" w:lineRule="exact"/>
        <w:ind w:left="426"/>
        <w:rPr>
          <w:rFonts w:ascii="Times New Roman" w:hAnsi="Times New Roman"/>
          <w:w w:val="0"/>
          <w:sz w:val="22"/>
          <w:szCs w:val="22"/>
        </w:rPr>
      </w:pPr>
    </w:p>
    <w:p w:rsidR="001B5556" w14:paraId="69E1091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1B5556" w14:paraId="7927C20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054A6EB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1B5556" w14:paraId="13872281"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2435A2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rsidR="001B5556" w14:paraId="2CE72360"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B5556" w14:paraId="3A44E81A"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B5556" w14:paraId="0088F93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1CCE58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B5556" w14:paraId="4C8D66B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67AB8D68"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B5556" w14:paraId="3B5CB309"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B5556" w14:paraId="6E4D3B7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B5556" w14:paraId="23EED385"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B5556" w14:paraId="1C354AE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B5556" w14:paraId="4386E1C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8912833"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B5556" w14:paraId="63C0053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5895F7C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1B5556" w14:paraId="0C4EBE52"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3E8186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B5556" w14:paraId="39FCB4E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EB4F66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1B5556" w14:paraId="6F5EC51B"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1BC9346"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B5556" w14:paraId="5A6A9EA6" w14:textId="77777777">
      <w:pPr>
        <w:spacing w:after="0" w:line="300" w:lineRule="exact"/>
        <w:rPr>
          <w:rFonts w:ascii="Times New Roman" w:hAnsi="Times New Roman"/>
          <w:sz w:val="22"/>
          <w:szCs w:val="22"/>
        </w:rPr>
      </w:pPr>
    </w:p>
    <w:p w:rsidR="001B5556" w14:paraId="4755255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B5556" w14:paraId="28855431" w14:textId="77777777">
      <w:pPr>
        <w:pStyle w:val="Level2"/>
        <w:numPr>
          <w:ilvl w:val="0"/>
          <w:numId w:val="0"/>
        </w:numPr>
        <w:spacing w:after="0" w:line="300" w:lineRule="exact"/>
        <w:rPr>
          <w:rFonts w:ascii="Times New Roman" w:hAnsi="Times New Roman"/>
          <w:sz w:val="22"/>
          <w:szCs w:val="22"/>
        </w:rPr>
      </w:pPr>
    </w:p>
    <w:p w:rsidR="001B5556" w14:paraId="1DFBA562"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B5556" w14:paraId="5A046250" w14:textId="77777777">
      <w:pPr>
        <w:spacing w:after="0" w:line="300" w:lineRule="exact"/>
        <w:rPr>
          <w:rFonts w:ascii="Times New Roman" w:hAnsi="Times New Roman"/>
          <w:b/>
          <w:sz w:val="22"/>
          <w:szCs w:val="22"/>
        </w:rPr>
      </w:pPr>
    </w:p>
    <w:p w:rsidR="001B5556" w14:paraId="753C7C5D"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B5556" w14:paraId="2C7BEBCE" w14:textId="77777777">
      <w:pPr>
        <w:spacing w:after="0" w:line="300" w:lineRule="exact"/>
        <w:rPr>
          <w:rFonts w:ascii="Times New Roman" w:hAnsi="Times New Roman"/>
          <w:sz w:val="22"/>
          <w:szCs w:val="22"/>
        </w:rPr>
      </w:pPr>
    </w:p>
    <w:p w:rsidR="001B5556" w14:paraId="29120698"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B5556" w14:paraId="3393B702" w14:textId="77777777">
      <w:pPr>
        <w:spacing w:after="0" w:line="300" w:lineRule="exact"/>
        <w:rPr>
          <w:rFonts w:ascii="Times New Roman" w:hAnsi="Times New Roman"/>
          <w:b/>
          <w:sz w:val="22"/>
          <w:szCs w:val="22"/>
        </w:rPr>
      </w:pPr>
    </w:p>
    <w:p w:rsidR="001B5556" w14:paraId="44E08DA2"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B5556" w14:paraId="75A66BBF" w14:textId="77777777">
      <w:pPr>
        <w:spacing w:after="0" w:line="300" w:lineRule="exact"/>
        <w:rPr>
          <w:rFonts w:ascii="Times New Roman" w:hAnsi="Times New Roman"/>
          <w:b/>
          <w:sz w:val="22"/>
          <w:szCs w:val="22"/>
        </w:rPr>
      </w:pPr>
    </w:p>
    <w:p w:rsidR="001B5556" w14:paraId="0C806DCF"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1B5556" w14:paraId="36015592" w14:textId="77777777">
      <w:pPr>
        <w:spacing w:after="0" w:line="300" w:lineRule="exact"/>
        <w:rPr>
          <w:rFonts w:ascii="Times New Roman" w:hAnsi="Times New Roman"/>
          <w:b/>
          <w:sz w:val="22"/>
          <w:szCs w:val="22"/>
        </w:rPr>
      </w:pPr>
    </w:p>
    <w:p w:rsidR="001B5556" w14:paraId="6C3CA4CB"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B5556" w14:paraId="6D8AE905" w14:textId="77777777">
      <w:pPr>
        <w:spacing w:after="0" w:line="300" w:lineRule="exact"/>
        <w:rPr>
          <w:rFonts w:ascii="Times New Roman" w:hAnsi="Times New Roman"/>
          <w:sz w:val="22"/>
          <w:szCs w:val="22"/>
        </w:rPr>
      </w:pPr>
    </w:p>
    <w:p w:rsidR="001B5556" w14:paraId="051A469A"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B5556" w14:paraId="5C133711" w14:textId="77777777">
      <w:pPr>
        <w:pStyle w:val="Level2"/>
        <w:numPr>
          <w:ilvl w:val="0"/>
          <w:numId w:val="0"/>
        </w:numPr>
        <w:spacing w:after="0" w:line="300" w:lineRule="exact"/>
        <w:rPr>
          <w:rFonts w:ascii="Times New Roman" w:hAnsi="Times New Roman"/>
          <w:bCs/>
          <w:sz w:val="22"/>
          <w:szCs w:val="22"/>
        </w:rPr>
      </w:pPr>
    </w:p>
    <w:p w:rsidR="001B5556" w14:paraId="68347F0F"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B5556" w14:paraId="40FB5444" w14:textId="77777777">
      <w:pPr>
        <w:pStyle w:val="Level2"/>
        <w:numPr>
          <w:ilvl w:val="0"/>
          <w:numId w:val="0"/>
        </w:numPr>
        <w:spacing w:after="0" w:line="300" w:lineRule="exact"/>
        <w:rPr>
          <w:rFonts w:ascii="Times New Roman" w:hAnsi="Times New Roman"/>
          <w:b/>
          <w:bCs/>
          <w:sz w:val="22"/>
          <w:szCs w:val="22"/>
        </w:rPr>
      </w:pPr>
    </w:p>
    <w:p w:rsidR="001B5556" w14:paraId="04DC8B2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B5556" w14:paraId="1BD3E1FD" w14:textId="77777777">
      <w:pPr>
        <w:pStyle w:val="Level2"/>
        <w:numPr>
          <w:ilvl w:val="0"/>
          <w:numId w:val="0"/>
        </w:numPr>
        <w:spacing w:after="0" w:line="300" w:lineRule="exact"/>
        <w:rPr>
          <w:rFonts w:ascii="Times New Roman" w:hAnsi="Times New Roman"/>
          <w:bCs/>
          <w:sz w:val="22"/>
          <w:szCs w:val="22"/>
        </w:rPr>
      </w:pPr>
    </w:p>
    <w:p w:rsidR="001B5556" w14:paraId="2A9179E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B5556" w14:paraId="29FF833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B5556" w14:paraId="4A58BF9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B5556" w14:paraId="49BA3CE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rsidR="001B5556" w14:paraId="08BF1CD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B5556" w14:paraId="26C35E4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B5556" w14:paraId="30044CF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B5556" w14:paraId="3008852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1B5556" w14:paraId="51E90D9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B5556" w14:paraId="74BA832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rsidR="001B5556" w14:paraId="3246B60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B5556" w14:paraId="5DC2076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B5556" w14:paraId="77A1F01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B5556" w14:paraId="1A84E37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B5556" w14:paraId="771669B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B5556" w14:paraId="31E1D756" w14:textId="77777777">
      <w:pPr>
        <w:pStyle w:val="Level2"/>
        <w:numPr>
          <w:ilvl w:val="0"/>
          <w:numId w:val="0"/>
        </w:numPr>
        <w:spacing w:line="300" w:lineRule="exact"/>
        <w:ind w:left="1800"/>
        <w:rPr>
          <w:rFonts w:ascii="Times New Roman" w:hAnsi="Times New Roman"/>
          <w:bCs/>
          <w:sz w:val="22"/>
          <w:szCs w:val="22"/>
        </w:rPr>
      </w:pPr>
    </w:p>
    <w:p w:rsidR="001B5556" w14:paraId="400ED9E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B5556" w14:paraId="14C96C33"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B5556" w14:paraId="0E48A3BE"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B5556" w14:paraId="13BE60E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B5556" w14:paraId="09975BB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B5556" w14:paraId="0EA5B23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B5556" w14:paraId="05B2360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B5556" w14:paraId="20CE984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B5556" w14:paraId="30B4ECC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B5556" w14:paraId="27EC7A5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B5556" w14:paraId="361E329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1B5556" w14:paraId="3F87ED0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B5556" w14:paraId="5C9BF58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B5556" w14:paraId="66276F1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B5556" w14:paraId="11DED6C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B5556" w14:paraId="2CE1391A" w14:textId="77777777">
      <w:pPr>
        <w:pStyle w:val="Level2"/>
        <w:numPr>
          <w:ilvl w:val="0"/>
          <w:numId w:val="0"/>
        </w:numPr>
        <w:spacing w:after="0" w:line="300" w:lineRule="exact"/>
        <w:rPr>
          <w:rFonts w:ascii="Times New Roman" w:hAnsi="Times New Roman"/>
          <w:bCs/>
          <w:sz w:val="22"/>
          <w:szCs w:val="22"/>
        </w:rPr>
      </w:pPr>
    </w:p>
    <w:p w:rsidR="001B5556" w14:paraId="57585A82"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B5556" w14:paraId="739512AD" w14:textId="77777777">
      <w:pPr>
        <w:pStyle w:val="Level2"/>
        <w:numPr>
          <w:ilvl w:val="0"/>
          <w:numId w:val="0"/>
        </w:numPr>
        <w:spacing w:after="0" w:line="300" w:lineRule="exact"/>
        <w:rPr>
          <w:rFonts w:ascii="Times New Roman" w:hAnsi="Times New Roman"/>
          <w:b/>
          <w:sz w:val="22"/>
          <w:szCs w:val="22"/>
        </w:rPr>
      </w:pPr>
    </w:p>
    <w:p w:rsidR="001B5556" w14:paraId="38FA74CE"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B5556" w14:paraId="7B5FC359" w14:textId="77777777">
      <w:pPr>
        <w:pStyle w:val="Level2"/>
        <w:numPr>
          <w:ilvl w:val="0"/>
          <w:numId w:val="0"/>
        </w:numPr>
        <w:spacing w:after="0" w:line="300" w:lineRule="exact"/>
        <w:rPr>
          <w:rFonts w:ascii="Times New Roman" w:hAnsi="Times New Roman"/>
          <w:sz w:val="22"/>
          <w:szCs w:val="22"/>
        </w:rPr>
      </w:pPr>
    </w:p>
    <w:p w:rsidR="001B5556" w14:paraId="23D6163C"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B5556" w14:paraId="671FBAA9" w14:textId="77777777">
      <w:pPr>
        <w:keepNext/>
        <w:tabs>
          <w:tab w:val="left" w:pos="851"/>
        </w:tabs>
        <w:spacing w:after="0" w:line="300" w:lineRule="exact"/>
        <w:rPr>
          <w:rFonts w:ascii="Times New Roman" w:hAnsi="Times New Roman"/>
          <w:sz w:val="22"/>
          <w:szCs w:val="22"/>
        </w:rPr>
      </w:pPr>
    </w:p>
    <w:p w:rsidR="001B5556" w14:paraId="4748CE72"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B5556" w14:paraId="4F24B837" w14:textId="77777777">
      <w:pPr>
        <w:pStyle w:val="Level2"/>
        <w:numPr>
          <w:ilvl w:val="0"/>
          <w:numId w:val="0"/>
        </w:numPr>
        <w:spacing w:after="0" w:line="300" w:lineRule="exact"/>
        <w:rPr>
          <w:rFonts w:ascii="Times New Roman" w:hAnsi="Times New Roman"/>
          <w:sz w:val="22"/>
          <w:szCs w:val="22"/>
        </w:rPr>
      </w:pPr>
    </w:p>
    <w:p w:rsidR="001B5556" w14:paraId="4EBBF6CA" w14:textId="77777777">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1B5556" w14:paraId="1BF770F0" w14:textId="77777777">
      <w:pPr>
        <w:tabs>
          <w:tab w:val="left" w:pos="709"/>
        </w:tabs>
        <w:spacing w:after="0" w:line="300" w:lineRule="exact"/>
        <w:ind w:left="709"/>
        <w:rPr>
          <w:rFonts w:ascii="Times New Roman" w:hAnsi="Times New Roman"/>
          <w:sz w:val="22"/>
          <w:szCs w:val="22"/>
        </w:rPr>
      </w:pPr>
    </w:p>
    <w:p w:rsidR="001B5556" w14:paraId="7EB45A96"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B5556" w14:paraId="68041D8F" w14:textId="77777777">
      <w:pPr>
        <w:pStyle w:val="ListParagraph"/>
        <w:spacing w:line="300" w:lineRule="exact"/>
        <w:rPr>
          <w:rFonts w:ascii="Times New Roman" w:hAnsi="Times New Roman"/>
          <w:sz w:val="22"/>
          <w:szCs w:val="22"/>
        </w:rPr>
      </w:pPr>
    </w:p>
    <w:p w:rsidR="001B5556" w14:paraId="00EED48A"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B5556" w14:paraId="655C6096" w14:textId="77777777">
      <w:pPr>
        <w:tabs>
          <w:tab w:val="left" w:pos="709"/>
        </w:tabs>
        <w:spacing w:after="0" w:line="300" w:lineRule="exact"/>
        <w:ind w:left="709"/>
        <w:rPr>
          <w:rFonts w:ascii="Times New Roman" w:hAnsi="Times New Roman"/>
          <w:sz w:val="22"/>
          <w:szCs w:val="22"/>
        </w:rPr>
      </w:pPr>
    </w:p>
    <w:p w:rsidR="001B5556" w14:paraId="23F24C03"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B5556" w14:paraId="215AD526" w14:textId="77777777">
      <w:pPr>
        <w:tabs>
          <w:tab w:val="left" w:pos="709"/>
        </w:tabs>
        <w:spacing w:after="0" w:line="300" w:lineRule="exact"/>
        <w:ind w:left="709"/>
        <w:rPr>
          <w:rFonts w:ascii="Times New Roman" w:hAnsi="Times New Roman"/>
          <w:sz w:val="22"/>
          <w:szCs w:val="22"/>
        </w:rPr>
      </w:pPr>
    </w:p>
    <w:p w:rsidR="001B5556" w14:paraId="34AFE647" w14:textId="77777777">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5"/>
      <w:r>
        <w:rPr>
          <w:rFonts w:ascii="Times New Roman" w:hAnsi="Times New Roman"/>
          <w:sz w:val="22"/>
          <w:szCs w:val="22"/>
        </w:rPr>
        <w:t xml:space="preserve"> </w:t>
      </w:r>
    </w:p>
    <w:p w:rsidR="001B5556" w14:paraId="5B21F29B" w14:textId="77777777">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B5556" w14:paraId="406502B8"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B5556" w14:paraId="7E262196"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B5556" w14:paraId="17E3620B"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B5556" w14:paraId="0934FEDD" w14:textId="77777777">
      <w:pPr>
        <w:tabs>
          <w:tab w:val="left" w:pos="709"/>
        </w:tabs>
        <w:spacing w:after="0" w:line="300" w:lineRule="exact"/>
        <w:ind w:left="709"/>
        <w:rPr>
          <w:rFonts w:ascii="Times New Roman" w:hAnsi="Times New Roman"/>
          <w:sz w:val="22"/>
          <w:szCs w:val="22"/>
        </w:rPr>
      </w:pPr>
    </w:p>
    <w:p w:rsidR="001B5556" w14:paraId="512226F8" w14:textId="77777777">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1B5556" w14:paraId="263DEB43" w14:textId="77777777">
      <w:pPr>
        <w:tabs>
          <w:tab w:val="left" w:pos="709"/>
        </w:tabs>
        <w:spacing w:after="0" w:line="300" w:lineRule="exact"/>
        <w:ind w:left="709"/>
        <w:rPr>
          <w:rFonts w:ascii="Times New Roman" w:hAnsi="Times New Roman"/>
          <w:sz w:val="22"/>
          <w:szCs w:val="22"/>
        </w:rPr>
      </w:pPr>
    </w:p>
    <w:p w:rsidR="001B5556" w14:paraId="307723C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B5556" w14:paraId="65A4A391"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B5556" w14:paraId="7823F1CD"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B5556" w14:paraId="1600368B" w14:textId="77777777">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1B5556" w14:paraId="213929B8"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B5556" w14:paraId="29024CAA" w14:textId="77777777">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1B5556" w14:paraId="5843E0E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B5556" w14:paraId="3F182B9A" w14:textId="77777777">
      <w:pPr>
        <w:pStyle w:val="Level2"/>
        <w:numPr>
          <w:ilvl w:val="0"/>
          <w:numId w:val="0"/>
        </w:numPr>
        <w:spacing w:after="0" w:line="300" w:lineRule="exact"/>
        <w:rPr>
          <w:rFonts w:ascii="Times New Roman" w:hAnsi="Times New Roman"/>
          <w:sz w:val="22"/>
          <w:szCs w:val="22"/>
        </w:rPr>
      </w:pPr>
    </w:p>
    <w:p w:rsidR="001B5556" w14:paraId="1D4D8E6F"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B5556" w14:paraId="435E09D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B5556" w14:paraId="09AC954A" w14:textId="77777777">
      <w:pPr>
        <w:pStyle w:val="Level2"/>
        <w:numPr>
          <w:ilvl w:val="0"/>
          <w:numId w:val="0"/>
        </w:numPr>
        <w:spacing w:after="0" w:line="300" w:lineRule="exact"/>
        <w:jc w:val="center"/>
        <w:rPr>
          <w:rFonts w:ascii="Times New Roman" w:hAnsi="Times New Roman"/>
          <w:sz w:val="22"/>
          <w:szCs w:val="22"/>
        </w:rPr>
      </w:pPr>
    </w:p>
    <w:p w:rsidR="001B5556" w14:paraId="3CE7E7F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B5556" w14:paraId="27BB9FEA" w14:textId="77777777">
      <w:pPr>
        <w:pStyle w:val="Level2"/>
        <w:numPr>
          <w:ilvl w:val="0"/>
          <w:numId w:val="0"/>
        </w:numPr>
        <w:spacing w:after="0" w:line="300" w:lineRule="exact"/>
        <w:rPr>
          <w:rFonts w:ascii="Times New Roman" w:hAnsi="Times New Roman"/>
          <w:bCs/>
          <w:sz w:val="22"/>
          <w:szCs w:val="22"/>
        </w:rPr>
      </w:pPr>
    </w:p>
    <w:p w:rsidR="001B5556" w14:paraId="63F2A70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rsidR="001B5556" w14:paraId="6EFE9B45" w14:textId="77777777">
      <w:pPr>
        <w:pStyle w:val="Level2"/>
        <w:numPr>
          <w:ilvl w:val="0"/>
          <w:numId w:val="0"/>
        </w:numPr>
        <w:spacing w:after="0" w:line="300" w:lineRule="exact"/>
        <w:rPr>
          <w:rFonts w:ascii="Times New Roman" w:hAnsi="Times New Roman"/>
          <w:bCs/>
          <w:sz w:val="22"/>
          <w:szCs w:val="22"/>
        </w:rPr>
      </w:pPr>
    </w:p>
    <w:p w:rsidR="001B5556" w14:paraId="38979D34"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B5556" w14:paraId="2B76A68A" w14:textId="77777777">
      <w:pPr>
        <w:spacing w:after="0" w:line="300" w:lineRule="exact"/>
        <w:rPr>
          <w:rFonts w:ascii="Times New Roman" w:hAnsi="Times New Roman"/>
          <w:sz w:val="22"/>
          <w:szCs w:val="22"/>
        </w:rPr>
      </w:pPr>
    </w:p>
    <w:p w:rsidR="001B5556" w14:paraId="01DFBD06"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B5556" w14:paraId="7F634E31" w14:textId="77777777">
      <w:pPr>
        <w:spacing w:after="0" w:line="300" w:lineRule="exact"/>
        <w:rPr>
          <w:rFonts w:ascii="Times New Roman" w:hAnsi="Times New Roman"/>
          <w:sz w:val="22"/>
          <w:szCs w:val="22"/>
        </w:rPr>
      </w:pPr>
    </w:p>
    <w:p w:rsidR="001B5556" w14:paraId="1FBBA4CB"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B5556" w14:paraId="7CADB504" w14:textId="77777777">
      <w:pPr>
        <w:spacing w:after="0" w:line="300" w:lineRule="exact"/>
        <w:rPr>
          <w:rFonts w:ascii="Times New Roman" w:hAnsi="Times New Roman"/>
          <w:sz w:val="22"/>
          <w:szCs w:val="22"/>
        </w:rPr>
      </w:pPr>
    </w:p>
    <w:p w:rsidR="001B5556" w14:paraId="2F066047"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1B5556" w14:paraId="22A84728" w14:textId="77777777">
      <w:pPr>
        <w:spacing w:after="0" w:line="300" w:lineRule="exact"/>
        <w:rPr>
          <w:rFonts w:ascii="Times New Roman" w:hAnsi="Times New Roman"/>
          <w:sz w:val="22"/>
          <w:szCs w:val="22"/>
        </w:rPr>
      </w:pPr>
    </w:p>
    <w:p w:rsidR="001B5556" w14:paraId="2CBE8853"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B5556" w14:paraId="248093DF" w14:textId="77777777">
      <w:pPr>
        <w:spacing w:after="0" w:line="300" w:lineRule="exact"/>
        <w:rPr>
          <w:rFonts w:ascii="Times New Roman" w:hAnsi="Times New Roman"/>
          <w:sz w:val="22"/>
          <w:szCs w:val="22"/>
        </w:rPr>
      </w:pPr>
    </w:p>
    <w:p w:rsidR="001B5556" w14:paraId="73B5A2EE"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1B5556" w14:paraId="1A388B42" w14:textId="77777777">
      <w:pPr>
        <w:spacing w:after="0" w:line="300" w:lineRule="exact"/>
        <w:rPr>
          <w:rFonts w:ascii="Times New Roman" w:hAnsi="Times New Roman"/>
          <w:sz w:val="22"/>
          <w:szCs w:val="22"/>
        </w:rPr>
      </w:pPr>
    </w:p>
    <w:p w:rsidR="001B5556" w14:paraId="06433421"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B5556" w14:paraId="5B337E99" w14:textId="77777777">
      <w:pPr>
        <w:keepNext/>
        <w:spacing w:after="0" w:line="300" w:lineRule="exact"/>
        <w:rPr>
          <w:rFonts w:ascii="Times New Roman" w:hAnsi="Times New Roman"/>
          <w:sz w:val="22"/>
          <w:szCs w:val="22"/>
        </w:rPr>
      </w:pPr>
    </w:p>
    <w:p w:rsidR="001B5556" w14:paraId="618C9EA7"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B5556" w14:paraId="6AAF5C29" w14:textId="77777777">
      <w:pPr>
        <w:spacing w:after="0" w:line="300" w:lineRule="exact"/>
        <w:rPr>
          <w:rFonts w:ascii="Times New Roman" w:hAnsi="Times New Roman"/>
          <w:sz w:val="22"/>
          <w:szCs w:val="22"/>
        </w:rPr>
      </w:pPr>
    </w:p>
    <w:p w:rsidR="001B5556" w14:paraId="646F7585"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B5556" w14:paraId="22FC6D59" w14:textId="77777777">
      <w:pPr>
        <w:spacing w:after="0" w:line="300" w:lineRule="exact"/>
        <w:rPr>
          <w:rFonts w:ascii="Times New Roman" w:hAnsi="Times New Roman"/>
          <w:sz w:val="22"/>
          <w:szCs w:val="22"/>
        </w:rPr>
      </w:pPr>
    </w:p>
    <w:p w:rsidR="001B5556" w14:paraId="48FBB6BD"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B5556" w14:paraId="7B9E4E78" w14:textId="77777777">
      <w:pPr>
        <w:spacing w:after="0" w:line="300" w:lineRule="exact"/>
        <w:rPr>
          <w:rFonts w:ascii="Times New Roman" w:hAnsi="Times New Roman"/>
          <w:sz w:val="22"/>
          <w:szCs w:val="22"/>
        </w:rPr>
      </w:pPr>
    </w:p>
    <w:p w:rsidR="001B5556" w14:paraId="03353B52"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B5556" w14:paraId="2C3177A8" w14:textId="77777777">
      <w:pPr>
        <w:spacing w:after="0" w:line="300" w:lineRule="exact"/>
        <w:rPr>
          <w:rFonts w:ascii="Times New Roman" w:hAnsi="Times New Roman"/>
          <w:sz w:val="22"/>
          <w:szCs w:val="22"/>
        </w:rPr>
      </w:pPr>
    </w:p>
    <w:p w:rsidR="001B5556" w14:paraId="00C82AB9"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1B5556" w14:paraId="1A1BB8A7" w14:textId="77777777">
      <w:pPr>
        <w:spacing w:after="0" w:line="300" w:lineRule="exact"/>
        <w:rPr>
          <w:rFonts w:ascii="Times New Roman" w:hAnsi="Times New Roman"/>
          <w:sz w:val="22"/>
          <w:szCs w:val="22"/>
        </w:rPr>
      </w:pPr>
    </w:p>
    <w:p w:rsidR="001B5556" w14:paraId="3487900C"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a um Evento de Inadimplemento dependerá da aprovação de Debenturistas que representem, no mínimo 2/3 (dois terços) das Debêntures em Circulação.</w:t>
      </w:r>
    </w:p>
    <w:p w:rsidR="001B5556" w14:paraId="4FADF63C" w14:textId="77777777">
      <w:pPr>
        <w:spacing w:after="0" w:line="300" w:lineRule="exact"/>
        <w:rPr>
          <w:rFonts w:ascii="Times New Roman" w:hAnsi="Times New Roman"/>
          <w:sz w:val="22"/>
          <w:szCs w:val="22"/>
        </w:rPr>
      </w:pPr>
    </w:p>
    <w:p w:rsidR="001B5556" w14:paraId="5FCC4422"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B5556" w14:paraId="3A5EB6E6" w14:textId="77777777">
      <w:pPr>
        <w:spacing w:after="0" w:line="300" w:lineRule="exact"/>
        <w:rPr>
          <w:rFonts w:ascii="Times New Roman" w:hAnsi="Times New Roman"/>
          <w:sz w:val="22"/>
          <w:szCs w:val="22"/>
        </w:rPr>
      </w:pPr>
    </w:p>
    <w:p w:rsidR="001B5556" w14:paraId="5E9B7AA2"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B5556" w14:paraId="0DBC73F8" w14:textId="77777777">
      <w:pPr>
        <w:spacing w:after="0" w:line="300" w:lineRule="exact"/>
        <w:rPr>
          <w:rFonts w:ascii="Times New Roman" w:hAnsi="Times New Roman"/>
          <w:sz w:val="22"/>
          <w:szCs w:val="22"/>
        </w:rPr>
      </w:pPr>
    </w:p>
    <w:p w:rsidR="001B5556" w14:paraId="11B99FC7"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B5556" w14:paraId="19334EFE" w14:textId="77777777">
      <w:pPr>
        <w:pStyle w:val="Level2"/>
        <w:numPr>
          <w:ilvl w:val="0"/>
          <w:numId w:val="0"/>
        </w:numPr>
        <w:spacing w:after="0" w:line="300" w:lineRule="exact"/>
        <w:rPr>
          <w:rFonts w:ascii="Times New Roman" w:hAnsi="Times New Roman"/>
          <w:sz w:val="22"/>
          <w:szCs w:val="22"/>
        </w:rPr>
      </w:pPr>
    </w:p>
    <w:p w:rsidR="001B5556" w14:paraId="606A1481"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B5556" w14:paraId="60A17579"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B5556" w14:paraId="2D249047" w14:textId="77777777">
      <w:pPr>
        <w:pStyle w:val="Level2"/>
        <w:numPr>
          <w:ilvl w:val="0"/>
          <w:numId w:val="0"/>
        </w:numPr>
        <w:spacing w:after="0" w:line="300" w:lineRule="exact"/>
        <w:jc w:val="center"/>
        <w:rPr>
          <w:rFonts w:ascii="Times New Roman" w:hAnsi="Times New Roman"/>
          <w:b/>
          <w:bCs/>
          <w:sz w:val="22"/>
          <w:szCs w:val="22"/>
        </w:rPr>
      </w:pPr>
    </w:p>
    <w:p w:rsidR="001B5556" w14:paraId="6EBFCE2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1B5556" w14:paraId="4F54B09E" w14:textId="77777777">
      <w:pPr>
        <w:pStyle w:val="Level2"/>
        <w:numPr>
          <w:ilvl w:val="0"/>
          <w:numId w:val="0"/>
        </w:numPr>
        <w:spacing w:after="0" w:line="300" w:lineRule="exact"/>
        <w:rPr>
          <w:rFonts w:ascii="Times New Roman" w:hAnsi="Times New Roman"/>
          <w:bCs/>
          <w:sz w:val="22"/>
          <w:szCs w:val="22"/>
        </w:rPr>
      </w:pPr>
    </w:p>
    <w:p w:rsidR="001B5556" w14:paraId="7F08806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B5556" w14:paraId="0431E10F" w14:textId="77777777">
      <w:pPr>
        <w:pStyle w:val="ListParagraph"/>
        <w:spacing w:after="0" w:line="300" w:lineRule="exact"/>
        <w:ind w:left="709"/>
        <w:contextualSpacing/>
        <w:rPr>
          <w:rFonts w:ascii="Times New Roman" w:hAnsi="Times New Roman"/>
          <w:sz w:val="22"/>
          <w:szCs w:val="22"/>
        </w:rPr>
      </w:pPr>
    </w:p>
    <w:p w:rsidR="001B5556" w14:paraId="0893AB6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rsidR="001B5556" w14:paraId="24247088" w14:textId="77777777">
      <w:pPr>
        <w:pStyle w:val="Level2"/>
        <w:numPr>
          <w:ilvl w:val="0"/>
          <w:numId w:val="0"/>
        </w:numPr>
        <w:spacing w:after="0" w:line="300" w:lineRule="exact"/>
        <w:rPr>
          <w:rFonts w:ascii="Times New Roman" w:hAnsi="Times New Roman"/>
          <w:sz w:val="22"/>
          <w:szCs w:val="22"/>
        </w:rPr>
      </w:pPr>
    </w:p>
    <w:p w:rsidR="001B5556" w14:paraId="24FDD58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B5556" w14:paraId="38F50710" w14:textId="77777777">
      <w:pPr>
        <w:pStyle w:val="Level2"/>
        <w:numPr>
          <w:ilvl w:val="0"/>
          <w:numId w:val="0"/>
        </w:numPr>
        <w:spacing w:after="0" w:line="300" w:lineRule="exact"/>
        <w:rPr>
          <w:rFonts w:ascii="Times New Roman" w:hAnsi="Times New Roman"/>
          <w:sz w:val="22"/>
          <w:szCs w:val="22"/>
        </w:rPr>
      </w:pPr>
    </w:p>
    <w:p w:rsidR="001B5556" w14:paraId="2B1CD00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rsidR="001B5556" w14:paraId="0B663108" w14:textId="77777777">
      <w:pPr>
        <w:pStyle w:val="Level2"/>
        <w:numPr>
          <w:ilvl w:val="0"/>
          <w:numId w:val="0"/>
        </w:numPr>
        <w:spacing w:after="0" w:line="300" w:lineRule="exact"/>
        <w:rPr>
          <w:rFonts w:ascii="Times New Roman" w:hAnsi="Times New Roman"/>
          <w:sz w:val="22"/>
          <w:szCs w:val="22"/>
        </w:rPr>
      </w:pPr>
    </w:p>
    <w:p w:rsidR="001B5556" w14:paraId="6A73BD1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B5556" w14:paraId="752B3775" w14:textId="77777777">
      <w:pPr>
        <w:pStyle w:val="Level2"/>
        <w:numPr>
          <w:ilvl w:val="0"/>
          <w:numId w:val="0"/>
        </w:numPr>
        <w:spacing w:after="0" w:line="300" w:lineRule="exact"/>
        <w:rPr>
          <w:rFonts w:ascii="Times New Roman" w:hAnsi="Times New Roman"/>
          <w:sz w:val="22"/>
          <w:szCs w:val="22"/>
        </w:rPr>
      </w:pPr>
    </w:p>
    <w:p w:rsidR="001B5556" w14:paraId="15FB849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B5556" w14:paraId="6D1B06F2" w14:textId="77777777">
      <w:pPr>
        <w:pStyle w:val="Level2"/>
        <w:numPr>
          <w:ilvl w:val="0"/>
          <w:numId w:val="0"/>
        </w:numPr>
        <w:spacing w:after="0" w:line="300" w:lineRule="exact"/>
        <w:rPr>
          <w:rFonts w:ascii="Times New Roman" w:hAnsi="Times New Roman"/>
          <w:sz w:val="22"/>
          <w:szCs w:val="22"/>
        </w:rPr>
      </w:pPr>
    </w:p>
    <w:p w:rsidR="001B5556" w14:paraId="40E66D8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1B5556" w14:paraId="6305629B" w14:textId="77777777">
      <w:pPr>
        <w:pStyle w:val="Level2"/>
        <w:numPr>
          <w:ilvl w:val="0"/>
          <w:numId w:val="0"/>
        </w:numPr>
        <w:spacing w:after="0" w:line="300" w:lineRule="exact"/>
        <w:rPr>
          <w:rFonts w:ascii="Times New Roman" w:hAnsi="Times New Roman"/>
          <w:sz w:val="22"/>
          <w:szCs w:val="22"/>
        </w:rPr>
      </w:pPr>
    </w:p>
    <w:p w:rsidR="001B5556" w14:paraId="60A4D0D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rsidR="001B5556" w14:paraId="2DEC9D9A" w14:textId="77777777">
      <w:pPr>
        <w:pStyle w:val="Level2"/>
        <w:numPr>
          <w:ilvl w:val="0"/>
          <w:numId w:val="0"/>
        </w:numPr>
        <w:spacing w:after="0" w:line="300" w:lineRule="exact"/>
        <w:rPr>
          <w:rFonts w:ascii="Times New Roman" w:hAnsi="Times New Roman"/>
          <w:sz w:val="22"/>
          <w:szCs w:val="22"/>
        </w:rPr>
      </w:pPr>
    </w:p>
    <w:p w:rsidR="001B5556" w14:paraId="6966DA1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B5556" w14:paraId="29C9603A" w14:textId="77777777">
      <w:pPr>
        <w:pStyle w:val="Level2"/>
        <w:numPr>
          <w:ilvl w:val="0"/>
          <w:numId w:val="0"/>
        </w:numPr>
        <w:spacing w:after="0" w:line="300" w:lineRule="exact"/>
        <w:rPr>
          <w:rFonts w:ascii="Times New Roman" w:hAnsi="Times New Roman"/>
          <w:sz w:val="22"/>
          <w:szCs w:val="22"/>
        </w:rPr>
      </w:pPr>
    </w:p>
    <w:p w:rsidR="001B5556" w14:paraId="2D7D499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B5556" w14:paraId="3A7C17DE" w14:textId="77777777">
      <w:pPr>
        <w:pStyle w:val="Level2"/>
        <w:numPr>
          <w:ilvl w:val="0"/>
          <w:numId w:val="0"/>
        </w:numPr>
        <w:spacing w:after="0" w:line="300" w:lineRule="exact"/>
        <w:rPr>
          <w:rFonts w:ascii="Times New Roman" w:hAnsi="Times New Roman"/>
          <w:sz w:val="22"/>
          <w:szCs w:val="22"/>
        </w:rPr>
      </w:pPr>
    </w:p>
    <w:p w:rsidR="001B5556" w14:paraId="45AC717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B5556" w14:paraId="0389EFED" w14:textId="77777777">
      <w:pPr>
        <w:pStyle w:val="Level2"/>
        <w:numPr>
          <w:ilvl w:val="0"/>
          <w:numId w:val="0"/>
        </w:numPr>
        <w:spacing w:after="0" w:line="300" w:lineRule="exact"/>
        <w:rPr>
          <w:rFonts w:ascii="Times New Roman" w:hAnsi="Times New Roman"/>
          <w:sz w:val="22"/>
          <w:szCs w:val="22"/>
        </w:rPr>
      </w:pPr>
    </w:p>
    <w:p w:rsidR="001B5556" w14:paraId="5DC5F6B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B5556" w14:paraId="0E96BD59" w14:textId="77777777">
      <w:pPr>
        <w:pStyle w:val="Level2"/>
        <w:numPr>
          <w:ilvl w:val="0"/>
          <w:numId w:val="0"/>
        </w:numPr>
        <w:spacing w:after="0" w:line="300" w:lineRule="exact"/>
        <w:rPr>
          <w:rFonts w:ascii="Times New Roman" w:hAnsi="Times New Roman"/>
          <w:sz w:val="22"/>
          <w:szCs w:val="22"/>
        </w:rPr>
      </w:pPr>
    </w:p>
    <w:p w:rsidR="001B5556" w14:paraId="47EAC44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B5556" w14:paraId="147842BE" w14:textId="77777777">
      <w:pPr>
        <w:pStyle w:val="Level2"/>
        <w:numPr>
          <w:ilvl w:val="0"/>
          <w:numId w:val="0"/>
        </w:numPr>
        <w:spacing w:after="0" w:line="300" w:lineRule="exact"/>
        <w:rPr>
          <w:rFonts w:ascii="Times New Roman" w:hAnsi="Times New Roman"/>
          <w:sz w:val="22"/>
          <w:szCs w:val="22"/>
        </w:rPr>
      </w:pPr>
    </w:p>
    <w:p w:rsidR="001B5556" w14:paraId="64A524E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por aquelas cujo pedido de obtenção ou renovação, quando aplicável, tenha sido tempestivamente 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1B5556" w14:paraId="2E8670E4" w14:textId="77777777">
      <w:pPr>
        <w:pStyle w:val="Level2"/>
        <w:numPr>
          <w:ilvl w:val="0"/>
          <w:numId w:val="0"/>
        </w:numPr>
        <w:spacing w:after="0" w:line="300" w:lineRule="exact"/>
        <w:rPr>
          <w:rFonts w:ascii="Times New Roman" w:hAnsi="Times New Roman"/>
          <w:w w:val="0"/>
          <w:sz w:val="22"/>
          <w:szCs w:val="22"/>
        </w:rPr>
      </w:pPr>
    </w:p>
    <w:p w:rsidR="001B5556" w14:paraId="76A597A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1B5556" w14:paraId="49B867D7" w14:textId="77777777">
      <w:pPr>
        <w:pStyle w:val="Level2"/>
        <w:numPr>
          <w:ilvl w:val="0"/>
          <w:numId w:val="0"/>
        </w:numPr>
        <w:spacing w:after="0" w:line="300" w:lineRule="exact"/>
        <w:rPr>
          <w:rFonts w:ascii="Times New Roman" w:hAnsi="Times New Roman"/>
          <w:sz w:val="22"/>
          <w:szCs w:val="22"/>
        </w:rPr>
      </w:pPr>
    </w:p>
    <w:p w:rsidR="001B5556" w14:paraId="4274928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B5556" w14:paraId="0D25FC58" w14:textId="77777777">
      <w:pPr>
        <w:pStyle w:val="Level2"/>
        <w:numPr>
          <w:ilvl w:val="0"/>
          <w:numId w:val="0"/>
        </w:numPr>
        <w:spacing w:after="0" w:line="300" w:lineRule="exact"/>
        <w:rPr>
          <w:rFonts w:ascii="Times New Roman" w:eastAsia="Arial Unicode MS" w:hAnsi="Times New Roman"/>
          <w:sz w:val="22"/>
          <w:szCs w:val="22"/>
        </w:rPr>
      </w:pPr>
    </w:p>
    <w:p w:rsidR="001B5556" w14:paraId="054E716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B5556" w14:paraId="2D60F6BA" w14:textId="77777777">
      <w:pPr>
        <w:pStyle w:val="Level2"/>
        <w:numPr>
          <w:ilvl w:val="0"/>
          <w:numId w:val="0"/>
        </w:numPr>
        <w:spacing w:after="0" w:line="300" w:lineRule="exact"/>
        <w:rPr>
          <w:rFonts w:ascii="Times New Roman" w:hAnsi="Times New Roman"/>
          <w:sz w:val="22"/>
          <w:szCs w:val="22"/>
        </w:rPr>
      </w:pPr>
    </w:p>
    <w:p w:rsidR="001B5556" w14:paraId="7BE5F88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rsidR="001B5556" w14:paraId="407C9E19" w14:textId="77777777">
      <w:pPr>
        <w:pStyle w:val="Level2"/>
        <w:numPr>
          <w:ilvl w:val="0"/>
          <w:numId w:val="0"/>
        </w:numPr>
        <w:spacing w:after="0" w:line="300" w:lineRule="exact"/>
        <w:rPr>
          <w:rFonts w:ascii="Times New Roman" w:hAnsi="Times New Roman"/>
          <w:sz w:val="22"/>
          <w:szCs w:val="22"/>
        </w:rPr>
      </w:pPr>
    </w:p>
    <w:p w:rsidR="001B5556" w14:paraId="07CA0884"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1B5556" w14:paraId="6CB564DA" w14:textId="77777777">
      <w:pPr>
        <w:pStyle w:val="Level2"/>
        <w:numPr>
          <w:ilvl w:val="0"/>
          <w:numId w:val="0"/>
        </w:numPr>
        <w:spacing w:after="0" w:line="300" w:lineRule="exact"/>
        <w:rPr>
          <w:rFonts w:ascii="Times New Roman" w:hAnsi="Times New Roman"/>
          <w:bCs/>
          <w:sz w:val="22"/>
          <w:szCs w:val="22"/>
        </w:rPr>
      </w:pPr>
    </w:p>
    <w:p w:rsidR="001B5556" w14:paraId="05EAE22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1B5556" w14:paraId="1EF3B03E" w14:textId="77777777">
      <w:pPr>
        <w:pStyle w:val="Level2"/>
        <w:numPr>
          <w:ilvl w:val="0"/>
          <w:numId w:val="0"/>
        </w:numPr>
        <w:spacing w:after="0" w:line="300" w:lineRule="exact"/>
        <w:rPr>
          <w:rFonts w:ascii="Times New Roman" w:hAnsi="Times New Roman"/>
          <w:bCs/>
          <w:sz w:val="22"/>
          <w:szCs w:val="22"/>
        </w:rPr>
      </w:pPr>
    </w:p>
    <w:p w:rsidR="001B5556" w14:paraId="05BCF07A" w14:textId="77777777">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1B5556" w14:paraId="3C622368" w14:textId="77777777">
      <w:pPr>
        <w:pStyle w:val="Level2"/>
        <w:numPr>
          <w:ilvl w:val="0"/>
          <w:numId w:val="0"/>
        </w:numPr>
        <w:spacing w:after="0" w:line="300" w:lineRule="exact"/>
        <w:rPr>
          <w:rFonts w:ascii="Times New Roman" w:hAnsi="Times New Roman"/>
          <w:bCs/>
          <w:sz w:val="22"/>
          <w:szCs w:val="22"/>
        </w:rPr>
      </w:pPr>
    </w:p>
    <w:p w:rsidR="001B5556" w14:paraId="1BF51145"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B5556" w14:paraId="23A4384B"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B5556" w14:paraId="6E105FDF" w14:textId="77777777">
      <w:pPr>
        <w:pStyle w:val="Level2"/>
        <w:numPr>
          <w:ilvl w:val="0"/>
          <w:numId w:val="0"/>
        </w:numPr>
        <w:spacing w:after="0" w:line="300" w:lineRule="exact"/>
        <w:jc w:val="center"/>
        <w:rPr>
          <w:rFonts w:ascii="Times New Roman" w:hAnsi="Times New Roman"/>
          <w:b/>
          <w:bCs/>
          <w:sz w:val="22"/>
          <w:szCs w:val="22"/>
        </w:rPr>
      </w:pPr>
    </w:p>
    <w:p w:rsidR="001B5556" w14:paraId="053AEAEC"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1B5556" w14:paraId="40530B6B" w14:textId="77777777">
      <w:pPr>
        <w:spacing w:after="0" w:line="300" w:lineRule="exact"/>
        <w:rPr>
          <w:rFonts w:ascii="Times New Roman" w:hAnsi="Times New Roman"/>
          <w:sz w:val="22"/>
          <w:szCs w:val="22"/>
        </w:rPr>
      </w:pPr>
    </w:p>
    <w:p w:rsidR="001B5556" w14:paraId="4CE9DDBD"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B5556" w14:paraId="42EC7BA5" w14:textId="77777777">
      <w:pPr>
        <w:spacing w:after="0" w:line="300" w:lineRule="exact"/>
        <w:rPr>
          <w:rFonts w:ascii="Times New Roman" w:hAnsi="Times New Roman"/>
          <w:sz w:val="22"/>
          <w:szCs w:val="22"/>
        </w:rPr>
      </w:pPr>
    </w:p>
    <w:p w:rsidR="001B5556" w14:paraId="05503692" w14:textId="77777777">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714A3968"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B5556" w14:paraId="478937BA" w14:textId="77777777">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rsidR="001B5556" w14:paraId="762BB89A"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0655EA94"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2914E258"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13C14C0"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8F4C7DE"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01A45962" w14:textId="77777777">
      <w:pPr>
        <w:spacing w:after="0" w:line="300" w:lineRule="exact"/>
        <w:rPr>
          <w:rFonts w:ascii="Times New Roman" w:hAnsi="Times New Roman"/>
          <w:sz w:val="22"/>
          <w:szCs w:val="22"/>
        </w:rPr>
      </w:pPr>
    </w:p>
    <w:p w:rsidR="001B5556" w14:paraId="1905ADE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09ECBA88"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B5556" w14:paraId="59BCA2F2"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34C41490"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6155B70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305B2B6F"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49E1B64"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08D8B8B" w14:textId="77777777">
      <w:pPr>
        <w:spacing w:after="0" w:line="300" w:lineRule="exact"/>
        <w:rPr>
          <w:rFonts w:ascii="Times New Roman" w:hAnsi="Times New Roman"/>
          <w:b/>
          <w:bCs/>
          <w:sz w:val="22"/>
          <w:szCs w:val="22"/>
        </w:rPr>
      </w:pPr>
    </w:p>
    <w:p w:rsidR="001B5556" w14:paraId="412F2086"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B5556" w14:paraId="47FF8407"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3078E818"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296CBB9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4B660FCF"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579649F"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D15FB3B"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0F53ED9D" w14:textId="77777777">
      <w:pPr>
        <w:spacing w:after="0" w:line="300" w:lineRule="exact"/>
        <w:rPr>
          <w:rFonts w:ascii="Times New Roman" w:hAnsi="Times New Roman"/>
          <w:sz w:val="22"/>
          <w:szCs w:val="22"/>
        </w:rPr>
      </w:pPr>
    </w:p>
    <w:p w:rsidR="001B5556" w14:paraId="21CF5815" w14:textId="77777777">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rsidR="001B5556" w14:paraId="2A72F260"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rsidR="001B5556" w14:paraId="16C91110"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rsidR="001B5556" w14:paraId="3AA05187"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rsidR="001B5556" w14:paraId="33648328"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32086A93"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07ED6977"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9F3A876" w14:textId="77777777">
      <w:pPr>
        <w:spacing w:after="0" w:line="300" w:lineRule="exact"/>
        <w:rPr>
          <w:rFonts w:ascii="Times New Roman" w:hAnsi="Times New Roman"/>
          <w:sz w:val="22"/>
          <w:szCs w:val="22"/>
        </w:rPr>
      </w:pPr>
    </w:p>
    <w:p w:rsidR="001B5556" w14:paraId="5392937A"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1B5556" w14:paraId="39309CA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B5556" w14:paraId="18F619F2" w14:textId="77777777">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r>
        <w:rPr>
          <w:rFonts w:ascii="Times New Roman" w:hAnsi="Times New Roman"/>
          <w:sz w:val="22"/>
          <w:szCs w:val="22"/>
        </w:rPr>
        <w:t>CentroCEP</w:t>
      </w:r>
      <w:r>
        <w:rPr>
          <w:rFonts w:ascii="Times New Roman" w:hAnsi="Times New Roman"/>
          <w:sz w:val="22"/>
          <w:szCs w:val="22"/>
        </w:rPr>
        <w:t xml:space="preserve"> 20.050-005</w:t>
      </w:r>
    </w:p>
    <w:p w:rsidR="001B5556" w14:paraId="344E0EA4"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3194661F"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B5556" w14:paraId="251E841C"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1B5556" w14:paraId="1EBEFFA3"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B5556" w14:paraId="2061E569" w14:textId="77777777">
      <w:pPr>
        <w:spacing w:after="0" w:line="300" w:lineRule="exact"/>
        <w:rPr>
          <w:rFonts w:ascii="Times New Roman" w:hAnsi="Times New Roman"/>
          <w:sz w:val="22"/>
          <w:szCs w:val="22"/>
        </w:rPr>
      </w:pPr>
    </w:p>
    <w:p w:rsidR="001B5556" w14:paraId="66AAB4C6" w14:textId="77777777">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1B5556" w14:paraId="3DE602A5"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B5556" w14:paraId="3C00514D"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B5556" w14:paraId="733BDD3F"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B5556" w14:paraId="5AA3B7C4"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1B5556" w14:paraId="55CDBA09"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B5556" w14:paraId="5066D152"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B5556" w14:paraId="13791FC4" w14:textId="77777777">
      <w:pPr>
        <w:spacing w:after="0" w:line="300" w:lineRule="exact"/>
        <w:rPr>
          <w:rFonts w:ascii="Times New Roman" w:hAnsi="Times New Roman"/>
          <w:b/>
          <w:sz w:val="22"/>
          <w:szCs w:val="22"/>
        </w:rPr>
      </w:pPr>
    </w:p>
    <w:p w:rsidR="001B5556" w14:paraId="28C4680A" w14:textId="77777777">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rsidR="001B5556" w14:paraId="11D80633"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B5556" w14:paraId="27729FB5"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B5556" w14:paraId="736599AC"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B5556" w14:paraId="1BC56129"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B5556" w14:paraId="7E2D172A"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B5556" w14:paraId="22DEAC15"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B5556" w14:paraId="537C64FD" w14:textId="77777777">
      <w:pPr>
        <w:pStyle w:val="Body4"/>
        <w:spacing w:after="0" w:line="300" w:lineRule="exact"/>
        <w:ind w:left="0"/>
        <w:rPr>
          <w:rStyle w:val="Hyperlink"/>
          <w:rFonts w:ascii="Times New Roman" w:hAnsi="Times New Roman"/>
          <w:bCs/>
          <w:sz w:val="22"/>
          <w:szCs w:val="22"/>
        </w:rPr>
      </w:pPr>
    </w:p>
    <w:p w:rsidR="001B5556" w14:paraId="663B2310"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B5556" w14:paraId="05BCFEE6" w14:textId="77777777">
      <w:pPr>
        <w:spacing w:after="0" w:line="300" w:lineRule="exact"/>
        <w:rPr>
          <w:rFonts w:ascii="Times New Roman" w:hAnsi="Times New Roman"/>
          <w:sz w:val="22"/>
          <w:szCs w:val="22"/>
        </w:rPr>
      </w:pPr>
    </w:p>
    <w:p w:rsidR="001B5556" w14:paraId="3E8B681D"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B5556" w14:paraId="052600F9" w14:textId="77777777">
      <w:pPr>
        <w:spacing w:after="0" w:line="300" w:lineRule="exact"/>
        <w:rPr>
          <w:rFonts w:ascii="Times New Roman" w:hAnsi="Times New Roman"/>
          <w:sz w:val="22"/>
          <w:szCs w:val="22"/>
        </w:rPr>
      </w:pPr>
    </w:p>
    <w:p w:rsidR="001B5556" w14:paraId="1DFFFB2B"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1B5556" w14:paraId="005368A2" w14:textId="77777777">
      <w:pPr>
        <w:spacing w:after="0" w:line="300" w:lineRule="exact"/>
        <w:rPr>
          <w:rFonts w:ascii="Times New Roman" w:hAnsi="Times New Roman"/>
          <w:sz w:val="22"/>
          <w:szCs w:val="22"/>
        </w:rPr>
      </w:pPr>
    </w:p>
    <w:p w:rsidR="001B5556" w14:paraId="1AE1B152"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B5556" w14:paraId="5F5C5F8B" w14:textId="77777777">
      <w:pPr>
        <w:spacing w:after="0" w:line="300" w:lineRule="exact"/>
        <w:rPr>
          <w:rFonts w:ascii="Times New Roman" w:hAnsi="Times New Roman"/>
          <w:sz w:val="22"/>
          <w:szCs w:val="22"/>
        </w:rPr>
      </w:pPr>
    </w:p>
    <w:p w:rsidR="001B5556" w14:paraId="75CA4E08"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1B5556" w14:paraId="6D207061" w14:textId="77777777">
      <w:pPr>
        <w:spacing w:after="0" w:line="300" w:lineRule="exact"/>
        <w:rPr>
          <w:rFonts w:ascii="Times New Roman" w:hAnsi="Times New Roman"/>
          <w:sz w:val="22"/>
          <w:szCs w:val="22"/>
        </w:rPr>
      </w:pPr>
    </w:p>
    <w:p w:rsidR="001B5556" w14:paraId="10843399"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1B5556" w14:paraId="3ABC3FE3" w14:textId="77777777">
      <w:pPr>
        <w:pStyle w:val="Body4"/>
        <w:spacing w:after="0" w:line="300" w:lineRule="exact"/>
        <w:ind w:left="0"/>
        <w:rPr>
          <w:rFonts w:ascii="Times New Roman" w:hAnsi="Times New Roman"/>
          <w:sz w:val="22"/>
          <w:szCs w:val="22"/>
        </w:rPr>
      </w:pPr>
    </w:p>
    <w:p w:rsidR="001B5556" w14:paraId="62EBAFFE"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B5556" w14:paraId="06CB9CE3" w14:textId="77777777">
      <w:pPr>
        <w:spacing w:after="0" w:line="300" w:lineRule="exact"/>
        <w:rPr>
          <w:rFonts w:ascii="Times New Roman" w:hAnsi="Times New Roman"/>
          <w:b/>
          <w:sz w:val="22"/>
          <w:szCs w:val="22"/>
        </w:rPr>
      </w:pPr>
    </w:p>
    <w:p w:rsidR="001B5556" w14:paraId="4C4E5C5F"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B5556" w14:paraId="753A9348" w14:textId="77777777">
      <w:pPr>
        <w:spacing w:after="0" w:line="300" w:lineRule="exact"/>
        <w:rPr>
          <w:rFonts w:ascii="Times New Roman" w:hAnsi="Times New Roman"/>
          <w:b/>
          <w:sz w:val="22"/>
          <w:szCs w:val="22"/>
        </w:rPr>
      </w:pPr>
    </w:p>
    <w:p w:rsidR="001B5556" w14:paraId="63312B23"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B5556" w14:paraId="7050D2D3" w14:textId="77777777">
      <w:pPr>
        <w:spacing w:after="0" w:line="300" w:lineRule="exact"/>
        <w:rPr>
          <w:rFonts w:ascii="Times New Roman" w:hAnsi="Times New Roman"/>
          <w:sz w:val="22"/>
          <w:szCs w:val="22"/>
        </w:rPr>
      </w:pPr>
    </w:p>
    <w:p w:rsidR="001B5556" w14:paraId="67B4E52E"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B5556" w14:paraId="21C911B8" w14:textId="77777777">
      <w:pPr>
        <w:spacing w:after="0" w:line="300" w:lineRule="exact"/>
        <w:rPr>
          <w:rFonts w:ascii="Times New Roman" w:hAnsi="Times New Roman"/>
          <w:b/>
          <w:sz w:val="22"/>
          <w:szCs w:val="22"/>
        </w:rPr>
      </w:pPr>
    </w:p>
    <w:p w:rsidR="001B5556" w14:paraId="39B98AEC"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1B5556" w14:paraId="1E1359BA" w14:textId="77777777">
      <w:pPr>
        <w:spacing w:after="0" w:line="300" w:lineRule="exact"/>
        <w:rPr>
          <w:rFonts w:ascii="Times New Roman" w:hAnsi="Times New Roman"/>
          <w:b/>
          <w:sz w:val="22"/>
          <w:szCs w:val="22"/>
        </w:rPr>
      </w:pPr>
    </w:p>
    <w:p w:rsidR="001B5556" w14:paraId="6765EDD0"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1B5556" w14:paraId="4C613C13" w14:textId="77777777">
      <w:pPr>
        <w:spacing w:after="0" w:line="300" w:lineRule="exact"/>
        <w:rPr>
          <w:rFonts w:ascii="Times New Roman" w:hAnsi="Times New Roman"/>
          <w:b/>
          <w:sz w:val="22"/>
          <w:szCs w:val="22"/>
        </w:rPr>
      </w:pPr>
    </w:p>
    <w:p w:rsidR="001B5556" w14:paraId="494A73E0"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B5556" w14:paraId="484C4373" w14:textId="77777777">
      <w:pPr>
        <w:spacing w:after="0" w:line="300" w:lineRule="exact"/>
        <w:rPr>
          <w:rFonts w:ascii="Times New Roman" w:hAnsi="Times New Roman"/>
          <w:b/>
          <w:sz w:val="22"/>
          <w:szCs w:val="22"/>
        </w:rPr>
      </w:pPr>
    </w:p>
    <w:p w:rsidR="001B5556" w14:paraId="30C45BE9"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B5556" w14:paraId="7806B7E8" w14:textId="77777777">
      <w:pPr>
        <w:spacing w:after="0" w:line="300" w:lineRule="exact"/>
        <w:rPr>
          <w:rFonts w:ascii="Times New Roman" w:hAnsi="Times New Roman"/>
          <w:sz w:val="22"/>
          <w:szCs w:val="22"/>
        </w:rPr>
      </w:pPr>
    </w:p>
    <w:p w:rsidR="001B5556" w14:paraId="34CA3D50"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 Garantia,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 Garantia.</w:t>
      </w:r>
    </w:p>
    <w:p w:rsidR="001B5556" w14:paraId="4D9EED9E" w14:textId="77777777">
      <w:pPr>
        <w:spacing w:after="0" w:line="300" w:lineRule="exact"/>
        <w:rPr>
          <w:rFonts w:ascii="Times New Roman" w:hAnsi="Times New Roman"/>
          <w:sz w:val="22"/>
          <w:szCs w:val="22"/>
        </w:rPr>
      </w:pPr>
    </w:p>
    <w:p w:rsidR="001B5556" w14:paraId="650EB225"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B5556" w14:paraId="7FD516EB" w14:textId="77777777">
      <w:pPr>
        <w:spacing w:after="0" w:line="300" w:lineRule="exact"/>
        <w:rPr>
          <w:rFonts w:ascii="Times New Roman" w:hAnsi="Times New Roman"/>
          <w:sz w:val="22"/>
          <w:szCs w:val="22"/>
        </w:rPr>
      </w:pPr>
    </w:p>
    <w:p w:rsidR="001B5556" w14:paraId="2CDD41A3"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B5556" w14:paraId="3F2BE541" w14:textId="77777777">
      <w:pPr>
        <w:spacing w:after="0" w:line="300" w:lineRule="exact"/>
        <w:rPr>
          <w:rFonts w:ascii="Times New Roman" w:hAnsi="Times New Roman"/>
          <w:sz w:val="22"/>
          <w:szCs w:val="22"/>
        </w:rPr>
      </w:pPr>
    </w:p>
    <w:p w:rsidR="001B5556" w14:paraId="1206BCB1"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1B5556" w14:paraId="2781901E" w14:textId="77777777">
      <w:pPr>
        <w:spacing w:after="0" w:line="300" w:lineRule="exact"/>
        <w:rPr>
          <w:rFonts w:ascii="Times New Roman" w:hAnsi="Times New Roman"/>
          <w:sz w:val="22"/>
          <w:szCs w:val="22"/>
        </w:rPr>
      </w:pPr>
    </w:p>
    <w:p w:rsidR="001B5556" w14:paraId="3082A31E"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B5556" w14:paraId="1EB89609" w14:textId="77777777">
      <w:pPr>
        <w:spacing w:after="0" w:line="300" w:lineRule="exact"/>
        <w:rPr>
          <w:rFonts w:ascii="Times New Roman" w:hAnsi="Times New Roman"/>
          <w:b/>
          <w:sz w:val="22"/>
          <w:szCs w:val="22"/>
        </w:rPr>
      </w:pPr>
    </w:p>
    <w:p w:rsidR="001B5556" w14:paraId="2A608C78"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1B5556" w14:paraId="54F9B015" w14:textId="77777777">
      <w:pPr>
        <w:spacing w:after="0" w:line="300" w:lineRule="exact"/>
        <w:rPr>
          <w:rFonts w:ascii="Times New Roman" w:hAnsi="Times New Roman"/>
          <w:b/>
          <w:sz w:val="22"/>
          <w:szCs w:val="22"/>
        </w:rPr>
      </w:pPr>
    </w:p>
    <w:p w:rsidR="001B5556" w14:paraId="09E50354"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B5556" w14:paraId="31BD5DFF" w14:textId="77777777">
      <w:pPr>
        <w:spacing w:after="0" w:line="300" w:lineRule="exact"/>
        <w:rPr>
          <w:rFonts w:ascii="Times New Roman" w:hAnsi="Times New Roman"/>
          <w:sz w:val="22"/>
          <w:szCs w:val="22"/>
        </w:rPr>
      </w:pPr>
    </w:p>
    <w:p w:rsidR="001B5556" w14:paraId="48CBC71E"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1B5556" w14:paraId="4CA2AEAD" w14:textId="77777777">
      <w:pPr>
        <w:pStyle w:val="Body4"/>
        <w:spacing w:after="0" w:line="300" w:lineRule="exact"/>
        <w:rPr>
          <w:rFonts w:ascii="Times New Roman" w:hAnsi="Times New Roman"/>
          <w:bCs/>
          <w:sz w:val="22"/>
          <w:szCs w:val="22"/>
        </w:rPr>
      </w:pPr>
    </w:p>
    <w:p w:rsidR="001B5556" w14:paraId="18140874" w14:textId="77777777">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1B5556" w14:paraId="5395094E" w14:textId="77777777">
      <w:pPr>
        <w:keepNext/>
        <w:spacing w:after="0" w:line="300" w:lineRule="exact"/>
        <w:rPr>
          <w:rFonts w:ascii="Times New Roman" w:hAnsi="Times New Roman"/>
          <w:sz w:val="22"/>
          <w:szCs w:val="22"/>
        </w:rPr>
      </w:pPr>
      <w:bookmarkStart w:id="184" w:name="_DV_M436"/>
      <w:bookmarkEnd w:id="184"/>
    </w:p>
    <w:p w:rsidR="001B5556" w14:paraId="1792D3E6"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B5556" w14:paraId="76D7DADE" w14:textId="77777777">
      <w:pPr>
        <w:keepNext/>
        <w:spacing w:after="0" w:line="300" w:lineRule="exact"/>
        <w:jc w:val="center"/>
        <w:rPr>
          <w:rFonts w:ascii="Times New Roman" w:hAnsi="Times New Roman"/>
          <w:sz w:val="22"/>
          <w:szCs w:val="22"/>
        </w:rPr>
      </w:pPr>
    </w:p>
    <w:p w:rsidR="001B5556" w14:paraId="51F47F51"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B5556" w14:paraId="2BC52C41" w14:textId="77777777">
      <w:pPr>
        <w:spacing w:after="0" w:line="300" w:lineRule="exact"/>
        <w:rPr>
          <w:rFonts w:ascii="Times New Roman" w:hAnsi="Times New Roman"/>
          <w:i/>
          <w:iCs/>
          <w:sz w:val="22"/>
          <w:szCs w:val="22"/>
        </w:rPr>
      </w:pPr>
    </w:p>
    <w:p w:rsidR="001B5556" w14:paraId="463F8DAF"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B5556" w14:paraId="0F2B44C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09FA1D60" w14:textId="77777777">
      <w:pPr>
        <w:pStyle w:val="Body"/>
        <w:spacing w:line="300" w:lineRule="exact"/>
        <w:rPr>
          <w:rFonts w:ascii="Times New Roman" w:hAnsi="Times New Roman"/>
          <w:color w:val="000000" w:themeColor="text1"/>
          <w:w w:val="0"/>
          <w:sz w:val="22"/>
          <w:szCs w:val="22"/>
        </w:rPr>
      </w:pPr>
    </w:p>
    <w:p w:rsidR="001B5556" w14:paraId="5B459D40"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B5556" w14:paraId="18AE94FE" w14:textId="77777777">
      <w:pPr>
        <w:pStyle w:val="Body"/>
        <w:spacing w:line="300" w:lineRule="exact"/>
        <w:jc w:val="center"/>
        <w:rPr>
          <w:rFonts w:ascii="Times New Roman" w:hAnsi="Times New Roman"/>
          <w:color w:val="000000" w:themeColor="text1"/>
          <w:sz w:val="22"/>
          <w:szCs w:val="22"/>
        </w:rPr>
      </w:pPr>
    </w:p>
    <w:p w:rsidR="001B5556" w14:paraId="7C968799" w14:textId="77777777">
      <w:pPr>
        <w:pStyle w:val="Body"/>
        <w:spacing w:line="300" w:lineRule="exact"/>
        <w:jc w:val="center"/>
        <w:rPr>
          <w:rFonts w:ascii="Times New Roman" w:hAnsi="Times New Roman"/>
          <w:color w:val="000000" w:themeColor="text1"/>
          <w:sz w:val="22"/>
          <w:szCs w:val="22"/>
        </w:rPr>
      </w:pPr>
    </w:p>
    <w:p w:rsidR="001B5556" w14:paraId="35DCE2AE"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421DBA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75F10ED7" w14:textId="77777777">
            <w:pPr>
              <w:suppressAutoHyphens/>
              <w:spacing w:line="300" w:lineRule="exact"/>
              <w:jc w:val="center"/>
              <w:rPr>
                <w:rFonts w:ascii="Times New Roman" w:hAnsi="Times New Roman"/>
                <w:b/>
                <w:kern w:val="20"/>
                <w:sz w:val="22"/>
                <w:szCs w:val="22"/>
              </w:rPr>
            </w:pPr>
          </w:p>
        </w:tc>
        <w:tc>
          <w:tcPr>
            <w:tcW w:w="281" w:type="dxa"/>
          </w:tcPr>
          <w:p w:rsidR="001B5556" w14:paraId="3BD341F2"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B5556" w14:paraId="3295B3DC" w14:textId="77777777">
            <w:pPr>
              <w:suppressAutoHyphens/>
              <w:spacing w:line="300" w:lineRule="exact"/>
              <w:jc w:val="center"/>
              <w:rPr>
                <w:rFonts w:ascii="Times New Roman" w:hAnsi="Times New Roman"/>
                <w:b/>
                <w:kern w:val="20"/>
                <w:sz w:val="22"/>
                <w:szCs w:val="22"/>
              </w:rPr>
            </w:pPr>
          </w:p>
        </w:tc>
      </w:tr>
      <w:tr w14:paraId="128D8A4A" w14:textId="77777777">
        <w:tblPrEx>
          <w:tblW w:w="0" w:type="auto"/>
          <w:tblLook w:val="04A0"/>
        </w:tblPrEx>
        <w:tc>
          <w:tcPr>
            <w:tcW w:w="4140" w:type="dxa"/>
            <w:tcBorders>
              <w:top w:val="single" w:sz="4" w:space="0" w:color="auto"/>
            </w:tcBorders>
          </w:tcPr>
          <w:p w:rsidR="001B5556" w14:paraId="11F59D79"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B5556" w14:paraId="16A6D6B8"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B5556" w14:paraId="1988075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752AA12C" w14:textId="77777777">
        <w:tblPrEx>
          <w:tblW w:w="0" w:type="auto"/>
          <w:tblLook w:val="04A0"/>
        </w:tblPrEx>
        <w:tc>
          <w:tcPr>
            <w:tcW w:w="4140" w:type="dxa"/>
          </w:tcPr>
          <w:p w:rsidR="001B5556" w14:paraId="5AFF06E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B5556" w14:paraId="04B7E951" w14:textId="77777777">
            <w:pPr>
              <w:suppressAutoHyphens/>
              <w:spacing w:line="300" w:lineRule="exact"/>
              <w:rPr>
                <w:rFonts w:ascii="Times New Roman" w:hAnsi="Times New Roman"/>
                <w:b/>
                <w:kern w:val="20"/>
                <w:sz w:val="22"/>
                <w:szCs w:val="22"/>
              </w:rPr>
            </w:pPr>
          </w:p>
        </w:tc>
        <w:tc>
          <w:tcPr>
            <w:tcW w:w="4084" w:type="dxa"/>
          </w:tcPr>
          <w:p w:rsidR="001B5556" w14:paraId="1E7E7A68"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B5556" w14:paraId="7F761A6E" w14:textId="77777777">
      <w:pPr>
        <w:pStyle w:val="Body"/>
        <w:spacing w:line="300" w:lineRule="exact"/>
        <w:rPr>
          <w:rFonts w:ascii="Times New Roman" w:hAnsi="Times New Roman"/>
          <w:color w:val="000000" w:themeColor="text1"/>
          <w:sz w:val="22"/>
          <w:szCs w:val="22"/>
        </w:rPr>
      </w:pPr>
    </w:p>
    <w:p w:rsidR="001B5556" w14:paraId="70E0DB21"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B5556" w14:paraId="7D4373D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1FC05D92" w14:textId="77777777">
      <w:pPr>
        <w:pStyle w:val="Body"/>
        <w:spacing w:line="300" w:lineRule="exact"/>
        <w:rPr>
          <w:rFonts w:ascii="Times New Roman" w:hAnsi="Times New Roman"/>
          <w:color w:val="000000" w:themeColor="text1"/>
          <w:sz w:val="22"/>
          <w:szCs w:val="22"/>
        </w:rPr>
      </w:pPr>
    </w:p>
    <w:p w:rsidR="001B5556" w14:paraId="31D268C1"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B5556" w14:paraId="70098F39" w14:textId="77777777">
      <w:pPr>
        <w:pStyle w:val="Body"/>
        <w:spacing w:line="300" w:lineRule="exact"/>
        <w:jc w:val="center"/>
        <w:rPr>
          <w:rFonts w:ascii="Times New Roman" w:hAnsi="Times New Roman"/>
          <w:color w:val="000000" w:themeColor="text1"/>
          <w:sz w:val="22"/>
          <w:szCs w:val="22"/>
        </w:rPr>
      </w:pPr>
    </w:p>
    <w:p w:rsidR="001B5556" w14:paraId="39C8791D" w14:textId="77777777">
      <w:pPr>
        <w:pStyle w:val="Body"/>
        <w:spacing w:line="300" w:lineRule="exact"/>
        <w:rPr>
          <w:rFonts w:ascii="Times New Roman" w:hAnsi="Times New Roman"/>
          <w:color w:val="000000" w:themeColor="text1"/>
          <w:sz w:val="22"/>
          <w:szCs w:val="22"/>
        </w:rPr>
      </w:pPr>
    </w:p>
    <w:p w:rsidR="001B5556" w14:paraId="5ADB2DAB"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67B3161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B5556" w14:paraId="2573D4AF"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42DDBF12" w14:textId="77777777">
        <w:tblPrEx>
          <w:tblW w:w="0" w:type="auto"/>
          <w:tblLook w:val="04A0"/>
        </w:tblPrEx>
        <w:tc>
          <w:tcPr>
            <w:tcW w:w="4360" w:type="dxa"/>
          </w:tcPr>
          <w:p w:rsidR="001B5556" w14:paraId="5C625182"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72E6ED98" w14:textId="77777777">
        <w:tblPrEx>
          <w:tblW w:w="0" w:type="auto"/>
          <w:tblLook w:val="04A0"/>
        </w:tblPrEx>
        <w:tc>
          <w:tcPr>
            <w:tcW w:w="4360" w:type="dxa"/>
          </w:tcPr>
          <w:p w:rsidR="001B5556" w14:paraId="4FF7DD05"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B5556" w14:paraId="2035C5D3"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49F2EED1"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185"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5"/>
    </w:p>
    <w:p w:rsidR="001B5556" w14:paraId="07C0A67D"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6CE97BDE" w14:textId="77777777">
        <w:tblPrEx>
          <w:tblW w:w="0" w:type="auto"/>
          <w:tblBorders>
            <w:top w:val="nil"/>
            <w:left w:val="nil"/>
            <w:bottom w:val="nil"/>
            <w:right w:val="nil"/>
          </w:tblBorders>
          <w:tblLayout w:type="fixed"/>
          <w:tblLook w:val="0000"/>
        </w:tblPrEx>
        <w:trPr>
          <w:trHeight w:val="450"/>
        </w:trPr>
        <w:tc>
          <w:tcPr>
            <w:tcW w:w="4382" w:type="dxa"/>
          </w:tcPr>
          <w:p w:rsidR="001B5556" w14:paraId="04BFC5BB"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B5556" w14:paraId="4C1152E0" w14:textId="77777777">
            <w:pPr>
              <w:pStyle w:val="Default"/>
              <w:spacing w:line="300" w:lineRule="exact"/>
              <w:rPr>
                <w:rFonts w:ascii="Times New Roman" w:hAnsi="Times New Roman" w:cs="Times New Roman"/>
                <w:b/>
                <w:bCs/>
                <w:iCs/>
                <w:sz w:val="22"/>
                <w:szCs w:val="22"/>
              </w:rPr>
            </w:pPr>
          </w:p>
          <w:p w:rsidR="001B5556" w14:paraId="4FA54134" w14:textId="77777777">
            <w:pPr>
              <w:pStyle w:val="Default"/>
              <w:spacing w:line="300" w:lineRule="exact"/>
              <w:rPr>
                <w:rFonts w:ascii="Times New Roman" w:hAnsi="Times New Roman" w:cs="Times New Roman"/>
                <w:b/>
                <w:bCs/>
                <w:iCs/>
                <w:sz w:val="22"/>
                <w:szCs w:val="22"/>
              </w:rPr>
            </w:pPr>
          </w:p>
          <w:p w:rsidR="001B5556" w14:paraId="11C33BF7" w14:textId="77777777">
            <w:pPr>
              <w:pStyle w:val="Default"/>
              <w:spacing w:line="300" w:lineRule="exact"/>
              <w:rPr>
                <w:rFonts w:ascii="Times New Roman" w:hAnsi="Times New Roman" w:cs="Times New Roman"/>
                <w:sz w:val="22"/>
                <w:szCs w:val="22"/>
              </w:rPr>
            </w:pPr>
          </w:p>
          <w:p w:rsidR="001B5556" w14:paraId="09E01E91"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B5556" w14:paraId="76015E1D"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2D847CA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B5556" w14:paraId="4EAE6E07"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B5556" w14:paraId="14BFE334" w14:textId="77777777">
            <w:pPr>
              <w:pStyle w:val="Default"/>
              <w:spacing w:line="300" w:lineRule="exact"/>
              <w:rPr>
                <w:rFonts w:ascii="Times New Roman" w:hAnsi="Times New Roman" w:cs="Times New Roman"/>
                <w:sz w:val="22"/>
                <w:szCs w:val="22"/>
              </w:rPr>
            </w:pPr>
          </w:p>
          <w:p w:rsidR="001B5556" w14:paraId="207C0182" w14:textId="77777777">
            <w:pPr>
              <w:pStyle w:val="Default"/>
              <w:spacing w:line="300" w:lineRule="exact"/>
              <w:rPr>
                <w:rFonts w:ascii="Times New Roman" w:hAnsi="Times New Roman" w:cs="Times New Roman"/>
                <w:sz w:val="22"/>
                <w:szCs w:val="22"/>
              </w:rPr>
            </w:pPr>
          </w:p>
          <w:p w:rsidR="001B5556" w14:paraId="505293DE" w14:textId="77777777">
            <w:pPr>
              <w:pStyle w:val="Default"/>
              <w:spacing w:line="300" w:lineRule="exact"/>
              <w:rPr>
                <w:rFonts w:ascii="Times New Roman" w:hAnsi="Times New Roman" w:cs="Times New Roman"/>
                <w:sz w:val="22"/>
                <w:szCs w:val="22"/>
              </w:rPr>
            </w:pPr>
          </w:p>
          <w:p w:rsidR="001B5556" w14:paraId="0AFF9BF8"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B5556" w14:paraId="0B0F374A"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61C8BC37"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B5556" w14:paraId="5441F772" w14:textId="77777777">
      <w:pPr>
        <w:pStyle w:val="Body"/>
        <w:spacing w:line="300" w:lineRule="exact"/>
        <w:rPr>
          <w:rFonts w:ascii="Times New Roman" w:hAnsi="Times New Roman"/>
          <w:color w:val="000000" w:themeColor="text1"/>
          <w:sz w:val="22"/>
          <w:szCs w:val="22"/>
        </w:rPr>
      </w:pPr>
    </w:p>
    <w:p w:rsidR="001B5556" w14:paraId="01BEBDBD"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0D81AFA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02EAA901" w14:textId="77777777">
        <w:tblPrEx>
          <w:tblW w:w="8765" w:type="dxa"/>
          <w:tblBorders>
            <w:top w:val="nil"/>
            <w:left w:val="nil"/>
            <w:bottom w:val="nil"/>
            <w:right w:val="nil"/>
          </w:tblBorders>
          <w:tblLayout w:type="fixed"/>
          <w:tblLook w:val="0000"/>
        </w:tblPrEx>
        <w:trPr>
          <w:trHeight w:val="129"/>
        </w:trPr>
        <w:tc>
          <w:tcPr>
            <w:tcW w:w="8765" w:type="dxa"/>
          </w:tcPr>
          <w:p w:rsidR="001B5556" w14:paraId="433CC27C" w14:textId="77777777">
            <w:pPr>
              <w:pStyle w:val="Default"/>
              <w:spacing w:line="300" w:lineRule="exact"/>
              <w:rPr>
                <w:rFonts w:ascii="Times New Roman" w:hAnsi="Times New Roman" w:cs="Times New Roman"/>
                <w:b/>
                <w:bCs/>
                <w:sz w:val="22"/>
                <w:szCs w:val="22"/>
              </w:rPr>
            </w:pPr>
          </w:p>
          <w:p w:rsidR="001B5556" w14:paraId="0CFDE298"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B5556" w14:paraId="7F623F49" w14:textId="77777777">
      <w:pPr>
        <w:spacing w:after="0" w:line="300" w:lineRule="exact"/>
        <w:rPr>
          <w:rFonts w:ascii="Times New Roman" w:hAnsi="Times New Roman"/>
          <w:sz w:val="22"/>
          <w:szCs w:val="22"/>
        </w:rPr>
      </w:pPr>
    </w:p>
    <w:p w:rsidR="001B5556" w14:paraId="7722CF00" w14:textId="77777777">
      <w:pPr>
        <w:spacing w:after="0" w:line="300" w:lineRule="exact"/>
        <w:rPr>
          <w:rFonts w:ascii="Times New Roman" w:hAnsi="Times New Roman"/>
          <w:sz w:val="22"/>
          <w:szCs w:val="22"/>
        </w:rPr>
      </w:pPr>
    </w:p>
    <w:p w:rsidR="001B5556" w14:paraId="0D6C311C"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878CA0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0AA4A743" w14:textId="77777777">
            <w:pPr>
              <w:spacing w:before="0" w:after="0" w:line="300" w:lineRule="exact"/>
              <w:rPr>
                <w:rFonts w:ascii="Times New Roman" w:hAnsi="Times New Roman"/>
                <w:b/>
                <w:sz w:val="22"/>
                <w:szCs w:val="22"/>
              </w:rPr>
            </w:pPr>
          </w:p>
        </w:tc>
        <w:tc>
          <w:tcPr>
            <w:tcW w:w="281" w:type="dxa"/>
          </w:tcPr>
          <w:p w:rsidR="001B5556" w14:paraId="69B16FA2"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1B5556" w14:paraId="57147FD4" w14:textId="77777777">
            <w:pPr>
              <w:spacing w:before="0" w:after="0" w:line="300" w:lineRule="exact"/>
              <w:rPr>
                <w:rFonts w:ascii="Times New Roman" w:hAnsi="Times New Roman"/>
                <w:b/>
                <w:sz w:val="22"/>
                <w:szCs w:val="22"/>
              </w:rPr>
            </w:pPr>
          </w:p>
        </w:tc>
      </w:tr>
      <w:tr w14:paraId="644562B6" w14:textId="77777777">
        <w:tblPrEx>
          <w:tblW w:w="0" w:type="auto"/>
          <w:tblLook w:val="04A0"/>
        </w:tblPrEx>
        <w:tc>
          <w:tcPr>
            <w:tcW w:w="4140" w:type="dxa"/>
            <w:tcBorders>
              <w:top w:val="single" w:sz="4" w:space="0" w:color="auto"/>
            </w:tcBorders>
          </w:tcPr>
          <w:p w:rsidR="001B5556" w14:paraId="5CEB1222"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B5556" w14:paraId="412386E8"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1B5556" w14:paraId="0AFB42FC"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2F3E4F32" w14:textId="77777777">
        <w:tblPrEx>
          <w:tblW w:w="0" w:type="auto"/>
          <w:tblLook w:val="04A0"/>
        </w:tblPrEx>
        <w:tc>
          <w:tcPr>
            <w:tcW w:w="4140" w:type="dxa"/>
          </w:tcPr>
          <w:p w:rsidR="001B5556" w14:paraId="54E8BD8D"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B5556" w14:paraId="7FBCB777" w14:textId="77777777">
            <w:pPr>
              <w:spacing w:before="0" w:after="0" w:line="300" w:lineRule="exact"/>
              <w:rPr>
                <w:rFonts w:ascii="Times New Roman" w:hAnsi="Times New Roman"/>
                <w:b/>
                <w:sz w:val="22"/>
                <w:szCs w:val="22"/>
              </w:rPr>
            </w:pPr>
          </w:p>
        </w:tc>
        <w:tc>
          <w:tcPr>
            <w:tcW w:w="4084" w:type="dxa"/>
          </w:tcPr>
          <w:p w:rsidR="001B5556" w14:paraId="05D749FE"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B5556" w14:paraId="0470F44E" w14:textId="77777777">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1B5556" w14:paraId="7C58FE38"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5C528886" w14:textId="77777777">
        <w:tblPrEx>
          <w:tblW w:w="8765" w:type="dxa"/>
          <w:tblBorders>
            <w:top w:val="nil"/>
            <w:left w:val="nil"/>
            <w:bottom w:val="nil"/>
            <w:right w:val="nil"/>
          </w:tblBorders>
          <w:tblLayout w:type="fixed"/>
          <w:tblLook w:val="0000"/>
        </w:tblPrEx>
        <w:trPr>
          <w:trHeight w:val="129"/>
        </w:trPr>
        <w:tc>
          <w:tcPr>
            <w:tcW w:w="8765" w:type="dxa"/>
          </w:tcPr>
          <w:p w:rsidR="001B5556" w14:paraId="7D1D98C9" w14:textId="77777777">
            <w:pPr>
              <w:pStyle w:val="Default"/>
              <w:spacing w:line="300" w:lineRule="exact"/>
              <w:rPr>
                <w:rFonts w:ascii="Times New Roman" w:hAnsi="Times New Roman" w:cs="Times New Roman"/>
                <w:b/>
                <w:bCs/>
                <w:sz w:val="22"/>
                <w:szCs w:val="22"/>
              </w:rPr>
            </w:pPr>
          </w:p>
          <w:p w:rsidR="001B5556" w14:paraId="737B4D54"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rsidR="001B5556" w14:paraId="654C6401" w14:textId="77777777">
      <w:pPr>
        <w:spacing w:after="0" w:line="300" w:lineRule="exact"/>
        <w:rPr>
          <w:rFonts w:ascii="Times New Roman" w:hAnsi="Times New Roman"/>
          <w:sz w:val="22"/>
          <w:szCs w:val="22"/>
        </w:rPr>
      </w:pPr>
    </w:p>
    <w:p w:rsidR="001B5556" w14:paraId="3EA566B6" w14:textId="77777777">
      <w:pPr>
        <w:spacing w:after="0" w:line="300" w:lineRule="exact"/>
        <w:rPr>
          <w:rFonts w:ascii="Times New Roman" w:hAnsi="Times New Roman"/>
          <w:sz w:val="22"/>
          <w:szCs w:val="22"/>
        </w:rPr>
      </w:pPr>
    </w:p>
    <w:p w:rsidR="001B5556" w14:paraId="6A62209E"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043A70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518A38B2" w14:textId="77777777">
            <w:pPr>
              <w:pStyle w:val="Body"/>
              <w:spacing w:before="0"/>
              <w:rPr>
                <w:rFonts w:ascii="Times New Roman" w:hAnsi="Times New Roman"/>
                <w:b/>
                <w:sz w:val="22"/>
                <w:szCs w:val="22"/>
              </w:rPr>
            </w:pPr>
          </w:p>
        </w:tc>
        <w:tc>
          <w:tcPr>
            <w:tcW w:w="281" w:type="dxa"/>
          </w:tcPr>
          <w:p w:rsidR="001B5556" w14:paraId="3EADE2B3" w14:textId="77777777">
            <w:pPr>
              <w:pStyle w:val="Body"/>
              <w:spacing w:before="0"/>
              <w:rPr>
                <w:rFonts w:ascii="Times New Roman" w:hAnsi="Times New Roman"/>
                <w:b/>
                <w:sz w:val="22"/>
                <w:szCs w:val="22"/>
              </w:rPr>
            </w:pPr>
          </w:p>
        </w:tc>
        <w:tc>
          <w:tcPr>
            <w:tcW w:w="4084" w:type="dxa"/>
            <w:tcBorders>
              <w:bottom w:val="single" w:sz="4" w:space="0" w:color="auto"/>
            </w:tcBorders>
          </w:tcPr>
          <w:p w:rsidR="001B5556" w14:paraId="2FDEC54B" w14:textId="77777777">
            <w:pPr>
              <w:pStyle w:val="Body"/>
              <w:spacing w:before="0"/>
              <w:rPr>
                <w:rFonts w:ascii="Times New Roman" w:hAnsi="Times New Roman"/>
                <w:b/>
                <w:sz w:val="22"/>
                <w:szCs w:val="22"/>
              </w:rPr>
            </w:pPr>
          </w:p>
        </w:tc>
      </w:tr>
      <w:tr w14:paraId="61259B7E" w14:textId="77777777">
        <w:tblPrEx>
          <w:tblW w:w="0" w:type="auto"/>
          <w:tblLook w:val="04A0"/>
        </w:tblPrEx>
        <w:tc>
          <w:tcPr>
            <w:tcW w:w="4140" w:type="dxa"/>
            <w:tcBorders>
              <w:top w:val="single" w:sz="4" w:space="0" w:color="auto"/>
            </w:tcBorders>
          </w:tcPr>
          <w:p w:rsidR="001B5556" w14:paraId="0E6BE77A" w14:textId="77777777">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rsidR="001B5556" w14:paraId="5C9BF9AD" w14:textId="77777777">
            <w:pPr>
              <w:pStyle w:val="Body"/>
              <w:spacing w:before="0" w:after="0"/>
              <w:rPr>
                <w:rFonts w:ascii="Times New Roman" w:hAnsi="Times New Roman"/>
                <w:b/>
                <w:sz w:val="22"/>
                <w:szCs w:val="22"/>
              </w:rPr>
            </w:pPr>
          </w:p>
        </w:tc>
        <w:tc>
          <w:tcPr>
            <w:tcW w:w="4084" w:type="dxa"/>
            <w:tcBorders>
              <w:top w:val="single" w:sz="4" w:space="0" w:color="auto"/>
            </w:tcBorders>
          </w:tcPr>
          <w:p w:rsidR="001B5556" w14:paraId="66C65130" w14:textId="77777777">
            <w:pPr>
              <w:pStyle w:val="Body"/>
              <w:spacing w:before="0" w:after="0"/>
              <w:rPr>
                <w:rFonts w:ascii="Times New Roman" w:hAnsi="Times New Roman"/>
                <w:b/>
                <w:sz w:val="22"/>
                <w:szCs w:val="22"/>
              </w:rPr>
            </w:pPr>
            <w:r>
              <w:rPr>
                <w:rFonts w:ascii="Times New Roman" w:hAnsi="Times New Roman"/>
                <w:sz w:val="22"/>
                <w:szCs w:val="22"/>
              </w:rPr>
              <w:t>Nome:</w:t>
            </w:r>
          </w:p>
        </w:tc>
      </w:tr>
      <w:tr w14:paraId="02FE58F7" w14:textId="77777777">
        <w:tblPrEx>
          <w:tblW w:w="0" w:type="auto"/>
          <w:tblLook w:val="04A0"/>
        </w:tblPrEx>
        <w:tc>
          <w:tcPr>
            <w:tcW w:w="4140" w:type="dxa"/>
          </w:tcPr>
          <w:p w:rsidR="001B5556" w14:paraId="7ACB10AE" w14:textId="77777777">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rsidR="001B5556" w14:paraId="5B4BD03B" w14:textId="77777777">
            <w:pPr>
              <w:pStyle w:val="Body"/>
              <w:spacing w:before="0" w:after="0"/>
              <w:rPr>
                <w:rFonts w:ascii="Times New Roman" w:hAnsi="Times New Roman"/>
                <w:b/>
                <w:sz w:val="22"/>
                <w:szCs w:val="22"/>
              </w:rPr>
            </w:pPr>
          </w:p>
        </w:tc>
        <w:tc>
          <w:tcPr>
            <w:tcW w:w="4084" w:type="dxa"/>
          </w:tcPr>
          <w:p w:rsidR="001B5556" w14:paraId="06804C5E" w14:textId="77777777">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rsidR="001B5556" w14:paraId="72A7B2A6" w14:textId="77777777">
      <w:pPr>
        <w:pStyle w:val="Body"/>
        <w:spacing w:line="300" w:lineRule="exact"/>
        <w:rPr>
          <w:rFonts w:ascii="Times New Roman" w:hAnsi="Times New Roman"/>
          <w:i/>
          <w:iCs/>
          <w:sz w:val="22"/>
          <w:szCs w:val="22"/>
        </w:rPr>
      </w:pPr>
    </w:p>
    <w:p w:rsidR="001B5556" w14:paraId="267D8FFB" w14:textId="77777777">
      <w:pPr>
        <w:pStyle w:val="Body"/>
        <w:spacing w:line="300" w:lineRule="exact"/>
        <w:rPr>
          <w:rFonts w:ascii="Times New Roman" w:hAnsi="Times New Roman"/>
          <w:bCs/>
          <w:smallCaps/>
          <w:sz w:val="22"/>
          <w:szCs w:val="22"/>
        </w:rPr>
      </w:pPr>
    </w:p>
    <w:p w:rsidR="001B5556" w14:paraId="3A095C89" w14:textId="77777777">
      <w:pPr>
        <w:pStyle w:val="Body"/>
        <w:spacing w:line="300" w:lineRule="exact"/>
        <w:rPr>
          <w:rFonts w:ascii="Times New Roman" w:hAnsi="Times New Roman"/>
          <w:bCs/>
          <w:smallCaps/>
          <w:sz w:val="22"/>
          <w:szCs w:val="22"/>
        </w:rPr>
      </w:pPr>
    </w:p>
    <w:p w:rsidR="001B5556" w14:paraId="142FD122" w14:textId="77777777">
      <w:pPr>
        <w:pStyle w:val="Body"/>
        <w:spacing w:line="300" w:lineRule="exact"/>
        <w:rPr>
          <w:rFonts w:ascii="Times New Roman" w:hAnsi="Times New Roman"/>
          <w:bCs/>
          <w:smallCaps/>
          <w:sz w:val="22"/>
          <w:szCs w:val="22"/>
        </w:rPr>
      </w:pPr>
    </w:p>
    <w:p w:rsidR="001B5556" w14:paraId="0976C545" w14:textId="77777777">
      <w:pPr>
        <w:pStyle w:val="Body"/>
        <w:spacing w:line="300" w:lineRule="exact"/>
        <w:rPr>
          <w:rFonts w:ascii="Times New Roman" w:hAnsi="Times New Roman"/>
          <w:bCs/>
          <w:smallCaps/>
          <w:sz w:val="22"/>
          <w:szCs w:val="22"/>
        </w:rPr>
      </w:pPr>
    </w:p>
    <w:p w:rsidR="001B5556" w14:paraId="2C7A9939"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B5556" w14:paraId="7654D92D"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301C7967" w14:textId="77777777">
      <w:pPr>
        <w:pStyle w:val="Body"/>
        <w:spacing w:line="300" w:lineRule="exact"/>
        <w:rPr>
          <w:rFonts w:ascii="Times New Roman" w:hAnsi="Times New Roman"/>
          <w:bCs/>
          <w:smallCaps/>
          <w:sz w:val="22"/>
          <w:szCs w:val="22"/>
        </w:rPr>
      </w:pPr>
    </w:p>
    <w:p w:rsidR="001B5556" w14:paraId="4F6A272E"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B5556" w14:paraId="366DE37B" w14:textId="77777777">
      <w:pPr>
        <w:pStyle w:val="Body"/>
        <w:spacing w:line="300" w:lineRule="exact"/>
        <w:rPr>
          <w:rFonts w:ascii="Times New Roman" w:hAnsi="Times New Roman"/>
          <w:sz w:val="22"/>
          <w:szCs w:val="22"/>
        </w:rPr>
      </w:pPr>
    </w:p>
    <w:p w:rsidR="001B5556" w14:paraId="30BCC25F" w14:textId="77777777">
      <w:pPr>
        <w:pStyle w:val="Body"/>
        <w:spacing w:line="300" w:lineRule="exact"/>
        <w:rPr>
          <w:rFonts w:ascii="Times New Roman" w:hAnsi="Times New Roman"/>
          <w:sz w:val="22"/>
          <w:szCs w:val="22"/>
        </w:rPr>
      </w:pPr>
    </w:p>
    <w:p w:rsidR="001B5556" w14:paraId="54798470"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0B019A8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B5556" w14:paraId="54DA92EE"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B5556" w14:paraId="604390EC"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B5556" w14:paraId="1B1B8D1F"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07570FAB" w14:textId="77777777">
        <w:tblPrEx>
          <w:tblW w:w="0" w:type="auto"/>
          <w:tblLook w:val="04A0"/>
        </w:tblPrEx>
        <w:tc>
          <w:tcPr>
            <w:tcW w:w="4248" w:type="dxa"/>
            <w:tcBorders>
              <w:top w:val="single" w:sz="4" w:space="0" w:color="auto"/>
            </w:tcBorders>
          </w:tcPr>
          <w:p w:rsidR="001B5556" w14:paraId="57912233"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B5556" w14:paraId="75D9E879"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B5556" w14:paraId="43B86404"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B5556" w14:paraId="13E1C340"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B5556" w14:paraId="570C20E7"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6662E63A" w14:textId="77777777">
        <w:tblPrEx>
          <w:tblW w:w="0" w:type="auto"/>
          <w:tblLook w:val="04A0"/>
        </w:tblPrEx>
        <w:tc>
          <w:tcPr>
            <w:tcW w:w="4248" w:type="dxa"/>
          </w:tcPr>
          <w:p w:rsidR="001B5556" w14:paraId="3200CD1E"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B5556" w14:paraId="63C9C200" w14:textId="77777777">
            <w:pPr>
              <w:suppressAutoHyphens/>
              <w:spacing w:after="0" w:line="300" w:lineRule="exact"/>
              <w:rPr>
                <w:rFonts w:ascii="Times New Roman" w:hAnsi="Times New Roman"/>
                <w:b/>
                <w:kern w:val="20"/>
                <w:sz w:val="22"/>
                <w:szCs w:val="22"/>
              </w:rPr>
            </w:pPr>
          </w:p>
        </w:tc>
        <w:tc>
          <w:tcPr>
            <w:tcW w:w="4190" w:type="dxa"/>
          </w:tcPr>
          <w:p w:rsidR="001B5556" w14:paraId="4E246C7D"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B5556" w14:paraId="7B2731B5" w14:textId="77777777">
      <w:pPr>
        <w:pStyle w:val="Body"/>
        <w:spacing w:line="300" w:lineRule="exact"/>
        <w:rPr>
          <w:rFonts w:ascii="Times New Roman" w:hAnsi="Times New Roman"/>
          <w:sz w:val="22"/>
          <w:szCs w:val="22"/>
        </w:rPr>
      </w:pPr>
    </w:p>
    <w:p w:rsidR="001B5556" w14:paraId="29AAE983" w14:textId="77777777">
      <w:pPr>
        <w:spacing w:after="0" w:line="300" w:lineRule="exact"/>
        <w:jc w:val="left"/>
        <w:rPr>
          <w:rFonts w:ascii="Times New Roman" w:hAnsi="Times New Roman"/>
          <w:kern w:val="20"/>
          <w:sz w:val="22"/>
          <w:szCs w:val="22"/>
        </w:rPr>
      </w:pPr>
      <w:r>
        <w:rPr>
          <w:rFonts w:ascii="Times New Roman" w:hAnsi="Times New Roman"/>
          <w:sz w:val="22"/>
          <w:szCs w:val="22"/>
        </w:rPr>
        <w:br w:type="page"/>
      </w:r>
    </w:p>
    <w:p w:rsidR="001B5556" w14:paraId="1CCD0AB4"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01205324" w14:textId="77777777">
      <w:pPr>
        <w:pStyle w:val="Body"/>
        <w:spacing w:line="300" w:lineRule="exact"/>
        <w:rPr>
          <w:rFonts w:ascii="Times New Roman" w:hAnsi="Times New Roman"/>
          <w:i/>
          <w:iCs/>
          <w:sz w:val="22"/>
          <w:szCs w:val="22"/>
        </w:rPr>
      </w:pPr>
    </w:p>
    <w:p w:rsidR="001B5556" w14:paraId="502244F3"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B5556" w14:paraId="4DBBF2F2" w14:textId="77777777">
      <w:pPr>
        <w:pStyle w:val="Body"/>
        <w:spacing w:line="300" w:lineRule="exact"/>
        <w:jc w:val="center"/>
        <w:rPr>
          <w:rFonts w:ascii="Times New Roman" w:hAnsi="Times New Roman"/>
          <w:b/>
          <w:bCs/>
          <w:sz w:val="22"/>
          <w:szCs w:val="22"/>
        </w:rPr>
      </w:pPr>
    </w:p>
    <w:p w:rsidR="001B5556" w14:paraId="3E641CF5"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B5556" w14:paraId="21B7C430"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1EE2F78" w14:textId="77777777">
      <w:pPr>
        <w:pStyle w:val="Body"/>
        <w:spacing w:line="300" w:lineRule="exact"/>
        <w:rPr>
          <w:rFonts w:ascii="Times New Roman" w:hAnsi="Times New Roman"/>
          <w:i/>
          <w:iCs/>
          <w:sz w:val="22"/>
          <w:szCs w:val="22"/>
        </w:rPr>
      </w:pPr>
    </w:p>
    <w:p w:rsidR="001B5556" w14:paraId="499FD3C1"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0"/>
      <w:footerReference w:type="even" r:id="rId11"/>
      <w:footerReference w:type="default" r:id="rId12"/>
      <w:head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67C2390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63CB" w14:paraId="2111B58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4E68DE44"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B963CB" w14:paraId="2823A66E" w14:textId="77777777">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4DFA" w14:paraId="382F923D" w14:textId="77777777">
      <w:pPr>
        <w:spacing w:after="0" w:line="240" w:lineRule="auto"/>
      </w:pPr>
      <w:r>
        <w:separator/>
      </w:r>
    </w:p>
  </w:footnote>
  <w:footnote w:type="continuationSeparator" w:id="1">
    <w:p w:rsidR="00224DFA" w14:paraId="5D01DAC7" w14:textId="77777777">
      <w:pPr>
        <w:spacing w:after="0" w:line="240" w:lineRule="auto"/>
      </w:pPr>
      <w:r>
        <w:continuationSeparator/>
      </w:r>
    </w:p>
  </w:footnote>
  <w:footnote w:type="continuationNotice" w:id="2">
    <w:p w:rsidR="00224DFA" w14:paraId="5C4F2FB1" w14:textId="77777777">
      <w:pPr>
        <w:spacing w:after="0" w:line="240" w:lineRule="auto"/>
      </w:pPr>
    </w:p>
  </w:footnote>
  <w:footnote w:id="3">
    <w:p w:rsidR="00B963CB" w14:paraId="23DED193" w14:textId="77777777">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8352F82"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0FD38DD7"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41F53D15" w14:textId="77777777">
          <w:pPr>
            <w:pStyle w:val="Header"/>
            <w:jc w:val="right"/>
            <w:rPr>
              <w:rFonts w:ascii="Times New Roman" w:hAnsi="Times New Roman"/>
              <w:sz w:val="22"/>
              <w:szCs w:val="22"/>
            </w:rPr>
          </w:pPr>
        </w:p>
      </w:tc>
    </w:tr>
  </w:tbl>
  <w:p w:rsidR="00B963CB" w14:paraId="2B6C89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FE4EB4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7AC3F1C5"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4A1EFB17" w14:textId="61C201E9">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w:t>
          </w:r>
          <w:r>
            <w:rPr>
              <w:rFonts w:ascii="Times New Roman" w:hAnsi="Times New Roman"/>
              <w:b/>
              <w:bCs/>
              <w:i/>
              <w:iCs/>
              <w:noProof/>
              <w:sz w:val="22"/>
              <w:szCs w:val="22"/>
            </w:rPr>
            <w:t xml:space="preserve"> Cescon Barrieu</w:t>
          </w:r>
        </w:p>
        <w:p w:rsidR="00B963CB" w14:paraId="21938A2F" w14:textId="4E989899">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(1</w:t>
          </w:r>
          <w:r w:rsidR="00135130">
            <w:rPr>
              <w:rFonts w:ascii="Times New Roman" w:hAnsi="Times New Roman"/>
              <w:b/>
              <w:bCs/>
              <w:i/>
              <w:iCs/>
              <w:noProof/>
              <w:sz w:val="22"/>
              <w:szCs w:val="22"/>
            </w:rPr>
            <w:t>5</w:t>
          </w:r>
          <w:r>
            <w:rPr>
              <w:rFonts w:ascii="Times New Roman" w:hAnsi="Times New Roman"/>
              <w:b/>
              <w:bCs/>
              <w:i/>
              <w:iCs/>
              <w:noProof/>
              <w:sz w:val="22"/>
              <w:szCs w:val="22"/>
            </w:rPr>
            <w:t>.07.2021)</w:t>
          </w:r>
        </w:p>
        <w:p w:rsidR="00B963CB" w14:paraId="3428E4F9" w14:textId="77777777">
          <w:pPr>
            <w:pStyle w:val="Header"/>
            <w:jc w:val="right"/>
            <w:rPr>
              <w:rFonts w:ascii="Times New Roman" w:hAnsi="Times New Roman"/>
              <w:b/>
              <w:i/>
              <w:iCs/>
              <w:sz w:val="22"/>
              <w:szCs w:val="22"/>
            </w:rPr>
          </w:pPr>
        </w:p>
      </w:tc>
    </w:tr>
  </w:tbl>
  <w:p w:rsidR="00B963CB" w14:paraId="2C225C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56"/>
    <w:rsid w:val="000B003C"/>
    <w:rsid w:val="00113411"/>
    <w:rsid w:val="00135130"/>
    <w:rsid w:val="001B5556"/>
    <w:rsid w:val="00224DFA"/>
    <w:rsid w:val="002B04D2"/>
    <w:rsid w:val="00377710"/>
    <w:rsid w:val="004D569B"/>
    <w:rsid w:val="0051343E"/>
    <w:rsid w:val="0059407B"/>
    <w:rsid w:val="006D4B95"/>
    <w:rsid w:val="00761A65"/>
    <w:rsid w:val="00842488"/>
    <w:rsid w:val="00A307A3"/>
    <w:rsid w:val="00AC66E3"/>
    <w:rsid w:val="00B963CB"/>
    <w:rsid w:val="00C50D80"/>
    <w:rsid w:val="00D9587B"/>
    <w:rsid w:val="00F634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link w:val="ListParagraph"/>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 S C B F - R J ! 5 3 6 4 1 5 6 . 1 < / d o c u m e n t i d >  
     < s e n d e r i d > V S I M O N I < / s e n d e r i d >  
     < s e n d e r e m a i l > V I T T O R I A . S I M O N I @ C E S C O N B A R R I E U . C O M . B R < / s e n d e r e m a i l >  
     < l a s t m o d i f i e d > 2 0 2 1 - 0 7 - 1 4 T 1 5 : 3 8 : 0 0 . 0 0 0 0 0 0 0 - 0 3 : 0 0 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21025</Words>
  <Characters>119895</Characters>
  <Application>Microsoft Office Word</Application>
  <DocSecurity>0</DocSecurity>
  <Lines>988</Lines>
  <Paragraphs>642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