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after="80" w:line="300" w:lineRule="exact"/>
        <w:jc w:val="center"/>
        <w:rPr>
          <w:rFonts w:ascii="Arial" w:hAnsi="Arial" w:cs="Arial"/>
          <w:b/>
          <w:smallCaps/>
          <w:sz w:val="20"/>
          <w:szCs w:val="20"/>
        </w:rPr>
      </w:pPr>
    </w:p>
    <w:p>
      <w:pPr>
        <w:widowControl w:val="0"/>
        <w:spacing w:after="140" w:line="300" w:lineRule="exact"/>
        <w:jc w:val="center"/>
        <w:rPr>
          <w:rFonts w:ascii="Arial" w:hAnsi="Arial" w:cs="Arial"/>
          <w:b/>
          <w:bCs/>
          <w:color w:val="000000"/>
          <w:sz w:val="24"/>
        </w:rPr>
      </w:pPr>
      <w:r>
        <w:rPr>
          <w:rFonts w:ascii="Arial" w:hAnsi="Arial" w:cs="Arial"/>
          <w:b/>
          <w:caps/>
          <w:sz w:val="24"/>
        </w:rPr>
        <w:t xml:space="preserve">ELETROMIDIA </w:t>
      </w:r>
      <w:r>
        <w:rPr>
          <w:rFonts w:ascii="Arial" w:hAnsi="Arial" w:cs="Arial"/>
          <w:b/>
          <w:bCs/>
          <w:color w:val="000000"/>
          <w:sz w:val="24"/>
        </w:rPr>
        <w:t>S.A.</w:t>
      </w:r>
    </w:p>
    <w:p>
      <w:pPr>
        <w:widowControl w:val="0"/>
        <w:spacing w:after="80" w:line="300" w:lineRule="exact"/>
        <w:jc w:val="center"/>
        <w:rPr>
          <w:rFonts w:ascii="Arial" w:hAnsi="Arial" w:cs="Arial"/>
          <w:b/>
          <w:sz w:val="20"/>
          <w:szCs w:val="20"/>
          <w:lang w:val="it-IT"/>
        </w:rPr>
      </w:pPr>
      <w:r>
        <w:rPr>
          <w:rFonts w:ascii="Arial" w:hAnsi="Arial" w:cs="Arial"/>
          <w:b/>
          <w:sz w:val="20"/>
          <w:szCs w:val="20"/>
          <w:lang w:val="it-IT"/>
        </w:rPr>
        <w:t>CNPJ/ME nº</w:t>
      </w:r>
      <w:r>
        <w:rPr>
          <w:rFonts w:ascii="Arial" w:hAnsi="Arial" w:cs="Arial"/>
          <w:sz w:val="20"/>
          <w:szCs w:val="20"/>
        </w:rPr>
        <w:t xml:space="preserve"> </w:t>
      </w:r>
      <w:r>
        <w:rPr>
          <w:rFonts w:ascii="Arial" w:hAnsi="Arial" w:cs="Arial"/>
          <w:b/>
          <w:sz w:val="20"/>
          <w:szCs w:val="20"/>
        </w:rPr>
        <w:t>09.347.516/0001-81</w:t>
      </w:r>
      <w:r>
        <w:rPr>
          <w:rFonts w:ascii="Arial" w:hAnsi="Arial" w:cs="Arial"/>
          <w:b/>
          <w:sz w:val="20"/>
          <w:szCs w:val="20"/>
          <w:lang w:val="it-IT"/>
        </w:rPr>
        <w:br/>
        <w:t>Companhia Fechada</w:t>
      </w:r>
    </w:p>
    <w:p>
      <w:pPr>
        <w:widowControl w:val="0"/>
        <w:spacing w:after="80" w:line="300" w:lineRule="exact"/>
        <w:jc w:val="center"/>
        <w:rPr>
          <w:rFonts w:ascii="Arial" w:hAnsi="Arial" w:cs="Arial"/>
          <w:b/>
          <w:sz w:val="20"/>
          <w:szCs w:val="20"/>
          <w:lang w:val="it-IT"/>
        </w:rPr>
      </w:pPr>
    </w:p>
    <w:p>
      <w:pPr>
        <w:autoSpaceDE w:val="0"/>
        <w:autoSpaceDN w:val="0"/>
        <w:adjustRightInd w:val="0"/>
        <w:spacing w:after="0" w:line="300" w:lineRule="exact"/>
        <w:rPr>
          <w:rFonts w:ascii="Arial" w:eastAsia="Calibri" w:hAnsi="Arial" w:cs="Arial"/>
          <w:b/>
          <w:bCs/>
          <w:sz w:val="20"/>
          <w:szCs w:val="20"/>
        </w:rPr>
      </w:pPr>
      <w:r>
        <w:rPr>
          <w:rFonts w:ascii="Arial" w:eastAsia="Calibri" w:hAnsi="Arial" w:cs="Arial"/>
          <w:b/>
          <w:bCs/>
          <w:sz w:val="20"/>
          <w:szCs w:val="20"/>
        </w:rPr>
        <w:t>ATA DA ASSEMBLEIA GERAL DE DEBENTURISTAS DA 2ª (SEGUNDA) EMISSÃO DE DEBÊNTURES SIMPLES, NÃO CONVERSÍVEIS EM AÇÕES, DA ESPÉCIE COM GARANTIA REAL, COM GARANTIA FIDEJUSSÓRIA ADICIONAL, EM SÉRIE ÚNICA, PARA DISTRIBUIÇÃO PÚBLICA, COM ESFORÇOS RESTRITOS DE DISTRIBUIÇÃO, DA ELETROMIDIA S.A., REALIZADA EM 31 DE MARÇO DE 2020.</w:t>
      </w:r>
    </w:p>
    <w:p>
      <w:pPr>
        <w:widowControl w:val="0"/>
        <w:spacing w:after="0" w:line="300" w:lineRule="exact"/>
        <w:rPr>
          <w:rFonts w:ascii="Arial" w:hAnsi="Arial" w:cs="Arial"/>
          <w:b/>
          <w:sz w:val="20"/>
          <w:szCs w:val="20"/>
        </w:rPr>
      </w:pPr>
    </w:p>
    <w:p>
      <w:pPr>
        <w:widowControl w:val="0"/>
        <w:spacing w:after="0" w:line="300" w:lineRule="exact"/>
        <w:rPr>
          <w:rFonts w:ascii="Arial" w:hAnsi="Arial" w:cs="Arial"/>
          <w:sz w:val="20"/>
          <w:szCs w:val="20"/>
        </w:rPr>
      </w:pPr>
      <w:r>
        <w:rPr>
          <w:rFonts w:ascii="Arial" w:hAnsi="Arial" w:cs="Arial"/>
          <w:b/>
          <w:smallCaps/>
          <w:sz w:val="20"/>
          <w:szCs w:val="20"/>
        </w:rPr>
        <w:t>DATA, HORÁRIO</w:t>
      </w:r>
      <w:r>
        <w:rPr>
          <w:rFonts w:ascii="Arial" w:hAnsi="Arial" w:cs="Arial"/>
          <w:b/>
          <w:sz w:val="20"/>
          <w:szCs w:val="20"/>
        </w:rPr>
        <w:t xml:space="preserve"> E </w:t>
      </w:r>
      <w:r>
        <w:rPr>
          <w:rFonts w:ascii="Arial" w:hAnsi="Arial" w:cs="Arial"/>
          <w:b/>
          <w:smallCaps/>
          <w:sz w:val="20"/>
          <w:szCs w:val="20"/>
        </w:rPr>
        <w:t>LOCAL</w:t>
      </w:r>
      <w:r>
        <w:rPr>
          <w:rFonts w:ascii="Arial" w:hAnsi="Arial" w:cs="Arial"/>
          <w:sz w:val="20"/>
          <w:szCs w:val="20"/>
        </w:rPr>
        <w:t>: 31 de março de 2020, às 18 horas, na sede da Eletromidia S.A. (“</w:t>
      </w:r>
      <w:r>
        <w:rPr>
          <w:rFonts w:ascii="Arial" w:hAnsi="Arial" w:cs="Arial"/>
          <w:sz w:val="20"/>
          <w:szCs w:val="20"/>
          <w:u w:val="single"/>
        </w:rPr>
        <w:t>Companhia</w:t>
      </w:r>
      <w:r>
        <w:rPr>
          <w:rFonts w:ascii="Arial" w:hAnsi="Arial" w:cs="Arial"/>
          <w:sz w:val="20"/>
          <w:szCs w:val="20"/>
        </w:rPr>
        <w:t>”) na Cidade de São Paulo, Estado de São Paulo, na Rua Leopoldo Couto de Magalhães Júnior, nº 758, 7° andar, CEP 04.542-000, ltaim Bibi.</w:t>
      </w:r>
    </w:p>
    <w:p>
      <w:pPr>
        <w:widowControl w:val="0"/>
        <w:spacing w:after="0" w:line="300" w:lineRule="exact"/>
        <w:rPr>
          <w:rFonts w:ascii="Arial" w:hAnsi="Arial" w:cs="Arial"/>
          <w:sz w:val="20"/>
          <w:szCs w:val="20"/>
        </w:rPr>
      </w:pPr>
    </w:p>
    <w:p>
      <w:pPr>
        <w:widowControl w:val="0"/>
        <w:spacing w:after="0" w:line="300" w:lineRule="exact"/>
        <w:rPr>
          <w:rFonts w:ascii="Arial" w:hAnsi="Arial" w:cs="Arial"/>
          <w:sz w:val="20"/>
          <w:szCs w:val="20"/>
        </w:rPr>
      </w:pPr>
      <w:r>
        <w:rPr>
          <w:rFonts w:ascii="Arial" w:hAnsi="Arial" w:cs="Arial"/>
          <w:b/>
          <w:smallCaps/>
          <w:sz w:val="20"/>
          <w:szCs w:val="20"/>
        </w:rPr>
        <w:t>CONVOCAÇÃO</w:t>
      </w:r>
      <w:r>
        <w:rPr>
          <w:rFonts w:ascii="Arial" w:hAnsi="Arial" w:cs="Arial"/>
          <w:smallCaps/>
          <w:sz w:val="20"/>
          <w:szCs w:val="20"/>
        </w:rPr>
        <w:t>:</w:t>
      </w:r>
      <w:r>
        <w:rPr>
          <w:rFonts w:ascii="Arial" w:hAnsi="Arial" w:cs="Arial"/>
          <w:smallCaps/>
          <w:sz w:val="20"/>
          <w:szCs w:val="20"/>
        </w:rPr>
        <w:tab/>
        <w:t>D</w:t>
      </w:r>
      <w:r>
        <w:rPr>
          <w:rFonts w:ascii="Arial" w:hAnsi="Arial" w:cs="Arial"/>
          <w:sz w:val="20"/>
          <w:szCs w:val="20"/>
        </w:rPr>
        <w:t xml:space="preserve">ispensada a convocação por edital, tendo em vista que se verificou a presença de titulares representando 100% (cem por cento) das debêntures em circulação, emitidas no âmbito da </w:t>
      </w:r>
      <w:r>
        <w:rPr>
          <w:rStyle w:val="Nmerodepgina"/>
          <w:rFonts w:ascii="Arial" w:hAnsi="Arial" w:cs="Arial"/>
          <w:sz w:val="20"/>
          <w:szCs w:val="20"/>
        </w:rPr>
        <w:t>2</w:t>
      </w:r>
      <w:r>
        <w:rPr>
          <w:rFonts w:ascii="Arial" w:hAnsi="Arial" w:cs="Arial"/>
          <w:sz w:val="20"/>
          <w:szCs w:val="20"/>
        </w:rPr>
        <w:t xml:space="preserve">ª (segunda) emissão de debêntures simples, não conversíveis em ações, </w:t>
      </w:r>
      <w:proofErr w:type="gramStart"/>
      <w:r>
        <w:rPr>
          <w:rFonts w:ascii="Arial" w:hAnsi="Arial" w:cs="Arial"/>
          <w:sz w:val="20"/>
          <w:szCs w:val="20"/>
        </w:rPr>
        <w:t>da</w:t>
      </w:r>
      <w:proofErr w:type="gramEnd"/>
      <w:r>
        <w:rPr>
          <w:rFonts w:ascii="Arial" w:hAnsi="Arial" w:cs="Arial"/>
          <w:sz w:val="20"/>
          <w:szCs w:val="20"/>
        </w:rPr>
        <w:t xml:space="preserve"> espécie com garantia real e fidejussória adicional, em série única, para distribuição pública com esforços restritos da Companhia (“</w:t>
      </w:r>
      <w:r>
        <w:rPr>
          <w:rFonts w:ascii="Arial" w:hAnsi="Arial" w:cs="Arial"/>
          <w:sz w:val="20"/>
          <w:szCs w:val="20"/>
          <w:u w:val="single"/>
        </w:rPr>
        <w:t>Debêntures</w:t>
      </w:r>
      <w:r>
        <w:rPr>
          <w:rFonts w:ascii="Arial" w:hAnsi="Arial" w:cs="Arial"/>
          <w:sz w:val="20"/>
          <w:szCs w:val="20"/>
        </w:rPr>
        <w:t>”), nos termos da Instrução da Comissão de Valores Mobiliários (“</w:t>
      </w:r>
      <w:r>
        <w:rPr>
          <w:rFonts w:ascii="Arial" w:hAnsi="Arial" w:cs="Arial"/>
          <w:sz w:val="20"/>
          <w:szCs w:val="20"/>
          <w:u w:val="single"/>
        </w:rPr>
        <w:t>CVM</w:t>
      </w:r>
      <w:r>
        <w:rPr>
          <w:rFonts w:ascii="Arial" w:hAnsi="Arial" w:cs="Arial"/>
          <w:sz w:val="20"/>
          <w:szCs w:val="20"/>
        </w:rPr>
        <w:t>”) nº 476, de 16 de janeiro de 2009 e alterações posteriores (“</w:t>
      </w:r>
      <w:r>
        <w:rPr>
          <w:rFonts w:ascii="Arial" w:hAnsi="Arial" w:cs="Arial"/>
          <w:sz w:val="20"/>
          <w:szCs w:val="20"/>
          <w:u w:val="single"/>
        </w:rPr>
        <w:t>Instrução CVM 476</w:t>
      </w:r>
      <w:r>
        <w:rPr>
          <w:rFonts w:ascii="Arial" w:hAnsi="Arial" w:cs="Arial"/>
          <w:sz w:val="20"/>
          <w:szCs w:val="20"/>
        </w:rPr>
        <w:t>”) e dos artigos 71, § 2º e 124, §4º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w:t>
      </w:r>
    </w:p>
    <w:p>
      <w:pPr>
        <w:widowControl w:val="0"/>
        <w:spacing w:after="0" w:line="300" w:lineRule="exact"/>
        <w:rPr>
          <w:rFonts w:ascii="Arial" w:hAnsi="Arial" w:cs="Arial"/>
          <w:smallCaps/>
          <w:sz w:val="20"/>
          <w:szCs w:val="20"/>
        </w:rPr>
      </w:pPr>
    </w:p>
    <w:p>
      <w:pPr>
        <w:widowControl w:val="0"/>
        <w:spacing w:after="0" w:line="300" w:lineRule="exact"/>
        <w:rPr>
          <w:rFonts w:ascii="Arial" w:hAnsi="Arial" w:cs="Arial"/>
          <w:sz w:val="20"/>
          <w:szCs w:val="20"/>
        </w:rPr>
      </w:pPr>
      <w:r>
        <w:rPr>
          <w:rFonts w:ascii="Arial" w:hAnsi="Arial" w:cs="Arial"/>
          <w:b/>
          <w:smallCaps/>
          <w:sz w:val="20"/>
          <w:szCs w:val="20"/>
        </w:rPr>
        <w:t>PRESENÇA</w:t>
      </w:r>
      <w:r>
        <w:rPr>
          <w:rFonts w:ascii="Arial" w:hAnsi="Arial" w:cs="Arial"/>
          <w:sz w:val="20"/>
          <w:szCs w:val="20"/>
        </w:rPr>
        <w:t>: Presentes todos os titulares das Debêntures (“</w:t>
      </w:r>
      <w:r>
        <w:rPr>
          <w:rFonts w:ascii="Arial" w:hAnsi="Arial" w:cs="Arial"/>
          <w:sz w:val="20"/>
          <w:szCs w:val="20"/>
          <w:u w:val="single"/>
        </w:rPr>
        <w:t>Debenturistas</w:t>
      </w:r>
      <w:r>
        <w:rPr>
          <w:rFonts w:ascii="Arial" w:hAnsi="Arial" w:cs="Arial"/>
          <w:sz w:val="20"/>
          <w:szCs w:val="20"/>
        </w:rPr>
        <w:t>”), conforme se verificou nas assinaturas da Lista de Presença, ainda, o representante da Simplific Pavarini Distribuidora de Títulos e Valores Mobiliários Ltda, na qualidade de agente fiduciário (“</w:t>
      </w:r>
      <w:r>
        <w:rPr>
          <w:rFonts w:ascii="Arial" w:hAnsi="Arial" w:cs="Arial"/>
          <w:sz w:val="20"/>
          <w:szCs w:val="20"/>
          <w:u w:val="single"/>
        </w:rPr>
        <w:t>Agente Fiduciário</w:t>
      </w:r>
      <w:r>
        <w:rPr>
          <w:rFonts w:ascii="Arial" w:hAnsi="Arial" w:cs="Arial"/>
          <w:sz w:val="20"/>
          <w:szCs w:val="20"/>
        </w:rPr>
        <w:t>”), e os representantes da Companhia, que, neste ato, comparecem para todos os fins de direito e fazem constar nesta ata que concordam com os termos aqui deliberados.</w:t>
      </w:r>
    </w:p>
    <w:p>
      <w:pPr>
        <w:widowControl w:val="0"/>
        <w:tabs>
          <w:tab w:val="left" w:pos="2880"/>
        </w:tabs>
        <w:spacing w:after="80" w:line="300" w:lineRule="exact"/>
        <w:ind w:left="2880" w:hanging="2880"/>
        <w:jc w:val="left"/>
        <w:rPr>
          <w:rFonts w:ascii="Arial" w:hAnsi="Arial" w:cs="Arial"/>
          <w:smallCaps/>
          <w:sz w:val="20"/>
          <w:szCs w:val="20"/>
        </w:rPr>
      </w:pPr>
    </w:p>
    <w:p>
      <w:pPr>
        <w:widowControl w:val="0"/>
        <w:tabs>
          <w:tab w:val="left" w:pos="1843"/>
        </w:tabs>
        <w:spacing w:after="80" w:line="300" w:lineRule="exact"/>
        <w:jc w:val="left"/>
        <w:rPr>
          <w:rFonts w:ascii="Arial" w:hAnsi="Arial" w:cs="Arial"/>
          <w:sz w:val="20"/>
          <w:szCs w:val="20"/>
        </w:rPr>
      </w:pPr>
      <w:r>
        <w:rPr>
          <w:rFonts w:ascii="Arial" w:hAnsi="Arial" w:cs="Arial"/>
          <w:b/>
          <w:smallCaps/>
          <w:sz w:val="20"/>
          <w:szCs w:val="20"/>
        </w:rPr>
        <w:t>COMPOSIÇÃO DA MESA</w:t>
      </w:r>
      <w:r>
        <w:rPr>
          <w:rFonts w:ascii="Arial" w:hAnsi="Arial" w:cs="Arial"/>
          <w:sz w:val="20"/>
          <w:szCs w:val="20"/>
        </w:rPr>
        <w:t xml:space="preserve">: Sr.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Presidente, e Sr.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Secretário.</w:t>
      </w:r>
    </w:p>
    <w:p>
      <w:pPr>
        <w:widowControl w:val="0"/>
        <w:tabs>
          <w:tab w:val="left" w:pos="2880"/>
        </w:tabs>
        <w:spacing w:after="80" w:line="300" w:lineRule="exact"/>
        <w:ind w:left="2880" w:hanging="2880"/>
        <w:jc w:val="left"/>
        <w:rPr>
          <w:rFonts w:ascii="Arial" w:hAnsi="Arial" w:cs="Arial"/>
          <w:sz w:val="20"/>
          <w:szCs w:val="20"/>
        </w:rPr>
      </w:pPr>
    </w:p>
    <w:p>
      <w:pPr>
        <w:autoSpaceDE w:val="0"/>
        <w:autoSpaceDN w:val="0"/>
        <w:spacing w:line="300" w:lineRule="exact"/>
        <w:rPr>
          <w:rFonts w:ascii="Arial" w:hAnsi="Arial" w:cs="Arial"/>
          <w:sz w:val="20"/>
          <w:szCs w:val="20"/>
        </w:rPr>
      </w:pPr>
      <w:r>
        <w:rPr>
          <w:rFonts w:ascii="Arial" w:hAnsi="Arial" w:cs="Arial"/>
          <w:b/>
          <w:smallCaps/>
          <w:sz w:val="20"/>
          <w:szCs w:val="20"/>
        </w:rPr>
        <w:t>ORDEM DO DIA</w:t>
      </w:r>
      <w:r>
        <w:rPr>
          <w:rFonts w:ascii="Arial" w:hAnsi="Arial" w:cs="Arial"/>
          <w:smallCaps/>
          <w:sz w:val="20"/>
          <w:szCs w:val="20"/>
        </w:rPr>
        <w:t xml:space="preserve">: </w:t>
      </w:r>
      <w:r>
        <w:rPr>
          <w:rFonts w:ascii="Arial" w:hAnsi="Arial" w:cs="Arial"/>
          <w:sz w:val="20"/>
          <w:szCs w:val="20"/>
        </w:rPr>
        <w:t>deliberar sobre (a) dispensa da obrigatoriedade de a Companhia observar o prazo mínimo de 10 dias úteis de antecedência da data prevista para realização do resgate antecipado da totalidade das Debêntures (“</w:t>
      </w:r>
      <w:r>
        <w:rPr>
          <w:rFonts w:ascii="Arial" w:hAnsi="Arial" w:cs="Arial"/>
          <w:sz w:val="20"/>
          <w:szCs w:val="20"/>
          <w:u w:val="single"/>
        </w:rPr>
        <w:t>Resgate Antecipado Facultativo Total</w:t>
      </w:r>
      <w:r>
        <w:rPr>
          <w:rFonts w:ascii="Arial" w:hAnsi="Arial" w:cs="Arial"/>
          <w:sz w:val="20"/>
          <w:szCs w:val="20"/>
        </w:rPr>
        <w:t>”), para envio de notificação aos Debenturistas comunicando o referido Resgate Antecipado Facultativo Total, conforme previsto na cláusula 5.18.1 (i) do “</w:t>
      </w:r>
      <w:r>
        <w:rPr>
          <w:rFonts w:ascii="Arial" w:hAnsi="Arial" w:cs="Arial"/>
          <w:i/>
          <w:sz w:val="20"/>
          <w:szCs w:val="20"/>
        </w:rPr>
        <w:t>Instrumento Particular de Escritura da 2ª (Segunda) Emissão de Debêntures Simples, Não Conversíveis em Ações, da Espécie com Garantia Real, com Garantia Fidejussória Adicional, em Série Única, para Distribuição Pública com Esforços Restritos, da Eletromidia S.A.</w:t>
      </w:r>
      <w:r>
        <w:rPr>
          <w:rFonts w:ascii="Arial" w:hAnsi="Arial" w:cs="Arial"/>
          <w:sz w:val="20"/>
          <w:szCs w:val="20"/>
        </w:rPr>
        <w:t>” (“</w:t>
      </w:r>
      <w:r>
        <w:rPr>
          <w:rFonts w:ascii="Arial" w:hAnsi="Arial" w:cs="Arial"/>
          <w:sz w:val="20"/>
          <w:szCs w:val="20"/>
          <w:u w:val="single"/>
        </w:rPr>
        <w:t>Escritura de Emissão</w:t>
      </w:r>
      <w:r>
        <w:rPr>
          <w:rFonts w:ascii="Arial" w:hAnsi="Arial" w:cs="Arial"/>
          <w:sz w:val="20"/>
          <w:szCs w:val="20"/>
        </w:rPr>
        <w:t xml:space="preserve">”); e (b) autorização para que Agente Fiduciário assine, em conjunto com a Companhia, a notificação para criação do evento de </w:t>
      </w:r>
      <w:r>
        <w:rPr>
          <w:rFonts w:ascii="Arial" w:hAnsi="Arial" w:cs="Arial"/>
          <w:sz w:val="20"/>
          <w:szCs w:val="20"/>
        </w:rPr>
        <w:lastRenderedPageBreak/>
        <w:t xml:space="preserve">Resgate Antecipado Facultativo Total que será encaminhada à </w:t>
      </w:r>
      <w:r>
        <w:rPr>
          <w:rFonts w:ascii="Arial" w:hAnsi="Arial" w:cs="Arial"/>
          <w:bCs/>
          <w:sz w:val="20"/>
          <w:szCs w:val="20"/>
        </w:rPr>
        <w:t>B3 S.A. – Brasil, Bolsa, Balcão (“</w:t>
      </w:r>
      <w:r>
        <w:rPr>
          <w:rFonts w:ascii="Arial" w:hAnsi="Arial" w:cs="Arial"/>
          <w:bCs/>
          <w:sz w:val="20"/>
          <w:szCs w:val="20"/>
          <w:u w:val="single"/>
        </w:rPr>
        <w:t>B3</w:t>
      </w:r>
      <w:r>
        <w:rPr>
          <w:rFonts w:ascii="Arial" w:hAnsi="Arial" w:cs="Arial"/>
          <w:bCs/>
          <w:sz w:val="20"/>
          <w:szCs w:val="20"/>
        </w:rPr>
        <w:t>”).</w:t>
      </w:r>
    </w:p>
    <w:p>
      <w:pPr>
        <w:widowControl w:val="0"/>
        <w:spacing w:after="0" w:line="300" w:lineRule="exact"/>
        <w:rPr>
          <w:rFonts w:ascii="Arial" w:hAnsi="Arial" w:cs="Arial"/>
          <w:sz w:val="20"/>
          <w:szCs w:val="20"/>
        </w:rPr>
      </w:pPr>
    </w:p>
    <w:p>
      <w:pPr>
        <w:widowControl w:val="0"/>
        <w:spacing w:after="0" w:line="300" w:lineRule="exact"/>
        <w:rPr>
          <w:rFonts w:ascii="Arial" w:hAnsi="Arial" w:cs="Arial"/>
          <w:sz w:val="20"/>
          <w:szCs w:val="20"/>
        </w:rPr>
      </w:pPr>
      <w:r>
        <w:rPr>
          <w:rFonts w:ascii="Arial" w:hAnsi="Arial" w:cs="Arial"/>
          <w:b/>
          <w:smallCaps/>
          <w:sz w:val="20"/>
          <w:szCs w:val="20"/>
        </w:rPr>
        <w:t>ABERTURA</w:t>
      </w:r>
      <w:r>
        <w:rPr>
          <w:rFonts w:ascii="Arial" w:hAnsi="Arial" w:cs="Arial"/>
          <w:smallCaps/>
          <w:sz w:val="20"/>
          <w:szCs w:val="20"/>
        </w:rPr>
        <w:t xml:space="preserve">: </w:t>
      </w:r>
      <w:r>
        <w:rPr>
          <w:rFonts w:ascii="Arial" w:hAnsi="Arial" w:cs="Arial"/>
          <w:sz w:val="20"/>
          <w:szCs w:val="20"/>
        </w:rPr>
        <w:t xml:space="preserve">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dos representantes dos Debenturistas presentes, declarando o Presidente instalada a presente Assembleia. Em seguida, foi realizada a leitura da Ordem do Dia. </w:t>
      </w:r>
    </w:p>
    <w:p>
      <w:pPr>
        <w:widowControl w:val="0"/>
        <w:spacing w:after="0" w:line="300" w:lineRule="exact"/>
        <w:rPr>
          <w:rFonts w:ascii="Arial" w:hAnsi="Arial" w:cs="Arial"/>
          <w:sz w:val="20"/>
          <w:szCs w:val="20"/>
        </w:rPr>
      </w:pPr>
    </w:p>
    <w:p>
      <w:pPr>
        <w:widowControl w:val="0"/>
        <w:spacing w:after="0" w:line="300" w:lineRule="exact"/>
        <w:rPr>
          <w:rFonts w:ascii="Arial" w:hAnsi="Arial" w:cs="Arial"/>
          <w:sz w:val="20"/>
          <w:szCs w:val="20"/>
        </w:rPr>
      </w:pPr>
      <w:r>
        <w:rPr>
          <w:rFonts w:ascii="Arial" w:hAnsi="Arial" w:cs="Arial"/>
          <w:b/>
          <w:smallCaps/>
          <w:sz w:val="20"/>
          <w:szCs w:val="20"/>
        </w:rPr>
        <w:t>DELIBERAÇÃO</w:t>
      </w:r>
      <w:r>
        <w:rPr>
          <w:rFonts w:ascii="Arial" w:hAnsi="Arial" w:cs="Arial"/>
          <w:sz w:val="20"/>
          <w:szCs w:val="20"/>
        </w:rPr>
        <w:t>: Analisadas e discutidas as matérias constantes da Ordem do Dia, os Debenturistas aprovaram, sem quaisquer ressalvas:</w:t>
      </w:r>
    </w:p>
    <w:p>
      <w:pPr>
        <w:widowControl w:val="0"/>
        <w:spacing w:after="0" w:line="300" w:lineRule="exact"/>
        <w:rPr>
          <w:rFonts w:ascii="Arial" w:hAnsi="Arial" w:cs="Arial"/>
          <w:sz w:val="20"/>
          <w:szCs w:val="20"/>
        </w:rPr>
      </w:pPr>
    </w:p>
    <w:p>
      <w:pPr>
        <w:widowControl w:val="0"/>
        <w:spacing w:after="0" w:line="300" w:lineRule="exact"/>
        <w:rPr>
          <w:rFonts w:ascii="Arial" w:hAnsi="Arial" w:cs="Arial"/>
          <w:sz w:val="20"/>
          <w:szCs w:val="20"/>
        </w:rPr>
      </w:pPr>
      <w:r>
        <w:rPr>
          <w:rFonts w:ascii="Arial" w:hAnsi="Arial" w:cs="Arial"/>
          <w:sz w:val="20"/>
          <w:szCs w:val="20"/>
        </w:rPr>
        <w:t xml:space="preserve">(a) dispensa da obrigatoriedade de a Companhia observar o prazo mínimo de 10 dias úteis de antecedência da Data do Resgate, para envio de notificação aos debenturistas comunicando o resgate antecipado, conforme previsto na cláusula 5.18.1 (i) da Escritura de Emissão. Observado ainda que todos os Debenturistas receberam as respectivas notificações enviadas pela Companhia em 31 de março de 2020, comunicando que o Resgate Antecipado Facultativo Total das Debêntures, nos termos da cláusula 5.18 da Escritura de Emissão, será realizado </w:t>
      </w:r>
      <w:r>
        <w:rPr>
          <w:rFonts w:ascii="Arial" w:hAnsi="Arial" w:cs="Arial"/>
          <w:sz w:val="20"/>
          <w:szCs w:val="20"/>
          <w:highlight w:val="yellow"/>
        </w:rPr>
        <w:t>em [3/6] de abril de 2020</w:t>
      </w:r>
      <w:r>
        <w:rPr>
          <w:rFonts w:ascii="Arial" w:hAnsi="Arial" w:cs="Arial"/>
          <w:sz w:val="20"/>
          <w:szCs w:val="20"/>
        </w:rPr>
        <w:t>; e</w:t>
      </w:r>
    </w:p>
    <w:p>
      <w:pPr>
        <w:widowControl w:val="0"/>
        <w:spacing w:after="0" w:line="300" w:lineRule="exact"/>
        <w:rPr>
          <w:rFonts w:ascii="Arial" w:hAnsi="Arial" w:cs="Arial"/>
          <w:sz w:val="20"/>
          <w:szCs w:val="20"/>
        </w:rPr>
      </w:pPr>
    </w:p>
    <w:p>
      <w:pPr>
        <w:widowControl w:val="0"/>
        <w:spacing w:after="0" w:line="300" w:lineRule="exact"/>
        <w:rPr>
          <w:rFonts w:ascii="Arial" w:hAnsi="Arial" w:cs="Arial"/>
          <w:bCs/>
          <w:sz w:val="20"/>
          <w:szCs w:val="20"/>
        </w:rPr>
      </w:pPr>
      <w:r>
        <w:rPr>
          <w:rFonts w:ascii="Arial" w:hAnsi="Arial" w:cs="Arial"/>
          <w:sz w:val="20"/>
          <w:szCs w:val="20"/>
        </w:rPr>
        <w:t xml:space="preserve">(b) autorização para que Agente Fiduciário assine, em conjunto com a Companhia, a notificação para criação do evento de Resgate Antecipado Facultativo Total que será encaminhada à </w:t>
      </w:r>
      <w:r>
        <w:rPr>
          <w:rFonts w:ascii="Arial" w:hAnsi="Arial" w:cs="Arial"/>
          <w:bCs/>
          <w:sz w:val="20"/>
          <w:szCs w:val="20"/>
        </w:rPr>
        <w:t xml:space="preserve">B3 até 1 de abril de 2020. </w:t>
      </w:r>
    </w:p>
    <w:p>
      <w:pPr>
        <w:widowControl w:val="0"/>
        <w:spacing w:after="0" w:line="300" w:lineRule="exact"/>
        <w:rPr>
          <w:rFonts w:ascii="Arial" w:hAnsi="Arial" w:cs="Arial"/>
          <w:bCs/>
          <w:sz w:val="20"/>
          <w:szCs w:val="20"/>
        </w:rPr>
      </w:pPr>
    </w:p>
    <w:p>
      <w:pPr>
        <w:widowControl w:val="0"/>
        <w:spacing w:after="0" w:line="300" w:lineRule="exact"/>
        <w:rPr>
          <w:rFonts w:ascii="Arial" w:hAnsi="Arial" w:cs="Arial"/>
          <w:sz w:val="20"/>
          <w:szCs w:val="20"/>
        </w:rPr>
      </w:pPr>
      <w:r>
        <w:rPr>
          <w:rFonts w:ascii="Arial" w:hAnsi="Arial" w:cs="Arial"/>
          <w:b/>
          <w:smallCaps/>
          <w:sz w:val="20"/>
          <w:szCs w:val="20"/>
        </w:rPr>
        <w:t>ENCERRAMENTO</w:t>
      </w:r>
      <w:r>
        <w:rPr>
          <w:rFonts w:ascii="Arial" w:hAnsi="Arial" w:cs="Arial"/>
          <w:sz w:val="20"/>
          <w:szCs w:val="20"/>
        </w:rPr>
        <w:t xml:space="preserve">: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Assembleia Geral de Debenturistas na forma de sumário, nos termos do artigo 130, Parágrafo 1º da Lei das Sociedades por Ações. </w:t>
      </w:r>
    </w:p>
    <w:p>
      <w:pPr>
        <w:widowControl w:val="0"/>
        <w:spacing w:after="80" w:line="300" w:lineRule="exact"/>
        <w:rPr>
          <w:rFonts w:ascii="Arial" w:hAnsi="Arial" w:cs="Arial"/>
          <w:sz w:val="20"/>
          <w:szCs w:val="20"/>
        </w:rPr>
      </w:pPr>
    </w:p>
    <w:p>
      <w:pPr>
        <w:widowControl w:val="0"/>
        <w:spacing w:after="80" w:line="300" w:lineRule="exact"/>
        <w:jc w:val="center"/>
        <w:rPr>
          <w:rFonts w:ascii="Arial" w:hAnsi="Arial" w:cs="Arial"/>
          <w:sz w:val="20"/>
          <w:szCs w:val="20"/>
        </w:rPr>
      </w:pPr>
      <w:r>
        <w:rPr>
          <w:rFonts w:ascii="Arial" w:hAnsi="Arial" w:cs="Arial"/>
          <w:sz w:val="20"/>
          <w:szCs w:val="20"/>
        </w:rPr>
        <w:t>São Paulo, 31 de março de 2020.</w:t>
      </w:r>
    </w:p>
    <w:p>
      <w:pPr>
        <w:widowControl w:val="0"/>
        <w:spacing w:after="80" w:line="300" w:lineRule="exact"/>
        <w:rPr>
          <w:rFonts w:ascii="Arial" w:hAnsi="Arial" w:cs="Arial"/>
          <w:sz w:val="20"/>
          <w:szCs w:val="20"/>
        </w:rPr>
      </w:pPr>
    </w:p>
    <w:p>
      <w:pPr>
        <w:widowControl w:val="0"/>
        <w:spacing w:after="80" w:line="300" w:lineRule="exact"/>
        <w:rPr>
          <w:rFonts w:ascii="Arial" w:hAnsi="Arial" w:cs="Arial"/>
          <w:sz w:val="20"/>
          <w:szCs w:val="20"/>
        </w:rPr>
      </w:pPr>
    </w:p>
    <w:tbl>
      <w:tblPr>
        <w:tblW w:w="8223" w:type="dxa"/>
        <w:tblInd w:w="-1" w:type="dxa"/>
        <w:tblLayout w:type="fixed"/>
        <w:tblCellMar>
          <w:left w:w="71" w:type="dxa"/>
          <w:right w:w="71" w:type="dxa"/>
        </w:tblCellMar>
        <w:tblLook w:val="0000" w:firstRow="0" w:lastRow="0" w:firstColumn="0" w:lastColumn="0" w:noHBand="0" w:noVBand="0"/>
      </w:tblPr>
      <w:tblGrid>
        <w:gridCol w:w="4112"/>
        <w:gridCol w:w="284"/>
        <w:gridCol w:w="3827"/>
      </w:tblGrid>
      <w:tr>
        <w:trPr>
          <w:cantSplit/>
          <w:trHeight w:val="942"/>
        </w:trPr>
        <w:tc>
          <w:tcPr>
            <w:tcW w:w="4112" w:type="dxa"/>
            <w:tcBorders>
              <w:top w:val="single" w:sz="6" w:space="0" w:color="auto"/>
            </w:tcBorders>
          </w:tcPr>
          <w:p>
            <w:pPr>
              <w:widowControl w:val="0"/>
              <w:spacing w:after="80" w:line="300" w:lineRule="exact"/>
              <w:jc w:val="center"/>
              <w:rPr>
                <w:rFonts w:ascii="Arial" w:hAnsi="Arial" w:cs="Arial"/>
                <w:sz w:val="20"/>
                <w:szCs w:val="20"/>
              </w:rPr>
            </w:pP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p>
          <w:p>
            <w:pPr>
              <w:widowControl w:val="0"/>
              <w:spacing w:after="80" w:line="300" w:lineRule="exact"/>
              <w:jc w:val="center"/>
              <w:rPr>
                <w:rFonts w:ascii="Arial" w:hAnsi="Arial" w:cs="Arial"/>
                <w:sz w:val="20"/>
                <w:szCs w:val="20"/>
                <w:highlight w:val="yellow"/>
              </w:rPr>
            </w:pPr>
            <w:r>
              <w:rPr>
                <w:rFonts w:ascii="Arial" w:hAnsi="Arial" w:cs="Arial"/>
                <w:sz w:val="20"/>
                <w:szCs w:val="20"/>
              </w:rPr>
              <w:t>Presidente</w:t>
            </w:r>
          </w:p>
        </w:tc>
        <w:tc>
          <w:tcPr>
            <w:tcW w:w="284" w:type="dxa"/>
          </w:tcPr>
          <w:p>
            <w:pPr>
              <w:widowControl w:val="0"/>
              <w:spacing w:after="80" w:line="300" w:lineRule="exact"/>
              <w:jc w:val="center"/>
              <w:rPr>
                <w:rFonts w:ascii="Arial" w:hAnsi="Arial" w:cs="Arial"/>
                <w:sz w:val="20"/>
                <w:szCs w:val="20"/>
                <w:highlight w:val="yellow"/>
              </w:rPr>
            </w:pPr>
          </w:p>
        </w:tc>
        <w:tc>
          <w:tcPr>
            <w:tcW w:w="3827" w:type="dxa"/>
            <w:tcBorders>
              <w:top w:val="single" w:sz="6" w:space="0" w:color="auto"/>
            </w:tcBorders>
          </w:tcPr>
          <w:p>
            <w:pPr>
              <w:widowControl w:val="0"/>
              <w:spacing w:after="80" w:line="300" w:lineRule="exact"/>
              <w:jc w:val="center"/>
              <w:rPr>
                <w:rFonts w:ascii="Arial" w:hAnsi="Arial" w:cs="Arial"/>
                <w:sz w:val="20"/>
                <w:szCs w:val="20"/>
              </w:rPr>
            </w:pP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p>
          <w:p>
            <w:pPr>
              <w:widowControl w:val="0"/>
              <w:spacing w:after="80" w:line="300" w:lineRule="exact"/>
              <w:jc w:val="center"/>
              <w:rPr>
                <w:rFonts w:ascii="Arial" w:hAnsi="Arial" w:cs="Arial"/>
                <w:sz w:val="20"/>
                <w:szCs w:val="20"/>
              </w:rPr>
            </w:pPr>
            <w:r>
              <w:rPr>
                <w:rFonts w:ascii="Arial" w:hAnsi="Arial" w:cs="Arial"/>
                <w:sz w:val="20"/>
                <w:szCs w:val="20"/>
              </w:rPr>
              <w:t>Secretário</w:t>
            </w:r>
          </w:p>
        </w:tc>
      </w:tr>
    </w:tbl>
    <w:p>
      <w:pPr>
        <w:autoSpaceDE w:val="0"/>
        <w:autoSpaceDN w:val="0"/>
        <w:adjustRightInd w:val="0"/>
        <w:spacing w:after="0" w:line="300" w:lineRule="exact"/>
        <w:rPr>
          <w:rFonts w:ascii="Arial" w:hAnsi="Arial" w:cs="Arial"/>
          <w:bCs/>
          <w:caps/>
          <w:sz w:val="24"/>
        </w:rPr>
      </w:pPr>
      <w:r>
        <w:rPr>
          <w:rFonts w:ascii="Arial" w:hAnsi="Arial" w:cs="Arial"/>
          <w:bCs/>
          <w:sz w:val="20"/>
          <w:szCs w:val="20"/>
        </w:rPr>
        <w:t xml:space="preserve">PÁGINA DE ASSINATURA DA </w:t>
      </w:r>
      <w:r>
        <w:rPr>
          <w:rFonts w:ascii="Arial" w:eastAsia="Calibri" w:hAnsi="Arial" w:cs="Arial"/>
          <w:bCs/>
          <w:sz w:val="20"/>
          <w:szCs w:val="20"/>
        </w:rPr>
        <w:t>ATA DA ASSEMBLEIA GERAL DE DEBENTURISTAS DA 2ª (SEGUNDA) EMISSÃO DE DEBÊNTURES SIMPLES, NÃO CONVERSÍVEIS EM AÇÕES, DA ESPÉCIE COM GARANTIA REAL, COM GARANTIA FIDEJUSSÓRIA ADICIONAL, EM SÉRIE ÚNICA, PARA DISTRIBUIÇÃO PÚBLICA, COM ESFORÇOS RESTRITOS DE DISTRIBUIÇÃO, DA ELETROMIDIA S.A., REALIZADA EM 1 DE ABRIL DE 2020.</w:t>
      </w:r>
    </w:p>
    <w:p>
      <w:pPr>
        <w:autoSpaceDE w:val="0"/>
        <w:autoSpaceDN w:val="0"/>
        <w:adjustRightInd w:val="0"/>
        <w:spacing w:after="0" w:line="300" w:lineRule="exact"/>
        <w:jc w:val="center"/>
        <w:rPr>
          <w:rFonts w:ascii="Arial" w:hAnsi="Arial" w:cs="Arial"/>
          <w:bCs/>
          <w:caps/>
          <w:sz w:val="24"/>
        </w:rPr>
      </w:pPr>
    </w:p>
    <w:p>
      <w:pPr>
        <w:autoSpaceDE w:val="0"/>
        <w:autoSpaceDN w:val="0"/>
        <w:adjustRightInd w:val="0"/>
        <w:spacing w:after="0" w:line="300" w:lineRule="exact"/>
        <w:jc w:val="center"/>
        <w:rPr>
          <w:rFonts w:ascii="Arial" w:hAnsi="Arial" w:cs="Arial"/>
          <w:bCs/>
          <w:caps/>
          <w:sz w:val="24"/>
        </w:rPr>
      </w:pPr>
    </w:p>
    <w:p>
      <w:pPr>
        <w:autoSpaceDE w:val="0"/>
        <w:autoSpaceDN w:val="0"/>
        <w:adjustRightInd w:val="0"/>
        <w:spacing w:after="0" w:line="300" w:lineRule="exact"/>
        <w:jc w:val="center"/>
        <w:rPr>
          <w:rFonts w:ascii="Arial" w:hAnsi="Arial" w:cs="Arial"/>
          <w:bCs/>
          <w:caps/>
          <w:sz w:val="24"/>
        </w:rPr>
      </w:pPr>
    </w:p>
    <w:p>
      <w:pPr>
        <w:autoSpaceDE w:val="0"/>
        <w:autoSpaceDN w:val="0"/>
        <w:adjustRightInd w:val="0"/>
        <w:spacing w:after="0" w:line="300" w:lineRule="exact"/>
        <w:jc w:val="center"/>
        <w:rPr>
          <w:rFonts w:ascii="Arial" w:hAnsi="Arial" w:cs="Arial"/>
          <w:bCs/>
          <w:caps/>
          <w:sz w:val="24"/>
        </w:rPr>
      </w:pPr>
    </w:p>
    <w:p>
      <w:pPr>
        <w:autoSpaceDE w:val="0"/>
        <w:autoSpaceDN w:val="0"/>
        <w:adjustRightInd w:val="0"/>
        <w:spacing w:after="0" w:line="300" w:lineRule="exact"/>
        <w:jc w:val="center"/>
        <w:rPr>
          <w:rFonts w:ascii="Arial" w:hAnsi="Arial" w:cs="Arial"/>
          <w:bCs/>
          <w:caps/>
          <w:sz w:val="24"/>
        </w:rPr>
      </w:pPr>
    </w:p>
    <w:p>
      <w:pPr>
        <w:autoSpaceDE w:val="0"/>
        <w:autoSpaceDN w:val="0"/>
        <w:adjustRightInd w:val="0"/>
        <w:spacing w:after="0" w:line="300" w:lineRule="exact"/>
        <w:jc w:val="center"/>
        <w:rPr>
          <w:rFonts w:ascii="Arial" w:hAnsi="Arial" w:cs="Arial"/>
          <w:bCs/>
          <w:caps/>
          <w:sz w:val="24"/>
        </w:rPr>
      </w:pPr>
    </w:p>
    <w:p>
      <w:pPr>
        <w:autoSpaceDE w:val="0"/>
        <w:autoSpaceDN w:val="0"/>
        <w:adjustRightInd w:val="0"/>
        <w:spacing w:after="0" w:line="300" w:lineRule="exact"/>
        <w:jc w:val="center"/>
        <w:rPr>
          <w:rFonts w:ascii="Arial" w:hAnsi="Arial" w:cs="Arial"/>
          <w:bCs/>
          <w:caps/>
          <w:sz w:val="24"/>
        </w:rPr>
      </w:pPr>
    </w:p>
    <w:p>
      <w:pPr>
        <w:autoSpaceDE w:val="0"/>
        <w:autoSpaceDN w:val="0"/>
        <w:adjustRightInd w:val="0"/>
        <w:spacing w:after="0" w:line="300" w:lineRule="exact"/>
        <w:jc w:val="center"/>
        <w:rPr>
          <w:rFonts w:ascii="Arial" w:hAnsi="Arial" w:cs="Arial"/>
          <w:bCs/>
          <w:caps/>
          <w:sz w:val="24"/>
        </w:rPr>
      </w:pPr>
      <w:r>
        <w:rPr>
          <w:rFonts w:ascii="Arial" w:hAnsi="Arial" w:cs="Arial"/>
          <w:bCs/>
          <w:caps/>
          <w:sz w:val="24"/>
        </w:rPr>
        <w:t>________________________________________________</w:t>
      </w:r>
    </w:p>
    <w:p>
      <w:pPr>
        <w:autoSpaceDE w:val="0"/>
        <w:autoSpaceDN w:val="0"/>
        <w:adjustRightInd w:val="0"/>
        <w:spacing w:after="0" w:line="300" w:lineRule="exact"/>
        <w:jc w:val="center"/>
        <w:rPr>
          <w:rFonts w:ascii="Arial" w:hAnsi="Arial" w:cs="Arial"/>
          <w:b/>
          <w:bCs/>
          <w:color w:val="000000"/>
          <w:sz w:val="24"/>
        </w:rPr>
      </w:pPr>
      <w:r>
        <w:rPr>
          <w:rFonts w:ascii="Arial" w:hAnsi="Arial" w:cs="Arial"/>
          <w:b/>
          <w:caps/>
          <w:sz w:val="24"/>
        </w:rPr>
        <w:t xml:space="preserve">ELETROMIDIA </w:t>
      </w:r>
      <w:r>
        <w:rPr>
          <w:rFonts w:ascii="Arial" w:hAnsi="Arial" w:cs="Arial"/>
          <w:b/>
          <w:bCs/>
          <w:color w:val="000000"/>
          <w:sz w:val="24"/>
        </w:rPr>
        <w:t>S.A.</w:t>
      </w:r>
    </w:p>
    <w:p>
      <w:pPr>
        <w:autoSpaceDE w:val="0"/>
        <w:autoSpaceDN w:val="0"/>
        <w:adjustRightInd w:val="0"/>
        <w:spacing w:after="0" w:line="300" w:lineRule="exact"/>
        <w:jc w:val="center"/>
        <w:rPr>
          <w:rFonts w:ascii="Arial" w:hAnsi="Arial" w:cs="Arial"/>
          <w:sz w:val="20"/>
          <w:szCs w:val="20"/>
        </w:rPr>
      </w:pPr>
      <w:r>
        <w:rPr>
          <w:rFonts w:ascii="Arial" w:hAnsi="Arial" w:cs="Arial"/>
          <w:color w:val="000000"/>
          <w:sz w:val="24"/>
        </w:rPr>
        <w:t>(Emissora)</w:t>
      </w:r>
    </w:p>
    <w:p>
      <w:pPr>
        <w:autoSpaceDE w:val="0"/>
        <w:autoSpaceDN w:val="0"/>
        <w:adjustRightInd w:val="0"/>
        <w:spacing w:after="0" w:line="300" w:lineRule="exact"/>
        <w:rPr>
          <w:rFonts w:ascii="Arial" w:hAnsi="Arial" w:cs="Arial"/>
          <w:bCs/>
          <w:sz w:val="20"/>
          <w:szCs w:val="20"/>
        </w:rPr>
      </w:pPr>
    </w:p>
    <w:p>
      <w:pPr>
        <w:autoSpaceDE w:val="0"/>
        <w:autoSpaceDN w:val="0"/>
        <w:adjustRightInd w:val="0"/>
        <w:spacing w:after="0" w:line="300" w:lineRule="exact"/>
        <w:rPr>
          <w:rFonts w:ascii="Arial" w:hAnsi="Arial" w:cs="Arial"/>
          <w:bCs/>
          <w:sz w:val="20"/>
          <w:szCs w:val="20"/>
        </w:rPr>
      </w:pPr>
    </w:p>
    <w:p>
      <w:pPr>
        <w:autoSpaceDE w:val="0"/>
        <w:autoSpaceDN w:val="0"/>
        <w:adjustRightInd w:val="0"/>
        <w:spacing w:after="0" w:line="300" w:lineRule="exact"/>
        <w:rPr>
          <w:rFonts w:ascii="Arial" w:hAnsi="Arial" w:cs="Arial"/>
          <w:bCs/>
          <w:sz w:val="20"/>
          <w:szCs w:val="20"/>
        </w:rPr>
      </w:pPr>
    </w:p>
    <w:p>
      <w:pPr>
        <w:autoSpaceDE w:val="0"/>
        <w:autoSpaceDN w:val="0"/>
        <w:adjustRightInd w:val="0"/>
        <w:spacing w:after="0" w:line="300" w:lineRule="exact"/>
        <w:rPr>
          <w:rFonts w:ascii="Arial" w:hAnsi="Arial" w:cs="Arial"/>
          <w:bCs/>
          <w:sz w:val="20"/>
          <w:szCs w:val="20"/>
        </w:rPr>
      </w:pPr>
    </w:p>
    <w:p>
      <w:pPr>
        <w:autoSpaceDE w:val="0"/>
        <w:autoSpaceDN w:val="0"/>
        <w:adjustRightInd w:val="0"/>
        <w:spacing w:after="0" w:line="300" w:lineRule="exact"/>
        <w:rPr>
          <w:rFonts w:ascii="Arial" w:hAnsi="Arial" w:cs="Arial"/>
          <w:bCs/>
          <w:sz w:val="20"/>
          <w:szCs w:val="20"/>
        </w:rPr>
      </w:pPr>
    </w:p>
    <w:p>
      <w:pPr>
        <w:autoSpaceDE w:val="0"/>
        <w:autoSpaceDN w:val="0"/>
        <w:adjustRightInd w:val="0"/>
        <w:spacing w:after="0" w:line="300" w:lineRule="exact"/>
        <w:jc w:val="center"/>
        <w:rPr>
          <w:rFonts w:ascii="Arial" w:hAnsi="Arial" w:cs="Arial"/>
          <w:bCs/>
          <w:caps/>
          <w:sz w:val="24"/>
        </w:rPr>
      </w:pPr>
      <w:r>
        <w:rPr>
          <w:rFonts w:ascii="Arial" w:hAnsi="Arial" w:cs="Arial"/>
          <w:bCs/>
          <w:caps/>
          <w:sz w:val="24"/>
        </w:rPr>
        <w:t>________________________________________________</w:t>
      </w:r>
    </w:p>
    <w:p>
      <w:pPr>
        <w:autoSpaceDE w:val="0"/>
        <w:autoSpaceDN w:val="0"/>
        <w:adjustRightInd w:val="0"/>
        <w:spacing w:after="0" w:line="300" w:lineRule="exact"/>
        <w:jc w:val="center"/>
        <w:rPr>
          <w:rFonts w:ascii="Arial" w:hAnsi="Arial" w:cs="Arial"/>
          <w:b/>
          <w:bCs/>
          <w:color w:val="000000"/>
          <w:sz w:val="24"/>
        </w:rPr>
      </w:pPr>
      <w:r>
        <w:rPr>
          <w:rFonts w:ascii="Arial" w:hAnsi="Arial" w:cs="Arial"/>
          <w:b/>
          <w:caps/>
          <w:sz w:val="24"/>
        </w:rPr>
        <w:t>SIMPLIFIC PAVARINI DISTRIBUIDORA DE TÍTULOS E VALORES MOBILIÁRIOS LTDA</w:t>
      </w:r>
    </w:p>
    <w:p>
      <w:pPr>
        <w:autoSpaceDE w:val="0"/>
        <w:autoSpaceDN w:val="0"/>
        <w:adjustRightInd w:val="0"/>
        <w:spacing w:after="0" w:line="300" w:lineRule="exact"/>
        <w:jc w:val="center"/>
        <w:rPr>
          <w:rFonts w:ascii="Arial" w:hAnsi="Arial" w:cs="Arial"/>
          <w:sz w:val="20"/>
          <w:szCs w:val="20"/>
        </w:rPr>
      </w:pPr>
      <w:r>
        <w:rPr>
          <w:rFonts w:ascii="Arial" w:hAnsi="Arial" w:cs="Arial"/>
          <w:color w:val="000000"/>
          <w:sz w:val="24"/>
        </w:rPr>
        <w:t>(Agente Fiduciário)</w:t>
      </w:r>
    </w:p>
    <w:p>
      <w:pPr>
        <w:autoSpaceDE w:val="0"/>
        <w:autoSpaceDN w:val="0"/>
        <w:adjustRightInd w:val="0"/>
        <w:spacing w:after="0" w:line="300" w:lineRule="exact"/>
        <w:rPr>
          <w:rFonts w:ascii="Arial" w:hAnsi="Arial" w:cs="Arial"/>
          <w:bCs/>
          <w:sz w:val="20"/>
          <w:szCs w:val="20"/>
        </w:rPr>
      </w:pPr>
    </w:p>
    <w:p>
      <w:pPr>
        <w:autoSpaceDE w:val="0"/>
        <w:autoSpaceDN w:val="0"/>
        <w:adjustRightInd w:val="0"/>
        <w:spacing w:after="0" w:line="300" w:lineRule="exact"/>
        <w:rPr>
          <w:rFonts w:ascii="Arial" w:hAnsi="Arial" w:cs="Arial"/>
          <w:bCs/>
          <w:sz w:val="20"/>
          <w:szCs w:val="20"/>
        </w:rPr>
      </w:pPr>
    </w:p>
    <w:p>
      <w:pPr>
        <w:autoSpaceDE w:val="0"/>
        <w:autoSpaceDN w:val="0"/>
        <w:adjustRightInd w:val="0"/>
        <w:spacing w:after="0" w:line="300" w:lineRule="exact"/>
        <w:rPr>
          <w:rFonts w:ascii="Arial" w:hAnsi="Arial" w:cs="Arial"/>
          <w:bCs/>
          <w:sz w:val="20"/>
          <w:szCs w:val="20"/>
        </w:rPr>
      </w:pPr>
    </w:p>
    <w:p>
      <w:pPr>
        <w:autoSpaceDE w:val="0"/>
        <w:autoSpaceDN w:val="0"/>
        <w:adjustRightInd w:val="0"/>
        <w:spacing w:after="0" w:line="300" w:lineRule="exact"/>
        <w:rPr>
          <w:rFonts w:ascii="Arial" w:hAnsi="Arial" w:cs="Arial"/>
          <w:bCs/>
          <w:sz w:val="20"/>
          <w:szCs w:val="20"/>
        </w:rPr>
      </w:pPr>
    </w:p>
    <w:p>
      <w:pPr>
        <w:autoSpaceDE w:val="0"/>
        <w:autoSpaceDN w:val="0"/>
        <w:adjustRightInd w:val="0"/>
        <w:spacing w:after="0" w:line="300" w:lineRule="exact"/>
        <w:rPr>
          <w:rFonts w:ascii="Arial" w:hAnsi="Arial" w:cs="Arial"/>
          <w:bCs/>
          <w:sz w:val="20"/>
          <w:szCs w:val="20"/>
        </w:rPr>
      </w:pPr>
    </w:p>
    <w:p>
      <w:pPr>
        <w:spacing w:after="0"/>
        <w:jc w:val="left"/>
        <w:rPr>
          <w:rFonts w:ascii="Arial" w:hAnsi="Arial" w:cs="Arial"/>
          <w:bCs/>
          <w:sz w:val="20"/>
          <w:szCs w:val="20"/>
        </w:rPr>
      </w:pPr>
      <w:r>
        <w:rPr>
          <w:rFonts w:ascii="Arial" w:hAnsi="Arial" w:cs="Arial"/>
          <w:bCs/>
          <w:sz w:val="20"/>
          <w:szCs w:val="20"/>
        </w:rPr>
        <w:br w:type="page"/>
      </w:r>
    </w:p>
    <w:p>
      <w:pPr>
        <w:autoSpaceDE w:val="0"/>
        <w:autoSpaceDN w:val="0"/>
        <w:adjustRightInd w:val="0"/>
        <w:spacing w:after="0" w:line="300" w:lineRule="exact"/>
        <w:rPr>
          <w:rFonts w:ascii="Arial" w:hAnsi="Arial" w:cs="Arial"/>
          <w:bCs/>
          <w:sz w:val="20"/>
          <w:szCs w:val="20"/>
        </w:rPr>
      </w:pPr>
    </w:p>
    <w:p>
      <w:pPr>
        <w:autoSpaceDE w:val="0"/>
        <w:autoSpaceDN w:val="0"/>
        <w:adjustRightInd w:val="0"/>
        <w:spacing w:after="0" w:line="300" w:lineRule="exact"/>
        <w:rPr>
          <w:rFonts w:ascii="Arial" w:eastAsia="Calibri" w:hAnsi="Arial" w:cs="Arial"/>
          <w:bCs/>
          <w:sz w:val="20"/>
          <w:szCs w:val="20"/>
        </w:rPr>
      </w:pPr>
      <w:r>
        <w:rPr>
          <w:rFonts w:ascii="Arial" w:hAnsi="Arial" w:cs="Arial"/>
          <w:bCs/>
          <w:sz w:val="20"/>
          <w:szCs w:val="20"/>
        </w:rPr>
        <w:t xml:space="preserve">LISTA DE PRESENÇA DA </w:t>
      </w:r>
      <w:r>
        <w:rPr>
          <w:rFonts w:ascii="Arial" w:eastAsia="Calibri" w:hAnsi="Arial" w:cs="Arial"/>
          <w:bCs/>
          <w:sz w:val="20"/>
          <w:szCs w:val="20"/>
        </w:rPr>
        <w:t>ATA DA ASSEMBLEIA GERAL DE DEBENTURISTAS DA 2ª (SEGUNDA) EMISSÃO DE DEBÊNTURES SIMPLES, NÃO CONVERSÍVEIS EM AÇÕES, DA ESPÉCIE COM GARANTIA REAL, COM GARANTIA FIDEJUSSÓRIA ADICIONAL, EM SÉRIE ÚNICA, PARA DISTRIBUIÇÃO PÚBLICA, COM ESFORÇOS RESTRITOS DE DISTRIBUIÇÃO, DA ELETROMIDIA S.A., REALIZADA EM 1 DE ABRIL DE 2020.</w:t>
      </w:r>
    </w:p>
    <w:p>
      <w:pPr>
        <w:widowControl w:val="0"/>
        <w:spacing w:line="300" w:lineRule="exact"/>
        <w:rPr>
          <w:rFonts w:ascii="Arial" w:hAnsi="Arial" w:cs="Arial"/>
          <w:bCs/>
          <w:sz w:val="20"/>
          <w:szCs w:val="20"/>
        </w:rPr>
      </w:pPr>
    </w:p>
    <w:p>
      <w:pPr>
        <w:widowControl w:val="0"/>
        <w:spacing w:line="300" w:lineRule="exact"/>
        <w:ind w:left="709" w:hanging="709"/>
        <w:jc w:val="center"/>
        <w:rPr>
          <w:rFonts w:ascii="Arial" w:hAnsi="Arial" w:cs="Arial"/>
          <w:b/>
          <w:smallCaps/>
          <w:sz w:val="20"/>
          <w:szCs w:val="20"/>
        </w:rPr>
      </w:pPr>
      <w:r>
        <w:rPr>
          <w:rFonts w:ascii="Arial" w:hAnsi="Arial" w:cs="Arial"/>
          <w:b/>
          <w:bCs/>
          <w:caps/>
          <w:sz w:val="20"/>
          <w:szCs w:val="20"/>
        </w:rPr>
        <w:t xml:space="preserve">BANCO SANTANDER (BRASIL) </w:t>
      </w:r>
      <w:r>
        <w:rPr>
          <w:rFonts w:ascii="Arial" w:hAnsi="Arial" w:cs="Arial"/>
          <w:b/>
          <w:smallCaps/>
          <w:sz w:val="20"/>
          <w:szCs w:val="20"/>
        </w:rPr>
        <w:t>S.A.</w:t>
      </w:r>
    </w:p>
    <w:p>
      <w:pPr>
        <w:widowControl w:val="0"/>
        <w:spacing w:line="300" w:lineRule="exact"/>
        <w:ind w:left="709" w:hanging="709"/>
        <w:jc w:val="center"/>
        <w:rPr>
          <w:rFonts w:ascii="Arial" w:hAnsi="Arial" w:cs="Arial"/>
          <w:bCs/>
          <w:sz w:val="20"/>
          <w:szCs w:val="20"/>
        </w:rPr>
      </w:pPr>
      <w:r>
        <w:rPr>
          <w:rFonts w:ascii="Arial" w:hAnsi="Arial" w:cs="Arial"/>
          <w:sz w:val="20"/>
          <w:szCs w:val="20"/>
          <w:lang w:val="it-IT"/>
        </w:rPr>
        <w:t>CNPJ/ME</w:t>
      </w:r>
      <w:r>
        <w:rPr>
          <w:rFonts w:ascii="Arial" w:hAnsi="Arial" w:cs="Arial"/>
          <w:sz w:val="20"/>
          <w:szCs w:val="20"/>
        </w:rPr>
        <w:t xml:space="preserve"> 90.400.888/0001-42</w:t>
      </w:r>
    </w:p>
    <w:p>
      <w:pPr>
        <w:widowControl w:val="0"/>
        <w:spacing w:line="300" w:lineRule="exact"/>
        <w:jc w:val="center"/>
        <w:rPr>
          <w:rFonts w:ascii="Arial" w:hAnsi="Arial" w:cs="Arial"/>
          <w:b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tc>
          <w:tcPr>
            <w:tcW w:w="4097" w:type="dxa"/>
          </w:tcPr>
          <w:p>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tc>
          <w:tcPr>
            <w:tcW w:w="4097" w:type="dxa"/>
          </w:tcPr>
          <w:p>
            <w:pPr>
              <w:widowControl w:val="0"/>
              <w:spacing w:line="300" w:lineRule="exact"/>
              <w:rPr>
                <w:rFonts w:ascii="Arial" w:hAnsi="Arial" w:cs="Arial"/>
                <w:bCs/>
                <w:sz w:val="20"/>
                <w:szCs w:val="20"/>
              </w:rPr>
            </w:pPr>
            <w:r>
              <w:rPr>
                <w:rFonts w:ascii="Arial" w:hAnsi="Arial" w:cs="Arial"/>
                <w:bCs/>
                <w:sz w:val="20"/>
                <w:szCs w:val="20"/>
              </w:rPr>
              <w:t>Nome:</w:t>
            </w:r>
          </w:p>
          <w:p>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pPr>
              <w:widowControl w:val="0"/>
              <w:spacing w:line="300" w:lineRule="exact"/>
              <w:rPr>
                <w:rFonts w:ascii="Arial" w:hAnsi="Arial" w:cs="Arial"/>
                <w:bCs/>
                <w:sz w:val="20"/>
                <w:szCs w:val="20"/>
              </w:rPr>
            </w:pPr>
            <w:r>
              <w:rPr>
                <w:rFonts w:ascii="Arial" w:hAnsi="Arial" w:cs="Arial"/>
                <w:bCs/>
                <w:sz w:val="20"/>
                <w:szCs w:val="20"/>
              </w:rPr>
              <w:t>Nome:</w:t>
            </w:r>
          </w:p>
          <w:p>
            <w:pPr>
              <w:widowControl w:val="0"/>
              <w:spacing w:line="300" w:lineRule="exact"/>
              <w:rPr>
                <w:rFonts w:ascii="Arial" w:hAnsi="Arial" w:cs="Arial"/>
                <w:bCs/>
                <w:sz w:val="20"/>
                <w:szCs w:val="20"/>
              </w:rPr>
            </w:pPr>
            <w:r>
              <w:rPr>
                <w:rFonts w:ascii="Arial" w:hAnsi="Arial" w:cs="Arial"/>
                <w:bCs/>
                <w:sz w:val="20"/>
                <w:szCs w:val="20"/>
              </w:rPr>
              <w:t>Cargo:</w:t>
            </w:r>
          </w:p>
        </w:tc>
      </w:tr>
    </w:tbl>
    <w:p>
      <w:pPr>
        <w:widowControl w:val="0"/>
        <w:spacing w:line="300" w:lineRule="exact"/>
        <w:jc w:val="center"/>
        <w:rPr>
          <w:rFonts w:ascii="Arial" w:hAnsi="Arial" w:cs="Arial"/>
          <w:bCs/>
          <w:sz w:val="20"/>
          <w:szCs w:val="20"/>
        </w:rPr>
      </w:pPr>
    </w:p>
    <w:p>
      <w:pPr>
        <w:autoSpaceDE w:val="0"/>
        <w:autoSpaceDN w:val="0"/>
        <w:adjustRightInd w:val="0"/>
        <w:spacing w:after="0" w:line="300" w:lineRule="exact"/>
        <w:rPr>
          <w:rFonts w:ascii="Arial" w:eastAsia="Calibri" w:hAnsi="Arial" w:cs="Arial"/>
          <w:bCs/>
          <w:sz w:val="20"/>
          <w:szCs w:val="20"/>
        </w:rPr>
      </w:pPr>
      <w:r>
        <w:rPr>
          <w:rStyle w:val="Nmerodepgina"/>
          <w:rFonts w:ascii="Arial" w:hAnsi="Arial" w:cs="Arial"/>
          <w:sz w:val="20"/>
          <w:szCs w:val="20"/>
        </w:rPr>
        <w:br w:type="page"/>
      </w:r>
      <w:r>
        <w:rPr>
          <w:rFonts w:ascii="Arial" w:hAnsi="Arial" w:cs="Arial"/>
          <w:bCs/>
          <w:sz w:val="20"/>
          <w:szCs w:val="20"/>
        </w:rPr>
        <w:t xml:space="preserve">LISTA DE PRESENÇA DA </w:t>
      </w:r>
      <w:r>
        <w:rPr>
          <w:rFonts w:ascii="Arial" w:eastAsia="Calibri" w:hAnsi="Arial" w:cs="Arial"/>
          <w:bCs/>
          <w:sz w:val="20"/>
          <w:szCs w:val="20"/>
        </w:rPr>
        <w:t>ATA DA ASSEMBLEIA GERAL DE DEBENTURISTAS DA 2ª (SEGUNDA) EMISSÃO DE DEBÊNTURES SIMPLES, NÃO CONVERSÍVEIS EM AÇÕES, DA ESPÉCIE COM GARANTIA REAL, COM GARANTIA FIDEJUSSÓRIA ADICIONAL, EM SÉRIE ÚNICA, PARA DISTRIBUIÇÃO PÚBLICA, COM ESFORÇOS RESTRITOS DE DISTRIBUIÇÃO, DA ELETROMIDIA S.A., REALIZADA EM 1 DE ABRIL DE 2020.</w:t>
      </w:r>
    </w:p>
    <w:p>
      <w:pPr>
        <w:widowControl w:val="0"/>
        <w:spacing w:line="300" w:lineRule="exact"/>
        <w:rPr>
          <w:rFonts w:ascii="Arial" w:hAnsi="Arial" w:cs="Arial"/>
          <w:bCs/>
          <w:sz w:val="20"/>
          <w:szCs w:val="20"/>
        </w:rPr>
      </w:pPr>
    </w:p>
    <w:p>
      <w:pPr>
        <w:widowControl w:val="0"/>
        <w:spacing w:line="300" w:lineRule="exact"/>
        <w:ind w:left="709" w:hanging="709"/>
        <w:jc w:val="center"/>
        <w:rPr>
          <w:rFonts w:ascii="Arial" w:eastAsia="TrebuchetMS" w:hAnsi="Arial" w:cs="Arial"/>
          <w:b/>
          <w:sz w:val="20"/>
          <w:szCs w:val="20"/>
        </w:rPr>
      </w:pPr>
      <w:r>
        <w:rPr>
          <w:rFonts w:ascii="Arial" w:eastAsia="TrebuchetMS" w:hAnsi="Arial" w:cs="Arial"/>
          <w:b/>
          <w:sz w:val="20"/>
          <w:szCs w:val="20"/>
        </w:rPr>
        <w:t>BB–BANCO DE INVESTIMENTO S.A.</w:t>
      </w:r>
    </w:p>
    <w:p>
      <w:pPr>
        <w:widowControl w:val="0"/>
        <w:spacing w:line="300" w:lineRule="exact"/>
        <w:ind w:left="709" w:hanging="709"/>
        <w:jc w:val="center"/>
        <w:rPr>
          <w:rFonts w:ascii="Arial" w:hAnsi="Arial" w:cs="Arial"/>
          <w:bCs/>
          <w:sz w:val="20"/>
          <w:szCs w:val="20"/>
        </w:rPr>
      </w:pPr>
      <w:r>
        <w:rPr>
          <w:rFonts w:ascii="Arial" w:hAnsi="Arial" w:cs="Arial"/>
          <w:sz w:val="20"/>
          <w:szCs w:val="20"/>
          <w:lang w:val="it-IT"/>
        </w:rPr>
        <w:t>CNPJ/ME 28.195.667/0001-06</w:t>
      </w:r>
    </w:p>
    <w:p>
      <w:pPr>
        <w:widowControl w:val="0"/>
        <w:spacing w:line="300" w:lineRule="exact"/>
        <w:jc w:val="center"/>
        <w:rPr>
          <w:rFonts w:ascii="Arial" w:hAnsi="Arial" w:cs="Arial"/>
          <w:b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tc>
          <w:tcPr>
            <w:tcW w:w="4097" w:type="dxa"/>
          </w:tcPr>
          <w:p>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tc>
          <w:tcPr>
            <w:tcW w:w="4097" w:type="dxa"/>
          </w:tcPr>
          <w:p>
            <w:pPr>
              <w:widowControl w:val="0"/>
              <w:spacing w:line="300" w:lineRule="exact"/>
              <w:rPr>
                <w:rFonts w:ascii="Arial" w:hAnsi="Arial" w:cs="Arial"/>
                <w:bCs/>
                <w:sz w:val="20"/>
                <w:szCs w:val="20"/>
              </w:rPr>
            </w:pPr>
            <w:r>
              <w:rPr>
                <w:rFonts w:ascii="Arial" w:hAnsi="Arial" w:cs="Arial"/>
                <w:bCs/>
                <w:sz w:val="20"/>
                <w:szCs w:val="20"/>
              </w:rPr>
              <w:t>Nome:</w:t>
            </w:r>
          </w:p>
          <w:p>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pPr>
              <w:widowControl w:val="0"/>
              <w:spacing w:line="300" w:lineRule="exact"/>
              <w:rPr>
                <w:rFonts w:ascii="Arial" w:hAnsi="Arial" w:cs="Arial"/>
                <w:bCs/>
                <w:sz w:val="20"/>
                <w:szCs w:val="20"/>
              </w:rPr>
            </w:pPr>
            <w:r>
              <w:rPr>
                <w:rFonts w:ascii="Arial" w:hAnsi="Arial" w:cs="Arial"/>
                <w:bCs/>
                <w:sz w:val="20"/>
                <w:szCs w:val="20"/>
              </w:rPr>
              <w:t>Nome:</w:t>
            </w:r>
          </w:p>
          <w:p>
            <w:pPr>
              <w:widowControl w:val="0"/>
              <w:spacing w:line="300" w:lineRule="exact"/>
              <w:rPr>
                <w:rFonts w:ascii="Arial" w:hAnsi="Arial" w:cs="Arial"/>
                <w:bCs/>
                <w:sz w:val="20"/>
                <w:szCs w:val="20"/>
              </w:rPr>
            </w:pPr>
            <w:r>
              <w:rPr>
                <w:rFonts w:ascii="Arial" w:hAnsi="Arial" w:cs="Arial"/>
                <w:bCs/>
                <w:sz w:val="20"/>
                <w:szCs w:val="20"/>
              </w:rPr>
              <w:t>Cargo:</w:t>
            </w:r>
          </w:p>
        </w:tc>
      </w:tr>
    </w:tbl>
    <w:p>
      <w:pPr>
        <w:spacing w:after="0" w:line="300" w:lineRule="exact"/>
        <w:jc w:val="left"/>
        <w:rPr>
          <w:rStyle w:val="Nmerodepgina"/>
          <w:rFonts w:ascii="Arial" w:hAnsi="Arial" w:cs="Arial"/>
          <w:sz w:val="20"/>
          <w:szCs w:val="20"/>
        </w:rPr>
      </w:pPr>
    </w:p>
    <w:p>
      <w:pPr>
        <w:spacing w:after="0" w:line="300" w:lineRule="exact"/>
        <w:jc w:val="left"/>
        <w:rPr>
          <w:rStyle w:val="Nmerodepgina"/>
          <w:rFonts w:ascii="Arial" w:hAnsi="Arial" w:cs="Arial"/>
          <w:sz w:val="20"/>
          <w:szCs w:val="20"/>
        </w:rPr>
      </w:pPr>
      <w:r>
        <w:rPr>
          <w:rStyle w:val="Nmerodepgina"/>
          <w:rFonts w:ascii="Arial" w:hAnsi="Arial" w:cs="Arial"/>
          <w:sz w:val="20"/>
          <w:szCs w:val="20"/>
        </w:rPr>
        <w:br w:type="page"/>
      </w:r>
      <w:bookmarkStart w:id="0" w:name="_GoBack"/>
      <w:bookmarkEnd w:id="0"/>
    </w:p>
    <w:p>
      <w:pPr>
        <w:autoSpaceDE w:val="0"/>
        <w:autoSpaceDN w:val="0"/>
        <w:adjustRightInd w:val="0"/>
        <w:spacing w:after="0" w:line="300" w:lineRule="exact"/>
        <w:rPr>
          <w:rFonts w:ascii="Arial" w:eastAsia="Calibri" w:hAnsi="Arial" w:cs="Arial"/>
          <w:bCs/>
          <w:sz w:val="20"/>
          <w:szCs w:val="20"/>
        </w:rPr>
      </w:pPr>
      <w:r>
        <w:rPr>
          <w:rFonts w:ascii="Arial" w:hAnsi="Arial" w:cs="Arial"/>
          <w:bCs/>
          <w:sz w:val="20"/>
          <w:szCs w:val="20"/>
        </w:rPr>
        <w:t xml:space="preserve">LISTA DE PRESENÇA DA </w:t>
      </w:r>
      <w:r>
        <w:rPr>
          <w:rFonts w:ascii="Arial" w:eastAsia="Calibri" w:hAnsi="Arial" w:cs="Arial"/>
          <w:bCs/>
          <w:sz w:val="20"/>
          <w:szCs w:val="20"/>
        </w:rPr>
        <w:t>ATA DA ASSEMBLEIA GERAL DE DEBENTURISTAS DA 2ª (SEGUNDA) EMISSÃO DE DEBÊNTURES SIMPLES, NÃO CONVERSÍVEIS EM AÇÕES, DA ESPÉCIE COM GARANTIA REAL, COM GARANTIA FIDEJUSSÓRIA ADICIONAL, EM SÉRIE ÚNICA, PARA DISTRIBUIÇÃO PÚBLICA, COM ESFORÇOS RESTRITOS DE DISTRIBUIÇÃO, DA ELETROMIDIA S.A., REALIZADA EM 1 DE ABRIL DE 2020.</w:t>
      </w:r>
    </w:p>
    <w:p>
      <w:pPr>
        <w:widowControl w:val="0"/>
        <w:spacing w:line="300" w:lineRule="exact"/>
        <w:rPr>
          <w:rFonts w:ascii="Arial" w:hAnsi="Arial" w:cs="Arial"/>
          <w:bCs/>
          <w:sz w:val="20"/>
          <w:szCs w:val="20"/>
        </w:rPr>
      </w:pPr>
    </w:p>
    <w:p>
      <w:pPr>
        <w:widowControl w:val="0"/>
        <w:spacing w:line="300" w:lineRule="exact"/>
        <w:ind w:left="709" w:hanging="709"/>
        <w:jc w:val="center"/>
        <w:rPr>
          <w:rFonts w:ascii="Arial" w:eastAsia="TrebuchetMS" w:hAnsi="Arial" w:cs="Arial"/>
          <w:b/>
          <w:sz w:val="20"/>
          <w:szCs w:val="20"/>
        </w:rPr>
      </w:pPr>
      <w:r>
        <w:rPr>
          <w:rFonts w:ascii="Arial" w:eastAsia="TrebuchetMS" w:hAnsi="Arial" w:cs="Arial"/>
          <w:b/>
          <w:sz w:val="20"/>
          <w:szCs w:val="20"/>
        </w:rPr>
        <w:t>BANCO ABC BRASIL S.A.</w:t>
      </w:r>
    </w:p>
    <w:p>
      <w:pPr>
        <w:widowControl w:val="0"/>
        <w:spacing w:line="300" w:lineRule="exact"/>
        <w:ind w:left="709" w:hanging="709"/>
        <w:jc w:val="center"/>
        <w:rPr>
          <w:rFonts w:ascii="Arial" w:hAnsi="Arial" w:cs="Arial"/>
          <w:bCs/>
          <w:sz w:val="20"/>
          <w:szCs w:val="20"/>
        </w:rPr>
      </w:pPr>
      <w:r>
        <w:rPr>
          <w:rFonts w:ascii="Arial" w:hAnsi="Arial" w:cs="Arial"/>
          <w:sz w:val="20"/>
          <w:szCs w:val="20"/>
          <w:lang w:val="it-IT"/>
        </w:rPr>
        <w:t xml:space="preserve">CNPJ/ME </w:t>
      </w:r>
      <w:r>
        <w:rPr>
          <w:rFonts w:ascii="Arial" w:hAnsi="Arial" w:cs="Arial"/>
          <w:sz w:val="20"/>
          <w:szCs w:val="20"/>
        </w:rPr>
        <w:t>14.977.802/0001-60</w:t>
      </w:r>
    </w:p>
    <w:p>
      <w:pPr>
        <w:widowControl w:val="0"/>
        <w:spacing w:line="300" w:lineRule="exact"/>
        <w:jc w:val="center"/>
        <w:rPr>
          <w:rFonts w:ascii="Arial" w:hAnsi="Arial" w:cs="Arial"/>
          <w:b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tc>
          <w:tcPr>
            <w:tcW w:w="4097" w:type="dxa"/>
          </w:tcPr>
          <w:p>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tc>
          <w:tcPr>
            <w:tcW w:w="4097" w:type="dxa"/>
          </w:tcPr>
          <w:p>
            <w:pPr>
              <w:widowControl w:val="0"/>
              <w:spacing w:line="300" w:lineRule="exact"/>
              <w:rPr>
                <w:rFonts w:ascii="Arial" w:hAnsi="Arial" w:cs="Arial"/>
                <w:bCs/>
                <w:sz w:val="20"/>
                <w:szCs w:val="20"/>
              </w:rPr>
            </w:pPr>
            <w:r>
              <w:rPr>
                <w:rFonts w:ascii="Arial" w:hAnsi="Arial" w:cs="Arial"/>
                <w:bCs/>
                <w:sz w:val="20"/>
                <w:szCs w:val="20"/>
              </w:rPr>
              <w:t>Nome:</w:t>
            </w:r>
          </w:p>
          <w:p>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pPr>
              <w:widowControl w:val="0"/>
              <w:spacing w:line="300" w:lineRule="exact"/>
              <w:rPr>
                <w:rFonts w:ascii="Arial" w:hAnsi="Arial" w:cs="Arial"/>
                <w:bCs/>
                <w:sz w:val="20"/>
                <w:szCs w:val="20"/>
              </w:rPr>
            </w:pPr>
            <w:r>
              <w:rPr>
                <w:rFonts w:ascii="Arial" w:hAnsi="Arial" w:cs="Arial"/>
                <w:bCs/>
                <w:sz w:val="20"/>
                <w:szCs w:val="20"/>
              </w:rPr>
              <w:t>Nome:</w:t>
            </w:r>
          </w:p>
          <w:p>
            <w:pPr>
              <w:widowControl w:val="0"/>
              <w:spacing w:line="300" w:lineRule="exact"/>
              <w:rPr>
                <w:rFonts w:ascii="Arial" w:hAnsi="Arial" w:cs="Arial"/>
                <w:bCs/>
                <w:sz w:val="20"/>
                <w:szCs w:val="20"/>
              </w:rPr>
            </w:pPr>
            <w:r>
              <w:rPr>
                <w:rFonts w:ascii="Arial" w:hAnsi="Arial" w:cs="Arial"/>
                <w:bCs/>
                <w:sz w:val="20"/>
                <w:szCs w:val="20"/>
              </w:rPr>
              <w:t>Cargo:</w:t>
            </w:r>
          </w:p>
        </w:tc>
      </w:tr>
    </w:tbl>
    <w:p>
      <w:pPr>
        <w:spacing w:after="0" w:line="300" w:lineRule="exact"/>
        <w:jc w:val="left"/>
        <w:rPr>
          <w:rStyle w:val="Nmerodepgina"/>
          <w:rFonts w:ascii="Arial" w:hAnsi="Arial" w:cs="Arial"/>
          <w:sz w:val="20"/>
          <w:szCs w:val="20"/>
        </w:rPr>
      </w:pPr>
    </w:p>
    <w:sectPr>
      <w:headerReference w:type="default" r:id="rId8"/>
      <w:footerReference w:type="default" r:id="rId9"/>
      <w:headerReference w:type="first" r:id="rId10"/>
      <w:footerReference w:type="first" r:id="rId11"/>
      <w:pgSz w:w="11907" w:h="16840" w:code="9"/>
      <w:pgMar w:top="2147" w:right="1701" w:bottom="1417" w:left="1701"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
    <w:altName w:val="Trebuchet M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DOCPROPERTY iManageFooter \* MERGEFORMAT</w:instrText>
    </w:r>
    <w:r>
      <w:fldChar w:fldCharType="separate"/>
    </w:r>
    <w:r>
      <w:t>JUR_SP - 36468858v2 - 5243018.456680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DOCPROPERTY iManageFooter \* MERGEFORMAT</w:instrText>
    </w:r>
    <w:r>
      <w:fldChar w:fldCharType="separate"/>
    </w:r>
    <w:r>
      <w:t>JUR_SP - 36468858v2 - 5243018.456680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spacing w:line="40" w:lineRule="exact"/>
      <w:jc w:val="both"/>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rPr>
        <w:rFonts w:ascii="Arial" w:hAnsi="Arial" w:cs="Arial"/>
        <w:b/>
        <w:sz w:val="22"/>
        <w:szCs w:val="22"/>
      </w:rPr>
    </w:pPr>
    <w:r>
      <w:rPr>
        <w:rFonts w:ascii="Arial" w:hAnsi="Arial" w:cs="Arial"/>
        <w:b/>
        <w:sz w:val="22"/>
        <w:szCs w:val="22"/>
      </w:rPr>
      <w:t>M I N U T A</w:t>
    </w:r>
  </w:p>
  <w:p>
    <w:pPr>
      <w:pStyle w:val="Cabealho"/>
      <w:rPr>
        <w:rFonts w:ascii="Arial" w:hAnsi="Arial" w:cs="Arial"/>
        <w:b/>
        <w:sz w:val="22"/>
        <w:szCs w:val="22"/>
      </w:rPr>
    </w:pPr>
    <w:r>
      <w:rPr>
        <w:rFonts w:ascii="Arial" w:hAnsi="Arial" w:cs="Arial"/>
        <w:b/>
        <w:sz w:val="22"/>
        <w:szCs w:val="22"/>
      </w:rPr>
      <w:t>3</w:t>
    </w:r>
    <w:r>
      <w:rPr>
        <w:rFonts w:ascii="Arial" w:hAnsi="Arial" w:cs="Arial"/>
        <w:b/>
        <w:sz w:val="22"/>
        <w:szCs w:val="22"/>
      </w:rPr>
      <w:t>1.3.2020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80737"/>
    <w:multiLevelType w:val="hybridMultilevel"/>
    <w:tmpl w:val="76169F3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783DDB"/>
    <w:multiLevelType w:val="hybridMultilevel"/>
    <w:tmpl w:val="1E90C15C"/>
    <w:lvl w:ilvl="0" w:tplc="04160011">
      <w:start w:val="1"/>
      <w:numFmt w:val="decimal"/>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3851479E-E01F-48D3-B7CC-2DAB34C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 w:val="26"/>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Corpodetexto">
    <w:name w:val="Body Text"/>
    <w:basedOn w:val="Normal"/>
    <w:link w:val="CorpodetextoChar"/>
  </w:style>
  <w:style w:type="character" w:customStyle="1" w:styleId="CorpodetextoChar">
    <w:name w:val="Corpo de texto Char"/>
    <w:basedOn w:val="Fontepargpadro"/>
    <w:link w:val="Corpodetexto"/>
    <w:rPr>
      <w:rFonts w:eastAsia="Times New Roman"/>
      <w:sz w:val="26"/>
      <w:szCs w:val="24"/>
    </w:rPr>
  </w:style>
  <w:style w:type="paragraph" w:styleId="PargrafodaLista">
    <w:name w:val="List Paragraph"/>
    <w:basedOn w:val="Normal"/>
    <w:uiPriority w:val="34"/>
    <w:qFormat/>
    <w:pPr>
      <w:widowControl w:val="0"/>
      <w:autoSpaceDE w:val="0"/>
      <w:autoSpaceDN w:val="0"/>
      <w:adjustRightInd w:val="0"/>
      <w:spacing w:after="0"/>
      <w:ind w:left="708"/>
    </w:pPr>
    <w:rPr>
      <w:szCs w:val="26"/>
      <w:lang w:eastAsia="en-US"/>
    </w:rPr>
  </w:style>
  <w:style w:type="paragraph" w:styleId="NormalWeb">
    <w:name w:val="Normal (Web)"/>
    <w:basedOn w:val="Normal"/>
    <w:uiPriority w:val="99"/>
    <w:pPr>
      <w:spacing w:before="100" w:after="100"/>
      <w:jc w:val="left"/>
    </w:pPr>
    <w:rPr>
      <w:rFonts w:ascii="Arial Unicode MS" w:hAnsi="Arial Unicode MS"/>
      <w:color w:val="000000"/>
      <w:sz w:val="24"/>
      <w:szCs w:val="20"/>
    </w:rPr>
  </w:style>
  <w:style w:type="paragraph" w:styleId="Corpodetexto2">
    <w:name w:val="Body Text 2"/>
    <w:basedOn w:val="Normal"/>
    <w:link w:val="Corpodetexto2Char"/>
    <w:pPr>
      <w:spacing w:line="480" w:lineRule="auto"/>
    </w:pPr>
  </w:style>
  <w:style w:type="character" w:customStyle="1" w:styleId="Corpodetexto2Char">
    <w:name w:val="Corpo de texto 2 Char"/>
    <w:basedOn w:val="Fontepargpadro"/>
    <w:link w:val="Corpodetexto2"/>
    <w:rPr>
      <w:rFonts w:eastAsia="Times New Roman"/>
      <w:sz w:val="26"/>
      <w:szCs w:val="24"/>
    </w:rPr>
  </w:style>
  <w:style w:type="paragraph" w:styleId="Textodebalo">
    <w:name w:val="Balloon Text"/>
    <w:basedOn w:val="Normal"/>
    <w:link w:val="TextodebaloChar"/>
    <w:pPr>
      <w:spacing w:after="0"/>
    </w:pP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styleId="Reviso">
    <w:name w:val="Revision"/>
    <w:hidden/>
    <w:uiPriority w:val="99"/>
    <w:semiHidden/>
    <w:rPr>
      <w:rFonts w:eastAsia="Times New Roman"/>
      <w:sz w:val="26"/>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 J U R _ S P ! 3 6 4 6 8 8 5 8 . 2 < / d o c u m e n t i d >  
     < s e n d e r i d > H S N < / s e n d e r i d >  
     < s e n d e r e m a i l > T A M B R O S A N O @ P N . C O M . B R < / s e n d e r e m a i l >  
     < l a s t m o d i f i e d > 2 0 2 0 - 0 3 - 3 1 T 1 1 : 2 3 : 0 0 . 0 0 0 0 0 0 0 - 0 3 : 0 0 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5857C-DCA3-45FA-832D-666DEB69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985</Words>
  <Characters>5887</Characters>
  <Application>Microsoft Office Word</Application>
  <DocSecurity>0</DocSecurity>
  <Lines>122</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Pinheiro Neto Advogados</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Pinheiro Neto Advogados</cp:lastModifiedBy>
  <cp:revision>3</cp:revision>
  <cp:lastPrinted>2020-03-04T20:03:00Z</cp:lastPrinted>
  <dcterms:created xsi:type="dcterms:W3CDTF">2020-03-31T12:08:00Z</dcterms:created>
  <dcterms:modified xsi:type="dcterms:W3CDTF">2020-03-31T14:23:00Z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- 36468858v2 - 5243018.456680</vt:lpwstr>
  </property>
</Properties>
</file>