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widowControl w:val="0"/>
        <w:spacing w:after="80" w:line="300" w:lineRule="exact"/>
        <w:jc w:val="center"/>
        <w:rPr>
          <w:rFonts w:ascii="Arial" w:hAnsi="Arial" w:cs="Arial"/>
          <w:b/>
          <w:smallCaps/>
          <w:sz w:val="22"/>
          <w:szCs w:val="22"/>
        </w:rPr>
      </w:pPr>
    </w:p>
    <w:p>
      <w:pPr>
        <w:widowControl w:val="0"/>
        <w:tabs>
          <w:tab w:val="left" w:pos="2366"/>
        </w:tabs>
        <w:spacing w:after="140" w:line="288" w:lineRule="auto"/>
        <w:jc w:val="center"/>
        <w:rPr>
          <w:rFonts w:ascii="Arial" w:hAnsi="Arial" w:cs="Arial"/>
          <w:b/>
          <w:caps/>
          <w:sz w:val="22"/>
          <w:szCs w:val="22"/>
        </w:rPr>
      </w:pPr>
      <w:r>
        <w:rPr>
          <w:rFonts w:ascii="Arial" w:hAnsi="Arial" w:cs="Arial"/>
          <w:b/>
          <w:caps/>
          <w:sz w:val="22"/>
          <w:szCs w:val="22"/>
        </w:rPr>
        <w:t>ELETROMIDIA S.A.</w:t>
      </w:r>
    </w:p>
    <w:p>
      <w:pPr>
        <w:widowControl w:val="0"/>
        <w:spacing w:after="80" w:line="300" w:lineRule="exact"/>
        <w:jc w:val="center"/>
        <w:rPr>
          <w:rFonts w:ascii="Arial" w:hAnsi="Arial" w:cs="Arial"/>
          <w:sz w:val="22"/>
          <w:szCs w:val="22"/>
          <w:lang w:val="it-IT"/>
        </w:rPr>
      </w:pPr>
      <w:r>
        <w:rPr>
          <w:rFonts w:ascii="Arial" w:hAnsi="Arial" w:cs="Arial"/>
          <w:sz w:val="22"/>
          <w:szCs w:val="22"/>
          <w:lang w:val="it-IT"/>
        </w:rPr>
        <w:t>CNPJ/ME nº 09.347.516/0001-81</w:t>
      </w:r>
      <w:r>
        <w:rPr>
          <w:rFonts w:ascii="Arial" w:hAnsi="Arial" w:cs="Arial"/>
          <w:sz w:val="22"/>
          <w:szCs w:val="22"/>
          <w:lang w:val="it-IT"/>
        </w:rPr>
        <w:br/>
        <w:t>NIRE nº 35.300.458.893</w:t>
      </w:r>
      <w:r>
        <w:rPr>
          <w:rFonts w:ascii="Arial" w:hAnsi="Arial" w:cs="Arial"/>
          <w:sz w:val="22"/>
          <w:szCs w:val="22"/>
          <w:lang w:val="it-IT"/>
        </w:rPr>
        <w:br/>
        <w:t>Companhia Fechada</w:t>
      </w:r>
    </w:p>
    <w:p>
      <w:pPr>
        <w:widowControl w:val="0"/>
        <w:spacing w:after="0" w:line="300" w:lineRule="exact"/>
        <w:rPr>
          <w:rFonts w:ascii="Arial" w:hAnsi="Arial" w:cs="Arial"/>
          <w:b/>
          <w:sz w:val="22"/>
          <w:szCs w:val="22"/>
        </w:rPr>
      </w:pPr>
    </w:p>
    <w:p>
      <w:pPr>
        <w:widowControl w:val="0"/>
        <w:spacing w:after="0" w:line="300" w:lineRule="exact"/>
        <w:rPr>
          <w:rFonts w:ascii="Arial" w:hAnsi="Arial" w:cs="Arial"/>
          <w:b/>
          <w:sz w:val="22"/>
          <w:szCs w:val="22"/>
        </w:rPr>
      </w:pPr>
      <w:r>
        <w:rPr>
          <w:rFonts w:ascii="Arial" w:hAnsi="Arial" w:cs="Arial"/>
          <w:b/>
          <w:sz w:val="22"/>
          <w:szCs w:val="22"/>
        </w:rPr>
        <w:t xml:space="preserve">ATA DA ASSEMBLEIA GERAL DE DEBENTURISTAS DA 3ª (TERCEIRA) EMISSÃO DE DEBÊNTURES SIMPLES, NÃO CONVERSÍVEIS EM AÇÕES, DA ESPÉCIE COM GARANTIA REAL, COM GARANTIA FIDEJUSSÓRIA ADICIONAL, EM SÉRIE ÚNICA, PARA DISTRIBUIÇÃO PÚBLICA, COM ESFORÇOS RESTRITOS DE DISTRIBUIÇÃO, DA ELETROMIDIA S.A, REALIZADA EM </w:t>
      </w:r>
      <w:r>
        <w:rPr>
          <w:rFonts w:ascii="Arial" w:hAnsi="Arial" w:cs="Arial"/>
          <w:b/>
          <w:sz w:val="22"/>
          <w:szCs w:val="22"/>
        </w:rPr>
        <w:t>5</w:t>
      </w:r>
      <w:r>
        <w:rPr>
          <w:rFonts w:ascii="Arial" w:hAnsi="Arial" w:cs="Arial"/>
          <w:b/>
          <w:sz w:val="22"/>
          <w:szCs w:val="22"/>
        </w:rPr>
        <w:t xml:space="preserve"> DE AGOSTO DE 2020.</w:t>
      </w:r>
    </w:p>
    <w:p>
      <w:pPr>
        <w:widowControl w:val="0"/>
        <w:spacing w:after="0" w:line="300" w:lineRule="exact"/>
        <w:rPr>
          <w:rFonts w:ascii="Arial" w:hAnsi="Arial" w:cs="Arial"/>
          <w:b/>
          <w:sz w:val="22"/>
          <w:szCs w:val="22"/>
        </w:rPr>
      </w:pPr>
    </w:p>
    <w:p>
      <w:pPr>
        <w:widowControl w:val="0"/>
        <w:spacing w:after="0" w:line="300" w:lineRule="exact"/>
        <w:rPr>
          <w:rFonts w:ascii="Arial" w:hAnsi="Arial" w:cs="Arial"/>
          <w:sz w:val="22"/>
          <w:szCs w:val="22"/>
        </w:rPr>
      </w:pPr>
      <w:r>
        <w:rPr>
          <w:rFonts w:ascii="Arial" w:hAnsi="Arial" w:cs="Arial"/>
          <w:b/>
          <w:smallCaps/>
          <w:sz w:val="22"/>
          <w:szCs w:val="22"/>
        </w:rPr>
        <w:t>DATA, HORÁRIO</w:t>
      </w:r>
      <w:r>
        <w:rPr>
          <w:rFonts w:ascii="Arial" w:hAnsi="Arial" w:cs="Arial"/>
          <w:b/>
          <w:sz w:val="22"/>
          <w:szCs w:val="22"/>
        </w:rPr>
        <w:t xml:space="preserve"> E </w:t>
      </w:r>
      <w:r>
        <w:rPr>
          <w:rFonts w:ascii="Arial" w:hAnsi="Arial" w:cs="Arial"/>
          <w:b/>
          <w:smallCaps/>
          <w:sz w:val="22"/>
          <w:szCs w:val="22"/>
        </w:rPr>
        <w:t>LOCAL</w:t>
      </w:r>
      <w:r>
        <w:rPr>
          <w:rFonts w:ascii="Arial" w:hAnsi="Arial" w:cs="Arial"/>
          <w:sz w:val="22"/>
          <w:szCs w:val="22"/>
        </w:rPr>
        <w:t xml:space="preserve">: </w:t>
      </w:r>
      <w:r>
        <w:rPr>
          <w:rFonts w:ascii="Arial" w:hAnsi="Arial" w:cs="Arial"/>
          <w:sz w:val="22"/>
          <w:szCs w:val="22"/>
        </w:rPr>
        <w:t>5</w:t>
      </w:r>
      <w:r>
        <w:rPr>
          <w:rFonts w:ascii="Arial" w:hAnsi="Arial" w:cs="Arial"/>
          <w:sz w:val="22"/>
          <w:szCs w:val="22"/>
        </w:rPr>
        <w:t xml:space="preserve"> de agosto de 2020, às </w:t>
      </w:r>
      <w:r>
        <w:rPr>
          <w:rFonts w:ascii="Arial" w:hAnsi="Arial" w:cs="Arial"/>
          <w:sz w:val="22"/>
          <w:szCs w:val="22"/>
        </w:rPr>
        <w:t>10</w:t>
      </w:r>
      <w:r>
        <w:rPr>
          <w:rFonts w:ascii="Arial" w:hAnsi="Arial" w:cs="Arial"/>
          <w:sz w:val="22"/>
          <w:szCs w:val="22"/>
        </w:rPr>
        <w:t xml:space="preserve"> horas, exclusivamente de modo digital, por meio da plataforma </w:t>
      </w:r>
      <w:r>
        <w:rPr>
          <w:rFonts w:ascii="Arial" w:hAnsi="Arial" w:cs="Arial"/>
          <w:sz w:val="22"/>
          <w:szCs w:val="22"/>
        </w:rPr>
        <w:t>Teams</w:t>
      </w:r>
      <w:r>
        <w:rPr>
          <w:rFonts w:ascii="Arial" w:hAnsi="Arial" w:cs="Arial"/>
          <w:sz w:val="22"/>
          <w:szCs w:val="22"/>
        </w:rPr>
        <w:t xml:space="preserve"> conforme prerrogativa prevista na Instrução da Comissão de Valores Mobiliários (“</w:t>
      </w:r>
      <w:r>
        <w:rPr>
          <w:rFonts w:ascii="Arial" w:hAnsi="Arial" w:cs="Arial"/>
          <w:sz w:val="22"/>
          <w:szCs w:val="22"/>
          <w:u w:val="single"/>
        </w:rPr>
        <w:t>CVM</w:t>
      </w:r>
      <w:r>
        <w:rPr>
          <w:rFonts w:ascii="Arial" w:hAnsi="Arial" w:cs="Arial"/>
          <w:sz w:val="22"/>
          <w:szCs w:val="22"/>
        </w:rPr>
        <w:t>”) nº 625, de 14 de maio de 2020 (“</w:t>
      </w:r>
      <w:r>
        <w:rPr>
          <w:rFonts w:ascii="Arial" w:hAnsi="Arial" w:cs="Arial"/>
          <w:sz w:val="22"/>
          <w:szCs w:val="22"/>
          <w:u w:val="single"/>
        </w:rPr>
        <w:t>Instrução CVM 625</w:t>
      </w:r>
      <w:r>
        <w:rPr>
          <w:rFonts w:ascii="Arial" w:hAnsi="Arial" w:cs="Arial"/>
          <w:sz w:val="22"/>
          <w:szCs w:val="22"/>
        </w:rPr>
        <w:t xml:space="preserve">”), tendo sido considerada, nos termos do artigo 3º, §2º da Instrução CVM 625, como realizada na sede social da </w:t>
      </w:r>
      <w:r>
        <w:rPr>
          <w:rFonts w:ascii="Arial" w:hAnsi="Arial" w:cs="Arial"/>
          <w:bCs/>
          <w:sz w:val="22"/>
          <w:szCs w:val="22"/>
        </w:rPr>
        <w:t>Eletromidia S.A</w:t>
      </w:r>
      <w:r>
        <w:rPr>
          <w:rFonts w:ascii="Arial" w:hAnsi="Arial" w:cs="Arial"/>
          <w:b/>
          <w:bCs/>
          <w:sz w:val="22"/>
          <w:szCs w:val="22"/>
        </w:rPr>
        <w:t xml:space="preserve">. </w:t>
      </w:r>
      <w:r>
        <w:rPr>
          <w:rFonts w:ascii="Arial" w:hAnsi="Arial" w:cs="Arial"/>
          <w:sz w:val="22"/>
          <w:szCs w:val="22"/>
        </w:rPr>
        <w:t>(“</w:t>
      </w:r>
      <w:r>
        <w:rPr>
          <w:rFonts w:ascii="Arial" w:hAnsi="Arial" w:cs="Arial"/>
          <w:sz w:val="22"/>
          <w:szCs w:val="22"/>
          <w:u w:val="single"/>
        </w:rPr>
        <w:t>Companhia</w:t>
      </w:r>
      <w:r>
        <w:rPr>
          <w:rFonts w:ascii="Arial" w:hAnsi="Arial" w:cs="Arial"/>
          <w:sz w:val="22"/>
          <w:szCs w:val="22"/>
        </w:rPr>
        <w:t xml:space="preserve">”), situada Cidade de São Paulo, Estado de São Paulo, na </w:t>
      </w:r>
      <w:r>
        <w:rPr>
          <w:rFonts w:ascii="Arial" w:hAnsi="Arial" w:cs="Arial"/>
          <w:bCs/>
          <w:sz w:val="22"/>
          <w:szCs w:val="22"/>
        </w:rPr>
        <w:t>Rua Leopoldo Couto de Magalhães Júnior</w:t>
      </w:r>
      <w:r>
        <w:rPr>
          <w:rFonts w:ascii="Arial" w:hAnsi="Arial" w:cs="Arial"/>
          <w:sz w:val="22"/>
          <w:szCs w:val="22"/>
        </w:rPr>
        <w:t xml:space="preserve">, nº 758, 7º andar, CEP </w:t>
      </w:r>
      <w:r>
        <w:rPr>
          <w:rFonts w:ascii="Arial" w:hAnsi="Arial" w:cs="Arial"/>
          <w:bCs/>
          <w:sz w:val="22"/>
          <w:szCs w:val="22"/>
        </w:rPr>
        <w:t>04.542-000</w:t>
      </w:r>
      <w:r>
        <w:rPr>
          <w:rFonts w:ascii="Arial" w:hAnsi="Arial" w:cs="Arial"/>
          <w:sz w:val="22"/>
          <w:szCs w:val="22"/>
        </w:rPr>
        <w:t xml:space="preserve">, Itaim Bibi. </w:t>
      </w:r>
    </w:p>
    <w:p>
      <w:pPr>
        <w:widowControl w:val="0"/>
        <w:spacing w:after="0" w:line="300" w:lineRule="exact"/>
        <w:rPr>
          <w:rFonts w:ascii="Arial" w:hAnsi="Arial" w:cs="Arial"/>
          <w:sz w:val="22"/>
          <w:szCs w:val="22"/>
        </w:rPr>
      </w:pPr>
    </w:p>
    <w:p>
      <w:pPr>
        <w:widowControl w:val="0"/>
        <w:spacing w:after="0" w:line="300" w:lineRule="exact"/>
        <w:rPr>
          <w:rFonts w:ascii="Arial" w:hAnsi="Arial" w:cs="Arial"/>
          <w:sz w:val="22"/>
          <w:szCs w:val="22"/>
        </w:rPr>
      </w:pPr>
      <w:r>
        <w:rPr>
          <w:rFonts w:ascii="Arial" w:hAnsi="Arial" w:cs="Arial"/>
          <w:b/>
          <w:smallCaps/>
          <w:sz w:val="22"/>
          <w:szCs w:val="22"/>
        </w:rPr>
        <w:t>CONVOCAÇÃO</w:t>
      </w:r>
      <w:r>
        <w:rPr>
          <w:rFonts w:ascii="Arial" w:hAnsi="Arial" w:cs="Arial"/>
          <w:smallCaps/>
          <w:sz w:val="22"/>
          <w:szCs w:val="22"/>
        </w:rPr>
        <w:t>:</w:t>
      </w:r>
      <w:r>
        <w:rPr>
          <w:rFonts w:ascii="Arial" w:hAnsi="Arial" w:cs="Arial"/>
          <w:smallCaps/>
          <w:sz w:val="22"/>
          <w:szCs w:val="22"/>
        </w:rPr>
        <w:tab/>
        <w:t>D</w:t>
      </w:r>
      <w:r>
        <w:rPr>
          <w:rFonts w:ascii="Arial" w:hAnsi="Arial" w:cs="Arial"/>
          <w:sz w:val="22"/>
          <w:szCs w:val="22"/>
        </w:rPr>
        <w:t>ispensada a convocação por edital, nos termos dos artigos 71, parágrafo 2º e 124, parágrafo 4º da Lei nº  6.404, de 15 de dezembro de 1976, conforme alterada (“</w:t>
      </w:r>
      <w:r>
        <w:rPr>
          <w:rFonts w:ascii="Arial" w:hAnsi="Arial" w:cs="Arial"/>
          <w:sz w:val="22"/>
          <w:szCs w:val="22"/>
          <w:u w:val="single"/>
        </w:rPr>
        <w:t>Lei das Sociedades por Ações</w:t>
      </w:r>
      <w:r>
        <w:rPr>
          <w:rFonts w:ascii="Arial" w:hAnsi="Arial" w:cs="Arial"/>
          <w:sz w:val="22"/>
          <w:szCs w:val="22"/>
        </w:rPr>
        <w:t>”), tendo em vista que se verificou a presença dos titulares representando 100% (cem por cento) das debêntures em circulação emitidas no âmbito da 3ª (terceira) emissão de debêntures simples, não conversíveis em ações, da espécie com garantia real, com garantia fidejussória adicional, em série única, para distribuição pública, com esforços restritos de distribuição, da Companhia (“</w:t>
      </w:r>
      <w:r>
        <w:rPr>
          <w:rFonts w:ascii="Arial" w:hAnsi="Arial" w:cs="Arial"/>
          <w:sz w:val="22"/>
          <w:szCs w:val="22"/>
          <w:u w:val="single"/>
        </w:rPr>
        <w:t>Debenturistas</w:t>
      </w:r>
      <w:r>
        <w:rPr>
          <w:rFonts w:ascii="Arial" w:hAnsi="Arial" w:cs="Arial"/>
          <w:sz w:val="22"/>
          <w:szCs w:val="22"/>
        </w:rPr>
        <w:t>” e “</w:t>
      </w:r>
      <w:r>
        <w:rPr>
          <w:rFonts w:ascii="Arial" w:hAnsi="Arial" w:cs="Arial"/>
          <w:sz w:val="22"/>
          <w:szCs w:val="22"/>
          <w:u w:val="single"/>
        </w:rPr>
        <w:t>Emissão</w:t>
      </w:r>
      <w:r>
        <w:rPr>
          <w:rFonts w:ascii="Arial" w:hAnsi="Arial" w:cs="Arial"/>
          <w:sz w:val="22"/>
          <w:szCs w:val="22"/>
        </w:rPr>
        <w:t>”, respectivamente), nos termos da Instrução da CVM nº 476, de 16 de janeiro de 2009 e alterações posteriores (“</w:t>
      </w:r>
      <w:r>
        <w:rPr>
          <w:rFonts w:ascii="Arial" w:hAnsi="Arial" w:cs="Arial"/>
          <w:sz w:val="22"/>
          <w:szCs w:val="22"/>
          <w:u w:val="single"/>
        </w:rPr>
        <w:t>Instrução CVM 476</w:t>
      </w:r>
      <w:r>
        <w:rPr>
          <w:rFonts w:ascii="Arial" w:hAnsi="Arial" w:cs="Arial"/>
          <w:sz w:val="22"/>
          <w:szCs w:val="22"/>
        </w:rPr>
        <w:t xml:space="preserve">”). </w:t>
      </w:r>
    </w:p>
    <w:p>
      <w:pPr>
        <w:widowControl w:val="0"/>
        <w:spacing w:after="0" w:line="300" w:lineRule="exact"/>
        <w:rPr>
          <w:rFonts w:ascii="Arial" w:hAnsi="Arial" w:cs="Arial"/>
          <w:smallCaps/>
          <w:sz w:val="22"/>
          <w:szCs w:val="22"/>
        </w:rPr>
      </w:pPr>
    </w:p>
    <w:p>
      <w:pPr>
        <w:widowControl w:val="0"/>
        <w:spacing w:after="0" w:line="300" w:lineRule="exact"/>
        <w:rPr>
          <w:rFonts w:ascii="Arial" w:hAnsi="Arial" w:cs="Arial"/>
          <w:sz w:val="22"/>
          <w:szCs w:val="22"/>
        </w:rPr>
      </w:pPr>
      <w:r>
        <w:rPr>
          <w:rFonts w:ascii="Arial" w:hAnsi="Arial" w:cs="Arial"/>
          <w:b/>
          <w:smallCaps/>
          <w:sz w:val="22"/>
          <w:szCs w:val="22"/>
        </w:rPr>
        <w:t>PRESENÇA</w:t>
      </w:r>
      <w:r>
        <w:rPr>
          <w:rFonts w:ascii="Arial" w:hAnsi="Arial" w:cs="Arial"/>
          <w:sz w:val="22"/>
          <w:szCs w:val="22"/>
        </w:rPr>
        <w:t xml:space="preserve">: Presentes os Debenturistas, conforme constante no </w:t>
      </w:r>
      <w:r>
        <w:rPr>
          <w:rFonts w:ascii="Arial" w:hAnsi="Arial" w:cs="Arial"/>
          <w:b/>
          <w:sz w:val="22"/>
          <w:szCs w:val="22"/>
        </w:rPr>
        <w:t>Anexo I</w:t>
      </w:r>
      <w:r>
        <w:rPr>
          <w:rFonts w:ascii="Arial" w:hAnsi="Arial" w:cs="Arial"/>
          <w:sz w:val="22"/>
          <w:szCs w:val="22"/>
        </w:rPr>
        <w:t xml:space="preserve"> desta ata, os quais serão considerados assinantes desta ata em consonância ao artigo 8º, §1º da Instrução CVM 625. Presentes, ainda, o representante da Simplific Pavarini Distribuidora de Títulos e Valores Mobiliários Ltda., na qualidade de agente fiduciário da Emissão (“</w:t>
      </w:r>
      <w:r>
        <w:rPr>
          <w:rFonts w:ascii="Arial" w:hAnsi="Arial" w:cs="Arial"/>
          <w:sz w:val="22"/>
          <w:szCs w:val="22"/>
          <w:u w:val="single"/>
        </w:rPr>
        <w:t>Agente Fiduciário</w:t>
      </w:r>
      <w:r>
        <w:rPr>
          <w:rFonts w:ascii="Arial" w:hAnsi="Arial" w:cs="Arial"/>
          <w:sz w:val="22"/>
          <w:szCs w:val="22"/>
        </w:rPr>
        <w:t>”), os representantes da Companhia, os representantes das garantidoras Elemídia Consultoria e Serviços de Marketing S.A (“</w:t>
      </w:r>
      <w:r>
        <w:rPr>
          <w:rFonts w:ascii="Arial" w:hAnsi="Arial" w:cs="Arial"/>
          <w:sz w:val="22"/>
          <w:szCs w:val="22"/>
          <w:u w:val="single"/>
        </w:rPr>
        <w:t>Elemídia</w:t>
      </w:r>
      <w:r>
        <w:rPr>
          <w:rFonts w:ascii="Arial" w:hAnsi="Arial" w:cs="Arial"/>
          <w:sz w:val="22"/>
          <w:szCs w:val="22"/>
        </w:rPr>
        <w:t>”) e da TV Minuto S.A (“</w:t>
      </w:r>
      <w:r>
        <w:rPr>
          <w:rFonts w:ascii="Arial" w:hAnsi="Arial" w:cs="Arial"/>
          <w:sz w:val="22"/>
          <w:szCs w:val="22"/>
          <w:u w:val="single"/>
        </w:rPr>
        <w:t>TV Minuto</w:t>
      </w:r>
      <w:r>
        <w:rPr>
          <w:rFonts w:ascii="Arial" w:hAnsi="Arial" w:cs="Arial"/>
          <w:sz w:val="22"/>
          <w:szCs w:val="22"/>
        </w:rPr>
        <w:t>”).</w:t>
      </w:r>
    </w:p>
    <w:p>
      <w:pPr>
        <w:widowControl w:val="0"/>
        <w:tabs>
          <w:tab w:val="left" w:pos="2880"/>
        </w:tabs>
        <w:spacing w:after="80" w:line="300" w:lineRule="exact"/>
        <w:ind w:left="2880" w:hanging="2880"/>
        <w:jc w:val="left"/>
        <w:rPr>
          <w:rFonts w:ascii="Arial" w:hAnsi="Arial" w:cs="Arial"/>
          <w:smallCaps/>
          <w:sz w:val="22"/>
          <w:szCs w:val="22"/>
        </w:rPr>
      </w:pPr>
    </w:p>
    <w:p>
      <w:pPr>
        <w:widowControl w:val="0"/>
        <w:tabs>
          <w:tab w:val="left" w:pos="1843"/>
        </w:tabs>
        <w:spacing w:after="80" w:line="300" w:lineRule="exact"/>
        <w:jc w:val="left"/>
        <w:rPr>
          <w:rFonts w:ascii="Arial" w:hAnsi="Arial" w:cs="Arial"/>
          <w:sz w:val="22"/>
          <w:szCs w:val="22"/>
        </w:rPr>
      </w:pPr>
      <w:r>
        <w:rPr>
          <w:rFonts w:ascii="Arial" w:hAnsi="Arial" w:cs="Arial"/>
          <w:b/>
          <w:smallCaps/>
          <w:sz w:val="22"/>
          <w:szCs w:val="22"/>
        </w:rPr>
        <w:t>COMPOSIÇÃO DA MESA</w:t>
      </w:r>
      <w:r>
        <w:rPr>
          <w:rFonts w:ascii="Arial" w:hAnsi="Arial" w:cs="Arial"/>
          <w:sz w:val="22"/>
          <w:szCs w:val="22"/>
        </w:rPr>
        <w:t xml:space="preserve">: Sr. </w:t>
      </w:r>
      <w:r>
        <w:rPr>
          <w:rFonts w:ascii="Arial" w:hAnsi="Arial" w:cs="Arial"/>
          <w:sz w:val="22"/>
          <w:szCs w:val="22"/>
          <w:highlight w:val="yellow"/>
        </w:rPr>
        <w:t>[</w:t>
      </w:r>
      <w:r>
        <w:rPr>
          <w:rFonts w:ascii="Arial" w:hAnsi="Arial" w:cs="Arial"/>
          <w:sz w:val="22"/>
          <w:szCs w:val="22"/>
          <w:highlight w:val="yellow"/>
        </w:rPr>
        <w:sym w:font="Symbol" w:char="F0B7"/>
      </w:r>
      <w:r>
        <w:rPr>
          <w:rFonts w:ascii="Arial" w:hAnsi="Arial" w:cs="Arial"/>
          <w:sz w:val="22"/>
          <w:szCs w:val="22"/>
          <w:highlight w:val="yellow"/>
        </w:rPr>
        <w:t>]</w:t>
      </w:r>
      <w:r>
        <w:rPr>
          <w:rFonts w:ascii="Arial" w:hAnsi="Arial" w:cs="Arial"/>
          <w:sz w:val="22"/>
          <w:szCs w:val="22"/>
        </w:rPr>
        <w:t xml:space="preserve">, Presidente, e Sr. </w:t>
      </w:r>
      <w:r>
        <w:rPr>
          <w:rFonts w:ascii="Arial" w:hAnsi="Arial" w:cs="Arial"/>
          <w:sz w:val="22"/>
          <w:szCs w:val="22"/>
        </w:rPr>
        <w:t>Ricardo Winandy</w:t>
      </w:r>
      <w:r>
        <w:rPr>
          <w:rFonts w:ascii="Arial" w:hAnsi="Arial" w:cs="Arial"/>
          <w:sz w:val="22"/>
          <w:szCs w:val="22"/>
        </w:rPr>
        <w:t>, Secretário.</w:t>
      </w:r>
    </w:p>
    <w:p>
      <w:pPr>
        <w:widowControl w:val="0"/>
        <w:tabs>
          <w:tab w:val="left" w:pos="2977"/>
        </w:tabs>
        <w:spacing w:after="80" w:line="300" w:lineRule="exact"/>
        <w:ind w:left="-142"/>
        <w:rPr>
          <w:rFonts w:ascii="Arial" w:hAnsi="Arial" w:cs="Arial"/>
          <w:sz w:val="22"/>
          <w:szCs w:val="22"/>
        </w:rPr>
      </w:pPr>
      <w:r>
        <w:rPr>
          <w:rFonts w:ascii="Arial" w:hAnsi="Arial" w:cs="Arial"/>
          <w:sz w:val="22"/>
          <w:szCs w:val="22"/>
          <w:highlight w:val="yellow"/>
        </w:rPr>
        <w:t>[NOTA PAVARINI: Conf. Escritura de Emissão: 11.4 Presidência da Assembleia Geral de Debenturistas: A presidência da Assembleia Geral caberá, de acordo com quem a tenha convocado, ao Debenturista eleito pelos demais Debenturistas presentes, conforme o caso, ou seu representante, no caso de haver somente pessoas jurídicas.]  BANCOS FAVOR INDICAR O PRESIDENTE.</w:t>
      </w:r>
      <w:r>
        <w:rPr>
          <w:rFonts w:ascii="Arial" w:hAnsi="Arial" w:cs="Arial"/>
          <w:sz w:val="22"/>
          <w:szCs w:val="22"/>
        </w:rPr>
        <w:t xml:space="preserve"> </w:t>
      </w:r>
    </w:p>
    <w:p>
      <w:pPr>
        <w:widowControl w:val="0"/>
        <w:tabs>
          <w:tab w:val="left" w:pos="2880"/>
        </w:tabs>
        <w:spacing w:after="80" w:line="300" w:lineRule="exact"/>
        <w:ind w:left="2880" w:hanging="2880"/>
        <w:jc w:val="left"/>
        <w:rPr>
          <w:rFonts w:ascii="Arial" w:hAnsi="Arial" w:cs="Arial"/>
          <w:sz w:val="22"/>
          <w:szCs w:val="22"/>
        </w:rPr>
      </w:pPr>
    </w:p>
    <w:p>
      <w:pPr>
        <w:widowControl w:val="0"/>
        <w:spacing w:after="0" w:line="300" w:lineRule="exact"/>
        <w:rPr>
          <w:rFonts w:ascii="Arial" w:hAnsi="Arial" w:cs="Arial"/>
          <w:sz w:val="22"/>
          <w:szCs w:val="22"/>
        </w:rPr>
      </w:pPr>
      <w:r>
        <w:rPr>
          <w:rFonts w:ascii="Arial" w:hAnsi="Arial" w:cs="Arial"/>
          <w:b/>
          <w:smallCaps/>
          <w:sz w:val="22"/>
          <w:szCs w:val="22"/>
        </w:rPr>
        <w:t>ORDEM DO DIA</w:t>
      </w:r>
      <w:r>
        <w:rPr>
          <w:rFonts w:ascii="Arial" w:hAnsi="Arial" w:cs="Arial"/>
          <w:smallCaps/>
          <w:sz w:val="22"/>
          <w:szCs w:val="22"/>
        </w:rPr>
        <w:t xml:space="preserve">: </w:t>
      </w:r>
      <w:r>
        <w:rPr>
          <w:rFonts w:ascii="Arial" w:hAnsi="Arial" w:cs="Arial"/>
          <w:sz w:val="22"/>
          <w:szCs w:val="22"/>
        </w:rPr>
        <w:t>deliberar sobre, nos termos do Instrumento Particular de Escritura da 3ª (Terceira) Emissão de Debêntures Simples, Não Conversíveis em Ações, da Espécie com Garantia Real, com Garantia Fidejussória Adicional, em Série Única, Para Distribuição Pública, com Esforços Restritos de Distribuição, da Eletromidia S.A (“</w:t>
      </w:r>
      <w:r>
        <w:rPr>
          <w:rFonts w:ascii="Arial" w:hAnsi="Arial" w:cs="Arial"/>
          <w:sz w:val="22"/>
          <w:szCs w:val="22"/>
          <w:u w:val="single"/>
        </w:rPr>
        <w:t>Escritura</w:t>
      </w:r>
      <w:r>
        <w:rPr>
          <w:rFonts w:ascii="Arial" w:hAnsi="Arial" w:cs="Arial"/>
          <w:sz w:val="22"/>
          <w:szCs w:val="22"/>
        </w:rPr>
        <w:t xml:space="preserve">”): </w:t>
      </w:r>
    </w:p>
    <w:p>
      <w:pPr>
        <w:widowControl w:val="0"/>
        <w:spacing w:after="0" w:line="300" w:lineRule="exact"/>
        <w:rPr>
          <w:rFonts w:ascii="Arial" w:hAnsi="Arial" w:cs="Arial"/>
          <w:sz w:val="22"/>
          <w:szCs w:val="22"/>
        </w:rPr>
      </w:pPr>
    </w:p>
    <w:p>
      <w:pPr>
        <w:spacing w:line="300" w:lineRule="exact"/>
        <w:rPr>
          <w:rFonts w:ascii="Arial" w:hAnsi="Arial" w:cs="Arial"/>
          <w:sz w:val="22"/>
          <w:szCs w:val="22"/>
        </w:rPr>
      </w:pPr>
      <w:r>
        <w:rPr>
          <w:rFonts w:ascii="Arial" w:hAnsi="Arial" w:cs="Arial"/>
          <w:b/>
          <w:sz w:val="22"/>
          <w:szCs w:val="22"/>
        </w:rPr>
        <w:t>1)</w:t>
      </w:r>
      <w:r>
        <w:rPr>
          <w:rFonts w:ascii="Arial" w:hAnsi="Arial" w:cs="Arial"/>
          <w:b/>
          <w:sz w:val="22"/>
          <w:szCs w:val="22"/>
        </w:rPr>
        <w:tab/>
      </w:r>
      <w:r>
        <w:rPr>
          <w:rFonts w:ascii="Arial" w:hAnsi="Arial" w:cs="Arial"/>
          <w:sz w:val="22"/>
          <w:szCs w:val="22"/>
        </w:rPr>
        <w:t xml:space="preserve">autorizar, ou não, a </w:t>
      </w:r>
      <w:r>
        <w:rPr>
          <w:rFonts w:ascii="Arial" w:hAnsi="Arial" w:cs="Arial"/>
          <w:bCs/>
          <w:sz w:val="22"/>
          <w:szCs w:val="22"/>
        </w:rPr>
        <w:t>alteração da data de Início da Apuração, conforme definido no VI do preâmbulo do Instrumento Particular de Contrato de Cessão Fiduciária de Contas Vinculadas e Outras Avenças, celebrado em 20 de março de 2020 (“</w:t>
      </w:r>
      <w:r>
        <w:rPr>
          <w:rFonts w:ascii="Arial" w:hAnsi="Arial" w:cs="Arial"/>
          <w:bCs/>
          <w:sz w:val="22"/>
          <w:szCs w:val="22"/>
          <w:u w:val="single"/>
        </w:rPr>
        <w:t>Contrato de Cessão</w:t>
      </w:r>
      <w:r>
        <w:rPr>
          <w:rFonts w:ascii="Arial" w:hAnsi="Arial" w:cs="Arial"/>
          <w:bCs/>
          <w:sz w:val="22"/>
          <w:szCs w:val="22"/>
        </w:rPr>
        <w:t xml:space="preserve">”), </w:t>
      </w:r>
      <w:r>
        <w:rPr>
          <w:rFonts w:ascii="Arial" w:hAnsi="Arial" w:cs="Arial"/>
          <w:b/>
          <w:bCs/>
          <w:sz w:val="22"/>
          <w:szCs w:val="22"/>
        </w:rPr>
        <w:t>para 08 de janeiro de 2021</w:t>
      </w:r>
      <w:r>
        <w:rPr>
          <w:rFonts w:ascii="Arial" w:hAnsi="Arial" w:cs="Arial"/>
          <w:bCs/>
          <w:sz w:val="22"/>
          <w:szCs w:val="22"/>
        </w:rPr>
        <w:t>, sendo esta, também, a primeira Data de Apuração Programada, conforme definido no Contrato de Cessão; e</w:t>
      </w:r>
    </w:p>
    <w:p>
      <w:pPr>
        <w:pStyle w:val="PargrafodaLista"/>
        <w:spacing w:line="300" w:lineRule="exact"/>
        <w:ind w:left="0"/>
        <w:rPr>
          <w:rFonts w:ascii="Arial" w:hAnsi="Arial" w:cs="Arial"/>
          <w:sz w:val="22"/>
          <w:szCs w:val="22"/>
        </w:rPr>
      </w:pPr>
      <w:r>
        <w:rPr>
          <w:rFonts w:ascii="Arial" w:hAnsi="Arial" w:cs="Arial"/>
          <w:b/>
          <w:sz w:val="22"/>
          <w:szCs w:val="22"/>
          <w:lang w:eastAsia="pt-BR"/>
        </w:rPr>
        <w:t>2)</w:t>
      </w:r>
      <w:r>
        <w:rPr>
          <w:rFonts w:ascii="Arial" w:hAnsi="Arial" w:cs="Arial"/>
          <w:sz w:val="22"/>
          <w:szCs w:val="22"/>
          <w:lang w:eastAsia="pt-BR"/>
        </w:rPr>
        <w:tab/>
      </w:r>
      <w:r>
        <w:rPr>
          <w:rFonts w:ascii="Arial" w:hAnsi="Arial" w:cs="Arial"/>
          <w:sz w:val="22"/>
          <w:szCs w:val="22"/>
        </w:rPr>
        <w:t>aprovar, ou não, que o Agente Fiduciário venha a praticar todos os atos necessários à efetivação do item (1) acima, inclusive a celebração de aditamento ao Contrato de Cessão.</w:t>
      </w:r>
    </w:p>
    <w:p>
      <w:pPr>
        <w:spacing w:line="300" w:lineRule="exact"/>
        <w:rPr>
          <w:rFonts w:ascii="Arial" w:hAnsi="Arial" w:cs="Arial"/>
          <w:bCs/>
          <w:sz w:val="22"/>
          <w:szCs w:val="22"/>
        </w:rPr>
      </w:pPr>
    </w:p>
    <w:p>
      <w:pPr>
        <w:widowControl w:val="0"/>
        <w:spacing w:after="0" w:line="300" w:lineRule="exact"/>
        <w:rPr>
          <w:rFonts w:ascii="Arial" w:hAnsi="Arial" w:cs="Arial"/>
          <w:sz w:val="22"/>
          <w:szCs w:val="22"/>
        </w:rPr>
      </w:pPr>
      <w:r>
        <w:rPr>
          <w:rFonts w:ascii="Arial" w:hAnsi="Arial" w:cs="Arial"/>
          <w:b/>
          <w:smallCaps/>
          <w:sz w:val="22"/>
          <w:szCs w:val="22"/>
        </w:rPr>
        <w:t>DELIBERAÇÃO</w:t>
      </w:r>
      <w:r>
        <w:rPr>
          <w:rFonts w:ascii="Arial" w:hAnsi="Arial" w:cs="Arial"/>
          <w:sz w:val="22"/>
          <w:szCs w:val="22"/>
        </w:rPr>
        <w:t xml:space="preserve">: </w:t>
      </w:r>
      <w:r>
        <w:rPr>
          <w:rFonts w:ascii="Arial" w:hAnsi="Arial" w:cs="Arial"/>
          <w:sz w:val="22"/>
          <w:szCs w:val="22"/>
          <w:lang w:val="x-none"/>
        </w:rPr>
        <w:t>Após a leitura, discussão e votação das matérias constantes da Ordem do Dia</w:t>
      </w:r>
      <w:r>
        <w:rPr>
          <w:rFonts w:ascii="Arial" w:hAnsi="Arial" w:cs="Arial"/>
          <w:sz w:val="22"/>
          <w:szCs w:val="22"/>
        </w:rPr>
        <w:t>, os Debenturistas, sem quaisquer ressalvas, deliberam por:</w:t>
      </w:r>
    </w:p>
    <w:p>
      <w:pPr>
        <w:widowControl w:val="0"/>
        <w:spacing w:after="0" w:line="300" w:lineRule="exact"/>
        <w:rPr>
          <w:rFonts w:ascii="Arial" w:hAnsi="Arial" w:cs="Arial"/>
          <w:sz w:val="22"/>
          <w:szCs w:val="22"/>
        </w:rPr>
      </w:pPr>
    </w:p>
    <w:p>
      <w:pPr>
        <w:spacing w:line="300" w:lineRule="exact"/>
        <w:rPr>
          <w:rFonts w:ascii="Arial" w:hAnsi="Arial" w:cs="Arial"/>
          <w:bCs/>
          <w:sz w:val="22"/>
          <w:szCs w:val="22"/>
        </w:rPr>
      </w:pPr>
      <w:r>
        <w:rPr>
          <w:rFonts w:ascii="Arial" w:hAnsi="Arial" w:cs="Arial"/>
          <w:b/>
          <w:sz w:val="22"/>
          <w:szCs w:val="22"/>
        </w:rPr>
        <w:t>1)</w:t>
      </w:r>
      <w:r>
        <w:rPr>
          <w:rFonts w:ascii="Arial" w:hAnsi="Arial" w:cs="Arial"/>
          <w:b/>
          <w:sz w:val="22"/>
          <w:szCs w:val="22"/>
        </w:rPr>
        <w:tab/>
      </w:r>
      <w:r>
        <w:rPr>
          <w:rFonts w:ascii="Arial" w:hAnsi="Arial" w:cs="Arial"/>
          <w:sz w:val="22"/>
          <w:szCs w:val="22"/>
        </w:rPr>
        <w:t xml:space="preserve">autorizar a alteração da data de Início da Apuração </w:t>
      </w:r>
      <w:r>
        <w:rPr>
          <w:rFonts w:ascii="Arial" w:hAnsi="Arial" w:cs="Arial"/>
          <w:bCs/>
          <w:sz w:val="22"/>
          <w:szCs w:val="22"/>
        </w:rPr>
        <w:t xml:space="preserve">para dia 08 de janeiro de 2021, bem como em virtude desta aprovação, alterar os itens “V” e “VI” do preâmbulo do Contrato de Cessão que passarão a vigorar conforme abaixo: </w:t>
      </w:r>
    </w:p>
    <w:p>
      <w:pPr>
        <w:spacing w:line="300" w:lineRule="exact"/>
        <w:rPr>
          <w:rFonts w:ascii="Arial" w:hAnsi="Arial" w:cs="Arial"/>
          <w:bCs/>
          <w:sz w:val="22"/>
          <w:szCs w:val="22"/>
        </w:rPr>
      </w:pPr>
    </w:p>
    <w:p>
      <w:pPr>
        <w:pStyle w:val="TextosemFormatao"/>
        <w:widowControl w:val="0"/>
        <w:spacing w:after="140" w:line="290" w:lineRule="auto"/>
        <w:ind w:left="709" w:right="850"/>
        <w:jc w:val="both"/>
        <w:rPr>
          <w:rFonts w:cs="Arial"/>
          <w:i/>
          <w:color w:val="auto"/>
          <w:sz w:val="22"/>
          <w:szCs w:val="22"/>
          <w:lang w:val="pt-BR"/>
        </w:rPr>
      </w:pPr>
      <w:bookmarkStart w:id="0" w:name="Check1"/>
      <w:r>
        <w:rPr>
          <w:rFonts w:cs="Arial"/>
          <w:b/>
          <w:i/>
          <w:color w:val="auto"/>
          <w:sz w:val="22"/>
          <w:szCs w:val="22"/>
          <w:lang w:val="pt-BR"/>
        </w:rPr>
        <w:t>V - “VALOR MÍNIMO DE RECURSOS NAS CONTAS VINCULADAS:</w:t>
      </w:r>
      <w:bookmarkEnd w:id="0"/>
      <w:r>
        <w:rPr>
          <w:rFonts w:cs="Arial"/>
          <w:b/>
          <w:i/>
          <w:color w:val="auto"/>
          <w:sz w:val="22"/>
          <w:szCs w:val="22"/>
          <w:lang w:val="pt-BR"/>
        </w:rPr>
        <w:t xml:space="preserve"> </w:t>
      </w:r>
      <w:r>
        <w:rPr>
          <w:rFonts w:cs="Arial"/>
          <w:i/>
          <w:color w:val="auto"/>
          <w:sz w:val="22"/>
          <w:szCs w:val="22"/>
          <w:lang w:val="pt-BR"/>
        </w:rPr>
        <w:t xml:space="preserve">a partir do Início da Apuração (conforme definido abaixo) e até a quitação integral das Obrigações Garantidas, na periodicidade abaixo definida, deverá transitar nas Contas Vinculadas, em conjunto, valor igual a, no mínimo, 5% (cinco por cento) do </w:t>
      </w:r>
      <w:r>
        <w:rPr>
          <w:rFonts w:cs="Arial"/>
          <w:bCs/>
          <w:i/>
          <w:color w:val="auto"/>
          <w:sz w:val="22"/>
          <w:szCs w:val="22"/>
          <w:lang w:val="pt-BR"/>
        </w:rPr>
        <w:t>saldo devedor das Obrigações Garantidas, que deverá considerar principal mais juros</w:t>
      </w:r>
      <w:r>
        <w:rPr>
          <w:rFonts w:cs="Arial"/>
          <w:i/>
          <w:color w:val="auto"/>
          <w:sz w:val="22"/>
          <w:szCs w:val="22"/>
          <w:lang w:val="pt-BR"/>
        </w:rPr>
        <w:t xml:space="preserve"> (“</w:t>
      </w:r>
      <w:r>
        <w:rPr>
          <w:rFonts w:cs="Arial"/>
          <w:b/>
          <w:i/>
          <w:color w:val="auto"/>
          <w:sz w:val="22"/>
          <w:szCs w:val="22"/>
          <w:lang w:val="pt-BR"/>
        </w:rPr>
        <w:t>Valor Mínimo de Recursos nas Contas Vinculadas</w:t>
      </w:r>
      <w:r>
        <w:rPr>
          <w:rFonts w:cs="Arial"/>
          <w:i/>
          <w:color w:val="auto"/>
          <w:sz w:val="22"/>
          <w:szCs w:val="22"/>
          <w:lang w:val="pt-BR"/>
        </w:rPr>
        <w:t xml:space="preserve">”). </w:t>
      </w:r>
    </w:p>
    <w:p>
      <w:pPr>
        <w:spacing w:line="300" w:lineRule="exact"/>
        <w:ind w:left="709" w:right="850"/>
        <w:rPr>
          <w:rFonts w:ascii="Arial" w:hAnsi="Arial" w:cs="Arial"/>
          <w:b/>
          <w:i/>
          <w:sz w:val="22"/>
          <w:szCs w:val="22"/>
        </w:rPr>
      </w:pPr>
      <w:r>
        <w:rPr>
          <w:rFonts w:ascii="Arial" w:hAnsi="Arial" w:cs="Arial"/>
          <w:i/>
          <w:sz w:val="22"/>
          <w:szCs w:val="22"/>
        </w:rPr>
        <w:t>Para fins de apuração do Valor Mínimo de Recursos nas Contas Vinculadas, o Agente Fiduciário deverá considerar a média simples do fluxo mensal dos depósitos realizados, nos últimos 3 (três) meses, imediatamente anteriores ao mês da Data de Apuração Programada (“</w:t>
      </w:r>
      <w:r>
        <w:rPr>
          <w:rFonts w:ascii="Arial" w:hAnsi="Arial" w:cs="Arial"/>
          <w:b/>
          <w:i/>
          <w:sz w:val="22"/>
          <w:szCs w:val="22"/>
        </w:rPr>
        <w:t>Base de Cálculo</w:t>
      </w:r>
      <w:r>
        <w:rPr>
          <w:rFonts w:ascii="Arial" w:hAnsi="Arial" w:cs="Arial"/>
          <w:i/>
          <w:sz w:val="22"/>
          <w:szCs w:val="22"/>
        </w:rPr>
        <w:t xml:space="preserve">”), sendo certo que para a apuração serão considerados o mês calendário (primeiro dia ao último dia do mês), em cada uma das Contas Vinculadas por outras pessoas físicas ou jurídicas que não aquelas listadas no </w:t>
      </w:r>
      <w:r>
        <w:rPr>
          <w:rFonts w:ascii="Arial" w:hAnsi="Arial" w:cs="Arial"/>
          <w:b/>
          <w:i/>
          <w:sz w:val="22"/>
          <w:szCs w:val="22"/>
        </w:rPr>
        <w:t xml:space="preserve">Anexo II </w:t>
      </w:r>
      <w:r>
        <w:rPr>
          <w:rFonts w:ascii="Arial" w:hAnsi="Arial" w:cs="Arial"/>
          <w:bCs/>
          <w:i/>
          <w:sz w:val="22"/>
          <w:szCs w:val="22"/>
        </w:rPr>
        <w:t>do presente Contrato</w:t>
      </w:r>
      <w:r>
        <w:rPr>
          <w:rFonts w:ascii="Arial" w:hAnsi="Arial" w:cs="Arial"/>
          <w:b/>
          <w:i/>
          <w:sz w:val="22"/>
          <w:szCs w:val="22"/>
        </w:rPr>
        <w:t>.”</w:t>
      </w:r>
    </w:p>
    <w:p>
      <w:pPr>
        <w:spacing w:line="300" w:lineRule="exact"/>
        <w:ind w:left="709" w:right="850"/>
        <w:rPr>
          <w:rFonts w:ascii="Arial" w:hAnsi="Arial" w:cs="Arial"/>
          <w:bCs/>
          <w:i/>
          <w:sz w:val="22"/>
          <w:szCs w:val="22"/>
        </w:rPr>
      </w:pPr>
    </w:p>
    <w:p>
      <w:pPr>
        <w:spacing w:line="300" w:lineRule="exact"/>
        <w:ind w:left="709" w:right="850"/>
        <w:rPr>
          <w:rFonts w:ascii="Arial" w:hAnsi="Arial" w:cs="Arial"/>
          <w:b/>
          <w:bCs/>
          <w:i/>
          <w:sz w:val="22"/>
          <w:szCs w:val="22"/>
        </w:rPr>
      </w:pPr>
      <w:r>
        <w:rPr>
          <w:rFonts w:ascii="Arial" w:hAnsi="Arial" w:cs="Arial"/>
          <w:b/>
          <w:bCs/>
          <w:i/>
          <w:sz w:val="22"/>
          <w:szCs w:val="22"/>
        </w:rPr>
        <w:t xml:space="preserve">VI – “PERIODICIDADE DE APURAÇÃO:  </w:t>
      </w:r>
    </w:p>
    <w:p>
      <w:pPr>
        <w:spacing w:line="300" w:lineRule="exact"/>
        <w:ind w:left="709" w:right="850"/>
        <w:rPr>
          <w:rFonts w:ascii="Arial" w:hAnsi="Arial" w:cs="Arial"/>
          <w:i/>
          <w:sz w:val="22"/>
          <w:szCs w:val="22"/>
        </w:rPr>
      </w:pPr>
      <w:r>
        <w:rPr>
          <w:rFonts w:ascii="Arial" w:hAnsi="Arial" w:cs="Arial"/>
          <w:i/>
          <w:sz w:val="22"/>
          <w:szCs w:val="22"/>
        </w:rPr>
        <w:t>Periodicidade: Mensal, sendo que no 5º Dia Útil de cada mês ocorrerá a apuração considerando a Base de Cálculo, observado o disposto na Cláusula 1.3.2.4 deste Contrato (“</w:t>
      </w:r>
      <w:r>
        <w:rPr>
          <w:rFonts w:ascii="Arial" w:hAnsi="Arial" w:cs="Arial"/>
          <w:b/>
          <w:bCs/>
          <w:i/>
          <w:sz w:val="22"/>
          <w:szCs w:val="22"/>
        </w:rPr>
        <w:t>Data de Apuração Programada</w:t>
      </w:r>
      <w:r>
        <w:rPr>
          <w:rFonts w:ascii="Arial" w:hAnsi="Arial" w:cs="Arial"/>
          <w:i/>
          <w:sz w:val="22"/>
          <w:szCs w:val="22"/>
        </w:rPr>
        <w:t>”).</w:t>
      </w:r>
    </w:p>
    <w:p>
      <w:pPr>
        <w:spacing w:line="300" w:lineRule="exact"/>
        <w:ind w:left="709" w:right="850"/>
        <w:rPr>
          <w:rFonts w:ascii="Arial" w:hAnsi="Arial" w:cs="Arial"/>
          <w:b/>
          <w:bCs/>
          <w:i/>
          <w:sz w:val="22"/>
          <w:szCs w:val="22"/>
        </w:rPr>
      </w:pPr>
      <w:r>
        <w:rPr>
          <w:rFonts w:ascii="Arial" w:hAnsi="Arial" w:cs="Arial"/>
          <w:i/>
          <w:sz w:val="22"/>
          <w:szCs w:val="22"/>
        </w:rPr>
        <w:lastRenderedPageBreak/>
        <w:t>Início da Apuração: 08 de janeiro de 2021</w:t>
      </w:r>
      <w:r>
        <w:rPr>
          <w:rFonts w:ascii="Arial" w:hAnsi="Arial" w:cs="Arial"/>
          <w:bCs/>
          <w:i/>
          <w:sz w:val="22"/>
          <w:szCs w:val="22"/>
        </w:rPr>
        <w:t xml:space="preserve"> (“</w:t>
      </w:r>
      <w:r>
        <w:rPr>
          <w:rFonts w:ascii="Arial" w:hAnsi="Arial" w:cs="Arial"/>
          <w:b/>
          <w:bCs/>
          <w:i/>
          <w:sz w:val="22"/>
          <w:szCs w:val="22"/>
        </w:rPr>
        <w:t>Início da Apuração</w:t>
      </w:r>
      <w:r>
        <w:rPr>
          <w:rFonts w:ascii="Arial" w:hAnsi="Arial" w:cs="Arial"/>
          <w:bCs/>
          <w:i/>
          <w:sz w:val="22"/>
          <w:szCs w:val="22"/>
        </w:rPr>
        <w:t xml:space="preserve">”), </w:t>
      </w:r>
      <w:r>
        <w:rPr>
          <w:rFonts w:ascii="Arial" w:hAnsi="Arial" w:cs="Arial"/>
          <w:bCs/>
          <w:sz w:val="22"/>
          <w:szCs w:val="22"/>
        </w:rPr>
        <w:t>sendo que está será, também, a primeira Data de Apuração Programada</w:t>
      </w:r>
      <w:r>
        <w:rPr>
          <w:rFonts w:ascii="Arial" w:hAnsi="Arial" w:cs="Arial"/>
          <w:b/>
          <w:bCs/>
          <w:i/>
          <w:sz w:val="22"/>
          <w:szCs w:val="22"/>
        </w:rPr>
        <w:t>.</w:t>
      </w:r>
    </w:p>
    <w:p>
      <w:pPr>
        <w:pStyle w:val="PargrafodaLista"/>
        <w:spacing w:line="300" w:lineRule="exact"/>
        <w:ind w:left="0"/>
        <w:rPr>
          <w:rFonts w:ascii="Arial" w:hAnsi="Arial" w:cs="Arial"/>
          <w:sz w:val="22"/>
          <w:szCs w:val="22"/>
        </w:rPr>
      </w:pPr>
    </w:p>
    <w:p>
      <w:pPr>
        <w:pStyle w:val="PargrafodaLista"/>
        <w:spacing w:line="300" w:lineRule="exact"/>
        <w:ind w:left="0"/>
        <w:rPr>
          <w:rFonts w:ascii="Arial" w:hAnsi="Arial" w:cs="Arial"/>
          <w:sz w:val="22"/>
          <w:szCs w:val="22"/>
        </w:rPr>
      </w:pPr>
      <w:r>
        <w:rPr>
          <w:rFonts w:ascii="Arial" w:hAnsi="Arial" w:cs="Arial"/>
          <w:b/>
          <w:sz w:val="22"/>
          <w:szCs w:val="22"/>
        </w:rPr>
        <w:t>2)</w:t>
      </w:r>
      <w:r>
        <w:rPr>
          <w:rFonts w:ascii="Arial" w:hAnsi="Arial" w:cs="Arial"/>
          <w:sz w:val="22"/>
          <w:szCs w:val="22"/>
        </w:rPr>
        <w:tab/>
        <w:t>aprovar a prática, pelo Agente Fiduciário, de todos os atos necessários à efetivação do item (1) acima, incluindo a celebração do aditamento ao Contrato de Cessão, ficando autorizado o Agente Fiduciário a assinar quaisquer outros documentos necessários para formalizar as deliberações desta Assembleia.</w:t>
      </w:r>
    </w:p>
    <w:p>
      <w:pPr>
        <w:widowControl w:val="0"/>
        <w:spacing w:after="0" w:line="300" w:lineRule="exact"/>
        <w:rPr>
          <w:rFonts w:ascii="Arial" w:hAnsi="Arial" w:cs="Arial"/>
          <w:b/>
          <w:smallCaps/>
          <w:sz w:val="22"/>
          <w:szCs w:val="22"/>
        </w:rPr>
      </w:pPr>
    </w:p>
    <w:p>
      <w:pPr>
        <w:widowControl w:val="0"/>
        <w:spacing w:after="0" w:line="300" w:lineRule="exact"/>
        <w:rPr>
          <w:rFonts w:ascii="Arial" w:hAnsi="Arial" w:cs="Arial"/>
          <w:b/>
          <w:smallCaps/>
          <w:sz w:val="22"/>
          <w:szCs w:val="22"/>
        </w:rPr>
      </w:pPr>
      <w:r>
        <w:rPr>
          <w:rFonts w:ascii="Arial" w:hAnsi="Arial" w:cs="Arial"/>
          <w:sz w:val="22"/>
          <w:szCs w:val="22"/>
        </w:rPr>
        <w:t>As deliberações e aprovações acima referidas devem ser interpretadas restritivamente como mera liberalidade dos Debenturistas e, portanto, não poderão ser interpretadas como alteração, novação, precedente, remissão, liberação (expressa ou tácita) ou renúncia, seja provisória ou definitiva, de quaisquer outros direitos dos Debenturistas previstos na Escritura e/ou no Contrato de Cessão, nem quanto ao cumprimento, pela Emissora, de todas e quaisquer obrigações na Escritura e no Contrato de Cessão, ou como qualquer promessa ou compromisso dos Debenturistas de renegociar ou implementar alterações em quaisquer termos e condições da Escritura e do Contrato de Cessão.</w:t>
      </w:r>
    </w:p>
    <w:p>
      <w:pPr>
        <w:widowControl w:val="0"/>
        <w:spacing w:after="0" w:line="300" w:lineRule="exact"/>
        <w:rPr>
          <w:rFonts w:ascii="Arial" w:hAnsi="Arial" w:cs="Arial"/>
          <w:b/>
          <w:smallCaps/>
          <w:sz w:val="22"/>
          <w:szCs w:val="22"/>
        </w:rPr>
      </w:pPr>
    </w:p>
    <w:p>
      <w:pPr>
        <w:widowControl w:val="0"/>
        <w:spacing w:after="0" w:line="300" w:lineRule="exact"/>
        <w:rPr>
          <w:rFonts w:ascii="Arial" w:hAnsi="Arial" w:cs="Arial"/>
          <w:sz w:val="22"/>
          <w:szCs w:val="22"/>
        </w:rPr>
      </w:pPr>
      <w:r>
        <w:rPr>
          <w:rFonts w:ascii="Arial" w:hAnsi="Arial" w:cs="Arial"/>
          <w:b/>
          <w:smallCaps/>
          <w:sz w:val="22"/>
          <w:szCs w:val="22"/>
        </w:rPr>
        <w:t>ENCERRAMENTO</w:t>
      </w:r>
      <w:r>
        <w:rPr>
          <w:rFonts w:ascii="Arial" w:hAnsi="Arial" w:cs="Arial"/>
          <w:sz w:val="22"/>
          <w:szCs w:val="22"/>
        </w:rPr>
        <w:t>: Oferecida a palavra a quem dela quisesse fazer uso, não houve qualquer manifestação. Assim sendo, nada mais havendo a ser tratado, foi encerrada a sessão e lavrada a presente ata, que lida e achada conforme, foi assinada pelos presentes. Termos com iniciais maiúsculas utilizados neste documento que não estiverem expressamente aqui definidos têm o significado que lhes foi atribuído na Escritura.</w:t>
      </w:r>
    </w:p>
    <w:p>
      <w:pPr>
        <w:widowControl w:val="0"/>
        <w:spacing w:after="0" w:line="300" w:lineRule="exact"/>
        <w:rPr>
          <w:rFonts w:ascii="Arial" w:hAnsi="Arial" w:cs="Arial"/>
          <w:sz w:val="22"/>
          <w:szCs w:val="22"/>
        </w:rPr>
      </w:pPr>
    </w:p>
    <w:p>
      <w:pPr>
        <w:widowControl w:val="0"/>
        <w:spacing w:after="0" w:line="300" w:lineRule="exact"/>
        <w:rPr>
          <w:rFonts w:ascii="Arial" w:hAnsi="Arial" w:cs="Arial"/>
          <w:sz w:val="22"/>
          <w:szCs w:val="22"/>
        </w:rPr>
      </w:pPr>
      <w:r>
        <w:rPr>
          <w:rFonts w:ascii="Arial" w:hAnsi="Arial" w:cs="Arial"/>
          <w:b/>
          <w:sz w:val="22"/>
          <w:szCs w:val="22"/>
        </w:rPr>
        <w:t>ASSINATURAS:</w:t>
      </w:r>
      <w:r>
        <w:rPr>
          <w:rFonts w:ascii="Arial" w:hAnsi="Arial" w:cs="Arial"/>
          <w:sz w:val="22"/>
          <w:szCs w:val="22"/>
        </w:rPr>
        <w:t xml:space="preserve"> Conforme preconiza o artigo 8º, §1º da Instrução CVM 625, os Debenturistas foram considerados assinantes da presente Assembleia, constando as assinaturas do Presidente, Secretário, Companhia e Agente Fiduciário abaixo.</w:t>
      </w:r>
    </w:p>
    <w:p>
      <w:pPr>
        <w:widowControl w:val="0"/>
        <w:spacing w:after="80" w:line="300" w:lineRule="exact"/>
        <w:rPr>
          <w:rFonts w:ascii="Arial" w:hAnsi="Arial" w:cs="Arial"/>
          <w:sz w:val="22"/>
          <w:szCs w:val="22"/>
        </w:rPr>
      </w:pPr>
    </w:p>
    <w:p>
      <w:pPr>
        <w:widowControl w:val="0"/>
        <w:spacing w:after="80" w:line="300" w:lineRule="exact"/>
        <w:jc w:val="center"/>
        <w:rPr>
          <w:rFonts w:ascii="Arial" w:hAnsi="Arial" w:cs="Arial"/>
          <w:sz w:val="22"/>
          <w:szCs w:val="22"/>
        </w:rPr>
      </w:pPr>
      <w:r>
        <w:rPr>
          <w:rFonts w:ascii="Arial" w:hAnsi="Arial" w:cs="Arial"/>
          <w:sz w:val="22"/>
          <w:szCs w:val="22"/>
        </w:rPr>
        <w:t xml:space="preserve">São Paulo, </w:t>
      </w:r>
      <w:r>
        <w:rPr>
          <w:rFonts w:ascii="Arial" w:hAnsi="Arial" w:cs="Arial"/>
          <w:sz w:val="22"/>
          <w:szCs w:val="22"/>
        </w:rPr>
        <w:t>5</w:t>
      </w:r>
      <w:r>
        <w:rPr>
          <w:rFonts w:ascii="Arial" w:hAnsi="Arial" w:cs="Arial"/>
          <w:sz w:val="22"/>
          <w:szCs w:val="22"/>
        </w:rPr>
        <w:t xml:space="preserve"> de agosto de 2020.</w:t>
      </w:r>
    </w:p>
    <w:p>
      <w:pPr>
        <w:widowControl w:val="0"/>
        <w:spacing w:after="80" w:line="300" w:lineRule="exact"/>
        <w:rPr>
          <w:rFonts w:ascii="Arial" w:hAnsi="Arial" w:cs="Arial"/>
          <w:sz w:val="22"/>
          <w:szCs w:val="22"/>
        </w:rPr>
      </w:pPr>
    </w:p>
    <w:p>
      <w:pPr>
        <w:widowControl w:val="0"/>
        <w:spacing w:after="80" w:line="300" w:lineRule="exact"/>
        <w:rPr>
          <w:rFonts w:ascii="Arial" w:hAnsi="Arial" w:cs="Arial"/>
          <w:sz w:val="22"/>
          <w:szCs w:val="22"/>
        </w:rPr>
      </w:pPr>
    </w:p>
    <w:tbl>
      <w:tblPr>
        <w:tblW w:w="8223" w:type="dxa"/>
        <w:tblInd w:w="-1" w:type="dxa"/>
        <w:tblLayout w:type="fixed"/>
        <w:tblCellMar>
          <w:left w:w="71" w:type="dxa"/>
          <w:right w:w="71" w:type="dxa"/>
        </w:tblCellMar>
        <w:tblLook w:val="0000" w:firstRow="0" w:lastRow="0" w:firstColumn="0" w:lastColumn="0" w:noHBand="0" w:noVBand="0"/>
      </w:tblPr>
      <w:tblGrid>
        <w:gridCol w:w="4112"/>
        <w:gridCol w:w="284"/>
        <w:gridCol w:w="3827"/>
      </w:tblGrid>
      <w:tr>
        <w:trPr>
          <w:cantSplit/>
          <w:trHeight w:val="942"/>
        </w:trPr>
        <w:tc>
          <w:tcPr>
            <w:tcW w:w="4112" w:type="dxa"/>
            <w:tcBorders>
              <w:top w:val="single" w:sz="6" w:space="0" w:color="auto"/>
            </w:tcBorders>
          </w:tcPr>
          <w:p>
            <w:pPr>
              <w:widowControl w:val="0"/>
              <w:spacing w:after="80" w:line="300" w:lineRule="exact"/>
              <w:jc w:val="center"/>
              <w:rPr>
                <w:rFonts w:ascii="Arial" w:hAnsi="Arial" w:cs="Arial"/>
                <w:sz w:val="22"/>
                <w:szCs w:val="22"/>
              </w:rPr>
            </w:pPr>
            <w:r>
              <w:rPr>
                <w:rFonts w:ascii="Arial" w:hAnsi="Arial" w:cs="Arial"/>
                <w:sz w:val="22"/>
                <w:szCs w:val="22"/>
                <w:highlight w:val="yellow"/>
              </w:rPr>
              <w:t>[</w:t>
            </w:r>
            <w:r>
              <w:rPr>
                <w:rFonts w:ascii="Arial" w:hAnsi="Arial" w:cs="Arial"/>
                <w:sz w:val="22"/>
                <w:szCs w:val="22"/>
                <w:highlight w:val="yellow"/>
              </w:rPr>
              <w:sym w:font="Symbol" w:char="F0B7"/>
            </w:r>
            <w:r>
              <w:rPr>
                <w:rFonts w:ascii="Arial" w:hAnsi="Arial" w:cs="Arial"/>
                <w:sz w:val="22"/>
                <w:szCs w:val="22"/>
                <w:highlight w:val="yellow"/>
              </w:rPr>
              <w:t>]</w:t>
            </w:r>
          </w:p>
          <w:p>
            <w:pPr>
              <w:widowControl w:val="0"/>
              <w:spacing w:after="80" w:line="300" w:lineRule="exact"/>
              <w:jc w:val="center"/>
              <w:rPr>
                <w:rFonts w:ascii="Arial" w:hAnsi="Arial" w:cs="Arial"/>
                <w:sz w:val="22"/>
                <w:szCs w:val="22"/>
                <w:highlight w:val="yellow"/>
              </w:rPr>
            </w:pPr>
            <w:r>
              <w:rPr>
                <w:rFonts w:ascii="Arial" w:hAnsi="Arial" w:cs="Arial"/>
                <w:sz w:val="22"/>
                <w:szCs w:val="22"/>
              </w:rPr>
              <w:t>Presidente</w:t>
            </w:r>
          </w:p>
        </w:tc>
        <w:tc>
          <w:tcPr>
            <w:tcW w:w="284" w:type="dxa"/>
          </w:tcPr>
          <w:p>
            <w:pPr>
              <w:widowControl w:val="0"/>
              <w:spacing w:after="80" w:line="300" w:lineRule="exact"/>
              <w:jc w:val="center"/>
              <w:rPr>
                <w:rFonts w:ascii="Arial" w:hAnsi="Arial" w:cs="Arial"/>
                <w:sz w:val="22"/>
                <w:szCs w:val="22"/>
                <w:highlight w:val="yellow"/>
              </w:rPr>
            </w:pPr>
          </w:p>
        </w:tc>
        <w:tc>
          <w:tcPr>
            <w:tcW w:w="3827" w:type="dxa"/>
            <w:tcBorders>
              <w:top w:val="single" w:sz="6" w:space="0" w:color="auto"/>
            </w:tcBorders>
          </w:tcPr>
          <w:p>
            <w:pPr>
              <w:widowControl w:val="0"/>
              <w:spacing w:after="80" w:line="300" w:lineRule="exact"/>
              <w:jc w:val="center"/>
              <w:rPr>
                <w:rFonts w:ascii="Arial" w:hAnsi="Arial" w:cs="Arial"/>
                <w:sz w:val="22"/>
                <w:szCs w:val="22"/>
              </w:rPr>
            </w:pPr>
            <w:r>
              <w:rPr>
                <w:rFonts w:ascii="Arial" w:hAnsi="Arial" w:cs="Arial"/>
                <w:sz w:val="22"/>
                <w:szCs w:val="22"/>
              </w:rPr>
              <w:t>Ricardo Winandy</w:t>
            </w:r>
            <w:r>
              <w:rPr>
                <w:rFonts w:ascii="Arial" w:hAnsi="Arial" w:cs="Arial"/>
                <w:sz w:val="22"/>
                <w:szCs w:val="22"/>
              </w:rPr>
              <w:t xml:space="preserve"> </w:t>
            </w:r>
          </w:p>
          <w:p>
            <w:pPr>
              <w:widowControl w:val="0"/>
              <w:spacing w:after="80" w:line="300" w:lineRule="exact"/>
              <w:jc w:val="center"/>
              <w:rPr>
                <w:rFonts w:ascii="Arial" w:hAnsi="Arial" w:cs="Arial"/>
                <w:sz w:val="22"/>
                <w:szCs w:val="22"/>
              </w:rPr>
            </w:pPr>
            <w:r>
              <w:rPr>
                <w:rFonts w:ascii="Arial" w:hAnsi="Arial" w:cs="Arial"/>
                <w:sz w:val="22"/>
                <w:szCs w:val="22"/>
              </w:rPr>
              <w:t>Secretário</w:t>
            </w:r>
          </w:p>
        </w:tc>
      </w:tr>
    </w:tbl>
    <w:p>
      <w:pPr>
        <w:widowControl w:val="0"/>
        <w:spacing w:after="0" w:line="300" w:lineRule="exact"/>
        <w:jc w:val="left"/>
        <w:rPr>
          <w:rFonts w:ascii="Arial" w:hAnsi="Arial" w:cs="Arial"/>
          <w:bCs/>
          <w:sz w:val="22"/>
          <w:szCs w:val="22"/>
        </w:rPr>
      </w:pPr>
      <w:r>
        <w:rPr>
          <w:rFonts w:ascii="Arial" w:hAnsi="Arial" w:cs="Arial"/>
          <w:bCs/>
          <w:sz w:val="22"/>
          <w:szCs w:val="22"/>
        </w:rPr>
        <w:br w:type="page"/>
      </w:r>
    </w:p>
    <w:p>
      <w:pPr>
        <w:widowControl w:val="0"/>
        <w:spacing w:line="300" w:lineRule="exact"/>
        <w:rPr>
          <w:rFonts w:ascii="Arial" w:hAnsi="Arial" w:cs="Arial"/>
          <w:bCs/>
          <w:sz w:val="22"/>
          <w:szCs w:val="22"/>
        </w:rPr>
      </w:pPr>
      <w:r>
        <w:rPr>
          <w:rFonts w:ascii="Arial" w:hAnsi="Arial" w:cs="Arial"/>
          <w:bCs/>
          <w:sz w:val="22"/>
          <w:szCs w:val="22"/>
        </w:rPr>
        <w:lastRenderedPageBreak/>
        <w:t xml:space="preserve">PÁGINA DE ASSINATURAS DA ATA DE ASSEMBLEIA GERAL DE DEBENTURISTAS DA 3ª (TERCEIRA) EMISSÃO DE DEBÊNTURES SIMPLES, NÃO CONVERSÍVEIS EM AÇÕES, DA ESPÉCIE COM GARANTIA REAL, COM GARANTIA FIDEJUSSÓRIA ADICIONAL, EM SÉRIE ÚNICA, PARA DISTRIBUIÇÃO PÚBLICA, COM ESFORÇOS RESTRITOS DE DISTRIBUIÇÃO, DA ELETROMIDIA S.A, REALIZADA EM </w:t>
      </w:r>
      <w:r>
        <w:rPr>
          <w:rFonts w:ascii="Arial" w:hAnsi="Arial" w:cs="Arial"/>
          <w:bCs/>
          <w:sz w:val="22"/>
          <w:szCs w:val="22"/>
        </w:rPr>
        <w:t>5</w:t>
      </w:r>
      <w:r>
        <w:rPr>
          <w:rFonts w:ascii="Arial" w:hAnsi="Arial" w:cs="Arial"/>
          <w:bCs/>
          <w:sz w:val="22"/>
          <w:szCs w:val="22"/>
        </w:rPr>
        <w:t xml:space="preserve"> DE AGOSTO DE 2020</w:t>
      </w:r>
    </w:p>
    <w:p>
      <w:pPr>
        <w:widowControl w:val="0"/>
        <w:spacing w:line="300" w:lineRule="exact"/>
        <w:rPr>
          <w:rFonts w:ascii="Arial" w:hAnsi="Arial" w:cs="Arial"/>
          <w:bCs/>
          <w:sz w:val="22"/>
          <w:szCs w:val="22"/>
        </w:rPr>
      </w:pPr>
    </w:p>
    <w:p>
      <w:pPr>
        <w:widowControl w:val="0"/>
        <w:spacing w:after="0" w:line="300" w:lineRule="exact"/>
        <w:rPr>
          <w:rFonts w:ascii="Arial" w:hAnsi="Arial" w:cs="Arial"/>
          <w:sz w:val="22"/>
          <w:szCs w:val="22"/>
        </w:rPr>
      </w:pPr>
    </w:p>
    <w:p>
      <w:pPr>
        <w:widowControl w:val="0"/>
        <w:spacing w:line="300" w:lineRule="exact"/>
        <w:rPr>
          <w:rFonts w:ascii="Arial" w:hAnsi="Arial" w:cs="Arial"/>
          <w:b/>
          <w:sz w:val="22"/>
          <w:szCs w:val="22"/>
        </w:rPr>
      </w:pPr>
      <w:r>
        <w:rPr>
          <w:rFonts w:ascii="Arial" w:hAnsi="Arial" w:cs="Arial"/>
          <w:b/>
          <w:sz w:val="22"/>
          <w:szCs w:val="22"/>
        </w:rPr>
        <w:t>Companhia:</w:t>
      </w:r>
    </w:p>
    <w:p>
      <w:pPr>
        <w:widowControl w:val="0"/>
        <w:spacing w:line="300" w:lineRule="exact"/>
        <w:rPr>
          <w:rFonts w:ascii="Arial" w:hAnsi="Arial" w:cs="Arial"/>
          <w:sz w:val="22"/>
          <w:szCs w:val="22"/>
        </w:rPr>
      </w:pPr>
    </w:p>
    <w:p>
      <w:pPr>
        <w:widowControl w:val="0"/>
        <w:spacing w:line="300" w:lineRule="exact"/>
        <w:rPr>
          <w:rFonts w:ascii="Arial" w:hAnsi="Arial" w:cs="Arial"/>
          <w:sz w:val="22"/>
          <w:szCs w:val="22"/>
        </w:rPr>
      </w:pPr>
      <w:r>
        <w:rPr>
          <w:rFonts w:ascii="Arial" w:hAnsi="Arial" w:cs="Arial"/>
          <w:sz w:val="22"/>
          <w:szCs w:val="22"/>
        </w:rPr>
        <w:t>__________________________________________________________</w:t>
      </w:r>
    </w:p>
    <w:p>
      <w:pPr>
        <w:pStyle w:val="Corpodetexto"/>
        <w:widowControl w:val="0"/>
        <w:spacing w:line="300" w:lineRule="exact"/>
        <w:rPr>
          <w:rFonts w:ascii="Arial" w:hAnsi="Arial" w:cs="Arial"/>
          <w:sz w:val="22"/>
          <w:szCs w:val="22"/>
        </w:rPr>
      </w:pPr>
      <w:r>
        <w:rPr>
          <w:rFonts w:ascii="Arial" w:hAnsi="Arial" w:cs="Arial"/>
          <w:bCs/>
          <w:sz w:val="22"/>
          <w:szCs w:val="22"/>
        </w:rPr>
        <w:t>ELETROMIDIA S.A.</w:t>
      </w:r>
    </w:p>
    <w:p>
      <w:pPr>
        <w:pStyle w:val="Corpodetexto"/>
        <w:widowControl w:val="0"/>
        <w:spacing w:line="300" w:lineRule="exact"/>
        <w:rPr>
          <w:rFonts w:ascii="Arial" w:hAnsi="Arial" w:cs="Arial"/>
          <w:smallCaps/>
          <w:sz w:val="22"/>
          <w:szCs w:val="22"/>
        </w:rPr>
      </w:pPr>
    </w:p>
    <w:p>
      <w:pPr>
        <w:pStyle w:val="Corpodetexto"/>
        <w:widowControl w:val="0"/>
        <w:spacing w:line="300" w:lineRule="exact"/>
        <w:rPr>
          <w:rFonts w:ascii="Arial" w:hAnsi="Arial" w:cs="Arial"/>
          <w:smallCaps/>
          <w:sz w:val="22"/>
          <w:szCs w:val="22"/>
        </w:rPr>
      </w:pPr>
    </w:p>
    <w:p>
      <w:pPr>
        <w:widowControl w:val="0"/>
        <w:spacing w:line="300" w:lineRule="exact"/>
        <w:rPr>
          <w:rFonts w:ascii="Arial" w:hAnsi="Arial" w:cs="Arial"/>
          <w:b/>
          <w:sz w:val="22"/>
          <w:szCs w:val="22"/>
        </w:rPr>
      </w:pPr>
      <w:r>
        <w:rPr>
          <w:rFonts w:ascii="Arial" w:hAnsi="Arial" w:cs="Arial"/>
          <w:b/>
          <w:sz w:val="22"/>
          <w:szCs w:val="22"/>
        </w:rPr>
        <w:t>Agente Fiduciário:</w:t>
      </w:r>
    </w:p>
    <w:p>
      <w:pPr>
        <w:widowControl w:val="0"/>
        <w:spacing w:line="300" w:lineRule="exact"/>
        <w:rPr>
          <w:rFonts w:ascii="Arial" w:hAnsi="Arial" w:cs="Arial"/>
          <w:sz w:val="22"/>
          <w:szCs w:val="22"/>
        </w:rPr>
      </w:pPr>
    </w:p>
    <w:p>
      <w:pPr>
        <w:widowControl w:val="0"/>
        <w:spacing w:line="300" w:lineRule="exact"/>
        <w:rPr>
          <w:rFonts w:ascii="Arial" w:hAnsi="Arial" w:cs="Arial"/>
          <w:sz w:val="22"/>
          <w:szCs w:val="22"/>
        </w:rPr>
      </w:pPr>
      <w:r>
        <w:rPr>
          <w:rFonts w:ascii="Arial" w:hAnsi="Arial" w:cs="Arial"/>
          <w:sz w:val="22"/>
          <w:szCs w:val="22"/>
        </w:rPr>
        <w:t>__________________________________________________________</w:t>
      </w:r>
    </w:p>
    <w:p>
      <w:pPr>
        <w:widowControl w:val="0"/>
        <w:spacing w:line="300" w:lineRule="exact"/>
        <w:rPr>
          <w:rFonts w:ascii="Arial" w:hAnsi="Arial" w:cs="Arial"/>
          <w:sz w:val="22"/>
          <w:szCs w:val="22"/>
        </w:rPr>
      </w:pPr>
      <w:r>
        <w:rPr>
          <w:rFonts w:ascii="Arial" w:hAnsi="Arial" w:cs="Arial"/>
          <w:bCs/>
          <w:caps/>
          <w:color w:val="000000"/>
          <w:sz w:val="22"/>
          <w:szCs w:val="22"/>
        </w:rPr>
        <w:t xml:space="preserve">SIMPLIFIC PAVARINI DISTRIBUIDORA DE TÍTULOS E VALORES MOBILIÁRIOS LDTA. </w:t>
      </w:r>
    </w:p>
    <w:p>
      <w:pPr>
        <w:pStyle w:val="Corpodetexto"/>
        <w:widowControl w:val="0"/>
        <w:spacing w:line="300" w:lineRule="exact"/>
        <w:rPr>
          <w:rFonts w:ascii="Arial" w:hAnsi="Arial" w:cs="Arial"/>
          <w:sz w:val="22"/>
          <w:szCs w:val="22"/>
        </w:rPr>
      </w:pPr>
    </w:p>
    <w:p>
      <w:pPr>
        <w:pStyle w:val="Corpodetexto"/>
        <w:widowControl w:val="0"/>
        <w:spacing w:line="300" w:lineRule="exact"/>
        <w:rPr>
          <w:rFonts w:ascii="Arial" w:hAnsi="Arial" w:cs="Arial"/>
          <w:b/>
          <w:bCs/>
          <w:sz w:val="22"/>
          <w:szCs w:val="22"/>
        </w:rPr>
      </w:pPr>
      <w:r>
        <w:rPr>
          <w:rFonts w:ascii="Arial" w:hAnsi="Arial" w:cs="Arial"/>
          <w:b/>
          <w:bCs/>
          <w:sz w:val="22"/>
          <w:szCs w:val="22"/>
        </w:rPr>
        <w:t>Garantidoras:</w:t>
      </w:r>
    </w:p>
    <w:p>
      <w:pPr>
        <w:pStyle w:val="Corpodetexto"/>
        <w:widowControl w:val="0"/>
        <w:spacing w:line="300" w:lineRule="exact"/>
        <w:rPr>
          <w:rFonts w:ascii="Arial" w:hAnsi="Arial" w:cs="Arial"/>
          <w:sz w:val="22"/>
          <w:szCs w:val="22"/>
        </w:rPr>
      </w:pPr>
    </w:p>
    <w:p>
      <w:pPr>
        <w:widowControl w:val="0"/>
        <w:spacing w:line="300" w:lineRule="exact"/>
        <w:rPr>
          <w:rFonts w:ascii="Arial" w:hAnsi="Arial" w:cs="Arial"/>
          <w:sz w:val="22"/>
          <w:szCs w:val="22"/>
        </w:rPr>
      </w:pPr>
      <w:r>
        <w:rPr>
          <w:rFonts w:ascii="Arial" w:hAnsi="Arial" w:cs="Arial"/>
          <w:sz w:val="22"/>
          <w:szCs w:val="22"/>
        </w:rPr>
        <w:t>__________________________________________________________</w:t>
      </w:r>
    </w:p>
    <w:p>
      <w:pPr>
        <w:pStyle w:val="Corpodetexto"/>
        <w:widowControl w:val="0"/>
        <w:spacing w:line="300" w:lineRule="exact"/>
        <w:rPr>
          <w:rFonts w:ascii="Arial" w:hAnsi="Arial" w:cs="Arial"/>
          <w:sz w:val="22"/>
          <w:szCs w:val="22"/>
        </w:rPr>
      </w:pPr>
      <w:r>
        <w:rPr>
          <w:rFonts w:ascii="Arial" w:hAnsi="Arial" w:cs="Arial"/>
          <w:sz w:val="22"/>
          <w:szCs w:val="22"/>
        </w:rPr>
        <w:t>ELEMÍDIA CONSULTORIA E SERVIÇOS DE MARKETING S.A.</w:t>
      </w:r>
    </w:p>
    <w:p>
      <w:pPr>
        <w:pStyle w:val="Corpodetexto"/>
        <w:widowControl w:val="0"/>
        <w:spacing w:line="300" w:lineRule="exact"/>
        <w:rPr>
          <w:rFonts w:ascii="Arial" w:hAnsi="Arial" w:cs="Arial"/>
          <w:sz w:val="22"/>
          <w:szCs w:val="22"/>
        </w:rPr>
      </w:pPr>
    </w:p>
    <w:p>
      <w:pPr>
        <w:widowControl w:val="0"/>
        <w:spacing w:line="300" w:lineRule="exact"/>
        <w:rPr>
          <w:rFonts w:ascii="Arial" w:hAnsi="Arial" w:cs="Arial"/>
          <w:sz w:val="22"/>
          <w:szCs w:val="22"/>
        </w:rPr>
      </w:pPr>
    </w:p>
    <w:p>
      <w:pPr>
        <w:widowControl w:val="0"/>
        <w:spacing w:line="300" w:lineRule="exact"/>
        <w:rPr>
          <w:rFonts w:ascii="Arial" w:hAnsi="Arial" w:cs="Arial"/>
          <w:sz w:val="22"/>
          <w:szCs w:val="22"/>
        </w:rPr>
      </w:pPr>
      <w:r>
        <w:rPr>
          <w:rFonts w:ascii="Arial" w:hAnsi="Arial" w:cs="Arial"/>
          <w:sz w:val="22"/>
          <w:szCs w:val="22"/>
        </w:rPr>
        <w:t>__________________________________________________________</w:t>
      </w:r>
    </w:p>
    <w:p>
      <w:pPr>
        <w:pStyle w:val="Corpodetexto"/>
        <w:widowControl w:val="0"/>
        <w:spacing w:line="300" w:lineRule="exact"/>
        <w:rPr>
          <w:rFonts w:ascii="Arial" w:hAnsi="Arial" w:cs="Arial"/>
          <w:sz w:val="22"/>
          <w:szCs w:val="22"/>
        </w:rPr>
      </w:pPr>
      <w:r>
        <w:rPr>
          <w:rFonts w:ascii="Arial" w:hAnsi="Arial" w:cs="Arial"/>
          <w:sz w:val="22"/>
          <w:szCs w:val="22"/>
        </w:rPr>
        <w:t>TV MINUTO S.A.</w:t>
      </w:r>
    </w:p>
    <w:p>
      <w:pPr>
        <w:pStyle w:val="Corpodetexto"/>
        <w:widowControl w:val="0"/>
        <w:spacing w:line="300" w:lineRule="exact"/>
        <w:rPr>
          <w:rFonts w:ascii="Arial" w:hAnsi="Arial" w:cs="Arial"/>
          <w:sz w:val="22"/>
          <w:szCs w:val="22"/>
        </w:rPr>
      </w:pPr>
    </w:p>
    <w:p>
      <w:pPr>
        <w:pStyle w:val="Corpodetexto"/>
        <w:widowControl w:val="0"/>
        <w:spacing w:line="300" w:lineRule="exact"/>
        <w:rPr>
          <w:rFonts w:ascii="Arial" w:hAnsi="Arial" w:cs="Arial"/>
          <w:sz w:val="22"/>
          <w:szCs w:val="22"/>
        </w:rPr>
      </w:pPr>
    </w:p>
    <w:p>
      <w:pPr>
        <w:pStyle w:val="Corpodetexto"/>
        <w:widowControl w:val="0"/>
        <w:spacing w:line="300" w:lineRule="exact"/>
        <w:rPr>
          <w:rFonts w:ascii="Arial" w:hAnsi="Arial" w:cs="Arial"/>
          <w:sz w:val="22"/>
          <w:szCs w:val="22"/>
        </w:rPr>
      </w:pPr>
      <w:r>
        <w:rPr>
          <w:rFonts w:ascii="Arial" w:hAnsi="Arial" w:cs="Arial"/>
          <w:sz w:val="22"/>
          <w:szCs w:val="22"/>
        </w:rPr>
        <w:br w:type="page"/>
      </w:r>
    </w:p>
    <w:p>
      <w:pPr>
        <w:widowControl w:val="0"/>
        <w:spacing w:line="300" w:lineRule="exact"/>
        <w:rPr>
          <w:rFonts w:ascii="Arial" w:hAnsi="Arial" w:cs="Arial"/>
          <w:bCs/>
          <w:sz w:val="22"/>
          <w:szCs w:val="22"/>
        </w:rPr>
      </w:pPr>
      <w:r>
        <w:rPr>
          <w:rFonts w:ascii="Arial" w:hAnsi="Arial" w:cs="Arial"/>
          <w:sz w:val="22"/>
          <w:szCs w:val="22"/>
        </w:rPr>
        <w:lastRenderedPageBreak/>
        <w:t>ANEXO I</w:t>
      </w:r>
      <w:r>
        <w:rPr>
          <w:rFonts w:ascii="Arial" w:hAnsi="Arial" w:cs="Arial"/>
          <w:b/>
          <w:bCs/>
          <w:sz w:val="22"/>
          <w:szCs w:val="22"/>
        </w:rPr>
        <w:t xml:space="preserve"> </w:t>
      </w:r>
      <w:r>
        <w:rPr>
          <w:rFonts w:ascii="Arial" w:hAnsi="Arial" w:cs="Arial"/>
          <w:bCs/>
          <w:sz w:val="22"/>
          <w:szCs w:val="22"/>
        </w:rPr>
        <w:t xml:space="preserve">DA ATA DE ASSEMBLEIA GERAL DE DEBENTURISTAS DA 3ª (TERCEIRA) EMISSÃO DE DEBÊNTURES SIMPLES, NÃO CONVERSÍVEIS EM AÇÕES, DA ESPÉCIE COM GARANTIA REAL, COM GARANTIA FIDEJUSSÓRIA ADICIONAL, EM SÉRIE ÚNICA, PARA DISTRIBUIÇÃO PÚBLICA, COM ESFORÇOS RESTRITOS DE DISTRIBUIÇÃO, DA ELETROMIDIA S.A, REALIZADA EM </w:t>
      </w:r>
      <w:r>
        <w:rPr>
          <w:rFonts w:ascii="Arial" w:hAnsi="Arial" w:cs="Arial"/>
          <w:bCs/>
          <w:sz w:val="22"/>
          <w:szCs w:val="22"/>
        </w:rPr>
        <w:t>5</w:t>
      </w:r>
      <w:bookmarkStart w:id="1" w:name="_GoBack"/>
      <w:bookmarkEnd w:id="1"/>
      <w:r>
        <w:rPr>
          <w:rFonts w:ascii="Arial" w:hAnsi="Arial" w:cs="Arial"/>
          <w:bCs/>
          <w:sz w:val="22"/>
          <w:szCs w:val="22"/>
        </w:rPr>
        <w:t xml:space="preserve"> DE </w:t>
      </w:r>
      <w:r>
        <w:rPr>
          <w:rFonts w:ascii="Arial" w:hAnsi="Arial" w:cs="Arial"/>
          <w:bCs/>
          <w:sz w:val="22"/>
          <w:szCs w:val="22"/>
        </w:rPr>
        <w:t>AGOSTO</w:t>
      </w:r>
      <w:r>
        <w:rPr>
          <w:rFonts w:ascii="Arial" w:hAnsi="Arial" w:cs="Arial"/>
          <w:bCs/>
          <w:sz w:val="22"/>
          <w:szCs w:val="22"/>
        </w:rPr>
        <w:t xml:space="preserve"> DE 2020</w:t>
      </w:r>
    </w:p>
    <w:p>
      <w:pPr>
        <w:widowControl w:val="0"/>
        <w:spacing w:line="300" w:lineRule="exact"/>
        <w:jc w:val="center"/>
        <w:rPr>
          <w:rFonts w:ascii="Arial" w:hAnsi="Arial" w:cs="Arial"/>
          <w:b/>
          <w:bCs/>
          <w:sz w:val="22"/>
          <w:szCs w:val="22"/>
        </w:rPr>
      </w:pPr>
    </w:p>
    <w:p>
      <w:pPr>
        <w:widowControl w:val="0"/>
        <w:spacing w:line="300" w:lineRule="exact"/>
        <w:rPr>
          <w:rFonts w:ascii="Arial" w:hAnsi="Arial" w:cs="Arial"/>
          <w:bCs/>
          <w:sz w:val="22"/>
          <w:szCs w:val="22"/>
        </w:rPr>
      </w:pPr>
    </w:p>
    <w:p>
      <w:pPr>
        <w:widowControl w:val="0"/>
        <w:spacing w:line="300" w:lineRule="exact"/>
        <w:ind w:left="709" w:hanging="709"/>
        <w:jc w:val="center"/>
        <w:rPr>
          <w:rFonts w:ascii="Arial" w:hAnsi="Arial" w:cs="Arial"/>
          <w:b/>
          <w:sz w:val="22"/>
          <w:szCs w:val="22"/>
        </w:rPr>
      </w:pPr>
      <w:r>
        <w:rPr>
          <w:rFonts w:ascii="Arial" w:hAnsi="Arial" w:cs="Arial"/>
          <w:b/>
          <w:sz w:val="22"/>
          <w:szCs w:val="22"/>
        </w:rPr>
        <w:t>LISTA DE PRESENÇA DOS DEBENTURISTAS</w:t>
      </w:r>
    </w:p>
    <w:p>
      <w:pPr>
        <w:widowControl w:val="0"/>
        <w:spacing w:line="300" w:lineRule="exact"/>
        <w:ind w:left="709" w:hanging="709"/>
        <w:jc w:val="center"/>
        <w:rPr>
          <w:rFonts w:ascii="Arial" w:hAnsi="Arial" w:cs="Arial"/>
          <w:b/>
          <w:bCs/>
          <w:sz w:val="22"/>
          <w:szCs w:val="22"/>
        </w:rPr>
      </w:pPr>
    </w:p>
    <w:p>
      <w:pPr>
        <w:spacing w:after="0"/>
        <w:jc w:val="center"/>
        <w:rPr>
          <w:rFonts w:ascii="Arial" w:hAnsi="Arial" w:cs="Arial"/>
          <w:color w:val="000000"/>
          <w:sz w:val="22"/>
          <w:szCs w:val="22"/>
        </w:rPr>
      </w:pPr>
      <w:r>
        <w:rPr>
          <w:rFonts w:ascii="Arial" w:hAnsi="Arial" w:cs="Arial"/>
          <w:color w:val="000000"/>
          <w:sz w:val="22"/>
          <w:szCs w:val="22"/>
        </w:rPr>
        <w:t>BANCO DO BRASIL S/A</w:t>
      </w:r>
    </w:p>
    <w:p>
      <w:pPr>
        <w:spacing w:after="0"/>
        <w:jc w:val="center"/>
        <w:rPr>
          <w:rFonts w:ascii="Arial" w:hAnsi="Arial" w:cs="Arial"/>
          <w:color w:val="000000"/>
          <w:sz w:val="22"/>
          <w:szCs w:val="22"/>
        </w:rPr>
      </w:pPr>
      <w:r>
        <w:rPr>
          <w:rFonts w:ascii="Arial" w:hAnsi="Arial" w:cs="Arial"/>
          <w:color w:val="000000"/>
          <w:sz w:val="22"/>
          <w:szCs w:val="22"/>
        </w:rPr>
        <w:t>00.000.000/0001-91</w:t>
      </w:r>
    </w:p>
    <w:p>
      <w:pPr>
        <w:widowControl w:val="0"/>
        <w:spacing w:line="300" w:lineRule="exact"/>
        <w:jc w:val="center"/>
        <w:rPr>
          <w:rFonts w:ascii="Arial" w:hAnsi="Arial" w:cs="Arial"/>
          <w:bCs/>
          <w:sz w:val="22"/>
          <w:szCs w:val="22"/>
        </w:rPr>
      </w:pPr>
    </w:p>
    <w:p>
      <w:pPr>
        <w:spacing w:after="0"/>
        <w:jc w:val="center"/>
        <w:rPr>
          <w:rFonts w:ascii="Arial" w:hAnsi="Arial" w:cs="Arial"/>
          <w:color w:val="000000"/>
          <w:sz w:val="22"/>
          <w:szCs w:val="22"/>
        </w:rPr>
      </w:pPr>
      <w:r>
        <w:rPr>
          <w:rFonts w:ascii="Arial" w:hAnsi="Arial" w:cs="Arial"/>
          <w:color w:val="000000"/>
          <w:sz w:val="22"/>
          <w:szCs w:val="22"/>
        </w:rPr>
        <w:t>BANCO SANTANDER (BRASIL) S</w:t>
      </w:r>
      <w:r>
        <w:rPr>
          <w:rFonts w:ascii="Arial" w:hAnsi="Arial" w:cs="Arial"/>
          <w:color w:val="000000"/>
          <w:sz w:val="22"/>
          <w:szCs w:val="22"/>
        </w:rPr>
        <w:t>.</w:t>
      </w:r>
      <w:r>
        <w:rPr>
          <w:rFonts w:ascii="Arial" w:hAnsi="Arial" w:cs="Arial"/>
          <w:color w:val="000000"/>
          <w:sz w:val="22"/>
          <w:szCs w:val="22"/>
        </w:rPr>
        <w:t>A</w:t>
      </w:r>
    </w:p>
    <w:p>
      <w:pPr>
        <w:spacing w:after="0"/>
        <w:jc w:val="center"/>
        <w:rPr>
          <w:rFonts w:ascii="Arial" w:hAnsi="Arial" w:cs="Arial"/>
          <w:color w:val="000000"/>
          <w:sz w:val="22"/>
          <w:szCs w:val="22"/>
        </w:rPr>
      </w:pPr>
      <w:r>
        <w:rPr>
          <w:rFonts w:ascii="Arial" w:hAnsi="Arial" w:cs="Arial"/>
          <w:color w:val="000000"/>
          <w:sz w:val="22"/>
          <w:szCs w:val="22"/>
        </w:rPr>
        <w:t>90.400.888/0001-42</w:t>
      </w:r>
    </w:p>
    <w:p>
      <w:pPr>
        <w:widowControl w:val="0"/>
        <w:spacing w:line="300" w:lineRule="exact"/>
        <w:jc w:val="center"/>
        <w:rPr>
          <w:rFonts w:ascii="Arial" w:hAnsi="Arial" w:cs="Arial"/>
          <w:bCs/>
          <w:sz w:val="22"/>
          <w:szCs w:val="22"/>
        </w:rPr>
      </w:pPr>
    </w:p>
    <w:p>
      <w:pPr>
        <w:spacing w:after="0"/>
        <w:jc w:val="center"/>
        <w:rPr>
          <w:rFonts w:ascii="Arial" w:hAnsi="Arial" w:cs="Arial"/>
          <w:color w:val="000000"/>
          <w:sz w:val="22"/>
          <w:szCs w:val="22"/>
        </w:rPr>
      </w:pPr>
      <w:r>
        <w:rPr>
          <w:rFonts w:ascii="Arial" w:hAnsi="Arial" w:cs="Arial"/>
          <w:color w:val="000000"/>
          <w:sz w:val="22"/>
          <w:szCs w:val="22"/>
        </w:rPr>
        <w:t>BANCO BRADESCO S/A</w:t>
      </w:r>
    </w:p>
    <w:p>
      <w:pPr>
        <w:spacing w:after="0"/>
        <w:jc w:val="center"/>
        <w:rPr>
          <w:rFonts w:ascii="Arial" w:hAnsi="Arial" w:cs="Arial"/>
          <w:color w:val="000000"/>
          <w:sz w:val="22"/>
          <w:szCs w:val="22"/>
        </w:rPr>
      </w:pPr>
      <w:r>
        <w:rPr>
          <w:rFonts w:ascii="Arial" w:hAnsi="Arial" w:cs="Arial"/>
          <w:color w:val="000000"/>
          <w:sz w:val="22"/>
          <w:szCs w:val="22"/>
        </w:rPr>
        <w:t>60.746.948/0001-12</w:t>
      </w:r>
    </w:p>
    <w:p>
      <w:pPr>
        <w:widowControl w:val="0"/>
        <w:spacing w:line="300" w:lineRule="exact"/>
        <w:jc w:val="center"/>
        <w:rPr>
          <w:rFonts w:ascii="Arial" w:hAnsi="Arial" w:cs="Arial"/>
          <w:bCs/>
          <w:sz w:val="22"/>
          <w:szCs w:val="22"/>
        </w:rPr>
      </w:pPr>
    </w:p>
    <w:sectPr>
      <w:headerReference w:type="even" r:id="rId8"/>
      <w:headerReference w:type="default" r:id="rId9"/>
      <w:footerReference w:type="even" r:id="rId10"/>
      <w:footerReference w:type="default" r:id="rId11"/>
      <w:headerReference w:type="first" r:id="rId12"/>
      <w:footerReference w:type="first" r:id="rId13"/>
      <w:pgSz w:w="11907" w:h="16840" w:code="9"/>
      <w:pgMar w:top="1417" w:right="1701" w:bottom="1417" w:left="1701" w:header="850" w:footer="850"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B28BBA7" w16cid:durableId="22D2A099"/>
  <w16cid:commentId w16cid:paraId="5C3586A7" w16cid:durableId="22D2A09A"/>
  <w16cid:commentId w16cid:paraId="440DCA32" w16cid:durableId="22D2A09B"/>
  <w16cid:commentId w16cid:paraId="0BECD25B" w16cid:durableId="22D2A09C"/>
  <w16cid:commentId w16cid:paraId="56487656" w16cid:durableId="22D2A09D"/>
  <w16cid:commentId w16cid:paraId="2A4CDBCC" w16cid:durableId="22D2A09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fldSimple w:instr="DOCPROPERTY iManageFooter \* MERGEFORMAT">
      <w:r>
        <w:t>JUR_SP - 37338882v2 - 5243018.456680</w:t>
      </w:r>
    </w:fldSimple>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fldSimple w:instr="DOCPROPERTY iManageFooter \* MERGEFORMAT">
      <w:r>
        <w:t>JUR_SP - 37338882v2 - 5243018.456680</w:t>
      </w:r>
    </w:fldSimple>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fldSimple w:instr="DOCPROPERTY iManageFooter \* MERGEFORMAT">
      <w:r>
        <w:t>JUR_SP - 37338882v6 - 5243018.456680</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Cabealho"/>
      <w:spacing w:line="40" w:lineRule="exact"/>
      <w:jc w:val="both"/>
      <w:rPr>
        <w:sz w:val="16"/>
      </w:rPr>
    </w:pPr>
    <w:r>
      <w:rPr>
        <w:noProof/>
        <w:sz w:val="16"/>
      </w:rPr>
      <mc:AlternateContent>
        <mc:Choice Requires="wps">
          <w:drawing>
            <wp:anchor distT="0" distB="0" distL="114300" distR="114300" simplePos="0" relativeHeight="251659264" behindDoc="0" locked="0" layoutInCell="0" allowOverlap="1">
              <wp:simplePos x="0" y="0"/>
              <wp:positionH relativeFrom="page">
                <wp:posOffset>0</wp:posOffset>
              </wp:positionH>
              <wp:positionV relativeFrom="page">
                <wp:posOffset>190500</wp:posOffset>
              </wp:positionV>
              <wp:extent cx="7560945" cy="266700"/>
              <wp:effectExtent l="0" t="0" r="0" b="0"/>
              <wp:wrapNone/>
              <wp:docPr id="1" name="MSIPCM9242478eb53810a6da0e93cd" descr="{&quot;HashCode&quot;:-1487292391,&quot;Height&quot;:842.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pPr>
                            <w:spacing w:after="0"/>
                            <w:jc w:val="right"/>
                            <w:rPr>
                              <w:rFonts w:ascii="Calibri" w:hAnsi="Calibri" w:cs="Calibri"/>
                              <w:color w:val="000000"/>
                              <w:sz w:val="20"/>
                            </w:rPr>
                          </w:pP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MSIPCM9242478eb53810a6da0e93cd" o:spid="_x0000_s1026" type="#_x0000_t202" alt="{&quot;HashCode&quot;:-1487292391,&quot;Height&quot;:842.0,&quot;Width&quot;:595.0,&quot;Placement&quot;:&quot;Header&quot;,&quot;Index&quot;:&quot;Primary&quot;,&quot;Section&quot;:1,&quot;Top&quot;:0.0,&quot;Left&quot;:0.0}" style="position:absolute;left:0;text-align:left;margin-left:0;margin-top:15pt;width:595.35pt;height:21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" o:allowincell="f" filled="f" stroked="f" strokeweight=".5pt">
              <v:textbox inset=",0,20pt,0">
                <w:txbxContent>
                  <w:p>
                    <w:pPr>
                      <w:spacing w:after="0"/>
                      <w:jc w:val="right"/>
                      <w:rPr>
                        <w:rFonts w:ascii="Calibri" w:hAnsi="Calibri" w:cs="Calibri"/>
                        <w:color w:val="000000"/>
                        <w:sz w:val="20"/>
                      </w:rPr>
                    </w:pP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DE4832"/>
    <w:multiLevelType w:val="hybridMultilevel"/>
    <w:tmpl w:val="B6D4925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03C83430"/>
    <w:multiLevelType w:val="hybridMultilevel"/>
    <w:tmpl w:val="87F6885E"/>
    <w:lvl w:ilvl="0" w:tplc="94C241B4">
      <w:start w:val="1"/>
      <w:numFmt w:val="decimal"/>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14BB03C8"/>
    <w:multiLevelType w:val="hybridMultilevel"/>
    <w:tmpl w:val="76169F3E"/>
    <w:lvl w:ilvl="0" w:tplc="94C241B4">
      <w:start w:val="1"/>
      <w:numFmt w:val="decimal"/>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5080737"/>
    <w:multiLevelType w:val="hybridMultilevel"/>
    <w:tmpl w:val="87F6885E"/>
    <w:lvl w:ilvl="0" w:tplc="94C241B4">
      <w:start w:val="1"/>
      <w:numFmt w:val="decimal"/>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45783DDB"/>
    <w:multiLevelType w:val="hybridMultilevel"/>
    <w:tmpl w:val="1E90C15C"/>
    <w:lvl w:ilvl="0" w:tplc="04160011">
      <w:start w:val="1"/>
      <w:numFmt w:val="decimal"/>
      <w:lvlText w:val="%1)"/>
      <w:lvlJc w:val="left"/>
      <w:pPr>
        <w:ind w:left="1080" w:hanging="720"/>
      </w:pPr>
      <w:rPr>
        <w:rFonts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5D525AA2"/>
    <w:multiLevelType w:val="hybridMultilevel"/>
    <w:tmpl w:val="EDB837E0"/>
    <w:lvl w:ilvl="0" w:tplc="948C2200">
      <w:start w:val="3"/>
      <w:numFmt w:val="decimal"/>
      <w:lvlText w:val="%1)"/>
      <w:lvlJc w:val="left"/>
      <w:pPr>
        <w:ind w:left="360" w:hanging="360"/>
      </w:pPr>
      <w:rPr>
        <w:rFonts w:hint="default"/>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6" w15:restartNumberingAfterBreak="0">
    <w:nsid w:val="736662FD"/>
    <w:multiLevelType w:val="hybridMultilevel"/>
    <w:tmpl w:val="86FE37EA"/>
    <w:lvl w:ilvl="0" w:tplc="04160011">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78355D7B"/>
    <w:multiLevelType w:val="multilevel"/>
    <w:tmpl w:val="DC52BB10"/>
    <w:lvl w:ilvl="0">
      <w:start w:val="1"/>
      <w:numFmt w:val="decimal"/>
      <w:lvlRestart w:val="0"/>
      <w:pStyle w:val="Level1"/>
      <w:lvlText w:val="%1"/>
      <w:lvlJc w:val="left"/>
      <w:pPr>
        <w:tabs>
          <w:tab w:val="num" w:pos="680"/>
        </w:tabs>
        <w:ind w:left="680" w:hanging="680"/>
      </w:pPr>
      <w:rPr>
        <w:rFonts w:ascii="Arial" w:hAnsi="Arial" w:cs="Arial" w:hint="default"/>
        <w:b/>
        <w:caps w:val="0"/>
        <w:strike w:val="0"/>
        <w:dstrike w:val="0"/>
        <w:vanish w:val="0"/>
        <w:color w:val="FFFFFF" w:themeColor="background1"/>
        <w:sz w:val="22"/>
        <w:vertAlign w:val="baseline"/>
      </w:rPr>
    </w:lvl>
    <w:lvl w:ilvl="1">
      <w:start w:val="1"/>
      <w:numFmt w:val="decimal"/>
      <w:pStyle w:val="Level2"/>
      <w:lvlText w:val="%1.%2"/>
      <w:lvlJc w:val="left"/>
      <w:pPr>
        <w:tabs>
          <w:tab w:val="num" w:pos="680"/>
        </w:tabs>
        <w:ind w:left="680" w:hanging="680"/>
      </w:pPr>
      <w:rPr>
        <w:rFonts w:ascii="Arial" w:hAnsi="Arial" w:cs="Arial" w:hint="default"/>
        <w:b/>
        <w:caps w:val="0"/>
        <w:strike w:val="0"/>
        <w:dstrike w:val="0"/>
        <w:vanish w:val="0"/>
        <w:color w:val="000000"/>
        <w:sz w:val="21"/>
        <w:szCs w:val="20"/>
        <w:vertAlign w:val="baseline"/>
      </w:rPr>
    </w:lvl>
    <w:lvl w:ilvl="2">
      <w:start w:val="1"/>
      <w:numFmt w:val="decimal"/>
      <w:pStyle w:val="Level3"/>
      <w:lvlText w:val="%1.%2.%3"/>
      <w:lvlJc w:val="left"/>
      <w:pPr>
        <w:tabs>
          <w:tab w:val="num" w:pos="1361"/>
        </w:tabs>
        <w:ind w:left="1361" w:hanging="681"/>
      </w:pPr>
      <w:rPr>
        <w:rFonts w:ascii="Arial" w:hAnsi="Arial" w:cs="Arial" w:hint="default"/>
        <w:b/>
        <w:caps w:val="0"/>
        <w:strike w:val="0"/>
        <w:dstrike w:val="0"/>
        <w:vanish w:val="0"/>
        <w:color w:val="000000"/>
        <w:sz w:val="17"/>
        <w:szCs w:val="20"/>
        <w:vertAlign w:val="baseline"/>
      </w:rPr>
    </w:lvl>
    <w:lvl w:ilvl="3">
      <w:start w:val="1"/>
      <w:numFmt w:val="lowerRoman"/>
      <w:pStyle w:val="Level4"/>
      <w:lvlText w:val="(%4)"/>
      <w:lvlJc w:val="left"/>
      <w:pPr>
        <w:tabs>
          <w:tab w:val="num" w:pos="2041"/>
        </w:tabs>
        <w:ind w:left="2041" w:hanging="680"/>
      </w:pPr>
      <w:rPr>
        <w:rFonts w:ascii="Arial" w:hAnsi="Arial" w:cs="Arial" w:hint="default"/>
        <w:b w:val="0"/>
        <w:caps w:val="0"/>
        <w:strike w:val="0"/>
        <w:dstrike w:val="0"/>
        <w:vanish w:val="0"/>
        <w:color w:val="000000"/>
        <w:sz w:val="20"/>
        <w:szCs w:val="16"/>
        <w:vertAlign w:val="baseline"/>
      </w:rPr>
    </w:lvl>
    <w:lvl w:ilvl="4">
      <w:start w:val="1"/>
      <w:numFmt w:val="lowerLetter"/>
      <w:pStyle w:val="Level5"/>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4"/>
  </w:num>
  <w:num w:numId="2">
    <w:abstractNumId w:val="3"/>
  </w:num>
  <w:num w:numId="3">
    <w:abstractNumId w:val="6"/>
  </w:num>
  <w:num w:numId="4">
    <w:abstractNumId w:val="1"/>
  </w:num>
  <w:num w:numId="5">
    <w:abstractNumId w:val="5"/>
  </w:num>
  <w:num w:numId="6">
    <w:abstractNumId w:val="2"/>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6" w:nlCheck="1" w:checkStyle="0"/>
  <w:activeWritingStyle w:appName="MSWord" w:lang="en-US" w:vendorID="64" w:dllVersion="6" w:nlCheck="1" w:checkStyle="1"/>
  <w:activeWritingStyle w:appName="MSWord" w:lang="en-US" w:vendorID="64" w:dllVersion="0" w:nlCheck="1" w:checkStyle="0"/>
  <w:activeWritingStyle w:appName="MSWord" w:lang="pt-BR" w:vendorID="64" w:dllVersion="0" w:nlCheck="1" w:checkStyle="0"/>
  <w:activeWritingStyle w:appName="MSWord" w:lang="pt-BR"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26"/>
  <w:displayHorizontalDrawingGridEvery w:val="2"/>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chartTrackingRefBased/>
  <w15:docId w15:val="{3851479E-E01F-48D3-B7CC-2DAB34C1A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HTML Definition" w:semiHidden="1" w:unhideWhenUsed="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20"/>
      <w:jc w:val="both"/>
    </w:pPr>
    <w:rPr>
      <w:rFonts w:eastAsia="Times New Roman"/>
      <w:sz w:val="26"/>
      <w:szCs w:val="24"/>
    </w:rPr>
  </w:style>
  <w:style w:type="paragraph" w:styleId="Ttulo1">
    <w:name w:val="heading 1"/>
    <w:basedOn w:val="Normal"/>
    <w:next w:val="Normal"/>
    <w:qFormat/>
    <w:pPr>
      <w:spacing w:line="360" w:lineRule="exact"/>
      <w:outlineLvl w:val="0"/>
    </w:pPr>
    <w:rPr>
      <w:b/>
      <w:caps/>
      <w:noProof/>
    </w:rPr>
  </w:style>
  <w:style w:type="paragraph" w:styleId="Ttulo2">
    <w:name w:val="heading 2"/>
    <w:basedOn w:val="Normal"/>
    <w:next w:val="Normal"/>
    <w:qFormat/>
    <w:pPr>
      <w:spacing w:line="360" w:lineRule="exact"/>
      <w:outlineLvl w:val="1"/>
    </w:pPr>
    <w:rPr>
      <w:b/>
    </w:rPr>
  </w:style>
  <w:style w:type="paragraph" w:styleId="Ttulo3">
    <w:name w:val="heading 3"/>
    <w:basedOn w:val="Normal"/>
    <w:next w:val="Normal"/>
    <w:qFormat/>
    <w:pPr>
      <w:spacing w:line="360" w:lineRule="exact"/>
      <w:outlineLvl w:val="2"/>
    </w:pPr>
    <w:rPr>
      <w:b/>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pPr>
      <w:jc w:val="right"/>
    </w:pPr>
  </w:style>
  <w:style w:type="character" w:styleId="Nmerodepgina">
    <w:name w:val="page number"/>
    <w:basedOn w:val="Fontepargpadro"/>
  </w:style>
  <w:style w:type="paragraph" w:styleId="Rodap">
    <w:name w:val="footer"/>
    <w:basedOn w:val="Normal"/>
    <w:pPr>
      <w:spacing w:line="1440" w:lineRule="auto"/>
    </w:pPr>
    <w:rPr>
      <w:sz w:val="14"/>
      <w:lang w:val="en-US"/>
    </w:rPr>
  </w:style>
  <w:style w:type="paragraph" w:styleId="Textodenotaderodap">
    <w:name w:val="footnote text"/>
    <w:basedOn w:val="Normal"/>
    <w:semiHidden/>
    <w:pPr>
      <w:tabs>
        <w:tab w:val="left" w:pos="284"/>
      </w:tabs>
      <w:ind w:left="284" w:hanging="284"/>
    </w:pPr>
    <w:rPr>
      <w:b/>
      <w:i/>
      <w:sz w:val="16"/>
      <w:lang w:val="en-US"/>
    </w:rPr>
  </w:style>
  <w:style w:type="paragraph" w:styleId="Corpodetexto">
    <w:name w:val="Body Text"/>
    <w:basedOn w:val="Normal"/>
    <w:link w:val="CorpodetextoChar"/>
  </w:style>
  <w:style w:type="character" w:customStyle="1" w:styleId="CorpodetextoChar">
    <w:name w:val="Corpo de texto Char"/>
    <w:basedOn w:val="Fontepargpadro"/>
    <w:link w:val="Corpodetexto"/>
    <w:rPr>
      <w:rFonts w:eastAsia="Times New Roman"/>
      <w:sz w:val="26"/>
      <w:szCs w:val="24"/>
    </w:rPr>
  </w:style>
  <w:style w:type="paragraph" w:styleId="PargrafodaLista">
    <w:name w:val="List Paragraph"/>
    <w:basedOn w:val="Normal"/>
    <w:uiPriority w:val="34"/>
    <w:qFormat/>
    <w:pPr>
      <w:widowControl w:val="0"/>
      <w:autoSpaceDE w:val="0"/>
      <w:autoSpaceDN w:val="0"/>
      <w:adjustRightInd w:val="0"/>
      <w:spacing w:after="0"/>
      <w:ind w:left="708"/>
    </w:pPr>
    <w:rPr>
      <w:szCs w:val="26"/>
      <w:lang w:eastAsia="en-US"/>
    </w:rPr>
  </w:style>
  <w:style w:type="paragraph" w:styleId="NormalWeb">
    <w:name w:val="Normal (Web)"/>
    <w:basedOn w:val="Normal"/>
    <w:uiPriority w:val="99"/>
    <w:pPr>
      <w:spacing w:before="100" w:after="100"/>
      <w:jc w:val="left"/>
    </w:pPr>
    <w:rPr>
      <w:rFonts w:ascii="Arial Unicode MS" w:hAnsi="Arial Unicode MS"/>
      <w:color w:val="000000"/>
      <w:sz w:val="24"/>
      <w:szCs w:val="20"/>
    </w:rPr>
  </w:style>
  <w:style w:type="paragraph" w:styleId="Corpodetexto2">
    <w:name w:val="Body Text 2"/>
    <w:basedOn w:val="Normal"/>
    <w:link w:val="Corpodetexto2Char"/>
    <w:pPr>
      <w:spacing w:line="480" w:lineRule="auto"/>
    </w:pPr>
  </w:style>
  <w:style w:type="character" w:customStyle="1" w:styleId="Corpodetexto2Char">
    <w:name w:val="Corpo de texto 2 Char"/>
    <w:basedOn w:val="Fontepargpadro"/>
    <w:link w:val="Corpodetexto2"/>
    <w:rPr>
      <w:rFonts w:eastAsia="Times New Roman"/>
      <w:sz w:val="26"/>
      <w:szCs w:val="24"/>
    </w:rPr>
  </w:style>
  <w:style w:type="paragraph" w:styleId="Textodebalo">
    <w:name w:val="Balloon Text"/>
    <w:basedOn w:val="Normal"/>
    <w:link w:val="TextodebaloChar"/>
    <w:pPr>
      <w:spacing w:after="0"/>
    </w:pPr>
    <w:rPr>
      <w:rFonts w:ascii="Segoe UI" w:hAnsi="Segoe UI" w:cs="Segoe UI"/>
      <w:sz w:val="18"/>
      <w:szCs w:val="18"/>
    </w:rPr>
  </w:style>
  <w:style w:type="character" w:customStyle="1" w:styleId="TextodebaloChar">
    <w:name w:val="Texto de balão Char"/>
    <w:basedOn w:val="Fontepargpadro"/>
    <w:link w:val="Textodebalo"/>
    <w:rPr>
      <w:rFonts w:ascii="Segoe UI" w:eastAsia="Times New Roman" w:hAnsi="Segoe UI" w:cs="Segoe UI"/>
      <w:sz w:val="18"/>
      <w:szCs w:val="18"/>
    </w:rPr>
  </w:style>
  <w:style w:type="paragraph" w:styleId="Reviso">
    <w:name w:val="Revision"/>
    <w:hidden/>
    <w:uiPriority w:val="99"/>
    <w:semiHidden/>
    <w:rPr>
      <w:rFonts w:eastAsia="Times New Roman"/>
      <w:sz w:val="26"/>
      <w:szCs w:val="24"/>
    </w:rPr>
  </w:style>
  <w:style w:type="table" w:styleId="Tabelacomgrade">
    <w:name w:val="Table Grid"/>
    <w:basedOn w:val="Tabela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al"/>
    <w:pPr>
      <w:spacing w:after="160" w:line="240" w:lineRule="exact"/>
      <w:jc w:val="left"/>
    </w:pPr>
    <w:rPr>
      <w:rFonts w:ascii="Verdana" w:hAnsi="Verdana"/>
      <w:b/>
      <w:sz w:val="20"/>
      <w:szCs w:val="20"/>
      <w:lang w:val="en-US" w:eastAsia="en-US"/>
    </w:rPr>
  </w:style>
  <w:style w:type="paragraph" w:customStyle="1" w:styleId="CharChar0">
    <w:name w:val="Char Char"/>
    <w:basedOn w:val="Normal"/>
    <w:pPr>
      <w:spacing w:after="160" w:line="240" w:lineRule="exact"/>
      <w:jc w:val="left"/>
    </w:pPr>
    <w:rPr>
      <w:rFonts w:ascii="Verdana" w:hAnsi="Verdana"/>
      <w:b/>
      <w:sz w:val="20"/>
      <w:szCs w:val="20"/>
      <w:lang w:val="en-US" w:eastAsia="en-US"/>
    </w:rPr>
  </w:style>
  <w:style w:type="paragraph" w:styleId="TextosemFormatao">
    <w:name w:val="Plain Text"/>
    <w:basedOn w:val="Normal"/>
    <w:link w:val="TextosemFormataoChar"/>
    <w:uiPriority w:val="99"/>
    <w:pPr>
      <w:autoSpaceDE w:val="0"/>
      <w:autoSpaceDN w:val="0"/>
      <w:adjustRightInd w:val="0"/>
      <w:spacing w:after="0"/>
      <w:jc w:val="left"/>
    </w:pPr>
    <w:rPr>
      <w:rFonts w:ascii="Arial" w:hAnsi="Arial"/>
      <w:color w:val="2E1F41"/>
      <w:sz w:val="24"/>
      <w:lang w:val="en-US"/>
    </w:rPr>
  </w:style>
  <w:style w:type="character" w:customStyle="1" w:styleId="TextosemFormataoChar">
    <w:name w:val="Texto sem Formatação Char"/>
    <w:basedOn w:val="Fontepargpadro"/>
    <w:link w:val="TextosemFormatao"/>
    <w:uiPriority w:val="99"/>
    <w:rPr>
      <w:rFonts w:ascii="Arial" w:eastAsia="Times New Roman" w:hAnsi="Arial"/>
      <w:color w:val="2E1F41"/>
      <w:sz w:val="24"/>
      <w:szCs w:val="24"/>
      <w:lang w:val="en-US"/>
    </w:rPr>
  </w:style>
  <w:style w:type="paragraph" w:customStyle="1" w:styleId="Level1">
    <w:name w:val="Level 1"/>
    <w:basedOn w:val="Normal"/>
    <w:pPr>
      <w:keepNext/>
      <w:keepLines/>
      <w:numPr>
        <w:numId w:val="8"/>
      </w:numPr>
      <w:spacing w:before="280" w:after="140" w:line="290" w:lineRule="auto"/>
      <w:outlineLvl w:val="0"/>
    </w:pPr>
    <w:rPr>
      <w:rFonts w:ascii="Arial" w:eastAsia="MS Mincho" w:hAnsi="Arial" w:cs="Arial"/>
      <w:b/>
      <w:color w:val="000000"/>
      <w:sz w:val="22"/>
      <w:szCs w:val="22"/>
    </w:rPr>
  </w:style>
  <w:style w:type="paragraph" w:customStyle="1" w:styleId="Level2">
    <w:name w:val="Level 2"/>
    <w:basedOn w:val="Normal"/>
    <w:qFormat/>
    <w:pPr>
      <w:numPr>
        <w:ilvl w:val="1"/>
        <w:numId w:val="8"/>
      </w:numPr>
      <w:spacing w:after="140" w:line="290" w:lineRule="auto"/>
      <w:outlineLvl w:val="1"/>
    </w:pPr>
    <w:rPr>
      <w:rFonts w:ascii="Arial" w:eastAsia="MS Mincho" w:hAnsi="Arial"/>
      <w:sz w:val="20"/>
    </w:rPr>
  </w:style>
  <w:style w:type="paragraph" w:customStyle="1" w:styleId="Level3">
    <w:name w:val="Level 3"/>
    <w:basedOn w:val="Normal"/>
    <w:link w:val="Level3Char"/>
    <w:pPr>
      <w:numPr>
        <w:ilvl w:val="2"/>
        <w:numId w:val="8"/>
      </w:numPr>
      <w:spacing w:after="140" w:line="290" w:lineRule="auto"/>
      <w:outlineLvl w:val="2"/>
    </w:pPr>
    <w:rPr>
      <w:rFonts w:ascii="Arial" w:eastAsia="MS Mincho" w:hAnsi="Arial" w:cs="Arial"/>
      <w:sz w:val="20"/>
    </w:rPr>
  </w:style>
  <w:style w:type="paragraph" w:customStyle="1" w:styleId="Level4">
    <w:name w:val="Level 4"/>
    <w:basedOn w:val="Normal"/>
    <w:pPr>
      <w:numPr>
        <w:ilvl w:val="3"/>
        <w:numId w:val="8"/>
      </w:numPr>
      <w:spacing w:after="140" w:line="290" w:lineRule="auto"/>
      <w:outlineLvl w:val="3"/>
    </w:pPr>
    <w:rPr>
      <w:rFonts w:ascii="Arial" w:eastAsia="MS Mincho" w:hAnsi="Arial" w:cs="Arial"/>
      <w:sz w:val="20"/>
    </w:rPr>
  </w:style>
  <w:style w:type="paragraph" w:customStyle="1" w:styleId="Level5">
    <w:name w:val="Level 5"/>
    <w:basedOn w:val="Normal"/>
    <w:pPr>
      <w:numPr>
        <w:ilvl w:val="4"/>
        <w:numId w:val="8"/>
      </w:numPr>
      <w:spacing w:after="140" w:line="290" w:lineRule="auto"/>
    </w:pPr>
    <w:rPr>
      <w:rFonts w:ascii="Arial" w:eastAsia="MS Mincho" w:hAnsi="Arial" w:cs="Arial"/>
      <w:sz w:val="20"/>
    </w:rPr>
  </w:style>
  <w:style w:type="paragraph" w:customStyle="1" w:styleId="Level6">
    <w:name w:val="Level 6"/>
    <w:basedOn w:val="Normal"/>
    <w:pPr>
      <w:numPr>
        <w:ilvl w:val="5"/>
        <w:numId w:val="8"/>
      </w:numPr>
      <w:spacing w:after="140" w:line="290" w:lineRule="auto"/>
    </w:pPr>
    <w:rPr>
      <w:rFonts w:ascii="Arial" w:eastAsia="MS Mincho" w:hAnsi="Arial" w:cs="Arial"/>
      <w:sz w:val="20"/>
    </w:rPr>
  </w:style>
  <w:style w:type="character" w:customStyle="1" w:styleId="Level3Char">
    <w:name w:val="Level 3 Char"/>
    <w:link w:val="Level3"/>
    <w:locked/>
    <w:rPr>
      <w:rFonts w:ascii="Arial" w:eastAsia="MS Mincho" w:hAnsi="Arial" w:cs="Arial"/>
      <w:szCs w:val="24"/>
    </w:rPr>
  </w:style>
  <w:style w:type="character" w:styleId="Refdecomentrio">
    <w:name w:val="annotation reference"/>
    <w:basedOn w:val="Fontepargpadro"/>
    <w:rPr>
      <w:sz w:val="16"/>
      <w:szCs w:val="16"/>
    </w:rPr>
  </w:style>
  <w:style w:type="paragraph" w:styleId="Textodecomentrio">
    <w:name w:val="annotation text"/>
    <w:basedOn w:val="Normal"/>
    <w:link w:val="TextodecomentrioChar"/>
    <w:rPr>
      <w:sz w:val="20"/>
      <w:szCs w:val="20"/>
    </w:rPr>
  </w:style>
  <w:style w:type="character" w:customStyle="1" w:styleId="TextodecomentrioChar">
    <w:name w:val="Texto de comentário Char"/>
    <w:basedOn w:val="Fontepargpadro"/>
    <w:link w:val="Textodecomentrio"/>
    <w:rPr>
      <w:rFonts w:eastAsia="Times New Roman"/>
    </w:rPr>
  </w:style>
  <w:style w:type="paragraph" w:styleId="Assuntodocomentrio">
    <w:name w:val="annotation subject"/>
    <w:basedOn w:val="Textodecomentrio"/>
    <w:next w:val="Textodecomentrio"/>
    <w:link w:val="AssuntodocomentrioChar"/>
    <w:semiHidden/>
    <w:unhideWhenUsed/>
    <w:rPr>
      <w:b/>
      <w:bCs/>
    </w:rPr>
  </w:style>
  <w:style w:type="character" w:customStyle="1" w:styleId="AssuntodocomentrioChar">
    <w:name w:val="Assunto do comentário Char"/>
    <w:basedOn w:val="TextodecomentrioChar"/>
    <w:link w:val="Assuntodocomentrio"/>
    <w:semiHidden/>
    <w:rPr>
      <w:rFonts w:eastAsia="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8383689">
      <w:bodyDiv w:val="1"/>
      <w:marLeft w:val="0"/>
      <w:marRight w:val="0"/>
      <w:marTop w:val="0"/>
      <w:marBottom w:val="0"/>
      <w:divBdr>
        <w:top w:val="none" w:sz="0" w:space="0" w:color="auto"/>
        <w:left w:val="none" w:sz="0" w:space="0" w:color="auto"/>
        <w:bottom w:val="none" w:sz="0" w:space="0" w:color="auto"/>
        <w:right w:val="none" w:sz="0" w:space="0" w:color="auto"/>
      </w:divBdr>
    </w:div>
    <w:div w:id="880632123">
      <w:bodyDiv w:val="1"/>
      <w:marLeft w:val="0"/>
      <w:marRight w:val="0"/>
      <w:marTop w:val="0"/>
      <w:marBottom w:val="0"/>
      <w:divBdr>
        <w:top w:val="none" w:sz="0" w:space="0" w:color="auto"/>
        <w:left w:val="none" w:sz="0" w:space="0" w:color="auto"/>
        <w:bottom w:val="none" w:sz="0" w:space="0" w:color="auto"/>
        <w:right w:val="none" w:sz="0" w:space="0" w:color="auto"/>
      </w:divBdr>
    </w:div>
    <w:div w:id="935096378">
      <w:bodyDiv w:val="1"/>
      <w:marLeft w:val="0"/>
      <w:marRight w:val="0"/>
      <w:marTop w:val="0"/>
      <w:marBottom w:val="0"/>
      <w:divBdr>
        <w:top w:val="none" w:sz="0" w:space="0" w:color="auto"/>
        <w:left w:val="none" w:sz="0" w:space="0" w:color="auto"/>
        <w:bottom w:val="none" w:sz="0" w:space="0" w:color="auto"/>
        <w:right w:val="none" w:sz="0" w:space="0" w:color="auto"/>
      </w:divBdr>
    </w:div>
    <w:div w:id="1104956881">
      <w:bodyDiv w:val="1"/>
      <w:marLeft w:val="0"/>
      <w:marRight w:val="0"/>
      <w:marTop w:val="0"/>
      <w:marBottom w:val="0"/>
      <w:divBdr>
        <w:top w:val="none" w:sz="0" w:space="0" w:color="auto"/>
        <w:left w:val="none" w:sz="0" w:space="0" w:color="auto"/>
        <w:bottom w:val="none" w:sz="0" w:space="0" w:color="auto"/>
        <w:right w:val="none" w:sz="0" w:space="0" w:color="auto"/>
      </w:divBdr>
    </w:div>
    <w:div w:id="1190558830">
      <w:bodyDiv w:val="1"/>
      <w:marLeft w:val="0"/>
      <w:marRight w:val="0"/>
      <w:marTop w:val="0"/>
      <w:marBottom w:val="0"/>
      <w:divBdr>
        <w:top w:val="none" w:sz="0" w:space="0" w:color="auto"/>
        <w:left w:val="none" w:sz="0" w:space="0" w:color="auto"/>
        <w:bottom w:val="none" w:sz="0" w:space="0" w:color="auto"/>
        <w:right w:val="none" w:sz="0" w:space="0" w:color="auto"/>
      </w:divBdr>
    </w:div>
    <w:div w:id="1592009723">
      <w:bodyDiv w:val="1"/>
      <w:marLeft w:val="0"/>
      <w:marRight w:val="0"/>
      <w:marTop w:val="0"/>
      <w:marBottom w:val="0"/>
      <w:divBdr>
        <w:top w:val="none" w:sz="0" w:space="0" w:color="auto"/>
        <w:left w:val="none" w:sz="0" w:space="0" w:color="auto"/>
        <w:bottom w:val="none" w:sz="0" w:space="0" w:color="auto"/>
        <w:right w:val="none" w:sz="0" w:space="0" w:color="auto"/>
      </w:divBdr>
    </w:div>
    <w:div w:id="1814132066">
      <w:bodyDiv w:val="1"/>
      <w:marLeft w:val="0"/>
      <w:marRight w:val="0"/>
      <w:marTop w:val="0"/>
      <w:marBottom w:val="0"/>
      <w:divBdr>
        <w:top w:val="none" w:sz="0" w:space="0" w:color="auto"/>
        <w:left w:val="none" w:sz="0" w:space="0" w:color="auto"/>
        <w:bottom w:val="none" w:sz="0" w:space="0" w:color="auto"/>
        <w:right w:val="none" w:sz="0" w:space="0" w:color="auto"/>
      </w:divBdr>
    </w:div>
    <w:div w:id="1997026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microsoft.com/office/2016/09/relationships/commentsIds" Target="commentsIds.xml" Id="rId16"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customXml" Target="/customXML/item2.xml" Id="imanage.xml"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item2.xml>��< ? x m l   v e r s i o n = " 1 . 0 "   e n c o d i n g = " u t f - 1 6 " ? >  
 < p r o p e r t i e s   x m l n s = " h t t p : / / w w w . i m a n a g e . c o m / w o r k / x m l s c h e m a " >  
     < d o c u m e n t i d > J U R _ S P ! 3 7 3 3 8 8 8 2 . 6 < / d o c u m e n t i d >  
     < s e n d e r i d > H S N < / s e n d e r i d >  
     < s e n d e r e m a i l > T A M B R O S A N O @ P N . C O M . B R < / s e n d e r e m a i l >  
     < l a s t m o d i f i e d > 2 0 2 0 - 0 8 - 0 4 T 1 0 : 3 9 : 0 0 . 0 0 0 0 0 0 0 - 0 3 : 0 0 < / l a s t m o d i f i e d >  
     < d a t a b a s e > J U R _ S P < / 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BC1405-3B04-4461-B311-29D2E28A7E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5</Pages>
  <Words>1195</Words>
  <Characters>7077</Characters>
  <Application>Microsoft Office Word</Application>
  <DocSecurity>0</DocSecurity>
  <Lines>58</Lines>
  <Paragraphs>16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lpstr> </vt:lpstr>
    </vt:vector>
  </TitlesOfParts>
  <Company>Pinheiro Neto Advogados</Company>
  <LinksUpToDate>false</LinksUpToDate>
  <CharactersWithSpaces>8256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Pinheiro Neto Advogados</dc:creator>
  <cp:keywords/>
  <dc:description/>
  <cp:lastModifiedBy>Pinheiro Neto Advogados</cp:lastModifiedBy>
  <cp:revision>6</cp:revision>
  <cp:lastPrinted>2020-03-04T20:03:00Z</cp:lastPrinted>
  <dcterms:created xsi:type="dcterms:W3CDTF">2020-08-04T13:25:00Z</dcterms:created>
  <dcterms:modified xsi:type="dcterms:W3CDTF">2020-08-04T13:39:00Z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0881dc9-f7f2-41de-a334-ceff3dc15b31_Enabled">
    <vt:lpwstr>True</vt:lpwstr>
  </property>
  <property fmtid="{D5CDD505-2E9C-101B-9397-08002B2CF9AE}" pid="3" name="MSIP_Label_40881dc9-f7f2-41de-a334-ceff3dc15b31_SiteId">
    <vt:lpwstr>ea0c2907-38d2-4181-8750-b0b190b60443</vt:lpwstr>
  </property>
  <property fmtid="{D5CDD505-2E9C-101B-9397-08002B2CF9AE}" pid="4" name="MSIP_Label_40881dc9-f7f2-41de-a334-ceff3dc15b31_Owner">
    <vt:lpwstr>cristiane.gottardo@bb.com.br</vt:lpwstr>
  </property>
  <property fmtid="{D5CDD505-2E9C-101B-9397-08002B2CF9AE}" pid="5" name="MSIP_Label_40881dc9-f7f2-41de-a334-ceff3dc15b31_SetDate">
    <vt:lpwstr>2020-08-03T15:00:31.7671312Z</vt:lpwstr>
  </property>
  <property fmtid="{D5CDD505-2E9C-101B-9397-08002B2CF9AE}" pid="6" name="MSIP_Label_40881dc9-f7f2-41de-a334-ceff3dc15b31_Name">
    <vt:lpwstr>#Interna</vt:lpwstr>
  </property>
  <property fmtid="{D5CDD505-2E9C-101B-9397-08002B2CF9AE}" pid="7" name="MSIP_Label_40881dc9-f7f2-41de-a334-ceff3dc15b31_Application">
    <vt:lpwstr>Microsoft Azure Information Protection</vt:lpwstr>
  </property>
  <property fmtid="{D5CDD505-2E9C-101B-9397-08002B2CF9AE}" pid="8" name="MSIP_Label_40881dc9-f7f2-41de-a334-ceff3dc15b31_ActionId">
    <vt:lpwstr>6cdb3a55-e3fb-4578-848f-81c48c895c55</vt:lpwstr>
  </property>
  <property fmtid="{D5CDD505-2E9C-101B-9397-08002B2CF9AE}" pid="9" name="MSIP_Label_40881dc9-f7f2-41de-a334-ceff3dc15b31_Extended_MSFT_Method">
    <vt:lpwstr>Automatic</vt:lpwstr>
  </property>
  <property fmtid="{D5CDD505-2E9C-101B-9397-08002B2CF9AE}" pid="10" name="Sensitivity">
    <vt:lpwstr>#Interna</vt:lpwstr>
  </property>
  <property fmtid="{D5CDD505-2E9C-101B-9397-08002B2CF9AE}" pid="11" name="iManageFooter">
    <vt:lpwstr>JUR_SP - 37338882v6 - 5243018.456680</vt:lpwstr>
  </property>
</Properties>
</file>