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pPr>
        <w:pStyle w:val="Default"/>
        <w:spacing w:line="340" w:lineRule="exact"/>
      </w:pPr>
    </w:p>
    <w:p>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Default"/>
        <w:spacing w:line="340" w:lineRule="exact"/>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 xml:space="preserve">Aos </w:t>
      </w:r>
      <w:r>
        <w:rPr>
          <w:rFonts w:eastAsia="MS Mincho"/>
          <w:b w:val="0"/>
          <w:bCs/>
          <w:color w:val="000000" w:themeColor="text1"/>
          <w:szCs w:val="22"/>
          <w:highlight w:val="yellow"/>
        </w:rPr>
        <w:t>[●]</w:t>
      </w:r>
      <w:r>
        <w:rPr>
          <w:rFonts w:eastAsia="MS Mincho"/>
          <w:b w:val="0"/>
          <w:bCs/>
          <w:color w:val="000000" w:themeColor="text1"/>
          <w:szCs w:val="22"/>
        </w:rPr>
        <w:t xml:space="preserve"> dias do mês de janeiro de 2021, às </w:t>
      </w:r>
      <w:r>
        <w:rPr>
          <w:rFonts w:eastAsia="MS Mincho"/>
          <w:b w:val="0"/>
          <w:bCs/>
          <w:color w:val="000000" w:themeColor="text1"/>
          <w:szCs w:val="22"/>
          <w:highlight w:val="yellow"/>
        </w:rPr>
        <w:t>[●]</w:t>
      </w:r>
      <w:r>
        <w:rPr>
          <w:rFonts w:eastAsia="MS Mincho"/>
          <w:b w:val="0"/>
          <w:bCs/>
          <w:color w:val="000000" w:themeColor="text1"/>
          <w:szCs w:val="22"/>
        </w:rPr>
        <w:t>hrs, na sede social da Eletromidia S.A., localizada na Av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bookmarkStart w:id="1" w:name="_GoBack"/>
      <w:bookmarkEnd w:id="1"/>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highlight w:val="yellow"/>
        </w:rPr>
        <w:t>[</w:t>
      </w:r>
      <w:r>
        <w:rPr>
          <w:rFonts w:eastAsia="MS Mincho"/>
          <w:b w:val="0"/>
          <w:color w:val="000000" w:themeColor="text1"/>
          <w:szCs w:val="22"/>
          <w:highlight w:val="yellow"/>
        </w:rPr>
        <w:sym w:font="Symbol" w:char="F0B7"/>
      </w:r>
      <w:r>
        <w:rPr>
          <w:rFonts w:eastAsia="MS Mincho"/>
          <w:b w:val="0"/>
          <w:color w:val="000000" w:themeColor="text1"/>
          <w:szCs w:val="22"/>
          <w:highlight w:val="yellow"/>
        </w:rPr>
        <w:t>]</w:t>
      </w:r>
      <w:r>
        <w:rPr>
          <w:rFonts w:eastAsia="MS Mincho"/>
          <w:b w:val="0"/>
          <w:color w:val="000000" w:themeColor="text1"/>
          <w:szCs w:val="22"/>
        </w:rPr>
        <w:t xml:space="preserve"> (Presidente); e </w:t>
      </w:r>
      <w:r>
        <w:rPr>
          <w:rFonts w:eastAsia="MS Mincho"/>
          <w:b w:val="0"/>
          <w:color w:val="000000" w:themeColor="text1"/>
          <w:szCs w:val="22"/>
          <w:highlight w:val="yellow"/>
        </w:rPr>
        <w:t>[</w:t>
      </w:r>
      <w:r>
        <w:rPr>
          <w:rFonts w:eastAsia="MS Mincho"/>
          <w:b w:val="0"/>
          <w:color w:val="000000" w:themeColor="text1"/>
          <w:szCs w:val="22"/>
          <w:highlight w:val="yellow"/>
        </w:rPr>
        <w:sym w:font="Symbol" w:char="F0B7"/>
      </w:r>
      <w:r>
        <w:rPr>
          <w:rFonts w:eastAsia="MS Mincho"/>
          <w:b w:val="0"/>
          <w:color w:val="000000" w:themeColor="text1"/>
          <w:szCs w:val="22"/>
          <w:highlight w:val="yellow"/>
        </w:rPr>
        <w:t>]</w:t>
      </w:r>
      <w:r>
        <w:rPr>
          <w:rFonts w:eastAsia="MS Mincho"/>
          <w:b w:val="0"/>
          <w:color w:val="000000" w:themeColor="text1"/>
          <w:szCs w:val="22"/>
        </w:rPr>
        <w:t xml:space="preserve"> (Secretário).</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2" w:name="_Ref467625192"/>
      <w:r>
        <w:rPr>
          <w:rFonts w:eastAsia="MS Mincho"/>
          <w:b w:val="0"/>
          <w:bCs/>
          <w:color w:val="000000" w:themeColor="text1"/>
          <w:szCs w:val="22"/>
        </w:rPr>
        <w:t xml:space="preserve">nar, discutir e deliberar sobre: </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autorizar, ou não, a </w:t>
      </w:r>
      <w:r>
        <w:rPr>
          <w:b w:val="0"/>
          <w:bCs/>
          <w:szCs w:val="22"/>
        </w:rPr>
        <w:t>alteração da data de Início da Apuração, conforme definido no VI do preâmbulo do “</w:t>
      </w:r>
      <w:r>
        <w:rPr>
          <w:b w:val="0"/>
          <w:bCs/>
          <w:i/>
          <w:szCs w:val="22"/>
        </w:rPr>
        <w:t>Instrumento Particular de Contrato de Cessão Fiduciária de Contas Vinculadas e Outras Avenças</w:t>
      </w:r>
      <w:r>
        <w:rPr>
          <w:b w:val="0"/>
          <w:bCs/>
          <w:szCs w:val="22"/>
        </w:rPr>
        <w:t>”, celebrado em 20 de março de 2020</w:t>
      </w:r>
      <w:r>
        <w:rPr>
          <w:b w:val="0"/>
          <w:bCs/>
          <w:szCs w:val="22"/>
        </w:rPr>
        <w:t>, no âmbito da Emissão</w:t>
      </w:r>
      <w:r>
        <w:rPr>
          <w:b w:val="0"/>
          <w:bCs/>
          <w:szCs w:val="22"/>
        </w:rPr>
        <w:t xml:space="preserve"> (“</w:t>
      </w:r>
      <w:r>
        <w:rPr>
          <w:bCs/>
          <w:szCs w:val="22"/>
        </w:rPr>
        <w:t>Contrato de Cessão Fiduciária</w:t>
      </w:r>
      <w:r>
        <w:rPr>
          <w:b w:val="0"/>
          <w:bCs/>
          <w:szCs w:val="22"/>
        </w:rPr>
        <w:t xml:space="preserve">”), para </w:t>
      </w:r>
      <w:r>
        <w:rPr>
          <w:bCs/>
          <w:szCs w:val="22"/>
        </w:rPr>
        <w:t>8 de março de 2021</w:t>
      </w:r>
      <w:r>
        <w:rPr>
          <w:b w:val="0"/>
          <w:bCs/>
          <w:szCs w:val="22"/>
        </w:rPr>
        <w:t>, sendo esta, também, a primeira Data de Apuração Programada, conforme definido no Contrato de Cessão Fiduciária</w:t>
      </w:r>
      <w:r>
        <w:rPr>
          <w:rFonts w:eastAsia="MS Mincho"/>
          <w:b w:val="0"/>
          <w:bCs/>
          <w:color w:val="000000" w:themeColor="text1"/>
          <w:szCs w:val="22"/>
        </w:rPr>
        <w:t>; e</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(ii)</w:t>
      </w:r>
      <w:r>
        <w:rPr>
          <w:rFonts w:eastAsia="MS Mincho"/>
          <w:b w:val="0"/>
          <w:bCs/>
          <w:color w:val="000000" w:themeColor="text1"/>
          <w:szCs w:val="22"/>
        </w:rPr>
        <w:t xml:space="preserve"> </w:t>
      </w:r>
      <w:r>
        <w:rPr>
          <w:rFonts w:eastAsia="MS Mincho"/>
          <w:b w:val="0"/>
          <w:color w:val="000000" w:themeColor="text1"/>
          <w:szCs w:val="22"/>
        </w:rPr>
        <w:t xml:space="preserve">aprovar, ou não, que o Agente Fiduciário venha a praticar todos os atos necessários à efetivação do item (i) acima, inclusive a celebração de aditamento ao Contrato de Cessão Fiduciária </w:t>
      </w:r>
      <w:r>
        <w:rPr>
          <w:rFonts w:eastAsia="MS Mincho"/>
          <w:b w:val="0"/>
          <w:color w:val="000000" w:themeColor="text1"/>
          <w:szCs w:val="22"/>
        </w:rPr>
        <w:t>de modo a prever a alteração deliberada na presente ata</w:t>
      </w:r>
      <w:r>
        <w:rPr>
          <w:rFonts w:eastAsia="MS Mincho"/>
          <w:b w:val="0"/>
          <w:color w:val="000000" w:themeColor="text1"/>
          <w:szCs w:val="22"/>
        </w:rPr>
        <w:t>, bem como ratificar todos os atos praticados até o momento neste sentido.</w:t>
      </w:r>
    </w:p>
    <w:p>
      <w:pPr>
        <w:pStyle w:val="Level1"/>
        <w:keepNext w:val="0"/>
        <w:widowControl w:val="0"/>
        <w:numPr>
          <w:ilvl w:val="0"/>
          <w:numId w:val="0"/>
        </w:numPr>
        <w:spacing w:before="0" w:after="0" w:line="340" w:lineRule="exact"/>
        <w:rPr>
          <w:rFonts w:eastAsia="MS Mincho"/>
          <w:b w:val="0"/>
          <w:color w:val="000000" w:themeColor="text1"/>
          <w:szCs w:val="22"/>
        </w:rPr>
      </w:pPr>
    </w:p>
    <w:bookmarkEnd w:id="2"/>
    <w:p>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e aprovaram, por unanimidade e sem ressalvas: </w:t>
      </w:r>
    </w:p>
    <w:p>
      <w:pPr>
        <w:pStyle w:val="Level1"/>
        <w:keepNext w:val="0"/>
        <w:widowControl w:val="0"/>
        <w:numPr>
          <w:ilvl w:val="0"/>
          <w:numId w:val="0"/>
        </w:numPr>
        <w:spacing w:before="0" w:after="0" w:line="340" w:lineRule="exact"/>
        <w:rPr>
          <w:b w:val="0"/>
          <w:color w:val="000000" w:themeColor="text1"/>
          <w:szCs w:val="22"/>
          <w:lang w:eastAsia="ar-SA"/>
        </w:rPr>
      </w:pPr>
    </w:p>
    <w:p>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autorizar a alteração da data de Início da Apuração </w:t>
      </w:r>
      <w:r>
        <w:rPr>
          <w:rFonts w:ascii="Arial" w:hAnsi="Arial" w:cs="Arial"/>
          <w:bCs/>
          <w:sz w:val="22"/>
          <w:szCs w:val="22"/>
        </w:rPr>
        <w:t xml:space="preserve">para o dia </w:t>
      </w:r>
      <w:r>
        <w:rPr>
          <w:rFonts w:ascii="Arial" w:hAnsi="Arial" w:cs="Arial"/>
          <w:b/>
          <w:bCs/>
          <w:sz w:val="22"/>
          <w:szCs w:val="22"/>
        </w:rPr>
        <w:t>8 de março de 2021</w:t>
      </w:r>
      <w:r>
        <w:rPr>
          <w:rFonts w:ascii="Arial" w:hAnsi="Arial" w:cs="Arial"/>
          <w:bCs/>
          <w:sz w:val="22"/>
          <w:szCs w:val="22"/>
        </w:rPr>
        <w:t>, bem como em virtude desta aprovação, alterar o item “VI” do preâmbulo do Contrato de Cessão Fiduciária, que passará a vigorar conforme abaixo:</w:t>
      </w:r>
    </w:p>
    <w:p>
      <w:pPr>
        <w:pStyle w:val="Default"/>
        <w:spacing w:line="340" w:lineRule="exact"/>
        <w:jc w:val="both"/>
      </w:pPr>
    </w:p>
    <w:p>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pPr>
        <w:spacing w:line="340" w:lineRule="exact"/>
        <w:ind w:left="709" w:right="850"/>
        <w:jc w:val="both"/>
        <w:rPr>
          <w:rFonts w:ascii="Arial" w:hAnsi="Arial" w:cs="Arial"/>
          <w:i/>
          <w:sz w:val="22"/>
          <w:szCs w:val="22"/>
        </w:rPr>
      </w:pPr>
      <w:r>
        <w:rPr>
          <w:rFonts w:ascii="Arial" w:hAnsi="Arial" w:cs="Arial"/>
          <w:i/>
          <w:sz w:val="22"/>
          <w:szCs w:val="22"/>
        </w:rPr>
        <w:t>Periodicidade: Mensal, sendo que no 5º Dia Útil de cada mês ocorrerá a 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pPr>
        <w:pStyle w:val="Default"/>
        <w:spacing w:line="340" w:lineRule="exact"/>
      </w:pPr>
    </w:p>
    <w:p>
      <w:pPr>
        <w:spacing w:line="340" w:lineRule="exact"/>
        <w:ind w:left="709" w:right="850"/>
        <w:jc w:val="both"/>
        <w:rPr>
          <w:rFonts w:ascii="Arial" w:hAnsi="Arial" w:cs="Arial"/>
          <w:b/>
          <w:bCs/>
          <w:i/>
          <w:sz w:val="22"/>
          <w:szCs w:val="22"/>
        </w:rPr>
      </w:pPr>
      <w:r>
        <w:rPr>
          <w:rFonts w:ascii="Arial" w:hAnsi="Arial" w:cs="Arial"/>
          <w:i/>
          <w:sz w:val="22"/>
          <w:szCs w:val="22"/>
        </w:rPr>
        <w:t>Início da Apuração: 8 de março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pPr>
        <w:spacing w:line="340" w:lineRule="exact"/>
        <w:rPr>
          <w:sz w:val="26"/>
          <w:szCs w:val="20"/>
        </w:rPr>
      </w:pPr>
    </w:p>
    <w:p>
      <w:pPr>
        <w:pStyle w:val="Default"/>
        <w:spacing w:line="340" w:lineRule="exact"/>
        <w:jc w:val="both"/>
        <w:rPr>
          <w:rFonts w:ascii="Arial" w:hAnsi="Arial" w:cs="Arial"/>
          <w:bCs/>
          <w:color w:val="auto"/>
          <w:sz w:val="22"/>
          <w:szCs w:val="22"/>
        </w:rPr>
      </w:pPr>
      <w:r>
        <w:rPr>
          <w:rFonts w:ascii="Arial" w:hAnsi="Arial" w:cs="Arial"/>
          <w:b/>
          <w:bCs/>
          <w:color w:val="auto"/>
          <w:sz w:val="22"/>
          <w:szCs w:val="22"/>
        </w:rPr>
        <w:t>(i.1)</w:t>
      </w:r>
      <w:r>
        <w:rPr>
          <w:rFonts w:ascii="Arial" w:hAnsi="Arial" w:cs="Arial"/>
          <w:bCs/>
          <w:color w:val="auto"/>
          <w:sz w:val="22"/>
          <w:szCs w:val="22"/>
        </w:rPr>
        <w:t xml:space="preserve"> esta deliberação produzirá efeitos retroativos a partir de 7 de janeiro de 2021, de forma a se desconsiderar, para todos os efeitos, a data de 8 de janeiro de 2021 como primeira Data de Apuração Programada, conforme previamente aprovado na Assembleia Geral de Debenturistas datada de 5 de agosto de 2020, bem como ficam ratificados todos os atos eventualmente praticados pela Emissora, Debenturistas e Agente Fiduciário referentes à deliberação ora aprovada;</w:t>
      </w:r>
    </w:p>
    <w:p>
      <w:pPr>
        <w:pStyle w:val="Default"/>
        <w:spacing w:line="340" w:lineRule="exact"/>
      </w:pPr>
    </w:p>
    <w:p>
      <w:pPr>
        <w:pStyle w:val="PargrafodaLista"/>
        <w:spacing w:after="0" w:line="340" w:lineRule="exact"/>
        <w:ind w:left="0"/>
        <w:rPr>
          <w:rFonts w:ascii="Arial" w:hAnsi="Arial" w:cs="Arial"/>
          <w:sz w:val="22"/>
          <w:szCs w:val="22"/>
        </w:rPr>
      </w:pPr>
      <w:r>
        <w:rPr>
          <w:rFonts w:ascii="Arial" w:hAnsi="Arial" w:cs="Arial"/>
          <w:b/>
          <w:sz w:val="22"/>
          <w:szCs w:val="22"/>
        </w:rPr>
        <w:t>(ii)</w:t>
      </w:r>
      <w:r>
        <w:rPr>
          <w:rFonts w:ascii="Arial" w:hAnsi="Arial" w:cs="Arial"/>
          <w:sz w:val="22"/>
          <w:szCs w:val="22"/>
        </w:rPr>
        <w:tab/>
        <w:t xml:space="preserve">aprovar a prática, pelo Agente Fiduciário, de todos os atos necessários à efetivação do item (i) acima, incluindo a celebração do aditamento ao Contrato de Cessão Fiduciária, </w:t>
      </w:r>
      <w:r>
        <w:rPr>
          <w:rFonts w:ascii="Arial" w:hAnsi="Arial" w:cs="Arial"/>
          <w:sz w:val="22"/>
          <w:szCs w:val="22"/>
        </w:rPr>
        <w:lastRenderedPageBreak/>
        <w:t>ficando autorizado o Agente Fiduciário a assinar quaisquer outros documentos necessários para formalizar as deliberações desta Assembleia, e ficando ratificados todos os atos praticados até o momento nesse sentido.</w:t>
      </w:r>
    </w:p>
    <w:p>
      <w:pPr>
        <w:pStyle w:val="PargrafodaLista"/>
        <w:spacing w:after="0" w:line="340" w:lineRule="exact"/>
        <w:ind w:left="0"/>
        <w:rPr>
          <w:rFonts w:ascii="Arial" w:hAnsi="Arial" w:cs="Arial"/>
          <w:sz w:val="22"/>
          <w:szCs w:val="22"/>
        </w:rPr>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permanecem inalterados.</w:t>
      </w:r>
    </w:p>
    <w:p>
      <w:pPr>
        <w:pStyle w:val="Default"/>
        <w:spacing w:line="340" w:lineRule="exact"/>
      </w:pPr>
    </w:p>
    <w:p>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w:t>
      </w:r>
      <w:r>
        <w:rPr>
          <w:rFonts w:ascii="Arial" w:hAnsi="Arial" w:cs="Arial"/>
          <w:sz w:val="22"/>
          <w:szCs w:val="22"/>
        </w:rPr>
        <w:t xml:space="preserve">e não poderão impedir, restringir e/ou limitar o exercício, pelos Debenturistas, de qualquer direito, obrigação, recurso, ação, poder, privilégio ou garantia prevista na Escritura de Emissão com relação a eventuais novos descumprimentos, </w:t>
      </w:r>
      <w:bookmarkStart w:id="3" w:name="_Hlk44684673"/>
      <w:r>
        <w:rPr>
          <w:rFonts w:ascii="Arial" w:hAnsi="Arial" w:cs="Arial"/>
          <w:sz w:val="22"/>
          <w:szCs w:val="22"/>
        </w:rPr>
        <w:t xml:space="preserve">ou impedir, restringir e/ou limitar os direitos do Debenturista de cobrar e exigir o cumprimento, nas datas estabelecidas na Escritura de Emissão, de quaisquer obrigações pecuniárias e não pecuniárias inadimplidas e/ou não pagas nos termos </w:t>
      </w:r>
      <w:r>
        <w:rPr>
          <w:rFonts w:ascii="Arial" w:hAnsi="Arial" w:cs="Arial"/>
          <w:sz w:val="22"/>
          <w:szCs w:val="22"/>
        </w:rPr>
        <w:t>da</w:t>
      </w:r>
      <w:r>
        <w:rPr>
          <w:rFonts w:ascii="Arial" w:hAnsi="Arial" w:cs="Arial"/>
          <w:sz w:val="22"/>
          <w:szCs w:val="22"/>
        </w:rPr>
        <w:t xml:space="preserve"> Escritura de Emissão</w:t>
      </w:r>
      <w:bookmarkEnd w:id="3"/>
      <w:r>
        <w:rPr>
          <w:rFonts w:ascii="Arial" w:hAnsi="Arial" w:cs="Arial"/>
          <w:sz w:val="22"/>
          <w:szCs w:val="22"/>
        </w:rPr>
        <w:t>.</w:t>
      </w:r>
    </w:p>
    <w:p>
      <w:pPr>
        <w:pStyle w:val="Default"/>
        <w:spacing w:line="340" w:lineRule="exact"/>
      </w:pPr>
    </w:p>
    <w:p>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pPr>
        <w:pStyle w:val="Default"/>
        <w:spacing w:line="340" w:lineRule="exact"/>
        <w:rPr>
          <w:rFonts w:eastAsia="MS Mincho"/>
        </w:rPr>
      </w:pPr>
    </w:p>
    <w:p>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pPr>
        <w:pStyle w:val="Default"/>
        <w:spacing w:line="340" w:lineRule="exact"/>
      </w:pP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color w:val="000000" w:themeColor="text1"/>
          <w:sz w:val="22"/>
          <w:szCs w:val="22"/>
          <w:highlight w:val="yellow"/>
        </w:rPr>
        <w:t>[●]</w:t>
      </w:r>
      <w:r>
        <w:rPr>
          <w:rFonts w:ascii="Arial" w:hAnsi="Arial" w:cs="Arial"/>
          <w:color w:val="000000" w:themeColor="text1"/>
          <w:sz w:val="22"/>
          <w:szCs w:val="22"/>
        </w:rPr>
        <w:t xml:space="preserve"> de janeiro de 2021.</w:t>
      </w:r>
    </w:p>
    <w:p>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trPr>
          <w:trHeight w:val="489"/>
        </w:trPr>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trPr>
          <w:trHeight w:val="511"/>
        </w:trPr>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highlight w:val="yellow"/>
              </w:rPr>
              <w:t>[●]</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highlight w:val="yellow"/>
              </w:rPr>
              <w:t>[●]</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janeiro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pPr>
        <w:autoSpaceDE/>
        <w:autoSpaceDN/>
        <w:adjustRightInd/>
        <w:spacing w:line="340" w:lineRule="exact"/>
        <w:rPr>
          <w:rFonts w:ascii="Arial" w:hAnsi="Arial" w:cs="Arial"/>
          <w:color w:val="000000" w:themeColor="text1"/>
          <w:sz w:val="22"/>
          <w:szCs w:val="22"/>
        </w:rPr>
      </w:pPr>
    </w:p>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autoSpaceDE/>
        <w:autoSpaceDN/>
        <w:adjustRightInd/>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janeiro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pPr>
        <w:pStyle w:val="Default"/>
        <w:spacing w:line="340" w:lineRule="exact"/>
        <w:rPr>
          <w:rFonts w:ascii="Arial" w:hAnsi="Arial" w:cs="Arial"/>
          <w:color w:val="000000" w:themeColor="text1"/>
          <w:sz w:val="22"/>
          <w:szCs w:val="22"/>
        </w:rPr>
      </w:pPr>
    </w:p>
    <w:p>
      <w:pPr>
        <w:spacing w:line="340" w:lineRule="exact"/>
        <w:jc w:val="center"/>
        <w:rPr>
          <w:rFonts w:ascii="Arial" w:hAnsi="Arial" w:cs="Arial"/>
          <w:b/>
          <w:smallCaps/>
          <w:color w:val="000000" w:themeColor="text1"/>
          <w:sz w:val="22"/>
          <w:szCs w:val="22"/>
        </w:rPr>
      </w:pPr>
      <w:bookmarkStart w:id="4"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pPr>
        <w:spacing w:line="340" w:lineRule="exact"/>
        <w:jc w:val="center"/>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4"/>
    </w:tbl>
    <w:p>
      <w:pPr>
        <w:autoSpaceDE/>
        <w:autoSpaceDN/>
        <w:adjustRightInd/>
        <w:spacing w:line="340" w:lineRule="exact"/>
        <w:ind w:left="-540" w:right="-191"/>
        <w:jc w:val="center"/>
        <w:rPr>
          <w:rFonts w:ascii="Arial" w:hAnsi="Arial" w:cs="Arial"/>
          <w:color w:val="000000" w:themeColor="text1"/>
          <w:sz w:val="22"/>
          <w:szCs w:val="22"/>
        </w:rPr>
      </w:pPr>
    </w:p>
    <w:p>
      <w:pPr>
        <w:autoSpaceDE/>
        <w:autoSpaceDN/>
        <w:adjustRightInd/>
        <w:spacing w:line="340" w:lineRule="exact"/>
        <w:ind w:left="-540" w:right="-191"/>
        <w:jc w:val="center"/>
        <w:rPr>
          <w:rFonts w:ascii="Arial" w:hAnsi="Arial" w:cs="Arial"/>
          <w:color w:val="000000" w:themeColor="text1"/>
          <w:sz w:val="22"/>
          <w:szCs w:val="22"/>
        </w:rPr>
      </w:pPr>
    </w:p>
    <w:p>
      <w:pPr>
        <w:pStyle w:val="Default"/>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r>
        <w:rPr>
          <w:rFonts w:ascii="Arial" w:hAnsi="Arial" w:cs="Arial"/>
          <w:b/>
          <w:color w:val="000000" w:themeColor="text1"/>
          <w:sz w:val="22"/>
          <w:szCs w:val="22"/>
        </w:rPr>
        <w:t>:</w:t>
      </w: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lastRenderedPageBreak/>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widowControl/>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p>
    <w:p>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janeiro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Debenturistas:</w:t>
      </w:r>
    </w:p>
    <w:p>
      <w:pPr>
        <w:autoSpaceDE/>
        <w:autoSpaceDN/>
        <w:adjustRightInd/>
        <w:spacing w:line="340" w:lineRule="exact"/>
        <w:rPr>
          <w:rFonts w:ascii="Arial" w:hAnsi="Arial" w:cs="Arial"/>
          <w:b/>
          <w:iCs/>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pPr>
        <w:spacing w:line="340" w:lineRule="exact"/>
        <w:jc w:val="both"/>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Heading"/>
        <w:spacing w:after="0" w:line="340" w:lineRule="exact"/>
        <w:jc w:val="center"/>
      </w:pPr>
      <w:bookmarkStart w:id="5" w:name="_DV_M27"/>
      <w:bookmarkStart w:id="6" w:name="_DV_M28"/>
      <w:bookmarkStart w:id="7" w:name="_DV_M29"/>
      <w:bookmarkStart w:id="8" w:name="_DV_M176"/>
      <w:bookmarkStart w:id="9" w:name="_DV_M182"/>
      <w:bookmarkStart w:id="10" w:name="_DV_M184"/>
      <w:bookmarkStart w:id="11" w:name="_DV_M210"/>
      <w:bookmarkStart w:id="12" w:name="_DV_M232"/>
      <w:bookmarkStart w:id="13" w:name="_DV_M446"/>
      <w:bookmarkStart w:id="14" w:name="_DV_M447"/>
      <w:bookmarkStart w:id="15" w:name="_DV_M448"/>
      <w:bookmarkStart w:id="16" w:name="_DV_M449"/>
      <w:bookmarkStart w:id="17" w:name="_DV_M450"/>
      <w:bookmarkStart w:id="18" w:name="_DV_C43"/>
      <w:bookmarkStart w:id="19" w:name="_DV_M303"/>
      <w:bookmarkStart w:id="20" w:name="_DV_M304"/>
      <w:bookmarkStart w:id="21" w:name="_DV_M305"/>
      <w:bookmarkStart w:id="22" w:name="_DV_M306"/>
      <w:bookmarkStart w:id="23" w:name="_DV_M307"/>
      <w:bookmarkStart w:id="24" w:name="_DV_M308"/>
      <w:bookmarkStart w:id="25" w:name="_DV_M309"/>
      <w:bookmarkStart w:id="26" w:name="_DV_M310"/>
      <w:bookmarkStart w:id="27" w:name="_DV_M313"/>
      <w:bookmarkStart w:id="28" w:name="_DV_M314"/>
      <w:bookmarkStart w:id="29" w:name="_DV_M347"/>
      <w:bookmarkStart w:id="30" w:name="_DV_M348"/>
      <w:bookmarkStart w:id="31" w:name="_DV_M349"/>
      <w:bookmarkStart w:id="32" w:name="_DV_M350"/>
      <w:bookmarkStart w:id="33" w:name="_DV_M404"/>
      <w:bookmarkStart w:id="34" w:name="_DV_M410"/>
      <w:bookmarkStart w:id="35" w:name="_DV_M411"/>
      <w:bookmarkStart w:id="36" w:name="_DV_M412"/>
      <w:bookmarkStart w:id="37" w:name="_DV_M413"/>
      <w:bookmarkStart w:id="38" w:name="_DV_M357"/>
      <w:bookmarkStart w:id="39" w:name="_DV_M358"/>
      <w:bookmarkStart w:id="40" w:name="_DV_M359"/>
      <w:bookmarkStart w:id="41" w:name="_DV_M360"/>
      <w:bookmarkStart w:id="42" w:name="_DV_M361"/>
      <w:bookmarkStart w:id="43" w:name="_DV_M362"/>
      <w:bookmarkStart w:id="44" w:name="_DV_M363"/>
      <w:bookmarkStart w:id="45" w:name="_DV_M364"/>
      <w:bookmarkStart w:id="46" w:name="_DV_M365"/>
      <w:bookmarkStart w:id="47" w:name="_DV_M366"/>
      <w:bookmarkStart w:id="48" w:name="_DV_M367"/>
      <w:bookmarkStart w:id="49" w:name="_DV_M368"/>
      <w:bookmarkStart w:id="50" w:name="_DV_M369"/>
      <w:bookmarkStart w:id="51" w:name="_DV_M370"/>
      <w:bookmarkStart w:id="52" w:name="_DV_M371"/>
      <w:bookmarkStart w:id="53" w:name="_DV_M372"/>
      <w:bookmarkStart w:id="54" w:name="_DV_M373"/>
      <w:bookmarkStart w:id="55" w:name="_DV_M374"/>
      <w:bookmarkStart w:id="56" w:name="_DV_M161"/>
      <w:bookmarkStart w:id="57" w:name="_DV_M165"/>
      <w:bookmarkStart w:id="58" w:name="_DV_M133"/>
      <w:bookmarkStart w:id="59" w:name="_DV_M134"/>
      <w:bookmarkStart w:id="60" w:name="_DV_M428"/>
      <w:bookmarkStart w:id="61" w:name="_DV_M430"/>
      <w:bookmarkStart w:id="62" w:name="_DV_M783"/>
      <w:bookmarkStart w:id="63" w:name="_DV_M784"/>
      <w:bookmarkStart w:id="64" w:name="_DV_M785"/>
      <w:bookmarkStart w:id="65" w:name="_DV_M786"/>
      <w:bookmarkStart w:id="66" w:name="_DV_M787"/>
      <w:bookmarkStart w:id="67" w:name="_DV_M788"/>
      <w:bookmarkStart w:id="68" w:name="_DV_M789"/>
      <w:bookmarkStart w:id="69" w:name="_DV_M790"/>
      <w:bookmarkStart w:id="70" w:name="_DV_M791"/>
      <w:bookmarkStart w:id="71" w:name="_DV_M792"/>
      <w:bookmarkStart w:id="72" w:name="_DV_M793"/>
      <w:bookmarkStart w:id="73" w:name="_DV_M794"/>
      <w:bookmarkStart w:id="74" w:name="_DV_M795"/>
      <w:bookmarkStart w:id="75" w:name="_DV_M796"/>
      <w:bookmarkStart w:id="76" w:name="_DV_M797"/>
      <w:bookmarkStart w:id="77" w:name="_DV_M798"/>
      <w:bookmarkStart w:id="78" w:name="_DV_M799"/>
      <w:bookmarkStart w:id="79" w:name="_DV_M800"/>
      <w:bookmarkStart w:id="80" w:name="_DV_M801"/>
      <w:bookmarkStart w:id="81" w:name="_DV_M802"/>
      <w:bookmarkStart w:id="82" w:name="_DV_M803"/>
      <w:bookmarkStart w:id="83" w:name="_DV_M804"/>
      <w:bookmarkStart w:id="84" w:name="_DV_M0"/>
      <w:bookmarkStart w:id="85" w:name="_DV_M25"/>
      <w:bookmarkStart w:id="86" w:name="_DV_M26"/>
      <w:bookmarkStart w:id="87" w:name="_DV_M100"/>
      <w:bookmarkStart w:id="88" w:name="_DV_M148"/>
      <w:bookmarkStart w:id="89" w:name="_DV_M221"/>
      <w:bookmarkStart w:id="90" w:name="_DV_M15"/>
      <w:bookmarkStart w:id="91" w:name="_DV_M16"/>
      <w:bookmarkStart w:id="92" w:name="_DV_M5"/>
      <w:bookmarkStart w:id="93" w:name="_DV_M8"/>
      <w:bookmarkStart w:id="94" w:name="_DV_M9"/>
      <w:bookmarkStart w:id="95" w:name="_DV_M10"/>
      <w:bookmarkStart w:id="96" w:name="_DV_M11"/>
      <w:bookmarkStart w:id="97" w:name="_DV_M12"/>
      <w:bookmarkStart w:id="98" w:name="_DV_M13"/>
      <w:bookmarkStart w:id="99" w:name="_DV_M21"/>
      <w:bookmarkStart w:id="100" w:name="_DV_M34"/>
      <w:bookmarkStart w:id="101" w:name="_DV_M35"/>
      <w:bookmarkStart w:id="102" w:name="_DV_M46"/>
      <w:bookmarkStart w:id="103" w:name="_DV_M47"/>
      <w:bookmarkStart w:id="104" w:name="_DV_M48"/>
      <w:bookmarkStart w:id="105" w:name="_DV_M49"/>
      <w:bookmarkStart w:id="106" w:name="_DV_M50"/>
      <w:bookmarkStart w:id="107" w:name="_DV_M51"/>
      <w:bookmarkStart w:id="108" w:name="_DV_M54"/>
      <w:bookmarkStart w:id="109" w:name="_DV_M56"/>
      <w:bookmarkStart w:id="110" w:name="_DV_M58"/>
      <w:bookmarkStart w:id="111" w:name="_DV_M30"/>
      <w:bookmarkStart w:id="112" w:name="_DV_M60"/>
      <w:bookmarkStart w:id="113" w:name="_DV_M61"/>
      <w:bookmarkStart w:id="114" w:name="_DV_M62"/>
      <w:bookmarkStart w:id="115" w:name="_DV_M63"/>
      <w:bookmarkStart w:id="116" w:name="_DV_M71"/>
      <w:bookmarkStart w:id="117" w:name="_DV_M73"/>
      <w:bookmarkStart w:id="118" w:name="_DV_M76"/>
      <w:bookmarkStart w:id="119" w:name="_DV_M77"/>
      <w:bookmarkStart w:id="120" w:name="_DV_M91"/>
      <w:bookmarkStart w:id="121" w:name="_DV_M94"/>
      <w:bookmarkStart w:id="122" w:name="_DV_M78"/>
      <w:bookmarkStart w:id="123" w:name="_DV_M96"/>
      <w:bookmarkStart w:id="124" w:name="_DV_M97"/>
      <w:bookmarkStart w:id="125" w:name="_DV_M99"/>
      <w:bookmarkStart w:id="126" w:name="_DV_M102"/>
      <w:bookmarkStart w:id="127" w:name="_DV_M103"/>
      <w:bookmarkStart w:id="128" w:name="_DV_M107"/>
      <w:bookmarkStart w:id="129" w:name="_DV_M108"/>
      <w:bookmarkStart w:id="130" w:name="_DV_M110"/>
      <w:bookmarkStart w:id="131" w:name="_DV_M113"/>
      <w:bookmarkStart w:id="132" w:name="_DV_M114"/>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5"/>
      <w:bookmarkStart w:id="142" w:name="_DV_M126"/>
      <w:bookmarkStart w:id="143" w:name="_DV_M147"/>
      <w:bookmarkStart w:id="144" w:name="_DV_M398"/>
      <w:bookmarkStart w:id="145" w:name="_DV_M400"/>
      <w:bookmarkStart w:id="146" w:name="_DV_M401"/>
      <w:bookmarkStart w:id="147" w:name="_DV_M402"/>
      <w:bookmarkStart w:id="148" w:name="_DV_M403"/>
      <w:bookmarkStart w:id="149" w:name="_DV_M405"/>
      <w:bookmarkStart w:id="150" w:name="_DV_M409"/>
      <w:bookmarkStart w:id="151" w:name="_DV_M155"/>
      <w:bookmarkStart w:id="152" w:name="_DV_M157"/>
      <w:bookmarkStart w:id="153" w:name="_DV_M158"/>
      <w:bookmarkStart w:id="154" w:name="_DV_M159"/>
      <w:bookmarkStart w:id="155" w:name="_DV_M160"/>
      <w:bookmarkStart w:id="156" w:name="_DV_M162"/>
      <w:bookmarkStart w:id="157" w:name="_DV_M164"/>
      <w:bookmarkStart w:id="158" w:name="_DV_M166"/>
      <w:bookmarkStart w:id="159" w:name="_DV_M167"/>
      <w:bookmarkStart w:id="160" w:name="_DV_M169"/>
      <w:bookmarkStart w:id="161" w:name="_DV_M170"/>
      <w:bookmarkStart w:id="162" w:name="_DV_M172"/>
      <w:bookmarkStart w:id="163" w:name="_DV_M173"/>
      <w:bookmarkStart w:id="164" w:name="_DV_M174"/>
      <w:bookmarkStart w:id="165" w:name="_DV_M191"/>
      <w:bookmarkStart w:id="166" w:name="_DV_M192"/>
      <w:bookmarkStart w:id="167" w:name="_DV_M193"/>
      <w:bookmarkStart w:id="168" w:name="_DV_M194"/>
      <w:bookmarkStart w:id="169" w:name="_DV_M195"/>
      <w:bookmarkStart w:id="170" w:name="_DV_M196"/>
      <w:bookmarkStart w:id="171" w:name="_DV_M199"/>
      <w:bookmarkStart w:id="172" w:name="_DV_M202"/>
      <w:bookmarkStart w:id="173" w:name="_DV_M203"/>
      <w:bookmarkStart w:id="174" w:name="_DV_M204"/>
      <w:bookmarkStart w:id="175" w:name="_DV_M212"/>
      <w:bookmarkStart w:id="176" w:name="_DV_M220"/>
      <w:bookmarkStart w:id="177" w:name="_DV_M222"/>
      <w:bookmarkStart w:id="178" w:name="_DV_M225"/>
      <w:bookmarkStart w:id="179" w:name="_DV_M226"/>
      <w:bookmarkStart w:id="180" w:name="_DV_M228"/>
      <w:bookmarkStart w:id="181" w:name="_DV_M231"/>
      <w:bookmarkStart w:id="182" w:name="_DV_M234"/>
      <w:bookmarkStart w:id="183" w:name="_DV_M236"/>
      <w:bookmarkStart w:id="184" w:name="_DV_M237"/>
      <w:bookmarkStart w:id="185" w:name="_DV_M544"/>
      <w:bookmarkStart w:id="186" w:name="_DV_M254"/>
      <w:bookmarkStart w:id="187" w:name="_DV_M255"/>
      <w:bookmarkStart w:id="188" w:name="_DV_M257"/>
      <w:bookmarkStart w:id="189" w:name="_DV_M242"/>
      <w:bookmarkStart w:id="190" w:name="_DV_M243"/>
      <w:bookmarkStart w:id="191" w:name="_DV_M258"/>
      <w:bookmarkStart w:id="192" w:name="_DV_M271"/>
      <w:bookmarkStart w:id="193" w:name="_DV_M272"/>
      <w:bookmarkStart w:id="194" w:name="_DV_M273"/>
      <w:bookmarkStart w:id="195" w:name="_DV_M274"/>
      <w:bookmarkStart w:id="196" w:name="_DV_M279"/>
      <w:bookmarkStart w:id="197" w:name="_DV_M284"/>
      <w:bookmarkStart w:id="198" w:name="_DV_M53"/>
      <w:bookmarkStart w:id="199" w:name="_DV_M64"/>
      <w:bookmarkStart w:id="200" w:name="_DV_M65"/>
      <w:bookmarkStart w:id="201" w:name="_DV_M201"/>
      <w:bookmarkStart w:id="202" w:name="_DV_M36"/>
      <w:bookmarkStart w:id="203" w:name="_DV_M38"/>
      <w:bookmarkStart w:id="204" w:name="_DV_M197"/>
      <w:bookmarkStart w:id="205" w:name="_DV_M198"/>
      <w:bookmarkStart w:id="206" w:name="_DV_M150"/>
      <w:bookmarkStart w:id="207" w:name="_DV_M151"/>
      <w:bookmarkStart w:id="208" w:name="_DV_M152"/>
      <w:bookmarkStart w:id="209" w:name="_DV_M153"/>
      <w:bookmarkStart w:id="210" w:name="_DV_M69"/>
      <w:bookmarkStart w:id="211" w:name="_DV_M52"/>
      <w:bookmarkStart w:id="212" w:name="_DV_M84"/>
      <w:bookmarkStart w:id="213" w:name="_DV_M388"/>
      <w:bookmarkStart w:id="214" w:name="_DV_M389"/>
      <w:bookmarkStart w:id="215" w:name="_DV_M432"/>
      <w:bookmarkStart w:id="216" w:name="_DV_M149"/>
      <w:bookmarkStart w:id="217" w:name="_DV_M2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sectPr>
      <w:headerReference w:type="default" r:id="rId19"/>
      <w:footerReference w:type="even" r:id="rId20"/>
      <w:footerReference w:type="default" r:id="rId21"/>
      <w:headerReference w:type="first" r:id="rId22"/>
      <w:footerReference w:type="first" r:id="rId23"/>
      <w:pgSz w:w="11907" w:h="16840" w:code="9"/>
      <w:pgMar w:top="2269" w:right="1418" w:bottom="1418" w:left="1418" w:header="720" w:footer="227"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64EC3" w16cid:durableId="23AC2C64"/>
  <w16cid:commentId w16cid:paraId="3A168F34" w16cid:durableId="23AC2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numbering" Target="numbering.xml" Id="rId13" /><Relationship Type="http://schemas.openxmlformats.org/officeDocument/2006/relationships/endnotes" Target="endnotes.xml" Id="rId18"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footnotes" Target="footnotes.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webSettings" Target="webSettings.xml" Id="rId16" /><Relationship Type="http://schemas.openxmlformats.org/officeDocument/2006/relationships/footer" Target="footer1.xml" Id="rId20"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settings" Target="settings.xml" Id="rId15" /><Relationship Type="http://schemas.openxmlformats.org/officeDocument/2006/relationships/footer" Target="footer3.xml" Id="rId23" /><Relationship Type="http://schemas.openxmlformats.org/officeDocument/2006/relationships/customXml" Target="../customXml/item10.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tyles" Target="styles.xml" Id="rId14" /><Relationship Type="http://schemas.openxmlformats.org/officeDocument/2006/relationships/header" Target="header2.xml" Id="rId22" /><Relationship Type="http://schemas.openxmlformats.org/officeDocument/2006/relationships/customXml" Target="/customXML/itemd.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d.xml>��< ? x m l   v e r s i o n = " 1 . 0 "   e n c o d i n g = " u t f - 1 6 " ? >  
 < p r o p e r t i e s   x m l n s = " h t t p : / / w w w . i m a n a g e . c o m / w o r k / x m l s c h e m a " >  
     < d o c u m e n t i d > J U R _ S P ! 3 9 3 1 3 6 6 5 . 3 < / d o c u m e n t i d >  
     < s e n d e r i d > G A C < / s e n d e r i d >  
     < s e n d e r e m a i l > R M A R T I N S @ P N . C O M . B R < / s e n d e r e m a i l >  
     < l a s t m o d i f i e d > 2 0 2 1 - 0 1 - 1 5 T 1 9 : 1 0 : 0 0 . 0 0 0 0 0 0 0 - 0 3 : 0 0 < / l a s t m o d i f i e d >  
     < d a t a b a s e > J U R _ S P < / d a t a b a s e >  
 < / p r o p e r t i e 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0.xml><?xml version="1.0" encoding="utf-8"?>
<ds:datastoreItem xmlns:ds="http://schemas.openxmlformats.org/officeDocument/2006/customXml" ds:itemID="{F36E3D18-17F9-47D3-A33E-EB0E851313E6}">
  <ds:schemaRefs>
    <ds:schemaRef ds:uri="http://schemas.openxmlformats.org/officeDocument/2006/bibliography"/>
  </ds:schemaRefs>
</ds:datastoreItem>
</file>

<file path=customXml/itemProps11.xml><?xml version="1.0" encoding="utf-8"?>
<ds:datastoreItem xmlns:ds="http://schemas.openxmlformats.org/officeDocument/2006/customXml" ds:itemID="{55E3CC5F-4109-4A0D-BEEF-8727E713C1D9}">
  <ds:schemaRefs>
    <ds:schemaRef ds:uri="http://schemas.openxmlformats.org/officeDocument/2006/bibliography"/>
  </ds:schemaRefs>
</ds:datastoreItem>
</file>

<file path=customXml/itemProps12.xml><?xml version="1.0" encoding="utf-8"?>
<ds:datastoreItem xmlns:ds="http://schemas.openxmlformats.org/officeDocument/2006/customXml" ds:itemID="{36F1A425-1395-4149-8EBA-5211E9E5B041}">
  <ds:schemaRefs>
    <ds:schemaRef ds:uri="http://schemas.openxmlformats.org/officeDocument/2006/bibliography"/>
  </ds:schemaRefs>
</ds:datastoreItem>
</file>

<file path=customXml/itemProps2.xml><?xml version="1.0" encoding="utf-8"?>
<ds:datastoreItem xmlns:ds="http://schemas.openxmlformats.org/officeDocument/2006/customXml" ds:itemID="{BB15007E-9CB5-451E-BD10-240222F1ED67}">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cdf92dc-1620-499f-ae87-069aa5c37f51"/>
    <ds:schemaRef ds:uri="af0daf84-0293-4e3c-ab32-fff1823818e3"/>
    <ds:schemaRef ds:uri="http://www.w3.org/XML/1998/namespace"/>
    <ds:schemaRef ds:uri="http://purl.org/dc/terms/"/>
  </ds:schemaRefs>
</ds:datastoreItem>
</file>

<file path=customXml/itemProps3.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5.xml><?xml version="1.0" encoding="utf-8"?>
<ds:datastoreItem xmlns:ds="http://schemas.openxmlformats.org/officeDocument/2006/customXml" ds:itemID="{D7640C6B-C8B9-4E82-8D30-33DD7EC4578E}">
  <ds:schemaRefs>
    <ds:schemaRef ds:uri="http://schemas.openxmlformats.org/officeDocument/2006/bibliography"/>
  </ds:schemaRefs>
</ds:datastoreItem>
</file>

<file path=customXml/itemProps6.xml><?xml version="1.0" encoding="utf-8"?>
<ds:datastoreItem xmlns:ds="http://schemas.openxmlformats.org/officeDocument/2006/customXml" ds:itemID="{9214B007-1C9A-4A9C-8611-848CF54A7693}">
  <ds:schemaRefs>
    <ds:schemaRef ds:uri="http://schemas.openxmlformats.org/officeDocument/2006/bibliography"/>
  </ds:schemaRefs>
</ds:datastoreItem>
</file>

<file path=customXml/itemProps7.xml><?xml version="1.0" encoding="utf-8"?>
<ds:datastoreItem xmlns:ds="http://schemas.openxmlformats.org/officeDocument/2006/customXml" ds:itemID="{FF96127B-44E2-443A-913F-7D28FC4E760D}">
  <ds:schemaRefs>
    <ds:schemaRef ds:uri="http://schemas.openxmlformats.org/officeDocument/2006/bibliography"/>
  </ds:schemaRefs>
</ds:datastoreItem>
</file>

<file path=customXml/itemProps8.xml><?xml version="1.0" encoding="utf-8"?>
<ds:datastoreItem xmlns:ds="http://schemas.openxmlformats.org/officeDocument/2006/customXml" ds:itemID="{CA1B1E2C-DEFE-44A8-BE9F-3426054E8101}">
  <ds:schemaRefs>
    <ds:schemaRef ds:uri="http://schemas.openxmlformats.org/officeDocument/2006/bibliography"/>
  </ds:schemaRefs>
</ds:datastoreItem>
</file>

<file path=customXml/itemProps9.xml><?xml version="1.0" encoding="utf-8"?>
<ds:datastoreItem xmlns:ds="http://schemas.openxmlformats.org/officeDocument/2006/customXml" ds:itemID="{8BBCCA45-7D92-4FBE-9CC6-06DED95C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1316</Words>
  <Characters>7507</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8806</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7</cp:revision>
  <cp:lastPrinted>2020-02-05T20:08:00Z</cp:lastPrinted>
  <dcterms:created xsi:type="dcterms:W3CDTF">2021-01-15T17:35:00Z</dcterms:created>
  <dcterms:modified xsi:type="dcterms:W3CDTF">2021-01-15T22:10:00Z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- 39313665v2 - 5243018.470159</vt:lpwstr>
  </property>
</Properties>
</file>