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autoSpaceDN/>
        <w:adjustRightInd/>
        <w:spacing w:line="340" w:lineRule="exact"/>
        <w:jc w:val="center"/>
        <w:rPr>
          <w:rFonts w:ascii="Arial" w:hAnsi="Arial" w:cs="Arial"/>
          <w:b/>
          <w:bCs/>
          <w:color w:val="000000" w:themeColor="text1"/>
          <w:sz w:val="22"/>
          <w:szCs w:val="22"/>
        </w:rPr>
      </w:pPr>
      <w:bookmarkStart w:id="0" w:name="_GoBack"/>
      <w:bookmarkEnd w:id="0"/>
      <w:r>
        <w:rPr>
          <w:rFonts w:ascii="Arial" w:hAnsi="Arial" w:cs="Arial"/>
          <w:b/>
          <w:bCs/>
          <w:color w:val="000000" w:themeColor="text1"/>
          <w:sz w:val="22"/>
          <w:szCs w:val="22"/>
        </w:rPr>
        <w:t>ELETROMIDIA S.A.</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pPr>
        <w:pStyle w:val="Default"/>
        <w:spacing w:line="340" w:lineRule="exact"/>
      </w:pPr>
    </w:p>
    <w:p>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pPr>
        <w:pStyle w:val="Default"/>
        <w:spacing w:line="340" w:lineRule="exact"/>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 xml:space="preserve">Aos 19 (dezenove) dias do mês de março de 2021, às 10hrs, na sede social da </w:t>
      </w:r>
      <w:proofErr w:type="spellStart"/>
      <w:r>
        <w:rPr>
          <w:rFonts w:eastAsia="MS Mincho"/>
          <w:b w:val="0"/>
          <w:bCs/>
          <w:color w:val="000000" w:themeColor="text1"/>
          <w:szCs w:val="22"/>
        </w:rPr>
        <w:t>Eletromidia</w:t>
      </w:r>
      <w:proofErr w:type="spellEnd"/>
      <w:r>
        <w:rPr>
          <w:rFonts w:eastAsia="MS Mincho"/>
          <w:b w:val="0"/>
          <w:bCs/>
          <w:color w:val="000000" w:themeColor="text1"/>
          <w:szCs w:val="22"/>
        </w:rPr>
        <w:t xml:space="preserve"> S.A., localizada na </w:t>
      </w:r>
      <w:proofErr w:type="spellStart"/>
      <w:r>
        <w:rPr>
          <w:rFonts w:eastAsia="MS Mincho"/>
          <w:b w:val="0"/>
          <w:bCs/>
          <w:color w:val="000000" w:themeColor="text1"/>
          <w:szCs w:val="22"/>
        </w:rPr>
        <w:t>Av</w:t>
      </w:r>
      <w:proofErr w:type="spellEnd"/>
      <w:r>
        <w:rPr>
          <w:rFonts w:eastAsia="MS Mincho"/>
          <w:b w:val="0"/>
          <w:bCs/>
          <w:color w:val="000000" w:themeColor="text1"/>
          <w:szCs w:val="22"/>
        </w:rPr>
        <w:t xml:space="preserve"> Brigadeiro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Dispensada a convocação por edital, conforme 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eastAsia="MS Mincho"/>
          <w:b w:val="0"/>
          <w:bCs/>
          <w:i/>
          <w:color w:val="000000" w:themeColor="text1"/>
          <w:szCs w:val="22"/>
        </w:rPr>
        <w:t>Eletromidia</w:t>
      </w:r>
      <w:proofErr w:type="spellEnd"/>
      <w:r>
        <w:rPr>
          <w:rFonts w:eastAsia="MS Mincho"/>
          <w:b w:val="0"/>
          <w:bCs/>
          <w:i/>
          <w:color w:val="000000" w:themeColor="text1"/>
          <w:szCs w:val="22"/>
        </w:rPr>
        <w:t xml:space="preserve">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xml:space="preserve">”), a </w:t>
      </w:r>
      <w:proofErr w:type="spellStart"/>
      <w:r>
        <w:rPr>
          <w:rFonts w:eastAsia="MS Mincho"/>
          <w:b w:val="0"/>
          <w:color w:val="000000" w:themeColor="text1"/>
          <w:szCs w:val="22"/>
          <w:lang w:eastAsia="ar-SA"/>
        </w:rPr>
        <w:t>Elemidia</w:t>
      </w:r>
      <w:proofErr w:type="spellEnd"/>
      <w:r>
        <w:rPr>
          <w:rFonts w:eastAsia="MS Mincho"/>
          <w:b w:val="0"/>
          <w:color w:val="000000" w:themeColor="text1"/>
          <w:szCs w:val="22"/>
          <w:lang w:eastAsia="ar-SA"/>
        </w:rPr>
        <w:t xml:space="preserve"> Consultoria e Serviços de Marketing S.A. e a TV Minuto S.A. (em conjunto, as “</w:t>
      </w:r>
      <w:r>
        <w:rPr>
          <w:rFonts w:eastAsia="MS Mincho"/>
          <w:color w:val="000000" w:themeColor="text1"/>
          <w:szCs w:val="22"/>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1"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1"/>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os representantes</w:t>
      </w:r>
      <w:r>
        <w:rPr>
          <w:rFonts w:eastAsia="MS Mincho"/>
          <w:b w:val="0"/>
          <w:color w:val="000000" w:themeColor="text1"/>
          <w:szCs w:val="22"/>
        </w:rPr>
        <w:t xml:space="preserve"> da Emissora e os representantes das Fiadoras.</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rPr>
        <w:t xml:space="preserve">Alexandre Guerrero Martins (Presidente); e Sr. Ricardo </w:t>
      </w:r>
      <w:r>
        <w:rPr>
          <w:rFonts w:eastAsia="MS Mincho"/>
          <w:b w:val="0"/>
          <w:color w:val="000000" w:themeColor="text1"/>
          <w:szCs w:val="22"/>
        </w:rPr>
        <w:lastRenderedPageBreak/>
        <w:t>Winandy (Secretário).</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ORDEM DO DIA: </w:t>
      </w:r>
      <w:r>
        <w:rPr>
          <w:rFonts w:eastAsia="MS Mincho"/>
          <w:b w:val="0"/>
          <w:bCs/>
          <w:color w:val="000000" w:themeColor="text1"/>
          <w:szCs w:val="22"/>
        </w:rPr>
        <w:t>Exami</w:t>
      </w:r>
      <w:bookmarkStart w:id="2" w:name="_Ref467625192"/>
      <w:r>
        <w:rPr>
          <w:rFonts w:eastAsia="MS Mincho"/>
          <w:b w:val="0"/>
          <w:bCs/>
          <w:color w:val="000000" w:themeColor="text1"/>
          <w:szCs w:val="22"/>
        </w:rPr>
        <w:t xml:space="preserve">nar, discutir e deliberar sobre: </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w:t>
      </w:r>
      <w:r>
        <w:rPr>
          <w:b w:val="0"/>
          <w:szCs w:val="22"/>
        </w:rPr>
        <w:t xml:space="preserve">a aprovação, ou não, da </w:t>
      </w:r>
      <w:r>
        <w:rPr>
          <w:b w:val="0"/>
          <w:bCs/>
          <w:szCs w:val="22"/>
        </w:rPr>
        <w:t>alteração da data de Início da Apuração, conforme definido no VI do preâmbulo do “</w:t>
      </w:r>
      <w:r>
        <w:rPr>
          <w:b w:val="0"/>
          <w:bCs/>
          <w:i/>
          <w:szCs w:val="22"/>
        </w:rPr>
        <w:t>Instrumento Particular de Contrato de Cessão Fiduciária de Contas Vinculadas e Outras Avenças</w:t>
      </w:r>
      <w:r>
        <w:rPr>
          <w:b w:val="0"/>
          <w:bCs/>
          <w:szCs w:val="22"/>
        </w:rPr>
        <w:t>”, celebrado em 20 de março de 2020, no âmbito da Emissão (“</w:t>
      </w:r>
      <w:r>
        <w:rPr>
          <w:bCs/>
          <w:szCs w:val="22"/>
        </w:rPr>
        <w:t>Contrato de Cessão Fiduciária</w:t>
      </w:r>
      <w:r>
        <w:rPr>
          <w:b w:val="0"/>
          <w:bCs/>
          <w:szCs w:val="22"/>
        </w:rPr>
        <w:t xml:space="preserve">”), para </w:t>
      </w:r>
      <w:r>
        <w:rPr>
          <w:bCs/>
          <w:szCs w:val="22"/>
        </w:rPr>
        <w:t>8 de abril de 2021</w:t>
      </w:r>
      <w:r>
        <w:rPr>
          <w:b w:val="0"/>
          <w:bCs/>
          <w:szCs w:val="22"/>
        </w:rPr>
        <w:t>, sendo esta, também, a primeira Data de Apuração Programada, conforme definido no Contrato de Cessão Fiduciária</w:t>
      </w:r>
      <w:r>
        <w:rPr>
          <w:rFonts w:eastAsia="MS Mincho"/>
          <w:b w:val="0"/>
          <w:bCs/>
          <w:color w:val="000000" w:themeColor="text1"/>
          <w:szCs w:val="22"/>
        </w:rPr>
        <w:t>;</w:t>
      </w:r>
    </w:p>
    <w:p>
      <w:pPr>
        <w:pStyle w:val="Level1"/>
        <w:keepNext w:val="0"/>
        <w:widowControl w:val="0"/>
        <w:numPr>
          <w:ilvl w:val="0"/>
          <w:numId w:val="0"/>
        </w:numPr>
        <w:spacing w:before="0" w:after="0" w:line="340" w:lineRule="exact"/>
        <w:rPr>
          <w:rFonts w:eastAsia="MS Mincho"/>
          <w:bCs/>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w:t>
      </w:r>
      <w:proofErr w:type="spellStart"/>
      <w:r>
        <w:rPr>
          <w:rFonts w:eastAsia="MS Mincho"/>
          <w:bCs/>
          <w:color w:val="000000" w:themeColor="text1"/>
          <w:szCs w:val="22"/>
        </w:rPr>
        <w:t>ii</w:t>
      </w:r>
      <w:proofErr w:type="spellEnd"/>
      <w:r>
        <w:rPr>
          <w:rFonts w:eastAsia="MS Mincho"/>
          <w:bCs/>
          <w:color w:val="000000" w:themeColor="text1"/>
          <w:szCs w:val="22"/>
        </w:rPr>
        <w:t>)</w:t>
      </w:r>
      <w:r>
        <w:rPr>
          <w:rFonts w:eastAsia="MS Mincho"/>
          <w:b w:val="0"/>
          <w:bCs/>
          <w:color w:val="000000" w:themeColor="text1"/>
          <w:szCs w:val="22"/>
        </w:rPr>
        <w:t xml:space="preserve"> </w:t>
      </w:r>
      <w:r>
        <w:rPr>
          <w:rFonts w:eastAsia="MS Mincho"/>
          <w:b w:val="0"/>
          <w:color w:val="000000" w:themeColor="text1"/>
          <w:szCs w:val="22"/>
        </w:rPr>
        <w:t>a aprovação, ou não, que o Agente Fiduciário venha a praticar todos os atos necessários à efetivação do item (i) acima, inclusive a celebração de aditamento ao Contrato de Cessão Fiduciária de modo a prever a alteração deliberada na presente ata, bem como ratificar todos os atos praticados até o momento neste sentido; e</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w:t>
      </w:r>
      <w:proofErr w:type="spellStart"/>
      <w:r>
        <w:rPr>
          <w:rFonts w:eastAsia="MS Mincho"/>
          <w:color w:val="000000" w:themeColor="text1"/>
          <w:szCs w:val="22"/>
        </w:rPr>
        <w:t>iii</w:t>
      </w:r>
      <w:proofErr w:type="spellEnd"/>
      <w:r>
        <w:rPr>
          <w:rFonts w:eastAsia="MS Mincho"/>
          <w:color w:val="000000" w:themeColor="text1"/>
          <w:szCs w:val="22"/>
        </w:rPr>
        <w:t>)</w:t>
      </w:r>
      <w:r>
        <w:rPr>
          <w:rFonts w:eastAsia="MS Mincho"/>
          <w:b w:val="0"/>
          <w:color w:val="000000" w:themeColor="text1"/>
          <w:szCs w:val="22"/>
        </w:rPr>
        <w:t xml:space="preserve"> a aprovação, ou não, a dispensa ao Agente Fiduciário de celebrar o aditamento ao Contrato de Cessão Fiduciária autorizado na Assembleia Geral de Debenturistas realizada em 26 de fevereiro de 2021 (“</w:t>
      </w:r>
      <w:r>
        <w:rPr>
          <w:rFonts w:eastAsia="MS Mincho"/>
          <w:color w:val="000000" w:themeColor="text1"/>
          <w:szCs w:val="22"/>
        </w:rPr>
        <w:t>AGD 26.02.21</w:t>
      </w:r>
      <w:r>
        <w:rPr>
          <w:rFonts w:eastAsia="MS Mincho"/>
          <w:b w:val="0"/>
          <w:color w:val="000000" w:themeColor="text1"/>
          <w:szCs w:val="22"/>
        </w:rPr>
        <w:t>”).</w:t>
      </w:r>
    </w:p>
    <w:p>
      <w:pPr>
        <w:pStyle w:val="Level1"/>
        <w:keepNext w:val="0"/>
        <w:widowControl w:val="0"/>
        <w:numPr>
          <w:ilvl w:val="0"/>
          <w:numId w:val="0"/>
        </w:numPr>
        <w:spacing w:before="0" w:after="0" w:line="340" w:lineRule="exact"/>
        <w:rPr>
          <w:rFonts w:eastAsia="MS Mincho"/>
          <w:b w:val="0"/>
          <w:color w:val="000000" w:themeColor="text1"/>
          <w:szCs w:val="22"/>
        </w:rPr>
      </w:pPr>
    </w:p>
    <w:bookmarkEnd w:id="2"/>
    <w:p>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 xml:space="preserve">Instalada validamente a assembleia e após a discussão da matéria, os Debenturistas deliberaram, por unanimidade e sem ressalvas: </w:t>
      </w:r>
    </w:p>
    <w:p>
      <w:pPr>
        <w:pStyle w:val="Level1"/>
        <w:keepNext w:val="0"/>
        <w:widowControl w:val="0"/>
        <w:numPr>
          <w:ilvl w:val="0"/>
          <w:numId w:val="0"/>
        </w:numPr>
        <w:spacing w:before="0" w:after="0" w:line="340" w:lineRule="exact"/>
        <w:rPr>
          <w:b w:val="0"/>
          <w:color w:val="000000" w:themeColor="text1"/>
          <w:szCs w:val="22"/>
          <w:lang w:eastAsia="ar-SA"/>
        </w:rPr>
      </w:pPr>
    </w:p>
    <w:p>
      <w:pPr>
        <w:spacing w:line="340" w:lineRule="exact"/>
        <w:jc w:val="both"/>
        <w:rPr>
          <w:rFonts w:ascii="Arial" w:hAnsi="Arial" w:cs="Arial"/>
          <w:bCs/>
          <w:sz w:val="22"/>
          <w:szCs w:val="22"/>
        </w:rPr>
      </w:pPr>
      <w:r>
        <w:rPr>
          <w:rFonts w:ascii="Arial" w:hAnsi="Arial" w:cs="Arial"/>
          <w:b/>
          <w:sz w:val="22"/>
          <w:szCs w:val="22"/>
        </w:rPr>
        <w:t>(i)</w:t>
      </w:r>
      <w:r>
        <w:rPr>
          <w:rFonts w:ascii="Arial" w:hAnsi="Arial" w:cs="Arial"/>
          <w:b/>
          <w:sz w:val="22"/>
          <w:szCs w:val="22"/>
        </w:rPr>
        <w:tab/>
      </w:r>
      <w:r>
        <w:rPr>
          <w:rFonts w:ascii="Arial" w:hAnsi="Arial" w:cs="Arial"/>
          <w:sz w:val="22"/>
          <w:szCs w:val="22"/>
        </w:rPr>
        <w:t xml:space="preserve">aprovar a alteração da data de Início da Apuração </w:t>
      </w:r>
      <w:r>
        <w:rPr>
          <w:rFonts w:ascii="Arial" w:hAnsi="Arial" w:cs="Arial"/>
          <w:bCs/>
          <w:sz w:val="22"/>
          <w:szCs w:val="22"/>
        </w:rPr>
        <w:t xml:space="preserve">para o dia </w:t>
      </w:r>
      <w:r>
        <w:rPr>
          <w:rFonts w:ascii="Arial" w:hAnsi="Arial" w:cs="Arial"/>
          <w:b/>
          <w:bCs/>
          <w:sz w:val="22"/>
          <w:szCs w:val="22"/>
        </w:rPr>
        <w:t>8 de abril de 2021</w:t>
      </w:r>
      <w:r>
        <w:rPr>
          <w:rFonts w:ascii="Arial" w:hAnsi="Arial" w:cs="Arial"/>
          <w:bCs/>
          <w:sz w:val="22"/>
          <w:szCs w:val="22"/>
        </w:rPr>
        <w:t>, bem como em virtude desta aprovação, alterar o item “VI” do preâmbulo do Contrato de Cessão Fiduciária, que passará a vigorar conforme abaixo:</w:t>
      </w:r>
    </w:p>
    <w:p>
      <w:pPr>
        <w:pStyle w:val="Default"/>
        <w:spacing w:line="340" w:lineRule="exact"/>
        <w:jc w:val="both"/>
      </w:pPr>
    </w:p>
    <w:p>
      <w:pPr>
        <w:spacing w:line="340" w:lineRule="exact"/>
        <w:ind w:left="709" w:right="850"/>
        <w:jc w:val="both"/>
        <w:rPr>
          <w:rFonts w:ascii="Arial" w:hAnsi="Arial" w:cs="Arial"/>
          <w:b/>
          <w:bCs/>
          <w:i/>
          <w:sz w:val="22"/>
          <w:szCs w:val="22"/>
        </w:rPr>
      </w:pPr>
      <w:r>
        <w:rPr>
          <w:rFonts w:ascii="Arial" w:hAnsi="Arial" w:cs="Arial"/>
          <w:b/>
          <w:bCs/>
          <w:i/>
          <w:sz w:val="22"/>
          <w:szCs w:val="22"/>
        </w:rPr>
        <w:t xml:space="preserve">VI – “PERIODICIDADE DE APURAÇÃO:  </w:t>
      </w:r>
    </w:p>
    <w:p>
      <w:pPr>
        <w:spacing w:line="340" w:lineRule="exact"/>
        <w:ind w:left="709" w:right="850"/>
        <w:jc w:val="both"/>
        <w:rPr>
          <w:rFonts w:ascii="Arial" w:hAnsi="Arial" w:cs="Arial"/>
          <w:i/>
          <w:sz w:val="22"/>
          <w:szCs w:val="22"/>
        </w:rPr>
      </w:pPr>
      <w:r>
        <w:rPr>
          <w:rFonts w:ascii="Arial" w:hAnsi="Arial" w:cs="Arial"/>
          <w:i/>
          <w:sz w:val="22"/>
          <w:szCs w:val="22"/>
        </w:rPr>
        <w:t>Periodicidade: Mensal, sendo que no 5º Dia Útil de cada mês ocorrerá a apuração considerando a Base de Cálculo, observado o disposto na Cláusula 1.3.2.4 deste Contrato (“</w:t>
      </w:r>
      <w:r>
        <w:rPr>
          <w:rFonts w:ascii="Arial" w:hAnsi="Arial" w:cs="Arial"/>
          <w:b/>
          <w:bCs/>
          <w:i/>
          <w:sz w:val="22"/>
          <w:szCs w:val="22"/>
        </w:rPr>
        <w:t>Data de Apuração Programada</w:t>
      </w:r>
      <w:r>
        <w:rPr>
          <w:rFonts w:ascii="Arial" w:hAnsi="Arial" w:cs="Arial"/>
          <w:i/>
          <w:sz w:val="22"/>
          <w:szCs w:val="22"/>
        </w:rPr>
        <w:t>”).</w:t>
      </w:r>
    </w:p>
    <w:p>
      <w:pPr>
        <w:pStyle w:val="Default"/>
        <w:spacing w:line="340" w:lineRule="exact"/>
      </w:pPr>
    </w:p>
    <w:p>
      <w:pPr>
        <w:spacing w:line="340" w:lineRule="exact"/>
        <w:ind w:left="709" w:right="850"/>
        <w:jc w:val="both"/>
        <w:rPr>
          <w:rFonts w:ascii="Arial" w:hAnsi="Arial" w:cs="Arial"/>
          <w:b/>
          <w:bCs/>
          <w:i/>
          <w:sz w:val="22"/>
          <w:szCs w:val="22"/>
        </w:rPr>
      </w:pPr>
      <w:r>
        <w:rPr>
          <w:rFonts w:ascii="Arial" w:hAnsi="Arial" w:cs="Arial"/>
          <w:i/>
          <w:sz w:val="22"/>
          <w:szCs w:val="22"/>
        </w:rPr>
        <w:t>Início da Apuração: 8 de abril de 2021</w:t>
      </w:r>
      <w:r>
        <w:rPr>
          <w:rFonts w:ascii="Arial" w:hAnsi="Arial" w:cs="Arial"/>
          <w:bCs/>
          <w:i/>
          <w:sz w:val="22"/>
          <w:szCs w:val="22"/>
        </w:rPr>
        <w:t xml:space="preserve"> (“</w:t>
      </w:r>
      <w:r>
        <w:rPr>
          <w:rFonts w:ascii="Arial" w:hAnsi="Arial" w:cs="Arial"/>
          <w:b/>
          <w:bCs/>
          <w:i/>
          <w:sz w:val="22"/>
          <w:szCs w:val="22"/>
        </w:rPr>
        <w:t>Início da Apuração</w:t>
      </w:r>
      <w:r>
        <w:rPr>
          <w:rFonts w:ascii="Arial" w:hAnsi="Arial" w:cs="Arial"/>
          <w:bCs/>
          <w:i/>
          <w:sz w:val="22"/>
          <w:szCs w:val="22"/>
        </w:rPr>
        <w:t>”), sendo que está será, também, a primeira Data de Apuração Programada</w:t>
      </w:r>
      <w:r>
        <w:rPr>
          <w:rFonts w:ascii="Arial" w:hAnsi="Arial" w:cs="Arial"/>
          <w:b/>
          <w:bCs/>
          <w:i/>
          <w:sz w:val="22"/>
          <w:szCs w:val="22"/>
        </w:rPr>
        <w:t>.</w:t>
      </w:r>
    </w:p>
    <w:p>
      <w:pPr>
        <w:spacing w:line="340" w:lineRule="exact"/>
        <w:rPr>
          <w:sz w:val="26"/>
          <w:szCs w:val="20"/>
        </w:rPr>
      </w:pPr>
    </w:p>
    <w:p>
      <w:pPr>
        <w:pStyle w:val="Default"/>
        <w:spacing w:line="340" w:lineRule="exact"/>
        <w:jc w:val="both"/>
        <w:rPr>
          <w:rFonts w:ascii="Arial" w:hAnsi="Arial" w:cs="Arial"/>
          <w:bCs/>
          <w:color w:val="auto"/>
          <w:sz w:val="22"/>
          <w:szCs w:val="22"/>
        </w:rPr>
      </w:pPr>
      <w:r>
        <w:rPr>
          <w:rFonts w:ascii="Arial" w:hAnsi="Arial" w:cs="Arial"/>
          <w:b/>
          <w:bCs/>
          <w:color w:val="auto"/>
          <w:sz w:val="22"/>
          <w:szCs w:val="22"/>
        </w:rPr>
        <w:t>(i.1)</w:t>
      </w:r>
      <w:r>
        <w:rPr>
          <w:rFonts w:ascii="Arial" w:hAnsi="Arial" w:cs="Arial"/>
          <w:bCs/>
          <w:color w:val="auto"/>
          <w:sz w:val="22"/>
          <w:szCs w:val="22"/>
        </w:rPr>
        <w:t xml:space="preserve"> esta deliberação produzirá efeitos imediatos, de forma a se desconsiderar, para todos os efeitos, a data de 19 de março de 2021 como primeira Data de Apuração Programada, </w:t>
      </w:r>
      <w:r>
        <w:rPr>
          <w:rFonts w:ascii="Arial" w:hAnsi="Arial" w:cs="Arial"/>
          <w:bCs/>
          <w:color w:val="auto"/>
          <w:sz w:val="22"/>
          <w:szCs w:val="22"/>
        </w:rPr>
        <w:lastRenderedPageBreak/>
        <w:t>conforme previamente aprovado na AGD 26.02.21, bem como ficam ratificados todos os atos eventualmente praticados pela Emissora, Debenturistas e Agente Fiduciário referentes à deliberação ora aprovada;</w:t>
      </w:r>
    </w:p>
    <w:p>
      <w:pPr>
        <w:pStyle w:val="Default"/>
        <w:spacing w:line="340" w:lineRule="exact"/>
        <w:jc w:val="both"/>
        <w:rPr>
          <w:rFonts w:ascii="Arial" w:hAnsi="Arial" w:cs="Arial"/>
          <w:bCs/>
          <w:color w:val="auto"/>
          <w:sz w:val="22"/>
          <w:szCs w:val="22"/>
        </w:rPr>
      </w:pPr>
    </w:p>
    <w:p>
      <w:pPr>
        <w:pStyle w:val="PargrafodaLista"/>
        <w:spacing w:after="0" w:line="340" w:lineRule="exact"/>
        <w:ind w:left="0"/>
        <w:rPr>
          <w:rFonts w:ascii="Arial" w:hAnsi="Arial" w:cs="Arial"/>
          <w:sz w:val="22"/>
          <w:szCs w:val="22"/>
        </w:rPr>
      </w:pP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ab/>
        <w:t xml:space="preserve">aprovar a prática, pelo Agente Fiduciário, de todos os atos necessários à efetivação do item (i) acima, incluindo a celebração do aditamento ao Contrato de Cessão Fiduciária, ficando autorizado o Agente Fiduciário a assinar quaisquer outros documentos necessários para formalizar as deliberações desta Assembleia, e ficando ratificados todos os atos praticados até o momento nesse sentido; e </w:t>
      </w:r>
    </w:p>
    <w:p>
      <w:pPr>
        <w:pStyle w:val="PargrafodaLista"/>
        <w:spacing w:after="0" w:line="340" w:lineRule="exact"/>
        <w:ind w:left="0"/>
        <w:rPr>
          <w:rFonts w:ascii="Arial" w:hAnsi="Arial" w:cs="Arial"/>
          <w:sz w:val="22"/>
          <w:szCs w:val="22"/>
        </w:rPr>
      </w:pPr>
    </w:p>
    <w:p>
      <w:pPr>
        <w:pStyle w:val="PargrafodaLista"/>
        <w:spacing w:after="0" w:line="340" w:lineRule="exact"/>
        <w:ind w:left="0"/>
        <w:rPr>
          <w:rFonts w:ascii="Arial" w:hAnsi="Arial" w:cs="Arial"/>
          <w:sz w:val="22"/>
          <w:szCs w:val="22"/>
        </w:rPr>
      </w:pPr>
      <w:r>
        <w:rPr>
          <w:rFonts w:ascii="Arial" w:hAnsi="Arial" w:cs="Arial"/>
          <w:b/>
          <w:sz w:val="22"/>
          <w:szCs w:val="22"/>
        </w:rPr>
        <w:t>(</w:t>
      </w:r>
      <w:proofErr w:type="spellStart"/>
      <w:r>
        <w:rPr>
          <w:rFonts w:ascii="Arial" w:hAnsi="Arial" w:cs="Arial"/>
          <w:b/>
          <w:sz w:val="22"/>
          <w:szCs w:val="22"/>
        </w:rPr>
        <w:t>iii</w:t>
      </w:r>
      <w:proofErr w:type="spellEnd"/>
      <w:r>
        <w:rPr>
          <w:rFonts w:ascii="Arial" w:hAnsi="Arial" w:cs="Arial"/>
          <w:b/>
          <w:sz w:val="22"/>
          <w:szCs w:val="22"/>
        </w:rPr>
        <w:t>)</w:t>
      </w:r>
      <w:r>
        <w:rPr>
          <w:rFonts w:ascii="Arial" w:hAnsi="Arial" w:cs="Arial"/>
          <w:sz w:val="22"/>
          <w:szCs w:val="22"/>
        </w:rPr>
        <w:t xml:space="preserve"> aprovar a dispensa ao Agente Fiduciário de celebrar o aditamento ao Contrato de Cessão Fiduciária autorizado na</w:t>
      </w:r>
      <w:r>
        <w:t xml:space="preserve"> </w:t>
      </w:r>
      <w:r>
        <w:rPr>
          <w:rFonts w:ascii="Arial" w:hAnsi="Arial" w:cs="Arial"/>
          <w:bCs/>
          <w:sz w:val="22"/>
          <w:szCs w:val="22"/>
        </w:rPr>
        <w:t>AGD 26.02.21</w:t>
      </w:r>
      <w:r>
        <w:rPr>
          <w:rFonts w:ascii="Arial" w:hAnsi="Arial" w:cs="Arial"/>
          <w:sz w:val="22"/>
          <w:szCs w:val="22"/>
        </w:rPr>
        <w:t>, tendo em vista que o aditamento ao Contrato de Cessão Fiduciária que está sendo autorizado na presente Assembleia nos termos do item (</w:t>
      </w:r>
      <w:proofErr w:type="spellStart"/>
      <w:r>
        <w:rPr>
          <w:rFonts w:ascii="Arial" w:hAnsi="Arial" w:cs="Arial"/>
          <w:sz w:val="22"/>
          <w:szCs w:val="22"/>
        </w:rPr>
        <w:t>ii</w:t>
      </w:r>
      <w:proofErr w:type="spellEnd"/>
      <w:r>
        <w:rPr>
          <w:rFonts w:ascii="Arial" w:hAnsi="Arial" w:cs="Arial"/>
          <w:sz w:val="22"/>
          <w:szCs w:val="22"/>
        </w:rPr>
        <w:t xml:space="preserve">) acima sobrepõe-se ao aditamento autorizado </w:t>
      </w:r>
      <w:r>
        <w:rPr>
          <w:rFonts w:ascii="Arial" w:hAnsi="Arial" w:cs="Arial"/>
          <w:bCs/>
          <w:sz w:val="22"/>
          <w:szCs w:val="22"/>
        </w:rPr>
        <w:t>AGD 26.02.21</w:t>
      </w:r>
      <w:r>
        <w:rPr>
          <w:rFonts w:ascii="Arial" w:hAnsi="Arial" w:cs="Arial"/>
          <w:sz w:val="22"/>
          <w:szCs w:val="22"/>
        </w:rPr>
        <w:t>.</w:t>
      </w:r>
    </w:p>
    <w:p>
      <w:pPr>
        <w:pStyle w:val="PargrafodaLista"/>
        <w:spacing w:after="0" w:line="340" w:lineRule="exact"/>
        <w:ind w:left="0"/>
        <w:rPr>
          <w:rFonts w:ascii="Arial" w:hAnsi="Arial" w:cs="Arial"/>
          <w:sz w:val="22"/>
          <w:szCs w:val="22"/>
        </w:rPr>
      </w:pPr>
    </w:p>
    <w:p>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Termos com iniciais maiúsculas utilizados neste documento que não estiverem expressamente aqui definidos têm o significado que lhes foi atribuído na Escritura de Emissão. Os demais termos da Escritura de Emissão e do Contrato de Cessão Fiduciária permanecem inalterados.</w:t>
      </w:r>
    </w:p>
    <w:p>
      <w:pPr>
        <w:pStyle w:val="Default"/>
        <w:spacing w:line="340" w:lineRule="exact"/>
      </w:pPr>
    </w:p>
    <w:p>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e/ou no Contrato de Cessão Fiduciária, nem quanto ao cumprimento, pela Emissora, de todas e quaisquer obrigações na Escritura e no Contrato de Cessão Fiduciária, ou como qualquer promessa ou compromisso dos Debenturistas de renegociar ou implementar alterações em quaisquer termos e condições da Escritura e do Contrato de Cessão Fiduciária e não poderão impedir, restringir e/ou limitar o exercício, pelos Debenturistas, de qualquer direito, obrigação, recurso, ação, poder, privilégio ou garantia prevista na Escritura de Emissão com relação a eventuais novos descumprimentos, </w:t>
      </w:r>
      <w:bookmarkStart w:id="3"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3"/>
      <w:r>
        <w:rPr>
          <w:rFonts w:ascii="Arial" w:hAnsi="Arial" w:cs="Arial"/>
          <w:sz w:val="22"/>
          <w:szCs w:val="22"/>
        </w:rPr>
        <w:t>.</w:t>
      </w:r>
    </w:p>
    <w:p>
      <w:pPr>
        <w:pStyle w:val="Default"/>
        <w:spacing w:line="340" w:lineRule="exact"/>
      </w:pPr>
    </w:p>
    <w:p>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 xml:space="preserve">Nada mais havendo a ser tratado, o Presidente concedeu a palavra a </w:t>
      </w:r>
      <w:r>
        <w:rPr>
          <w:rFonts w:ascii="Arial" w:eastAsia="MS Mincho" w:hAnsi="Arial" w:cs="Arial"/>
          <w:bCs/>
          <w:color w:val="000000" w:themeColor="text1"/>
          <w:sz w:val="22"/>
          <w:szCs w:val="22"/>
        </w:rPr>
        <w:lastRenderedPageBreak/>
        <w:t xml:space="preserve">quem ela quisesse fazer uso e, ninguém tendo se manifestado, foi encerrada a Assembleia, da qual se lavrou a presente ata que, lida e achada conforme, foi assinada pelo Presidente, pelo Secretário, pelos Debenturistas, pelo Agente Fiduciário, pela Emissora e pelas Fiadoras. </w:t>
      </w:r>
    </w:p>
    <w:p>
      <w:pPr>
        <w:pStyle w:val="Default"/>
        <w:spacing w:line="340" w:lineRule="exact"/>
        <w:rPr>
          <w:rFonts w:eastAsia="MS Mincho"/>
        </w:rPr>
      </w:pPr>
    </w:p>
    <w:p>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pPr>
        <w:pStyle w:val="Default"/>
        <w:spacing w:line="340" w:lineRule="exact"/>
      </w:pP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São Paulo, 19 de março de 2021.</w:t>
      </w:r>
    </w:p>
    <w:p>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trPr>
          <w:trHeight w:val="489"/>
        </w:trPr>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trPr>
          <w:trHeight w:val="511"/>
        </w:trPr>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Alexandre Guerrero Martins</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Ricardo Winandy</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19 de março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pPr>
        <w:autoSpaceDE/>
        <w:autoSpaceDN/>
        <w:adjustRightInd/>
        <w:spacing w:line="340" w:lineRule="exact"/>
        <w:rPr>
          <w:rFonts w:ascii="Arial" w:hAnsi="Arial" w:cs="Arial"/>
          <w:color w:val="000000" w:themeColor="text1"/>
          <w:sz w:val="22"/>
          <w:szCs w:val="22"/>
        </w:rPr>
      </w:pPr>
    </w:p>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pPr>
        <w:pStyle w:val="Default"/>
        <w:spacing w:line="340" w:lineRule="exact"/>
        <w:rPr>
          <w:rFonts w:ascii="Arial" w:hAnsi="Arial" w:cs="Arial"/>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autoSpaceDE/>
        <w:autoSpaceDN/>
        <w:adjustRightInd/>
        <w:spacing w:line="340" w:lineRule="exact"/>
        <w:rPr>
          <w:rFonts w:ascii="Arial" w:hAnsi="Arial" w:cs="Arial"/>
          <w:color w:val="000000" w:themeColor="text1"/>
          <w:sz w:val="22"/>
          <w:szCs w:val="22"/>
        </w:rPr>
      </w:pPr>
    </w:p>
    <w:p>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19 de março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pPr>
        <w:pStyle w:val="Default"/>
        <w:spacing w:line="340" w:lineRule="exact"/>
        <w:rPr>
          <w:rFonts w:ascii="Arial" w:hAnsi="Arial" w:cs="Arial"/>
          <w:color w:val="000000" w:themeColor="text1"/>
          <w:sz w:val="22"/>
          <w:szCs w:val="22"/>
        </w:rPr>
      </w:pPr>
    </w:p>
    <w:p>
      <w:pPr>
        <w:spacing w:line="340" w:lineRule="exact"/>
        <w:jc w:val="center"/>
        <w:rPr>
          <w:rFonts w:ascii="Arial" w:hAnsi="Arial" w:cs="Arial"/>
          <w:b/>
          <w:smallCaps/>
          <w:color w:val="000000" w:themeColor="text1"/>
          <w:sz w:val="22"/>
          <w:szCs w:val="22"/>
        </w:rPr>
      </w:pPr>
      <w:bookmarkStart w:id="4"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pPr>
        <w:spacing w:line="340" w:lineRule="exact"/>
        <w:jc w:val="center"/>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4"/>
    </w:tbl>
    <w:p>
      <w:pPr>
        <w:autoSpaceDE/>
        <w:autoSpaceDN/>
        <w:adjustRightInd/>
        <w:spacing w:line="340" w:lineRule="exact"/>
        <w:ind w:left="-540" w:right="-191"/>
        <w:jc w:val="center"/>
        <w:rPr>
          <w:rFonts w:ascii="Arial" w:hAnsi="Arial" w:cs="Arial"/>
          <w:color w:val="000000" w:themeColor="text1"/>
          <w:sz w:val="22"/>
          <w:szCs w:val="22"/>
        </w:rPr>
      </w:pPr>
    </w:p>
    <w:p>
      <w:pPr>
        <w:autoSpaceDE/>
        <w:autoSpaceDN/>
        <w:adjustRightInd/>
        <w:spacing w:line="340" w:lineRule="exact"/>
        <w:ind w:left="-540" w:right="-191"/>
        <w:jc w:val="center"/>
        <w:rPr>
          <w:rFonts w:ascii="Arial" w:hAnsi="Arial" w:cs="Arial"/>
          <w:color w:val="000000" w:themeColor="text1"/>
          <w:sz w:val="22"/>
          <w:szCs w:val="22"/>
        </w:rPr>
      </w:pPr>
    </w:p>
    <w:p>
      <w:pPr>
        <w:pStyle w:val="Default"/>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widowControl/>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p>
    <w:p>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19 de março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autoSpaceDE/>
        <w:autoSpaceDN/>
        <w:adjustRightInd/>
        <w:spacing w:line="340" w:lineRule="exact"/>
        <w:rPr>
          <w:rFonts w:ascii="Arial" w:hAnsi="Arial" w:cs="Arial"/>
          <w:b/>
          <w:iCs/>
          <w:color w:val="000000" w:themeColor="text1"/>
          <w:sz w:val="22"/>
          <w:szCs w:val="22"/>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pPr>
        <w:spacing w:line="340" w:lineRule="exact"/>
        <w:jc w:val="both"/>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19 de março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SANTANDER (BRASIL)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19 de março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Heading"/>
        <w:spacing w:after="0" w:line="340" w:lineRule="exact"/>
        <w:jc w:val="center"/>
      </w:pPr>
      <w:bookmarkStart w:id="5" w:name="_DV_M27"/>
      <w:bookmarkStart w:id="6" w:name="_DV_M28"/>
      <w:bookmarkStart w:id="7" w:name="_DV_M29"/>
      <w:bookmarkStart w:id="8" w:name="_DV_M176"/>
      <w:bookmarkStart w:id="9" w:name="_DV_M182"/>
      <w:bookmarkStart w:id="10" w:name="_DV_M184"/>
      <w:bookmarkStart w:id="11" w:name="_DV_M210"/>
      <w:bookmarkStart w:id="12" w:name="_DV_M232"/>
      <w:bookmarkStart w:id="13" w:name="_DV_M446"/>
      <w:bookmarkStart w:id="14" w:name="_DV_M447"/>
      <w:bookmarkStart w:id="15" w:name="_DV_M448"/>
      <w:bookmarkStart w:id="16" w:name="_DV_M449"/>
      <w:bookmarkStart w:id="17" w:name="_DV_M450"/>
      <w:bookmarkStart w:id="18" w:name="_DV_C43"/>
      <w:bookmarkStart w:id="19" w:name="_DV_M303"/>
      <w:bookmarkStart w:id="20" w:name="_DV_M304"/>
      <w:bookmarkStart w:id="21" w:name="_DV_M305"/>
      <w:bookmarkStart w:id="22" w:name="_DV_M306"/>
      <w:bookmarkStart w:id="23" w:name="_DV_M307"/>
      <w:bookmarkStart w:id="24" w:name="_DV_M308"/>
      <w:bookmarkStart w:id="25" w:name="_DV_M309"/>
      <w:bookmarkStart w:id="26" w:name="_DV_M310"/>
      <w:bookmarkStart w:id="27" w:name="_DV_M313"/>
      <w:bookmarkStart w:id="28" w:name="_DV_M314"/>
      <w:bookmarkStart w:id="29" w:name="_DV_M347"/>
      <w:bookmarkStart w:id="30" w:name="_DV_M348"/>
      <w:bookmarkStart w:id="31" w:name="_DV_M349"/>
      <w:bookmarkStart w:id="32" w:name="_DV_M350"/>
      <w:bookmarkStart w:id="33" w:name="_DV_M404"/>
      <w:bookmarkStart w:id="34" w:name="_DV_M410"/>
      <w:bookmarkStart w:id="35" w:name="_DV_M411"/>
      <w:bookmarkStart w:id="36" w:name="_DV_M412"/>
      <w:bookmarkStart w:id="37" w:name="_DV_M413"/>
      <w:bookmarkStart w:id="38" w:name="_DV_M357"/>
      <w:bookmarkStart w:id="39" w:name="_DV_M358"/>
      <w:bookmarkStart w:id="40" w:name="_DV_M359"/>
      <w:bookmarkStart w:id="41" w:name="_DV_M360"/>
      <w:bookmarkStart w:id="42" w:name="_DV_M361"/>
      <w:bookmarkStart w:id="43" w:name="_DV_M362"/>
      <w:bookmarkStart w:id="44" w:name="_DV_M363"/>
      <w:bookmarkStart w:id="45" w:name="_DV_M364"/>
      <w:bookmarkStart w:id="46" w:name="_DV_M365"/>
      <w:bookmarkStart w:id="47" w:name="_DV_M366"/>
      <w:bookmarkStart w:id="48" w:name="_DV_M367"/>
      <w:bookmarkStart w:id="49" w:name="_DV_M368"/>
      <w:bookmarkStart w:id="50" w:name="_DV_M369"/>
      <w:bookmarkStart w:id="51" w:name="_DV_M370"/>
      <w:bookmarkStart w:id="52" w:name="_DV_M371"/>
      <w:bookmarkStart w:id="53" w:name="_DV_M372"/>
      <w:bookmarkStart w:id="54" w:name="_DV_M373"/>
      <w:bookmarkStart w:id="55" w:name="_DV_M374"/>
      <w:bookmarkStart w:id="56" w:name="_DV_M161"/>
      <w:bookmarkStart w:id="57" w:name="_DV_M165"/>
      <w:bookmarkStart w:id="58" w:name="_DV_M133"/>
      <w:bookmarkStart w:id="59" w:name="_DV_M134"/>
      <w:bookmarkStart w:id="60" w:name="_DV_M428"/>
      <w:bookmarkStart w:id="61" w:name="_DV_M430"/>
      <w:bookmarkStart w:id="62" w:name="_DV_M783"/>
      <w:bookmarkStart w:id="63" w:name="_DV_M784"/>
      <w:bookmarkStart w:id="64" w:name="_DV_M785"/>
      <w:bookmarkStart w:id="65" w:name="_DV_M786"/>
      <w:bookmarkStart w:id="66" w:name="_DV_M787"/>
      <w:bookmarkStart w:id="67" w:name="_DV_M788"/>
      <w:bookmarkStart w:id="68" w:name="_DV_M789"/>
      <w:bookmarkStart w:id="69" w:name="_DV_M790"/>
      <w:bookmarkStart w:id="70" w:name="_DV_M791"/>
      <w:bookmarkStart w:id="71" w:name="_DV_M792"/>
      <w:bookmarkStart w:id="72" w:name="_DV_M793"/>
      <w:bookmarkStart w:id="73" w:name="_DV_M794"/>
      <w:bookmarkStart w:id="74" w:name="_DV_M795"/>
      <w:bookmarkStart w:id="75" w:name="_DV_M796"/>
      <w:bookmarkStart w:id="76" w:name="_DV_M797"/>
      <w:bookmarkStart w:id="77" w:name="_DV_M798"/>
      <w:bookmarkStart w:id="78" w:name="_DV_M799"/>
      <w:bookmarkStart w:id="79" w:name="_DV_M800"/>
      <w:bookmarkStart w:id="80" w:name="_DV_M801"/>
      <w:bookmarkStart w:id="81" w:name="_DV_M802"/>
      <w:bookmarkStart w:id="82" w:name="_DV_M803"/>
      <w:bookmarkStart w:id="83" w:name="_DV_M804"/>
      <w:bookmarkStart w:id="84" w:name="_DV_M0"/>
      <w:bookmarkStart w:id="85" w:name="_DV_M25"/>
      <w:bookmarkStart w:id="86" w:name="_DV_M26"/>
      <w:bookmarkStart w:id="87" w:name="_DV_M100"/>
      <w:bookmarkStart w:id="88" w:name="_DV_M148"/>
      <w:bookmarkStart w:id="89" w:name="_DV_M221"/>
      <w:bookmarkStart w:id="90" w:name="_DV_M15"/>
      <w:bookmarkStart w:id="91" w:name="_DV_M16"/>
      <w:bookmarkStart w:id="92" w:name="_DV_M5"/>
      <w:bookmarkStart w:id="93" w:name="_DV_M8"/>
      <w:bookmarkStart w:id="94" w:name="_DV_M9"/>
      <w:bookmarkStart w:id="95" w:name="_DV_M10"/>
      <w:bookmarkStart w:id="96" w:name="_DV_M11"/>
      <w:bookmarkStart w:id="97" w:name="_DV_M12"/>
      <w:bookmarkStart w:id="98" w:name="_DV_M13"/>
      <w:bookmarkStart w:id="99" w:name="_DV_M21"/>
      <w:bookmarkStart w:id="100" w:name="_DV_M34"/>
      <w:bookmarkStart w:id="101" w:name="_DV_M35"/>
      <w:bookmarkStart w:id="102" w:name="_DV_M46"/>
      <w:bookmarkStart w:id="103" w:name="_DV_M47"/>
      <w:bookmarkStart w:id="104" w:name="_DV_M48"/>
      <w:bookmarkStart w:id="105" w:name="_DV_M49"/>
      <w:bookmarkStart w:id="106" w:name="_DV_M50"/>
      <w:bookmarkStart w:id="107" w:name="_DV_M51"/>
      <w:bookmarkStart w:id="108" w:name="_DV_M54"/>
      <w:bookmarkStart w:id="109" w:name="_DV_M56"/>
      <w:bookmarkStart w:id="110" w:name="_DV_M58"/>
      <w:bookmarkStart w:id="111" w:name="_DV_M30"/>
      <w:bookmarkStart w:id="112" w:name="_DV_M60"/>
      <w:bookmarkStart w:id="113" w:name="_DV_M61"/>
      <w:bookmarkStart w:id="114" w:name="_DV_M62"/>
      <w:bookmarkStart w:id="115" w:name="_DV_M63"/>
      <w:bookmarkStart w:id="116" w:name="_DV_M71"/>
      <w:bookmarkStart w:id="117" w:name="_DV_M73"/>
      <w:bookmarkStart w:id="118" w:name="_DV_M76"/>
      <w:bookmarkStart w:id="119" w:name="_DV_M77"/>
      <w:bookmarkStart w:id="120" w:name="_DV_M91"/>
      <w:bookmarkStart w:id="121" w:name="_DV_M94"/>
      <w:bookmarkStart w:id="122" w:name="_DV_M78"/>
      <w:bookmarkStart w:id="123" w:name="_DV_M96"/>
      <w:bookmarkStart w:id="124" w:name="_DV_M97"/>
      <w:bookmarkStart w:id="125" w:name="_DV_M99"/>
      <w:bookmarkStart w:id="126" w:name="_DV_M102"/>
      <w:bookmarkStart w:id="127" w:name="_DV_M103"/>
      <w:bookmarkStart w:id="128" w:name="_DV_M107"/>
      <w:bookmarkStart w:id="129" w:name="_DV_M108"/>
      <w:bookmarkStart w:id="130" w:name="_DV_M110"/>
      <w:bookmarkStart w:id="131" w:name="_DV_M113"/>
      <w:bookmarkStart w:id="132" w:name="_DV_M114"/>
      <w:bookmarkStart w:id="133" w:name="_DV_M116"/>
      <w:bookmarkStart w:id="134" w:name="_DV_M117"/>
      <w:bookmarkStart w:id="135" w:name="_DV_M118"/>
      <w:bookmarkStart w:id="136" w:name="_DV_M119"/>
      <w:bookmarkStart w:id="137" w:name="_DV_M120"/>
      <w:bookmarkStart w:id="138" w:name="_DV_M121"/>
      <w:bookmarkStart w:id="139" w:name="_DV_M122"/>
      <w:bookmarkStart w:id="140" w:name="_DV_M123"/>
      <w:bookmarkStart w:id="141" w:name="_DV_M125"/>
      <w:bookmarkStart w:id="142" w:name="_DV_M126"/>
      <w:bookmarkStart w:id="143" w:name="_DV_M147"/>
      <w:bookmarkStart w:id="144" w:name="_DV_M398"/>
      <w:bookmarkStart w:id="145" w:name="_DV_M400"/>
      <w:bookmarkStart w:id="146" w:name="_DV_M401"/>
      <w:bookmarkStart w:id="147" w:name="_DV_M402"/>
      <w:bookmarkStart w:id="148" w:name="_DV_M403"/>
      <w:bookmarkStart w:id="149" w:name="_DV_M405"/>
      <w:bookmarkStart w:id="150" w:name="_DV_M409"/>
      <w:bookmarkStart w:id="151" w:name="_DV_M155"/>
      <w:bookmarkStart w:id="152" w:name="_DV_M157"/>
      <w:bookmarkStart w:id="153" w:name="_DV_M158"/>
      <w:bookmarkStart w:id="154" w:name="_DV_M159"/>
      <w:bookmarkStart w:id="155" w:name="_DV_M160"/>
      <w:bookmarkStart w:id="156" w:name="_DV_M162"/>
      <w:bookmarkStart w:id="157" w:name="_DV_M164"/>
      <w:bookmarkStart w:id="158" w:name="_DV_M166"/>
      <w:bookmarkStart w:id="159" w:name="_DV_M167"/>
      <w:bookmarkStart w:id="160" w:name="_DV_M169"/>
      <w:bookmarkStart w:id="161" w:name="_DV_M170"/>
      <w:bookmarkStart w:id="162" w:name="_DV_M172"/>
      <w:bookmarkStart w:id="163" w:name="_DV_M173"/>
      <w:bookmarkStart w:id="164" w:name="_DV_M174"/>
      <w:bookmarkStart w:id="165" w:name="_DV_M191"/>
      <w:bookmarkStart w:id="166" w:name="_DV_M192"/>
      <w:bookmarkStart w:id="167" w:name="_DV_M193"/>
      <w:bookmarkStart w:id="168" w:name="_DV_M194"/>
      <w:bookmarkStart w:id="169" w:name="_DV_M195"/>
      <w:bookmarkStart w:id="170" w:name="_DV_M196"/>
      <w:bookmarkStart w:id="171" w:name="_DV_M199"/>
      <w:bookmarkStart w:id="172" w:name="_DV_M202"/>
      <w:bookmarkStart w:id="173" w:name="_DV_M203"/>
      <w:bookmarkStart w:id="174" w:name="_DV_M204"/>
      <w:bookmarkStart w:id="175" w:name="_DV_M212"/>
      <w:bookmarkStart w:id="176" w:name="_DV_M220"/>
      <w:bookmarkStart w:id="177" w:name="_DV_M222"/>
      <w:bookmarkStart w:id="178" w:name="_DV_M225"/>
      <w:bookmarkStart w:id="179" w:name="_DV_M226"/>
      <w:bookmarkStart w:id="180" w:name="_DV_M228"/>
      <w:bookmarkStart w:id="181" w:name="_DV_M231"/>
      <w:bookmarkStart w:id="182" w:name="_DV_M234"/>
      <w:bookmarkStart w:id="183" w:name="_DV_M236"/>
      <w:bookmarkStart w:id="184" w:name="_DV_M237"/>
      <w:bookmarkStart w:id="185" w:name="_DV_M544"/>
      <w:bookmarkStart w:id="186" w:name="_DV_M254"/>
      <w:bookmarkStart w:id="187" w:name="_DV_M255"/>
      <w:bookmarkStart w:id="188" w:name="_DV_M257"/>
      <w:bookmarkStart w:id="189" w:name="_DV_M242"/>
      <w:bookmarkStart w:id="190" w:name="_DV_M243"/>
      <w:bookmarkStart w:id="191" w:name="_DV_M258"/>
      <w:bookmarkStart w:id="192" w:name="_DV_M271"/>
      <w:bookmarkStart w:id="193" w:name="_DV_M272"/>
      <w:bookmarkStart w:id="194" w:name="_DV_M273"/>
      <w:bookmarkStart w:id="195" w:name="_DV_M274"/>
      <w:bookmarkStart w:id="196" w:name="_DV_M279"/>
      <w:bookmarkStart w:id="197" w:name="_DV_M284"/>
      <w:bookmarkStart w:id="198" w:name="_DV_M53"/>
      <w:bookmarkStart w:id="199" w:name="_DV_M64"/>
      <w:bookmarkStart w:id="200" w:name="_DV_M65"/>
      <w:bookmarkStart w:id="201" w:name="_DV_M201"/>
      <w:bookmarkStart w:id="202" w:name="_DV_M36"/>
      <w:bookmarkStart w:id="203" w:name="_DV_M38"/>
      <w:bookmarkStart w:id="204" w:name="_DV_M197"/>
      <w:bookmarkStart w:id="205" w:name="_DV_M198"/>
      <w:bookmarkStart w:id="206" w:name="_DV_M150"/>
      <w:bookmarkStart w:id="207" w:name="_DV_M151"/>
      <w:bookmarkStart w:id="208" w:name="_DV_M152"/>
      <w:bookmarkStart w:id="209" w:name="_DV_M153"/>
      <w:bookmarkStart w:id="210" w:name="_DV_M69"/>
      <w:bookmarkStart w:id="211" w:name="_DV_M52"/>
      <w:bookmarkStart w:id="212" w:name="_DV_M84"/>
      <w:bookmarkStart w:id="213" w:name="_DV_M388"/>
      <w:bookmarkStart w:id="214" w:name="_DV_M389"/>
      <w:bookmarkStart w:id="215" w:name="_DV_M432"/>
      <w:bookmarkStart w:id="216" w:name="_DV_M149"/>
      <w:bookmarkStart w:id="217" w:name="_DV_M20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Style w:val="Default"/>
        <w:spacing w:line="340" w:lineRule="exact"/>
        <w:rPr>
          <w:rFonts w:ascii="Arial" w:hAnsi="Arial" w:cs="Arial"/>
          <w:color w:val="000000" w:themeColor="text1"/>
          <w:sz w:val="22"/>
          <w:szCs w:val="22"/>
        </w:rPr>
      </w:pPr>
    </w:p>
    <w:sectPr>
      <w:headerReference w:type="default" r:id="rId18"/>
      <w:footerReference w:type="even" r:id="rId19"/>
      <w:footerReference w:type="default" r:id="rId20"/>
      <w:headerReference w:type="first" r:id="rId21"/>
      <w:footerReference w:type="first" r:id="rId22"/>
      <w:pgSz w:w="11907" w:h="16840" w:code="9"/>
      <w:pgMar w:top="2977"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fldSimple w:instr=" DOCPROPERTY iManageFooter \* MERGEFORMAT ">
      <w:r>
        <w:t>JUR_SP - 39719587v2 - 5243018.470159</w:t>
      </w:r>
    </w:fldSimple>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heme="minorHAnsi" w:hAnsiTheme="minorHAnsi"/>
        <w:b/>
        <w:bCs/>
        <w:smallCap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507573C"/>
    <w:multiLevelType w:val="hybridMultilevel"/>
    <w:tmpl w:val="CD944232"/>
    <w:lvl w:ilvl="0" w:tplc="D5E079FC">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6"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7"/>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9"/>
  </w:num>
  <w:num w:numId="26">
    <w:abstractNumId w:val="88"/>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90"/>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2"/>
  </w:num>
  <w:num w:numId="106">
    <w:abstractNumId w:val="8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fontTable" Target="fontTable.xml" Id="rId23" /><Relationship Type="http://schemas.openxmlformats.org/officeDocument/2006/relationships/customXml" Target="../customXml/item10.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footer" Target="footer3.xml" Id="rId22" /><Relationship Type="http://schemas.openxmlformats.org/officeDocument/2006/relationships/customXml" Target="/customXML/itemc.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c.xml>��< ? x m l   v e r s i o n = " 1 . 0 "   e n c o d i n g = " u t f - 1 6 " ? >  
 < p r o p e r t i e s   x m l n s = " h t t p : / / w w w . i m a n a g e . c o m / w o r k / x m l s c h e m a " >  
     < d o c u m e n t i d > J U R _ S P ! 3 9 9 9 0 3 2 2 . 1 < / d o c u m e n t i d >  
     < s e n d e r i d > G A C < / s e n d e r i d >  
     < s e n d e r e m a i l > R M A R T I N S @ P N . C O M . B R < / s e n d e r e m a i l >  
     < l a s t m o d i f i e d > 2 0 2 1 - 0 3 - 1 9 T 1 1 : 5 4 : 0 0 . 0 0 0 0 0 0 0 - 0 3 : 0 0 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007E-9CB5-451E-BD10-240222F1ED67}">
  <ds:schemaRefs>
    <ds:schemaRef ds:uri="http://purl.org/dc/terms/"/>
    <ds:schemaRef ds:uri="http://www.w3.org/XML/1998/namespace"/>
    <ds:schemaRef ds:uri="http://purl.org/dc/dcmitype/"/>
    <ds:schemaRef ds:uri="http://purl.org/dc/elements/1.1/"/>
    <ds:schemaRef ds:uri="http://schemas.microsoft.com/office/2006/documentManagement/types"/>
    <ds:schemaRef ds:uri="af0daf84-0293-4e3c-ab32-fff1823818e3"/>
    <ds:schemaRef ds:uri="4cdf92dc-1620-499f-ae87-069aa5c37f5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10.xml><?xml version="1.0" encoding="utf-8"?>
<ds:datastoreItem xmlns:ds="http://schemas.openxmlformats.org/officeDocument/2006/customXml" ds:itemID="{D47F8E40-2A8F-4A06-A069-EC33B5514140}">
  <ds:schemaRefs>
    <ds:schemaRef ds:uri="http://schemas.openxmlformats.org/officeDocument/2006/bibliography"/>
  </ds:schemaRefs>
</ds:datastoreItem>
</file>

<file path=customXml/itemProps11.xml><?xml version="1.0" encoding="utf-8"?>
<ds:datastoreItem xmlns:ds="http://schemas.openxmlformats.org/officeDocument/2006/customXml" ds:itemID="{D6479785-4773-4105-B3CE-9B70052A4B8E}">
  <ds:schemaRefs>
    <ds:schemaRef ds:uri="http://schemas.openxmlformats.org/officeDocument/2006/bibliography"/>
  </ds:schemaRefs>
</ds:datastoreItem>
</file>

<file path=customXml/itemProps2.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33166-3FCA-4E6D-A2DC-B3342093F5AD}">
  <ds:schemaRefs>
    <ds:schemaRef ds:uri="http://schemas.openxmlformats.org/officeDocument/2006/bibliography"/>
  </ds:schemaRefs>
</ds:datastoreItem>
</file>

<file path=customXml/itemProps4.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5.xml><?xml version="1.0" encoding="utf-8"?>
<ds:datastoreItem xmlns:ds="http://schemas.openxmlformats.org/officeDocument/2006/customXml" ds:itemID="{17151319-33F2-49A3-8A77-83D548A6F1EA}">
  <ds:schemaRefs>
    <ds:schemaRef ds:uri="http://schemas.openxmlformats.org/officeDocument/2006/bibliography"/>
  </ds:schemaRefs>
</ds:datastoreItem>
</file>

<file path=customXml/itemProps6.xml><?xml version="1.0" encoding="utf-8"?>
<ds:datastoreItem xmlns:ds="http://schemas.openxmlformats.org/officeDocument/2006/customXml" ds:itemID="{2E82A8F0-081F-4882-A24F-9BAA48718347}">
  <ds:schemaRefs>
    <ds:schemaRef ds:uri="http://schemas.openxmlformats.org/officeDocument/2006/bibliography"/>
  </ds:schemaRefs>
</ds:datastoreItem>
</file>

<file path=customXml/itemProps7.xml><?xml version="1.0" encoding="utf-8"?>
<ds:datastoreItem xmlns:ds="http://schemas.openxmlformats.org/officeDocument/2006/customXml" ds:itemID="{0FF7D25B-03C2-4368-BAE7-71D2BB91E398}">
  <ds:schemaRefs>
    <ds:schemaRef ds:uri="http://schemas.openxmlformats.org/officeDocument/2006/bibliography"/>
  </ds:schemaRefs>
</ds:datastoreItem>
</file>

<file path=customXml/itemProps8.xml><?xml version="1.0" encoding="utf-8"?>
<ds:datastoreItem xmlns:ds="http://schemas.openxmlformats.org/officeDocument/2006/customXml" ds:itemID="{A3912D2A-D938-41AA-80CD-34B3DBCA034B}">
  <ds:schemaRefs>
    <ds:schemaRef ds:uri="http://schemas.openxmlformats.org/officeDocument/2006/bibliography"/>
  </ds:schemaRefs>
</ds:datastoreItem>
</file>

<file path=customXml/itemProps9.xml><?xml version="1.0" encoding="utf-8"?>
<ds:datastoreItem xmlns:ds="http://schemas.openxmlformats.org/officeDocument/2006/customXml" ds:itemID="{4ABFAEF9-D602-4F63-9B80-AD7E4D6F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1505</Words>
  <Characters>8583</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10068</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Pinheiro Neto Advogados</cp:lastModifiedBy>
  <cp:revision>9</cp:revision>
  <cp:lastPrinted>2021-03-19T14:49:00Z</cp:lastPrinted>
  <dcterms:created xsi:type="dcterms:W3CDTF">2021-03-16T21:52:00Z</dcterms:created>
  <dcterms:modified xsi:type="dcterms:W3CDTF">2021-03-19T14:54:00Z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- 39719587v2 - 5243018.470159</vt:lpwstr>
  </property>
</Properties>
</file>