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before="140" w:after="0" w:line="290" w:lineRule="auto"/>
        <w:jc w:val="center"/>
        <w:rPr>
          <w:rFonts w:ascii="Arial" w:hAnsi="Arial" w:cs="Arial"/>
          <w:b/>
          <w:lang w:val="pt-BR"/>
        </w:rPr>
      </w:pPr>
      <w:r>
        <w:rPr>
          <w:rFonts w:ascii="Arial" w:hAnsi="Arial" w:cs="Arial"/>
          <w:b/>
          <w:lang w:val="pt-BR"/>
        </w:rPr>
        <w:t>PRIMEIRO ADITAMENTO AO INSTRUMENTO PARTICULAR DE CONTRATO DE CESSÃO FIDUCIÁRIA DE CONTAS VINCULADAS E OUTRAS AVENÇAS</w:t>
      </w:r>
    </w:p>
    <w:p>
      <w:pPr>
        <w:spacing w:before="140" w:line="290" w:lineRule="auto"/>
        <w:jc w:val="both"/>
        <w:rPr>
          <w:rFonts w:ascii="Arial" w:hAnsi="Arial" w:cs="Arial"/>
          <w:lang w:val="pt-BR"/>
        </w:rPr>
      </w:pPr>
      <w:r>
        <w:rPr>
          <w:rFonts w:ascii="Arial" w:hAnsi="Arial" w:cs="Arial"/>
          <w:lang w:val="pt-BR"/>
        </w:rPr>
        <w:t xml:space="preserve">Pelo presente </w:t>
      </w:r>
      <w:bookmarkStart w:id="0" w:name="_Hlk63678257"/>
      <w:bookmarkStart w:id="1" w:name="_Hlk50741662"/>
      <w:r>
        <w:rPr>
          <w:rFonts w:ascii="Arial" w:hAnsi="Arial" w:cs="Arial"/>
          <w:lang w:val="pt-BR"/>
        </w:rPr>
        <w:t xml:space="preserve">Primeiro Aditamento ao </w:t>
      </w:r>
      <w:bookmarkEnd w:id="0"/>
      <w:r>
        <w:rPr>
          <w:rFonts w:ascii="Arial" w:hAnsi="Arial" w:cs="Arial"/>
          <w:lang w:val="pt-BR"/>
        </w:rPr>
        <w:t>Instrumento Particular de Contrato de Cessão Fiduciária de Contas Vinculadas e Outras Avenças (“</w:t>
      </w:r>
      <w:r>
        <w:rPr>
          <w:rFonts w:ascii="Arial" w:hAnsi="Arial" w:cs="Arial"/>
          <w:b/>
          <w:lang w:val="pt-BR"/>
        </w:rPr>
        <w:t>Aditamento</w:t>
      </w:r>
      <w:r>
        <w:rPr>
          <w:rFonts w:ascii="Arial" w:hAnsi="Arial" w:cs="Arial"/>
          <w:lang w:val="pt-BR"/>
        </w:rPr>
        <w:t>”)</w:t>
      </w:r>
      <w:bookmarkEnd w:id="1"/>
      <w:r>
        <w:rPr>
          <w:rFonts w:ascii="Arial" w:hAnsi="Arial" w:cs="Arial"/>
          <w:lang w:val="pt-BR"/>
        </w:rPr>
        <w:t>, as partes:</w:t>
      </w:r>
    </w:p>
    <w:p>
      <w:pPr>
        <w:pStyle w:val="NormalWeb"/>
        <w:spacing w:before="140" w:beforeAutospacing="0" w:after="0" w:afterAutospacing="0" w:line="290" w:lineRule="auto"/>
        <w:jc w:val="both"/>
        <w:rPr>
          <w:rFonts w:ascii="Arial" w:hAnsi="Arial" w:cs="Arial"/>
          <w:sz w:val="20"/>
          <w:szCs w:val="20"/>
        </w:rPr>
      </w:pPr>
      <w:proofErr w:type="gramStart"/>
      <w:r>
        <w:rPr>
          <w:rFonts w:ascii="Arial" w:hAnsi="Arial" w:cs="Arial"/>
          <w:sz w:val="20"/>
          <w:szCs w:val="20"/>
        </w:rPr>
        <w:t>na</w:t>
      </w:r>
      <w:proofErr w:type="gramEnd"/>
      <w:r>
        <w:rPr>
          <w:rFonts w:ascii="Arial" w:hAnsi="Arial" w:cs="Arial"/>
          <w:sz w:val="20"/>
          <w:szCs w:val="20"/>
        </w:rPr>
        <w:t xml:space="preserve"> qualidade de credor fiduciário:</w:t>
      </w:r>
    </w:p>
    <w:p>
      <w:pPr>
        <w:pStyle w:val="Parties"/>
        <w:widowControl w:val="0"/>
        <w:spacing w:before="140" w:after="0"/>
        <w:rPr>
          <w:szCs w:val="20"/>
        </w:rPr>
      </w:pPr>
      <w:bookmarkStart w:id="2" w:name="Texto1926"/>
      <w:r>
        <w:rPr>
          <w:b/>
        </w:rPr>
        <w:t>SIMPLIFIC PAVARINI DISTRIBUIDORA DE TÍTULOS E VALORES MOBILIÁRIOS LTDA.</w:t>
      </w:r>
      <w:r>
        <w:t>, sociedade limitada, atuando por sua filial, localizada na cidade de São Paulo, Estado de São Paulo, na Rua Joaquim Floria</w:t>
      </w:r>
      <w:bookmarkStart w:id="3" w:name="_GoBack"/>
      <w:bookmarkEnd w:id="3"/>
      <w:r>
        <w:t>no, nº 466, Bloco B, sala 1.401, CEP 04534-002, inscrita no Cadastro Nacional da Pessoa Jurídica do Ministério da Economia (“</w:t>
      </w:r>
      <w:r>
        <w:rPr>
          <w:b/>
        </w:rPr>
        <w:t>CNPJ/ME</w:t>
      </w:r>
      <w:r>
        <w:t>”) sob o nº 15.227.994/0004-01, com seus atos constitutivos devidamente registrados na Junta Comercial do Estado do Rio de Janeiro (“</w:t>
      </w:r>
      <w:r>
        <w:rPr>
          <w:b/>
        </w:rPr>
        <w:t>JUCERJA</w:t>
      </w:r>
      <w:r>
        <w:t>”) sob o NIRE 33.2.0064417-1, neste ato representada na forma de seu contrato social, na qualidade de agente fiduciário representando a comunhão dos titulares das Debêntures (conforme abaixo definidas) (“</w:t>
      </w:r>
      <w:r>
        <w:rPr>
          <w:b/>
        </w:rPr>
        <w:t>Agente Fiduciário</w:t>
      </w:r>
      <w:r>
        <w:t>” e “</w:t>
      </w:r>
      <w:r>
        <w:rPr>
          <w:b/>
        </w:rPr>
        <w:t>Debenturistas</w:t>
      </w:r>
      <w:r>
        <w:t>”, respectivamente)</w:t>
      </w:r>
      <w:bookmarkEnd w:id="2"/>
      <w:r>
        <w:t>;</w:t>
      </w:r>
    </w:p>
    <w:p>
      <w:pPr>
        <w:pStyle w:val="NormalWeb"/>
        <w:spacing w:before="140" w:beforeAutospacing="0" w:after="0" w:afterAutospacing="0" w:line="290" w:lineRule="auto"/>
        <w:jc w:val="both"/>
        <w:rPr>
          <w:rFonts w:ascii="Arial" w:hAnsi="Arial" w:cs="Arial"/>
          <w:sz w:val="20"/>
          <w:szCs w:val="20"/>
        </w:rPr>
      </w:pPr>
      <w:proofErr w:type="gramStart"/>
      <w:r>
        <w:rPr>
          <w:rFonts w:ascii="Arial" w:hAnsi="Arial" w:cs="Arial"/>
          <w:sz w:val="20"/>
          <w:szCs w:val="20"/>
        </w:rPr>
        <w:t>na</w:t>
      </w:r>
      <w:proofErr w:type="gramEnd"/>
      <w:r>
        <w:rPr>
          <w:rFonts w:ascii="Arial" w:hAnsi="Arial" w:cs="Arial"/>
          <w:sz w:val="20"/>
          <w:szCs w:val="20"/>
        </w:rPr>
        <w:t xml:space="preserve"> qualidade de cedentes fiduciárias:</w:t>
      </w:r>
    </w:p>
    <w:p>
      <w:pPr>
        <w:pStyle w:val="Parties"/>
        <w:widowControl w:val="0"/>
        <w:spacing w:before="140" w:after="0"/>
        <w:rPr>
          <w:bCs w:val="0"/>
        </w:rPr>
      </w:pPr>
      <w:r>
        <w:rPr>
          <w:b/>
        </w:rPr>
        <w:t>ELETROMIDIA S.A.</w:t>
      </w:r>
      <w:r>
        <w:rPr>
          <w:bCs w:val="0"/>
        </w:rPr>
        <w:t xml:space="preserve">, sociedade por ações sem registro de companhia aberta perante à Comissão de </w:t>
      </w:r>
      <w:r>
        <w:rPr>
          <w:b/>
        </w:rPr>
        <w:t>Valores</w:t>
      </w:r>
      <w:r>
        <w:rPr>
          <w:bCs w:val="0"/>
        </w:rPr>
        <w:t xml:space="preserve"> Mobiliários (“</w:t>
      </w:r>
      <w:r>
        <w:rPr>
          <w:b/>
        </w:rPr>
        <w:t>CVM</w:t>
      </w:r>
      <w:r>
        <w:rPr>
          <w:bCs w:val="0"/>
        </w:rPr>
        <w:t>”), com sede na Cidade de São Paulo, Estado de São Paulo, na Rua Leopoldo Couto de Magalhães Júnior, nº 758, 7º andar, CEP 04.542-000, Itaim Bibi, inscrita no CNPJ/ME sob o nº 09.347.516/0001-81 e na Junta Comercial do Estado de São Paulo (“</w:t>
      </w:r>
      <w:r>
        <w:rPr>
          <w:b/>
        </w:rPr>
        <w:t>JUCESP</w:t>
      </w:r>
      <w:r>
        <w:rPr>
          <w:bCs w:val="0"/>
        </w:rPr>
        <w:t>”) sob o NIRE nº 35.300.458.893, neste ato representada na forma de seu estatuto social (“</w:t>
      </w:r>
      <w:proofErr w:type="spellStart"/>
      <w:r>
        <w:rPr>
          <w:b/>
        </w:rPr>
        <w:t>Eletromidia</w:t>
      </w:r>
      <w:proofErr w:type="spellEnd"/>
      <w:r>
        <w:rPr>
          <w:bCs w:val="0"/>
        </w:rPr>
        <w:t>”);</w:t>
      </w:r>
    </w:p>
    <w:p>
      <w:pPr>
        <w:pStyle w:val="Parties"/>
        <w:widowControl w:val="0"/>
        <w:spacing w:before="140" w:after="0"/>
        <w:rPr>
          <w:bCs w:val="0"/>
        </w:rPr>
      </w:pPr>
      <w:r>
        <w:rPr>
          <w:b/>
        </w:rPr>
        <w:t>TV MINUTO S.A.</w:t>
      </w:r>
      <w:r>
        <w:rPr>
          <w:bCs w:val="0"/>
        </w:rPr>
        <w:t>, 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b/>
        </w:rPr>
        <w:t>TV Minuto</w:t>
      </w:r>
      <w:r>
        <w:rPr>
          <w:bCs w:val="0"/>
        </w:rPr>
        <w:t>”); e</w:t>
      </w:r>
    </w:p>
    <w:p>
      <w:pPr>
        <w:pStyle w:val="Parties"/>
        <w:widowControl w:val="0"/>
        <w:spacing w:before="140" w:after="0"/>
        <w:rPr>
          <w:b/>
          <w:bCs w:val="0"/>
        </w:rPr>
      </w:pPr>
      <w:r>
        <w:rPr>
          <w:b/>
          <w:bCs w:val="0"/>
        </w:rPr>
        <w:t>ELEMÍDIA CONSULTORIA E SERVIÇOS DE MARKETING S.A.</w:t>
      </w:r>
      <w:r>
        <w:t>, sociedade por ações sem registro de companhia aberta perante à CVM, com sede na Cidade de São Paulo, Estado de São Paulo, na Avenida Brigadeiro Faria Lima, 4300, 7º Andar, Itaim Bibi, CEP 04.538-132, inscrita no CNPJ/ME sob o nº 05.881.258/0001-68 e na JUCESP sob o NIRE nº 35.300.333.489, neste ato representada na forma de seu estatuto social (“</w:t>
      </w:r>
      <w:r>
        <w:rPr>
          <w:b/>
          <w:bCs w:val="0"/>
        </w:rPr>
        <w:t>ELEMÍDIA</w:t>
      </w:r>
      <w:r>
        <w:t xml:space="preserve">” e, em conjunto com a </w:t>
      </w:r>
      <w:proofErr w:type="spellStart"/>
      <w:r>
        <w:t>Eletromidia</w:t>
      </w:r>
      <w:proofErr w:type="spellEnd"/>
      <w:r>
        <w:t xml:space="preserve"> e a TV Minuto, “</w:t>
      </w:r>
      <w:r>
        <w:rPr>
          <w:b/>
          <w:bCs w:val="0"/>
        </w:rPr>
        <w:t>Cedentes Fiduciárias</w:t>
      </w:r>
      <w:r>
        <w:t>”), e</w:t>
      </w:r>
    </w:p>
    <w:p>
      <w:pPr>
        <w:pStyle w:val="Parties"/>
        <w:widowControl w:val="0"/>
        <w:numPr>
          <w:ilvl w:val="0"/>
          <w:numId w:val="0"/>
        </w:numPr>
        <w:spacing w:before="140" w:after="0"/>
      </w:pPr>
      <w:proofErr w:type="gramStart"/>
      <w:r>
        <w:t>na</w:t>
      </w:r>
      <w:proofErr w:type="gramEnd"/>
      <w:r>
        <w:t xml:space="preserve"> qualidade de emissora das Debêntures (conforme abaixo definidas):</w:t>
      </w:r>
    </w:p>
    <w:p>
      <w:pPr>
        <w:pStyle w:val="Parties"/>
        <w:widowControl w:val="0"/>
        <w:spacing w:before="140" w:after="0"/>
        <w:rPr>
          <w:b/>
          <w:bCs w:val="0"/>
        </w:rPr>
      </w:pPr>
      <w:r>
        <w:rPr>
          <w:b/>
        </w:rPr>
        <w:t>ELETROMIDIA S.A.</w:t>
      </w:r>
      <w:r>
        <w:t>, acima qualificada (“</w:t>
      </w:r>
      <w:r>
        <w:rPr>
          <w:b/>
        </w:rPr>
        <w:t>Emissora</w:t>
      </w:r>
      <w:r>
        <w:t>”).</w:t>
      </w:r>
    </w:p>
    <w:p>
      <w:pPr>
        <w:pStyle w:val="Parties"/>
        <w:numPr>
          <w:ilvl w:val="0"/>
          <w:numId w:val="0"/>
        </w:numPr>
      </w:pPr>
    </w:p>
    <w:p>
      <w:pPr>
        <w:pStyle w:val="Parties"/>
        <w:numPr>
          <w:ilvl w:val="0"/>
          <w:numId w:val="0"/>
        </w:numPr>
      </w:pPr>
      <w:r>
        <w:t xml:space="preserve">A Emissora, o Agente Fiduciário e as Cedentes Fiduciárias são doravante </w:t>
      </w:r>
      <w:proofErr w:type="gramStart"/>
      <w:r>
        <w:t>referidos</w:t>
      </w:r>
      <w:proofErr w:type="gramEnd"/>
      <w:r>
        <w:t>, em conjunto, como “</w:t>
      </w:r>
      <w:r>
        <w:rPr>
          <w:b/>
        </w:rPr>
        <w:t>Partes</w:t>
      </w:r>
      <w:r>
        <w:t>” e, individual e indistintamente, como “</w:t>
      </w:r>
      <w:r>
        <w:rPr>
          <w:b/>
        </w:rPr>
        <w:t>Parte</w:t>
      </w:r>
      <w:r>
        <w:t>”.</w:t>
      </w:r>
    </w:p>
    <w:p>
      <w:pPr>
        <w:pStyle w:val="Heading"/>
        <w:widowControl w:val="0"/>
        <w:spacing w:before="140" w:after="0"/>
        <w:rPr>
          <w:sz w:val="20"/>
          <w:szCs w:val="20"/>
        </w:rPr>
      </w:pPr>
      <w:r>
        <w:rPr>
          <w:sz w:val="20"/>
          <w:szCs w:val="20"/>
        </w:rPr>
        <w:t>CONSIDERANDO QUE:</w:t>
      </w:r>
    </w:p>
    <w:p>
      <w:pPr>
        <w:pStyle w:val="Recitals"/>
        <w:widowControl w:val="0"/>
        <w:spacing w:before="140" w:after="0"/>
        <w:rPr>
          <w:rFonts w:cs="Arial"/>
          <w:szCs w:val="20"/>
        </w:rPr>
      </w:pPr>
      <w:bookmarkStart w:id="4" w:name="_Hlk41892812"/>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xml:space="preserve">”) e das </w:t>
      </w:r>
      <w:r>
        <w:rPr>
          <w:rFonts w:cs="Arial"/>
          <w:szCs w:val="20"/>
        </w:rPr>
        <w:lastRenderedPageBreak/>
        <w:t>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5" w:name="_DV_M20"/>
      <w:bookmarkEnd w:id="5"/>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16 de março de 2020, as Partes celebraram o “</w:t>
      </w:r>
      <w:r>
        <w:rPr>
          <w:rFonts w:cs="Arial"/>
          <w:i/>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cs="Arial"/>
          <w:i/>
          <w:szCs w:val="20"/>
        </w:rPr>
        <w:t>Eletromidia</w:t>
      </w:r>
      <w:proofErr w:type="spellEnd"/>
      <w:r>
        <w:rPr>
          <w:rFonts w:cs="Arial"/>
          <w:i/>
          <w:szCs w:val="20"/>
        </w:rPr>
        <w:t xml:space="preserve"> S.A.</w:t>
      </w:r>
      <w:r>
        <w:rPr>
          <w:rFonts w:cs="Arial"/>
          <w:szCs w:val="20"/>
        </w:rPr>
        <w:t>”, o qual foi devidamente registrado na JUCESP, em 6 de maio de 2020, sob nº ED003389-3/000 (“</w:t>
      </w:r>
      <w:r>
        <w:rPr>
          <w:rFonts w:cs="Arial"/>
          <w:b/>
          <w:szCs w:val="20"/>
        </w:rPr>
        <w:t>Escritura de Emissão</w:t>
      </w:r>
      <w:r>
        <w:rPr>
          <w:rFonts w:cs="Arial"/>
          <w:szCs w:val="20"/>
        </w:rPr>
        <w:t>”);</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20 de março de 2020, as Partes celebraram o “</w:t>
      </w:r>
      <w:r>
        <w:rPr>
          <w:rFonts w:cs="Arial"/>
          <w:i/>
        </w:rPr>
        <w:t>Instrumento Particular de Contrato de Cessão Fiduciária de Contas Vinculadas e Outras Avenças</w:t>
      </w:r>
      <w:r>
        <w:rPr>
          <w:rFonts w:cs="Arial"/>
          <w:szCs w:val="20"/>
        </w:rPr>
        <w:t>”, o qual foi devidamente registrado no Cartório de RTD (conforme abaixo definido), em 23 de março de 2020, sob nº 3.713.559 (“</w:t>
      </w:r>
      <w:r>
        <w:rPr>
          <w:rFonts w:cs="Arial"/>
          <w:b/>
          <w:szCs w:val="20"/>
        </w:rPr>
        <w:t>Contrato</w:t>
      </w:r>
      <w:r>
        <w:rPr>
          <w:rFonts w:cs="Arial"/>
          <w:szCs w:val="20"/>
        </w:rPr>
        <w:t>”);</w:t>
      </w:r>
    </w:p>
    <w:p>
      <w:pPr>
        <w:pStyle w:val="Recitals"/>
        <w:widowControl w:val="0"/>
        <w:spacing w:before="140" w:after="0"/>
        <w:rPr>
          <w:rFonts w:cs="Arial"/>
          <w:szCs w:val="20"/>
        </w:rPr>
      </w:pPr>
      <w:r>
        <w:rPr>
          <w:rFonts w:cs="Arial"/>
          <w:szCs w:val="20"/>
        </w:rPr>
        <w:t>em Assembleia Geral Debenturistas realizada, em 5 de agosto de 2020, foi deliberado e aprovado, dentre outros pontos, pelos titulares das Debêntures (“</w:t>
      </w:r>
      <w:r>
        <w:rPr>
          <w:rFonts w:cs="Arial"/>
          <w:b/>
          <w:szCs w:val="20"/>
        </w:rPr>
        <w:t>Debenturistas</w:t>
      </w:r>
      <w:r>
        <w:rPr>
          <w:rFonts w:cs="Arial"/>
          <w:szCs w:val="20"/>
        </w:rPr>
        <w:t>”), (i) a alteração da data de Início da Apuração (conforme definida no Contrato) para 8 de janeiro de 2021, (</w:t>
      </w:r>
      <w:proofErr w:type="spellStart"/>
      <w:r>
        <w:rPr>
          <w:rFonts w:cs="Arial"/>
          <w:szCs w:val="20"/>
        </w:rPr>
        <w:t>ii</w:t>
      </w:r>
      <w:proofErr w:type="spellEnd"/>
      <w:r>
        <w:rPr>
          <w:rFonts w:cs="Arial"/>
          <w:szCs w:val="20"/>
        </w:rPr>
        <w:t>) a alteração dos itens “V” e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5.8.20</w:t>
      </w:r>
      <w:r>
        <w:rPr>
          <w:rFonts w:cs="Arial"/>
          <w:szCs w:val="20"/>
        </w:rPr>
        <w:t>”);</w:t>
      </w:r>
    </w:p>
    <w:p>
      <w:pPr>
        <w:pStyle w:val="Recitals"/>
        <w:widowControl w:val="0"/>
        <w:spacing w:before="140" w:after="0"/>
        <w:rPr>
          <w:rFonts w:cs="Arial"/>
          <w:szCs w:val="20"/>
        </w:rPr>
      </w:pPr>
      <w:r>
        <w:rPr>
          <w:rFonts w:cs="Arial"/>
          <w:szCs w:val="20"/>
        </w:rPr>
        <w:t>em Assembleia Geral Debenturistas realizada, em 19 de janeiro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8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19.1.21</w:t>
      </w:r>
      <w:r>
        <w:rPr>
          <w:rFonts w:cs="Arial"/>
          <w:szCs w:val="20"/>
        </w:rPr>
        <w:t>”);</w:t>
      </w:r>
    </w:p>
    <w:p>
      <w:pPr>
        <w:pStyle w:val="Recitals"/>
        <w:widowControl w:val="0"/>
        <w:spacing w:before="140" w:after="0"/>
        <w:rPr>
          <w:rFonts w:cs="Arial"/>
          <w:szCs w:val="20"/>
        </w:rPr>
      </w:pPr>
      <w:r>
        <w:rPr>
          <w:rFonts w:cs="Arial"/>
          <w:szCs w:val="20"/>
        </w:rPr>
        <w:t>em Assembleia Geral Debenturistas realizada, em 26 de fevereiro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19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26.2.21</w:t>
      </w:r>
      <w:r>
        <w:rPr>
          <w:rFonts w:cs="Arial"/>
          <w:szCs w:val="20"/>
        </w:rPr>
        <w:t>”);</w:t>
      </w:r>
    </w:p>
    <w:p>
      <w:pPr>
        <w:pStyle w:val="Recitals"/>
        <w:widowControl w:val="0"/>
        <w:spacing w:before="140" w:after="0"/>
        <w:rPr>
          <w:rFonts w:cs="Arial"/>
          <w:szCs w:val="20"/>
        </w:rPr>
      </w:pPr>
      <w:r>
        <w:rPr>
          <w:rFonts w:cs="Arial"/>
          <w:szCs w:val="20"/>
        </w:rPr>
        <w:t>em Assembleia Geral Debenturistas realizada, em 19 de março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8 de abril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19.3.21</w:t>
      </w:r>
      <w:r>
        <w:rPr>
          <w:rFonts w:cs="Arial"/>
          <w:szCs w:val="20"/>
        </w:rPr>
        <w:t>”);</w:t>
      </w:r>
    </w:p>
    <w:p>
      <w:pPr>
        <w:pStyle w:val="Recitals"/>
        <w:widowControl w:val="0"/>
        <w:spacing w:before="140" w:after="0"/>
        <w:rPr>
          <w:rFonts w:cs="Arial"/>
          <w:szCs w:val="20"/>
        </w:rPr>
      </w:pPr>
      <w:r>
        <w:rPr>
          <w:rFonts w:cs="Arial"/>
          <w:szCs w:val="20"/>
        </w:rPr>
        <w:t>em Assembleia Geral Debenturistas realizada, em [●] de [●] de 2021, foi deliberado e aprovado, dentre outros pontos, pelos titulares das Debêntures (“</w:t>
      </w:r>
      <w:r>
        <w:rPr>
          <w:rFonts w:cs="Arial"/>
          <w:b/>
          <w:szCs w:val="20"/>
        </w:rPr>
        <w:t>Debenturistas</w:t>
      </w:r>
      <w:r>
        <w:rPr>
          <w:rFonts w:cs="Arial"/>
          <w:szCs w:val="20"/>
        </w:rPr>
        <w:t>”), (i) a contratação do Banco Bradesco S.A. (“</w:t>
      </w:r>
      <w:r>
        <w:rPr>
          <w:rFonts w:cs="Arial"/>
          <w:b/>
          <w:szCs w:val="20"/>
        </w:rPr>
        <w:t>Bradesco</w:t>
      </w:r>
      <w:r>
        <w:rPr>
          <w:rFonts w:cs="Arial"/>
          <w:szCs w:val="20"/>
        </w:rPr>
        <w:t xml:space="preserve">”) como banco depositário no âmbito da cessão fiduciária outorgada pela Emissora e </w:t>
      </w:r>
      <w:r>
        <w:rPr>
          <w:rFonts w:cs="Arial"/>
          <w:szCs w:val="20"/>
        </w:rPr>
        <w:lastRenderedPageBreak/>
        <w:t>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cs="Arial"/>
          <w:b/>
          <w:szCs w:val="20"/>
        </w:rPr>
        <w:t>Cessão Fiduciária</w:t>
      </w:r>
      <w:r>
        <w:rPr>
          <w:rFonts w:cs="Arial"/>
          <w:szCs w:val="20"/>
        </w:rPr>
        <w:t>”), com a consequente autorização para a celebração do “</w:t>
      </w:r>
      <w:r>
        <w:rPr>
          <w:rFonts w:cs="Arial"/>
          <w:i/>
          <w:iCs/>
          <w:szCs w:val="20"/>
        </w:rPr>
        <w:t>Contrato de Prestação de Serviços de Depositário</w:t>
      </w:r>
      <w:r>
        <w:rPr>
          <w:rFonts w:cs="Arial"/>
          <w:szCs w:val="20"/>
        </w:rPr>
        <w:t xml:space="preserve">” a ser celebrado entre o Bradesco, a Emissora, a TV Minuto S.A., a </w:t>
      </w:r>
      <w:proofErr w:type="spellStart"/>
      <w:r>
        <w:rPr>
          <w:rFonts w:cs="Arial"/>
          <w:szCs w:val="20"/>
        </w:rPr>
        <w:t>Elemidia</w:t>
      </w:r>
      <w:proofErr w:type="spellEnd"/>
      <w:r>
        <w:rPr>
          <w:rFonts w:cs="Arial"/>
          <w:szCs w:val="20"/>
        </w:rPr>
        <w:t xml:space="preserve"> Consultoria e Serviços de Marketing S.A. e o Agente Fiduciário em [●] de [</w:t>
      </w:r>
      <w:r>
        <w:rPr>
          <w:rFonts w:cs="Arial"/>
          <w:szCs w:val="20"/>
        </w:rPr>
        <w:sym w:font="Symbol" w:char="F0B7"/>
      </w:r>
      <w:r>
        <w:rPr>
          <w:rFonts w:cs="Arial"/>
          <w:szCs w:val="20"/>
        </w:rPr>
        <w:t>] de 2021 (“</w:t>
      </w:r>
      <w:r>
        <w:rPr>
          <w:rFonts w:cs="Arial"/>
          <w:b/>
          <w:szCs w:val="20"/>
        </w:rPr>
        <w:t>Contrato de Banco Depositário Bradesco</w:t>
      </w:r>
      <w:r>
        <w:rPr>
          <w:rFonts w:cs="Arial"/>
          <w:szCs w:val="20"/>
        </w:rPr>
        <w:t>”) pelo Agente Fiduciário, bem como (</w:t>
      </w:r>
      <w:proofErr w:type="spellStart"/>
      <w:r>
        <w:rPr>
          <w:rFonts w:cs="Arial"/>
          <w:szCs w:val="20"/>
        </w:rPr>
        <w:t>ii</w:t>
      </w:r>
      <w:proofErr w:type="spellEnd"/>
      <w:r>
        <w:rPr>
          <w:rFonts w:cs="Arial"/>
          <w:szCs w:val="20"/>
        </w:rPr>
        <w:t>) a celebração do presente Aditamento (“</w:t>
      </w:r>
      <w:r>
        <w:rPr>
          <w:rFonts w:cs="Arial"/>
          <w:b/>
          <w:bCs/>
          <w:szCs w:val="20"/>
        </w:rPr>
        <w:t xml:space="preserve">AGD </w:t>
      </w:r>
      <w:r>
        <w:rPr>
          <w:rFonts w:cs="Arial"/>
          <w:b/>
          <w:bCs/>
          <w:szCs w:val="20"/>
          <w:lang w:val="pt-PT"/>
        </w:rPr>
        <w:t>[●].21</w:t>
      </w:r>
      <w:r>
        <w:rPr>
          <w:rFonts w:cs="Arial"/>
          <w:szCs w:val="20"/>
        </w:rPr>
        <w:t>); e</w:t>
      </w:r>
    </w:p>
    <w:p>
      <w:pPr>
        <w:pStyle w:val="Recitals"/>
        <w:widowControl w:val="0"/>
        <w:spacing w:before="140" w:after="0"/>
        <w:rPr>
          <w:rFonts w:cs="Arial"/>
          <w:szCs w:val="20"/>
        </w:rPr>
      </w:pPr>
      <w:proofErr w:type="gramStart"/>
      <w:r>
        <w:rPr>
          <w:rFonts w:cs="Arial"/>
          <w:szCs w:val="20"/>
        </w:rPr>
        <w:t>as</w:t>
      </w:r>
      <w:proofErr w:type="gramEnd"/>
      <w:r>
        <w:rPr>
          <w:rFonts w:cs="Arial"/>
          <w:szCs w:val="20"/>
        </w:rPr>
        <w:t xml:space="preserve"> Partes têm interesse em celebrar o presente Aditamento a fim de refletir, no Contrato, os ajustes autorizados nos termos da AGD 5.8.20, da AGD 19.1.21, da AGD 26.2.21, da AGD 19.3.21 e da AGD [●].21, conforme disposto na Cláusula II abaixo.</w:t>
      </w:r>
    </w:p>
    <w:bookmarkEnd w:id="4"/>
    <w:p>
      <w:pPr>
        <w:pStyle w:val="Body"/>
        <w:widowControl w:val="0"/>
        <w:spacing w:before="140" w:after="0"/>
        <w:rPr>
          <w:lang w:val="pt-BR"/>
        </w:rPr>
      </w:pPr>
      <w:r>
        <w:rPr>
          <w:lang w:val="pt-BR"/>
        </w:rPr>
        <w:t>Vêm, por meio desta e na melhor forma de direito, firmar o presente Aditamento, mediante as seguintes cláusulas e condições:</w:t>
      </w:r>
    </w:p>
    <w:p>
      <w:pPr>
        <w:pStyle w:val="Body"/>
        <w:widowControl w:val="0"/>
        <w:spacing w:before="140" w:after="0"/>
        <w:rPr>
          <w:lang w:val="pt-BR"/>
        </w:rPr>
      </w:pPr>
      <w:r>
        <w:rPr>
          <w:lang w:val="pt-BR"/>
        </w:rPr>
        <w:t>Os termos aqui iniciados em letra maiúscula, estejam no singular ou no plural, terão o significado a eles atribuído no Contrato, ainda que posteriormente ao seu uso.</w:t>
      </w:r>
    </w:p>
    <w:p>
      <w:pPr>
        <w:pStyle w:val="Level1"/>
        <w:keepNext w:val="0"/>
        <w:widowControl w:val="0"/>
        <w:spacing w:before="140" w:after="0"/>
        <w:jc w:val="center"/>
        <w:rPr>
          <w:color w:val="auto"/>
          <w:sz w:val="20"/>
          <w:szCs w:val="20"/>
          <w:u w:val="single"/>
        </w:rPr>
      </w:pPr>
      <w:r>
        <w:rPr>
          <w:rFonts w:eastAsia="Arial Unicode MS"/>
          <w:color w:val="auto"/>
          <w:sz w:val="20"/>
          <w:szCs w:val="20"/>
        </w:rPr>
        <w:t xml:space="preserve">CLÁUSULA I – </w:t>
      </w:r>
      <w:r>
        <w:rPr>
          <w:color w:val="auto"/>
          <w:sz w:val="20"/>
          <w:szCs w:val="20"/>
        </w:rPr>
        <w:t xml:space="preserve">AUTORIZAÇÃO </w:t>
      </w:r>
    </w:p>
    <w:p>
      <w:pPr>
        <w:pStyle w:val="Level2"/>
      </w:pPr>
      <w:r>
        <w:t>O presente Primeiro Aditamento ao Contrato é firmado com base nas aprovações realizadas (i) na AGD 5.8.20, (</w:t>
      </w:r>
      <w:proofErr w:type="spellStart"/>
      <w:r>
        <w:t>ii</w:t>
      </w:r>
      <w:proofErr w:type="spellEnd"/>
      <w:r>
        <w:t>) na AGD 19.1.21, (</w:t>
      </w:r>
      <w:proofErr w:type="spellStart"/>
      <w:r>
        <w:t>iii</w:t>
      </w:r>
      <w:proofErr w:type="spellEnd"/>
      <w:r>
        <w:t>) na AGD 26.2.21, (</w:t>
      </w:r>
      <w:proofErr w:type="spellStart"/>
      <w:r>
        <w:t>iv</w:t>
      </w:r>
      <w:proofErr w:type="spellEnd"/>
      <w:r>
        <w:t xml:space="preserve">) na AGD 19.3.21, (v) na AGD [●].21, (vi) </w:t>
      </w:r>
      <w:r>
        <w:rPr>
          <w:color w:val="auto"/>
          <w:szCs w:val="20"/>
        </w:rPr>
        <w:t xml:space="preserve">na Reunião do Conselho de Administração da Emissora realizada em </w:t>
      </w:r>
      <w:r>
        <w:t>[●]</w:t>
      </w:r>
      <w:r>
        <w:rPr>
          <w:color w:val="auto"/>
          <w:szCs w:val="20"/>
        </w:rPr>
        <w:t xml:space="preserve"> de abril de 2021, (</w:t>
      </w:r>
      <w:proofErr w:type="spellStart"/>
      <w:r>
        <w:rPr>
          <w:color w:val="auto"/>
          <w:szCs w:val="20"/>
        </w:rPr>
        <w:t>vii</w:t>
      </w:r>
      <w:proofErr w:type="spellEnd"/>
      <w:r>
        <w:rPr>
          <w:color w:val="auto"/>
          <w:szCs w:val="20"/>
        </w:rPr>
        <w:t xml:space="preserve">) na Assembleia Geral Extraordinária da </w:t>
      </w:r>
      <w:proofErr w:type="spellStart"/>
      <w:r>
        <w:rPr>
          <w:color w:val="auto"/>
          <w:szCs w:val="20"/>
        </w:rPr>
        <w:t>Elemidia</w:t>
      </w:r>
      <w:proofErr w:type="spellEnd"/>
      <w:r>
        <w:rPr>
          <w:color w:val="auto"/>
          <w:szCs w:val="20"/>
        </w:rPr>
        <w:t xml:space="preserve"> realizada em </w:t>
      </w:r>
      <w:r>
        <w:t>[●]</w:t>
      </w:r>
      <w:r>
        <w:rPr>
          <w:color w:val="auto"/>
          <w:szCs w:val="20"/>
        </w:rPr>
        <w:t xml:space="preserve"> de abril de 2021 e (</w:t>
      </w:r>
      <w:proofErr w:type="spellStart"/>
      <w:r>
        <w:rPr>
          <w:color w:val="auto"/>
          <w:szCs w:val="20"/>
        </w:rPr>
        <w:t>viii</w:t>
      </w:r>
      <w:proofErr w:type="spellEnd"/>
      <w:r>
        <w:rPr>
          <w:color w:val="auto"/>
          <w:szCs w:val="20"/>
        </w:rPr>
        <w:t xml:space="preserve">) na Reunião da Diretoria da TV Minuto realizada em </w:t>
      </w:r>
      <w:r>
        <w:t>[●]</w:t>
      </w:r>
      <w:r>
        <w:rPr>
          <w:color w:val="auto"/>
          <w:szCs w:val="20"/>
        </w:rPr>
        <w:t xml:space="preserve"> de abril de 2021</w:t>
      </w:r>
      <w:r>
        <w:t>.</w:t>
      </w:r>
    </w:p>
    <w:p>
      <w:pPr>
        <w:pStyle w:val="Level1"/>
        <w:keepNext w:val="0"/>
        <w:widowControl w:val="0"/>
        <w:spacing w:before="140" w:after="0"/>
        <w:jc w:val="center"/>
        <w:rPr>
          <w:color w:val="auto"/>
          <w:sz w:val="20"/>
          <w:szCs w:val="20"/>
          <w:u w:val="single"/>
        </w:rPr>
      </w:pPr>
      <w:bookmarkStart w:id="6" w:name="_Ref51175789"/>
      <w:r>
        <w:rPr>
          <w:rFonts w:eastAsia="Arial Unicode MS"/>
          <w:color w:val="auto"/>
          <w:sz w:val="20"/>
          <w:szCs w:val="20"/>
        </w:rPr>
        <w:t xml:space="preserve">CLÁUSULA II – </w:t>
      </w:r>
      <w:r>
        <w:rPr>
          <w:color w:val="auto"/>
          <w:sz w:val="20"/>
          <w:szCs w:val="20"/>
        </w:rPr>
        <w:t>ALTERAÇÕES</w:t>
      </w:r>
      <w:bookmarkEnd w:id="6"/>
    </w:p>
    <w:p>
      <w:pPr>
        <w:pStyle w:val="Level2"/>
        <w:widowControl w:val="0"/>
        <w:spacing w:before="140" w:after="0"/>
        <w:rPr>
          <w:rFonts w:eastAsia="Arial Unicode MS"/>
          <w:color w:val="auto"/>
          <w:szCs w:val="20"/>
        </w:rPr>
      </w:pPr>
      <w:bookmarkStart w:id="7" w:name="_Ref41850452"/>
      <w:r>
        <w:rPr>
          <w:color w:val="auto"/>
          <w:szCs w:val="20"/>
        </w:rPr>
        <w:t xml:space="preserve">Em decorrência das deliberações aprovadas na AGD 5.8.20, na AGD 19.1.21, na AGD 26.2.21, na AGD 19.3.21 e na AGD [●].21, as Partes resolvem aditar o </w:t>
      </w:r>
      <w:proofErr w:type="gramStart"/>
      <w:r>
        <w:rPr>
          <w:color w:val="auto"/>
          <w:szCs w:val="20"/>
        </w:rPr>
        <w:t xml:space="preserve">Contrato,  </w:t>
      </w:r>
      <w:r>
        <w:rPr>
          <w:color w:val="auto"/>
          <w:szCs w:val="20"/>
          <w:lang w:val="pt-PT"/>
        </w:rPr>
        <w:t>para</w:t>
      </w:r>
      <w:proofErr w:type="gramEnd"/>
      <w:r>
        <w:rPr>
          <w:color w:val="auto"/>
          <w:szCs w:val="20"/>
          <w:lang w:val="pt-PT"/>
        </w:rPr>
        <w:t xml:space="preserve"> realizar todos os ajustes e adequações que se fizeram necessários decorrentes de tais deliberações. Dessa forma, o Contrato passará a vigorar conforme versão </w:t>
      </w:r>
      <w:r>
        <w:rPr>
          <w:rFonts w:eastAsia="Arial Unicode MS"/>
          <w:color w:val="auto"/>
          <w:szCs w:val="20"/>
          <w:lang w:val="pt-PT"/>
        </w:rPr>
        <w:t xml:space="preserve">consolidada constante do </w:t>
      </w:r>
      <w:r>
        <w:rPr>
          <w:rFonts w:eastAsia="Arial Unicode MS"/>
          <w:b/>
          <w:color w:val="auto"/>
          <w:szCs w:val="20"/>
          <w:u w:val="single"/>
          <w:lang w:val="pt-PT"/>
        </w:rPr>
        <w:t>Anexo A</w:t>
      </w:r>
      <w:r>
        <w:rPr>
          <w:rFonts w:eastAsia="Arial Unicode MS"/>
          <w:color w:val="auto"/>
          <w:szCs w:val="20"/>
          <w:lang w:val="pt-PT"/>
        </w:rPr>
        <w:t xml:space="preserve"> ao presente Aditamento</w:t>
      </w:r>
      <w:bookmarkEnd w:id="7"/>
      <w:r>
        <w:rPr>
          <w:rFonts w:eastAsia="Arial Unicode MS"/>
          <w:color w:val="auto"/>
          <w:szCs w:val="20"/>
        </w:rPr>
        <w:t>.</w:t>
      </w:r>
    </w:p>
    <w:p>
      <w:pPr>
        <w:pStyle w:val="Level2"/>
        <w:widowControl w:val="0"/>
        <w:numPr>
          <w:ilvl w:val="0"/>
          <w:numId w:val="0"/>
        </w:numPr>
        <w:spacing w:before="140" w:after="0"/>
        <w:ind w:left="680"/>
        <w:rPr>
          <w:rFonts w:eastAsia="Arial Unicode MS"/>
          <w:color w:val="auto"/>
          <w:szCs w:val="20"/>
        </w:rPr>
      </w:pPr>
    </w:p>
    <w:p>
      <w:pPr>
        <w:pStyle w:val="Level1"/>
        <w:keepNext w:val="0"/>
        <w:widowControl w:val="0"/>
        <w:spacing w:before="140" w:after="0"/>
        <w:jc w:val="center"/>
        <w:rPr>
          <w:rFonts w:eastAsia="Arial Unicode MS"/>
          <w:color w:val="auto"/>
          <w:sz w:val="20"/>
          <w:szCs w:val="20"/>
        </w:rPr>
      </w:pPr>
      <w:r>
        <w:rPr>
          <w:rFonts w:eastAsia="Arial Unicode MS"/>
          <w:color w:val="auto"/>
          <w:sz w:val="20"/>
          <w:szCs w:val="20"/>
        </w:rPr>
        <w:t>CLÁUSULA III – DISPOSIÇÕES GERAIS</w:t>
      </w:r>
    </w:p>
    <w:p>
      <w:pPr>
        <w:pStyle w:val="Level2"/>
        <w:widowControl w:val="0"/>
        <w:spacing w:before="140" w:after="0"/>
        <w:rPr>
          <w:rFonts w:eastAsia="Arial Unicode MS"/>
          <w:color w:val="auto"/>
          <w:szCs w:val="20"/>
        </w:rPr>
      </w:pPr>
      <w:bookmarkStart w:id="8" w:name="_Ref17405083"/>
      <w:r>
        <w:rPr>
          <w:rFonts w:eastAsia="Arial Unicode MS"/>
          <w:color w:val="auto"/>
          <w:szCs w:val="20"/>
          <w:u w:val="single"/>
        </w:rPr>
        <w:t>Registros em Cartório</w:t>
      </w:r>
      <w:r>
        <w:rPr>
          <w:rFonts w:eastAsia="Arial Unicode MS"/>
          <w:color w:val="auto"/>
          <w:szCs w:val="20"/>
        </w:rPr>
        <w:t xml:space="preserve">. </w:t>
      </w:r>
    </w:p>
    <w:p>
      <w:pPr>
        <w:pStyle w:val="Level3"/>
        <w:widowControl w:val="0"/>
        <w:spacing w:before="140" w:after="0"/>
        <w:rPr>
          <w:rFonts w:ascii="Arial" w:eastAsia="Arial Unicode MS" w:hAnsi="Arial" w:cs="Arial"/>
          <w:color w:val="auto"/>
          <w:sz w:val="20"/>
          <w:szCs w:val="20"/>
        </w:rPr>
      </w:pPr>
      <w:bookmarkStart w:id="9" w:name="_Ref535252283"/>
      <w:bookmarkStart w:id="10" w:name="_Ref535252928"/>
      <w:bookmarkStart w:id="11" w:name="_Ref373896"/>
      <w:r>
        <w:rPr>
          <w:rFonts w:ascii="Arial" w:hAnsi="Arial" w:cs="Arial"/>
          <w:color w:val="auto"/>
          <w:kern w:val="0"/>
          <w:sz w:val="20"/>
          <w:szCs w:val="20"/>
          <w:lang w:val="pt-PT"/>
        </w:rPr>
        <w:t>A Eletromidia, por este ato, compromete-se, em caráter irrevogável e irretratável, às suas próprias custas e exclusivas expensas, no prazo de 2 (dois) Dias Úteis contados da data de assinatura deste Aditamento, protocolar este Aditamento no Cartório de Registros de Títulos e Documentos da Cidade de São Paulo, Estado de São Paulo (“</w:t>
      </w:r>
      <w:r>
        <w:rPr>
          <w:rFonts w:ascii="Arial" w:hAnsi="Arial" w:cs="Arial"/>
          <w:b/>
          <w:color w:val="auto"/>
          <w:kern w:val="0"/>
          <w:sz w:val="20"/>
          <w:szCs w:val="20"/>
          <w:lang w:val="pt-PT"/>
        </w:rPr>
        <w:t>Cartório de RTD</w:t>
      </w:r>
      <w:r>
        <w:rPr>
          <w:rFonts w:ascii="Arial" w:hAnsi="Arial" w:cs="Arial"/>
          <w:color w:val="auto"/>
          <w:kern w:val="0"/>
          <w:sz w:val="20"/>
          <w:szCs w:val="20"/>
          <w:lang w:val="pt-PT"/>
        </w:rPr>
        <w:t>”), observado que este Aditamento deverá ser registrado no Cartório de RTD, respeitado o prazo disposto no artigo 130 da Lei n.º 6.015, de 31 de dezembro de 1973, conforme em vigor (“</w:t>
      </w:r>
      <w:r>
        <w:rPr>
          <w:rFonts w:ascii="Arial" w:hAnsi="Arial" w:cs="Arial"/>
          <w:b/>
          <w:color w:val="auto"/>
          <w:kern w:val="0"/>
          <w:sz w:val="20"/>
          <w:szCs w:val="20"/>
          <w:lang w:val="pt-PT"/>
        </w:rPr>
        <w:t>Lei de Registros Públicos</w:t>
      </w:r>
      <w:r>
        <w:rPr>
          <w:rFonts w:ascii="Arial" w:hAnsi="Arial" w:cs="Arial"/>
          <w:color w:val="auto"/>
          <w:kern w:val="0"/>
          <w:sz w:val="20"/>
          <w:szCs w:val="20"/>
          <w:lang w:val="pt-PT"/>
        </w:rPr>
        <w:t>”), sendo que tal prazo poderá ser prorrogado por 10 (dez) dias caso a Emissora comprove ao Agente Fiduciário que o Cartório de RTD fez exigências e que está, tempestivamente, atendendo a tais exigências.</w:t>
      </w:r>
      <w:bookmarkEnd w:id="9"/>
      <w:bookmarkEnd w:id="10"/>
      <w:bookmarkEnd w:id="11"/>
      <w:r>
        <w:rPr>
          <w:rFonts w:ascii="Arial" w:hAnsi="Arial" w:cs="Arial"/>
          <w:color w:val="auto"/>
          <w:kern w:val="0"/>
          <w:sz w:val="20"/>
          <w:szCs w:val="20"/>
          <w:lang w:val="pt-PT"/>
        </w:rPr>
        <w:t xml:space="preserve"> A Eletromidia deverá entregar ao Agente Fiduciário, no prazo de até 1 (um) Dia Útil contados da data do efetivo registro, 1 (uma) via digitalizada deste Aditamento, devidamente registrado no Cartório de RTD, sendo que a via original deste Aditamento, devidamente registrado no Cartório de RTD, deverá ser entregue ao </w:t>
      </w:r>
      <w:r>
        <w:rPr>
          <w:rFonts w:ascii="Arial" w:hAnsi="Arial" w:cs="Arial"/>
          <w:color w:val="auto"/>
          <w:kern w:val="0"/>
          <w:sz w:val="20"/>
          <w:szCs w:val="20"/>
          <w:lang w:val="pt-PT"/>
        </w:rPr>
        <w:lastRenderedPageBreak/>
        <w:t>Agente Fiduciário no prazo de até 5 (cinco) Dias Úteis contados da data do efetivo registro</w:t>
      </w:r>
      <w:r>
        <w:rPr>
          <w:rFonts w:ascii="Arial" w:hAnsi="Arial" w:cs="Arial"/>
          <w:color w:val="auto"/>
          <w:sz w:val="20"/>
          <w:szCs w:val="20"/>
        </w:rPr>
        <w:t>.</w:t>
      </w:r>
      <w:bookmarkEnd w:id="8"/>
      <w:r>
        <w:rPr>
          <w:rFonts w:ascii="Arial" w:hAnsi="Arial" w:cs="Arial"/>
          <w:b/>
          <w:color w:val="auto"/>
          <w:sz w:val="20"/>
          <w:szCs w:val="20"/>
        </w:rPr>
        <w:t xml:space="preserve"> </w:t>
      </w:r>
    </w:p>
    <w:p>
      <w:pPr>
        <w:pStyle w:val="Level3"/>
        <w:widowControl w:val="0"/>
        <w:spacing w:before="140" w:after="0"/>
        <w:rPr>
          <w:rFonts w:ascii="Arial" w:eastAsia="Arial Unicode MS" w:hAnsi="Arial" w:cs="Arial"/>
          <w:color w:val="auto"/>
          <w:sz w:val="20"/>
          <w:szCs w:val="20"/>
        </w:rPr>
      </w:pPr>
      <w:r>
        <w:rPr>
          <w:rFonts w:ascii="Arial" w:hAnsi="Arial" w:cs="Arial"/>
          <w:color w:val="auto"/>
          <w:kern w:val="0"/>
          <w:sz w:val="20"/>
          <w:szCs w:val="20"/>
          <w:lang w:val="pt-PT"/>
        </w:rPr>
        <w:t>Caso a Eletromidia não realize o registro previsto na Cláusula 3.1.1 acima, o Agente Fiduciário fica desde já autorizado e constituído de todos os poderes para, em nome da Eletromidia, promover tais registros, conforme disposto no artigo 62, parágrafo 2º, da Lei nº 6.404, de 15 de dezembro de 1976, conforme em vigor (“</w:t>
      </w:r>
      <w:r>
        <w:rPr>
          <w:rFonts w:ascii="Arial" w:hAnsi="Arial" w:cs="Arial"/>
          <w:b/>
          <w:color w:val="auto"/>
          <w:kern w:val="0"/>
          <w:sz w:val="20"/>
          <w:szCs w:val="20"/>
          <w:lang w:val="pt-PT"/>
        </w:rPr>
        <w:t>Lei das Sociedades por Ações</w:t>
      </w:r>
      <w:r>
        <w:rPr>
          <w:rFonts w:ascii="Arial" w:hAnsi="Arial" w:cs="Arial"/>
          <w:color w:val="auto"/>
          <w:kern w:val="0"/>
          <w:sz w:val="20"/>
          <w:szCs w:val="20"/>
          <w:lang w:val="pt-PT"/>
        </w:rPr>
        <w:t>”), o que não descaracteriza, contudo, o descumprimento de obrigação não pecuniária pela Emissora, nos termos da Cláusula 8.2.1, inciso (x), da Escritura de Emissão.</w:t>
      </w:r>
    </w:p>
    <w:p>
      <w:pPr>
        <w:pStyle w:val="Level2"/>
        <w:widowControl w:val="0"/>
        <w:spacing w:before="140" w:after="0"/>
        <w:rPr>
          <w:b/>
          <w:bCs/>
          <w:color w:val="auto"/>
          <w:szCs w:val="20"/>
        </w:rPr>
      </w:pPr>
      <w:r>
        <w:rPr>
          <w:rFonts w:eastAsia="Arial Unicode MS"/>
          <w:b/>
          <w:bCs/>
          <w:color w:val="auto"/>
          <w:szCs w:val="20"/>
        </w:rPr>
        <w:t>Declarações</w:t>
      </w:r>
      <w:r>
        <w:rPr>
          <w:b/>
          <w:bCs/>
          <w:color w:val="auto"/>
          <w:szCs w:val="20"/>
        </w:rPr>
        <w:t xml:space="preserve"> das Partes</w:t>
      </w:r>
    </w:p>
    <w:p>
      <w:pPr>
        <w:pStyle w:val="Level3"/>
        <w:widowControl w:val="0"/>
        <w:spacing w:before="140" w:after="0"/>
        <w:rPr>
          <w:rFonts w:ascii="Arial" w:hAnsi="Arial" w:cs="Arial"/>
          <w:b/>
          <w:color w:val="auto"/>
          <w:sz w:val="20"/>
          <w:szCs w:val="20"/>
        </w:rPr>
      </w:pPr>
      <w:bookmarkStart w:id="12" w:name="_Hlk41905419"/>
      <w:r>
        <w:rPr>
          <w:rFonts w:ascii="Arial" w:hAnsi="Arial" w:cs="Arial"/>
          <w:color w:val="auto"/>
          <w:sz w:val="20"/>
          <w:szCs w:val="20"/>
        </w:rPr>
        <w:t>As Partes, neste ato, declaram que todas as obrigações assumidas no Contrato e que não houverem sido expressamente modificadas neste instrumento, se aplicam a este Aditamento, como se aqui estivessem transcritas.</w:t>
      </w:r>
      <w:bookmarkEnd w:id="12"/>
    </w:p>
    <w:p>
      <w:pPr>
        <w:pStyle w:val="Level3"/>
        <w:widowControl w:val="0"/>
        <w:spacing w:before="140" w:after="0"/>
        <w:rPr>
          <w:b/>
          <w:i/>
          <w:color w:val="auto"/>
          <w:sz w:val="20"/>
          <w:szCs w:val="20"/>
        </w:rPr>
      </w:pPr>
      <w:bookmarkStart w:id="13" w:name="_Hlk41905599"/>
      <w:r>
        <w:rPr>
          <w:rFonts w:ascii="Arial" w:hAnsi="Arial" w:cs="Arial"/>
          <w:color w:val="auto"/>
          <w:sz w:val="20"/>
          <w:szCs w:val="20"/>
        </w:rPr>
        <w:t xml:space="preserve">As Cedentes Fiduciárias e a Emissora declaram e garantem, neste ato, que todas as declarações e garantias previstas na Cláusula 3 do Contrato permanecem verdadeiras, corretas e plenamente válidas e eficazes na data de assinatura deste </w:t>
      </w:r>
      <w:r>
        <w:rPr>
          <w:rFonts w:ascii="Arial" w:hAnsi="Arial" w:cs="Arial"/>
          <w:color w:val="auto"/>
          <w:sz w:val="20"/>
          <w:szCs w:val="20"/>
          <w:lang w:eastAsia="en-US"/>
        </w:rPr>
        <w:t>Aditamento</w:t>
      </w:r>
      <w:bookmarkEnd w:id="13"/>
      <w:r>
        <w:rPr>
          <w:rFonts w:ascii="Arial" w:hAnsi="Arial" w:cs="Arial"/>
          <w:color w:val="auto"/>
          <w:sz w:val="20"/>
          <w:szCs w:val="20"/>
          <w:lang w:eastAsia="en-US"/>
        </w:rPr>
        <w:t>.</w:t>
      </w:r>
    </w:p>
    <w:p>
      <w:pPr>
        <w:pStyle w:val="Level2"/>
        <w:widowControl w:val="0"/>
        <w:spacing w:before="140" w:after="0"/>
        <w:rPr>
          <w:b/>
          <w:bCs/>
          <w:color w:val="auto"/>
          <w:szCs w:val="20"/>
        </w:rPr>
      </w:pPr>
      <w:r>
        <w:rPr>
          <w:b/>
          <w:bCs/>
          <w:color w:val="auto"/>
          <w:szCs w:val="20"/>
        </w:rPr>
        <w:t>Ratificações</w:t>
      </w:r>
    </w:p>
    <w:p>
      <w:pPr>
        <w:pStyle w:val="Level3"/>
        <w:widowControl w:val="0"/>
        <w:spacing w:before="140" w:after="0"/>
        <w:rPr>
          <w:rFonts w:ascii="Arial" w:hAnsi="Arial" w:cs="Arial"/>
          <w:color w:val="auto"/>
          <w:sz w:val="20"/>
          <w:szCs w:val="20"/>
        </w:rPr>
      </w:pPr>
      <w:bookmarkStart w:id="14" w:name="_Hlk41905790"/>
      <w:r>
        <w:rPr>
          <w:rFonts w:ascii="Arial" w:hAnsi="Arial" w:cs="Arial"/>
          <w:color w:val="auto"/>
          <w:sz w:val="20"/>
          <w:szCs w:val="20"/>
        </w:rPr>
        <w:t>As alterações feitas no Contrato por meio deste Aditamento não implicam em novação.</w:t>
      </w:r>
      <w:bookmarkEnd w:id="14"/>
      <w:r>
        <w:rPr>
          <w:rFonts w:ascii="Arial" w:hAnsi="Arial" w:cs="Arial"/>
          <w:color w:val="auto"/>
          <w:sz w:val="20"/>
          <w:szCs w:val="20"/>
        </w:rPr>
        <w:t xml:space="preserve"> </w:t>
      </w:r>
    </w:p>
    <w:p>
      <w:pPr>
        <w:pStyle w:val="Level3"/>
        <w:widowControl w:val="0"/>
        <w:numPr>
          <w:ilvl w:val="0"/>
          <w:numId w:val="0"/>
        </w:numPr>
        <w:spacing w:before="140" w:after="0"/>
        <w:ind w:left="1361"/>
        <w:rPr>
          <w:rFonts w:ascii="Arial" w:hAnsi="Arial" w:cs="Arial"/>
          <w:color w:val="auto"/>
          <w:sz w:val="20"/>
          <w:szCs w:val="20"/>
        </w:rPr>
      </w:pPr>
    </w:p>
    <w:p>
      <w:pPr>
        <w:pStyle w:val="Level3"/>
        <w:rPr>
          <w:rFonts w:ascii="Arial" w:hAnsi="Arial" w:cs="Arial"/>
          <w:color w:val="auto"/>
          <w:sz w:val="20"/>
          <w:szCs w:val="20"/>
        </w:rPr>
      </w:pPr>
      <w:bookmarkStart w:id="15" w:name="_Ref41905103"/>
      <w:r>
        <w:rPr>
          <w:rFonts w:ascii="Arial" w:hAnsi="Arial" w:cs="Arial"/>
          <w:color w:val="auto"/>
          <w:sz w:val="20"/>
          <w:szCs w:val="20"/>
        </w:rPr>
        <w:t>Se qualquer termo ou disposição deste Aditamento for considerado por qualquer tribunal competente como sendo nulo, inválido ou inexequível, o restante deste Aditamento não será afetado por esta decisão, sendo que cada termo, avença e condição remanescente deste instrumento continuará válido e será cumprido na forma permitida na legislação aplicável.</w:t>
      </w:r>
    </w:p>
    <w:p>
      <w:pPr>
        <w:pStyle w:val="Level2"/>
        <w:widowControl w:val="0"/>
        <w:spacing w:before="140" w:after="0"/>
        <w:rPr>
          <w:rFonts w:eastAsia="Arial Unicode MS"/>
          <w:b/>
          <w:bCs/>
          <w:color w:val="auto"/>
          <w:szCs w:val="20"/>
        </w:rPr>
      </w:pPr>
      <w:r>
        <w:rPr>
          <w:rFonts w:eastAsia="Arial Unicode MS"/>
          <w:b/>
          <w:bCs/>
          <w:color w:val="auto"/>
          <w:szCs w:val="20"/>
        </w:rPr>
        <w:t xml:space="preserve">Irrevogabilidade e Sucessão. </w:t>
      </w:r>
    </w:p>
    <w:p>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Este Aditamento obriga irrevogavelmente e </w:t>
      </w:r>
      <w:proofErr w:type="spellStart"/>
      <w:r>
        <w:rPr>
          <w:rFonts w:ascii="Arial" w:eastAsia="Arial Unicode MS" w:hAnsi="Arial" w:cs="Arial"/>
          <w:color w:val="auto"/>
          <w:sz w:val="20"/>
          <w:szCs w:val="20"/>
        </w:rPr>
        <w:t>irretratavelmente</w:t>
      </w:r>
      <w:proofErr w:type="spellEnd"/>
      <w:r>
        <w:rPr>
          <w:rFonts w:ascii="Arial" w:eastAsia="Arial Unicode MS" w:hAnsi="Arial" w:cs="Arial"/>
          <w:color w:val="auto"/>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Aditamento não serão afetadas nas hipóteses de falência, recuperação judicial, recuperação extrajudicial, reorganização societária, insolvência, morte ou incapacidade de qualquer pessoa relacionada à Alienante.</w:t>
      </w:r>
    </w:p>
    <w:p>
      <w:pPr>
        <w:pStyle w:val="Level2"/>
        <w:widowControl w:val="0"/>
        <w:spacing w:before="140" w:after="0"/>
        <w:rPr>
          <w:rFonts w:eastAsia="Arial Unicode MS"/>
          <w:b/>
          <w:bCs/>
          <w:color w:val="auto"/>
          <w:szCs w:val="20"/>
        </w:rPr>
      </w:pPr>
      <w:r>
        <w:rPr>
          <w:rFonts w:eastAsia="Arial Unicode MS"/>
          <w:b/>
          <w:bCs/>
          <w:color w:val="auto"/>
          <w:szCs w:val="20"/>
        </w:rPr>
        <w:t xml:space="preserve">Execução Específica. </w:t>
      </w:r>
    </w:p>
    <w:p>
      <w:pPr>
        <w:pStyle w:val="Level3"/>
        <w:widowControl w:val="0"/>
        <w:spacing w:before="140" w:after="0"/>
        <w:rPr>
          <w:rFonts w:ascii="Arial" w:eastAsia="Arial Unicode MS" w:hAnsi="Arial" w:cs="Arial"/>
          <w:color w:val="auto"/>
          <w:sz w:val="20"/>
          <w:szCs w:val="20"/>
        </w:rPr>
      </w:pPr>
      <w:r>
        <w:rPr>
          <w:rFonts w:ascii="Arial" w:hAnsi="Arial" w:cs="Arial"/>
          <w:color w:val="auto"/>
          <w:sz w:val="20"/>
          <w:szCs w:val="20"/>
        </w:rPr>
        <w:t xml:space="preserve">O presente Aditamento (incluindo seus anexos) foi devidamente celebrado pelos representantes legais das Partes, os quais têm e deverão ter poderes para </w:t>
      </w:r>
      <w:r>
        <w:rPr>
          <w:rFonts w:ascii="Arial" w:eastAsia="Arial Unicode MS" w:hAnsi="Arial" w:cs="Arial"/>
          <w:color w:val="auto"/>
          <w:sz w:val="20"/>
          <w:szCs w:val="20"/>
        </w:rPr>
        <w:t>assumir</w:t>
      </w:r>
      <w:r>
        <w:rPr>
          <w:rFonts w:ascii="Arial" w:hAnsi="Arial" w:cs="Arial"/>
          <w:color w:val="auto"/>
          <w:sz w:val="20"/>
          <w:szCs w:val="20"/>
        </w:rPr>
        <w:t>, em seu nome, as respectivas obrigações aqui estabelecidas, constituindo o presente Aditamento uma obrigação lícita e válida, exequível, em conformidade com seus termos, com força de título executivo extrajudicial, na forma do artigo 784, inciso III, do Código de Processo Civil</w:t>
      </w:r>
      <w:r>
        <w:rPr>
          <w:rFonts w:ascii="Arial" w:hAnsi="Arial" w:cs="Arial"/>
          <w:color w:val="auto"/>
          <w:spacing w:val="-3"/>
          <w:sz w:val="20"/>
          <w:szCs w:val="20"/>
        </w:rPr>
        <w:t>.</w:t>
      </w:r>
    </w:p>
    <w:p>
      <w:pPr>
        <w:pStyle w:val="Level2"/>
        <w:keepNext/>
        <w:widowControl w:val="0"/>
        <w:spacing w:before="140" w:after="0"/>
        <w:rPr>
          <w:rFonts w:eastAsia="Arial Unicode MS"/>
          <w:b/>
          <w:bCs/>
          <w:color w:val="auto"/>
          <w:szCs w:val="20"/>
        </w:rPr>
      </w:pPr>
      <w:r>
        <w:rPr>
          <w:rFonts w:eastAsia="Arial Unicode MS"/>
          <w:b/>
          <w:bCs/>
          <w:color w:val="auto"/>
          <w:szCs w:val="20"/>
        </w:rPr>
        <w:t>Assinatura Digital.</w:t>
      </w:r>
    </w:p>
    <w:p>
      <w:pPr>
        <w:pStyle w:val="Level3"/>
        <w:keepNext/>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As partes </w:t>
      </w:r>
      <w:r>
        <w:rPr>
          <w:rFonts w:ascii="Arial" w:hAnsi="Arial" w:cs="Arial"/>
          <w:color w:val="auto"/>
          <w:sz w:val="20"/>
          <w:szCs w:val="20"/>
        </w:rPr>
        <w:t>reconhecem</w:t>
      </w:r>
      <w:r>
        <w:rPr>
          <w:rFonts w:ascii="Arial" w:eastAsia="Arial Unicode MS" w:hAnsi="Arial" w:cs="Arial"/>
          <w:color w:val="auto"/>
          <w:sz w:val="20"/>
          <w:szCs w:val="20"/>
        </w:rPr>
        <w:t xml:space="preserve"> que as declarações de vontade das partes contratantes mediante assinatura digital presumem-se verdadeiras em relação aos signatários quando é utilizado o processo de certificação disponibilizado pela Infraestrutura de Chaves Públicas Brasileira – ICP-Brasil, nos termos da Medida Provisória nº 2.200, de 24 de agosto de 2001, em vigor no Brasil, reconhecendo essa forma de contratação em meio eletrônico, digital e informático como válida </w:t>
      </w:r>
      <w:r>
        <w:rPr>
          <w:rFonts w:ascii="Arial" w:eastAsia="Arial Unicode MS" w:hAnsi="Arial" w:cs="Arial"/>
          <w:color w:val="auto"/>
          <w:sz w:val="20"/>
          <w:szCs w:val="20"/>
        </w:rPr>
        <w:lastRenderedPageBreak/>
        <w:t>e plenamente eficaz, constituindo título executivo extrajudicial para todos os fins de direito, bem como renunciam ao direito de impugnação de que trata o art. 225 do Código Civil Brasileiro, reconhecendo expressamente que as reproduções mecânicas ou eletrônicas de fatos ou de coisas fazem prova plena desses. Na forma acima prevista, o presente Aditamento, pode ser assinado digitalmente por meio eletrônico conforme disposto nesta cláusula.</w:t>
      </w:r>
    </w:p>
    <w:p>
      <w:pPr>
        <w:pStyle w:val="Level2"/>
        <w:keepNext/>
        <w:widowControl w:val="0"/>
        <w:spacing w:before="140" w:after="0"/>
        <w:rPr>
          <w:rFonts w:eastAsia="Arial Unicode MS"/>
          <w:color w:val="auto"/>
          <w:szCs w:val="20"/>
        </w:rPr>
      </w:pPr>
      <w:r>
        <w:rPr>
          <w:rFonts w:eastAsia="Arial Unicode MS"/>
          <w:b/>
          <w:bCs/>
          <w:color w:val="auto"/>
          <w:szCs w:val="20"/>
        </w:rPr>
        <w:t>Foro</w:t>
      </w:r>
      <w:r>
        <w:rPr>
          <w:rFonts w:eastAsia="Arial Unicode MS"/>
          <w:color w:val="auto"/>
          <w:szCs w:val="20"/>
        </w:rPr>
        <w:t xml:space="preserve">. </w:t>
      </w:r>
    </w:p>
    <w:p>
      <w:pPr>
        <w:pStyle w:val="Level3"/>
        <w:keepNext/>
        <w:widowControl w:val="0"/>
        <w:spacing w:before="140" w:after="0"/>
        <w:rPr>
          <w:rFonts w:ascii="Arial" w:hAnsi="Arial" w:cs="Arial"/>
          <w:color w:val="auto"/>
          <w:sz w:val="20"/>
          <w:szCs w:val="20"/>
        </w:rPr>
      </w:pPr>
      <w:r>
        <w:rPr>
          <w:rFonts w:ascii="Arial" w:hAnsi="Arial" w:cs="Arial"/>
          <w:color w:val="auto"/>
          <w:sz w:val="20"/>
          <w:szCs w:val="20"/>
        </w:rPr>
        <w:t>Fica eleito o foro da Cidade de São Paulo, Estado de São Paulo, para dirimir quaisquer dúvidas ou controvérsias oriundas deste Aditamento, com renúncia a qualquer outro, por mais privilegiado que seja.</w:t>
      </w:r>
    </w:p>
    <w:p>
      <w:pPr>
        <w:pStyle w:val="Level2"/>
        <w:widowControl w:val="0"/>
        <w:spacing w:before="140" w:after="0"/>
        <w:rPr>
          <w:rFonts w:eastAsia="Arial Unicode MS"/>
          <w:b/>
          <w:bCs/>
          <w:color w:val="auto"/>
          <w:szCs w:val="20"/>
        </w:rPr>
      </w:pPr>
      <w:r>
        <w:rPr>
          <w:rFonts w:eastAsia="Arial Unicode MS"/>
          <w:b/>
          <w:bCs/>
          <w:color w:val="auto"/>
          <w:szCs w:val="20"/>
        </w:rPr>
        <w:t xml:space="preserve">Regência e Interpretação. </w:t>
      </w:r>
    </w:p>
    <w:p>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O </w:t>
      </w:r>
      <w:r>
        <w:rPr>
          <w:rFonts w:ascii="Arial" w:hAnsi="Arial" w:cs="Arial"/>
          <w:color w:val="auto"/>
          <w:sz w:val="20"/>
          <w:szCs w:val="20"/>
        </w:rPr>
        <w:t>presente</w:t>
      </w:r>
      <w:r>
        <w:rPr>
          <w:rFonts w:ascii="Arial" w:eastAsia="Arial Unicode MS" w:hAnsi="Arial" w:cs="Arial"/>
          <w:color w:val="auto"/>
          <w:sz w:val="20"/>
          <w:szCs w:val="20"/>
        </w:rPr>
        <w:t xml:space="preserve"> Aditamento deverá ser regido e interpretado de acordo com as leis da República Federativa do Brasil.</w:t>
      </w:r>
    </w:p>
    <w:p>
      <w:pPr>
        <w:spacing w:before="140" w:line="290" w:lineRule="auto"/>
        <w:jc w:val="both"/>
        <w:rPr>
          <w:rFonts w:ascii="Arial" w:eastAsia="Arial Unicode MS" w:hAnsi="Arial" w:cs="Arial"/>
          <w:lang w:val="pt-BR"/>
        </w:rPr>
      </w:pPr>
      <w:r>
        <w:rPr>
          <w:rFonts w:ascii="Arial" w:eastAsia="Arial Unicode MS" w:hAnsi="Arial" w:cs="Arial"/>
          <w:lang w:val="pt-BR"/>
        </w:rPr>
        <w:t>E, por estarem assim justas e contratadas, as Partes assinam o presente instrumento em 3 (três) vias de igual teor e conteúdo, na presença das 2 (duas) testemunhas identificadas abaixo.</w:t>
      </w:r>
    </w:p>
    <w:p>
      <w:pPr>
        <w:spacing w:before="140" w:line="290" w:lineRule="auto"/>
        <w:jc w:val="both"/>
        <w:rPr>
          <w:rFonts w:ascii="Arial" w:eastAsia="Arial Unicode MS" w:hAnsi="Arial" w:cs="Arial"/>
          <w:lang w:val="pt-BR"/>
        </w:rPr>
      </w:pPr>
    </w:p>
    <w:p>
      <w:pPr>
        <w:spacing w:before="140" w:line="290" w:lineRule="auto"/>
        <w:jc w:val="center"/>
        <w:rPr>
          <w:rFonts w:ascii="Arial" w:eastAsia="Arial Unicode MS" w:hAnsi="Arial" w:cs="Arial"/>
          <w:lang w:val="pt-BR"/>
        </w:rPr>
      </w:pPr>
      <w:r>
        <w:rPr>
          <w:rFonts w:ascii="Arial" w:eastAsia="Arial Unicode MS" w:hAnsi="Arial" w:cs="Arial"/>
          <w:lang w:val="pt-BR"/>
        </w:rPr>
        <w:t>São Paulo, [●] de abril de 2021.</w:t>
      </w:r>
    </w:p>
    <w:p>
      <w:pPr>
        <w:spacing w:before="140" w:line="290" w:lineRule="auto"/>
        <w:jc w:val="center"/>
        <w:rPr>
          <w:rFonts w:ascii="Arial" w:eastAsia="Arial Unicode MS" w:hAnsi="Arial" w:cs="Arial"/>
          <w:i/>
          <w:lang w:val="pt-BR"/>
        </w:rPr>
        <w:sectPr>
          <w:footerReference w:type="default" r:id="rId8"/>
          <w:headerReference w:type="first" r:id="rId9"/>
          <w:footerReference w:type="first" r:id="rId10"/>
          <w:type w:val="continuous"/>
          <w:pgSz w:w="11907" w:h="16840"/>
          <w:pgMar w:top="1702" w:right="1080" w:bottom="1701" w:left="1080" w:header="567" w:footer="851" w:gutter="0"/>
          <w:cols w:space="720"/>
          <w:noEndnote/>
          <w:titlePg/>
          <w:docGrid w:linePitch="272"/>
        </w:sectPr>
      </w:pPr>
      <w:r>
        <w:rPr>
          <w:rFonts w:ascii="Arial" w:eastAsia="Arial Unicode MS" w:hAnsi="Arial" w:cs="Arial"/>
          <w:i/>
          <w:lang w:val="pt-BR"/>
        </w:rPr>
        <w:t>(Restante da página intencionalmente deixada em branco.)</w:t>
      </w:r>
    </w:p>
    <w:p>
      <w:pPr>
        <w:spacing w:before="140" w:line="290" w:lineRule="auto"/>
        <w:jc w:val="center"/>
        <w:rPr>
          <w:rFonts w:ascii="Arial" w:eastAsia="Arial Unicode MS" w:hAnsi="Arial" w:cs="Arial"/>
          <w:i/>
          <w:lang w:val="pt-BR"/>
        </w:rPr>
      </w:pPr>
    </w:p>
    <w:p>
      <w:pPr>
        <w:autoSpaceDE/>
        <w:autoSpaceDN/>
        <w:adjustRightInd/>
        <w:spacing w:before="140" w:line="290" w:lineRule="auto"/>
        <w:rPr>
          <w:rFonts w:ascii="Arial" w:eastAsia="Arial Unicode MS" w:hAnsi="Arial" w:cs="Arial"/>
          <w:i/>
          <w:lang w:val="pt-BR"/>
        </w:rPr>
      </w:pPr>
      <w:r>
        <w:rPr>
          <w:rFonts w:ascii="Arial" w:eastAsia="Arial Unicode MS" w:hAnsi="Arial" w:cs="Arial"/>
          <w:i/>
          <w:lang w:val="pt-BR"/>
        </w:rPr>
        <w:br w:type="page"/>
      </w:r>
    </w:p>
    <w:p>
      <w:pPr>
        <w:spacing w:before="140" w:line="290" w:lineRule="auto"/>
        <w:jc w:val="center"/>
        <w:rPr>
          <w:rFonts w:ascii="Arial" w:eastAsia="Arial Unicode MS" w:hAnsi="Arial" w:cs="Arial"/>
          <w:i/>
          <w:lang w:val="pt-BR"/>
        </w:rPr>
        <w:sectPr>
          <w:footerReference w:type="first" r:id="rId11"/>
          <w:type w:val="continuous"/>
          <w:pgSz w:w="11907" w:h="16840"/>
          <w:pgMar w:top="1702" w:right="1080" w:bottom="1701" w:left="1080" w:header="567" w:footer="851" w:gutter="0"/>
          <w:cols w:space="720"/>
          <w:noEndnote/>
          <w:titlePg/>
          <w:docGrid w:linePitch="272"/>
        </w:sectPr>
      </w:pPr>
    </w:p>
    <w:bookmarkEnd w:id="15"/>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i/>
          <w:i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bookmarkStart w:id="16" w:name="_DV_M116"/>
      <w:bookmarkEnd w:id="16"/>
      <w:r>
        <w:rPr>
          <w:color w:val="auto"/>
        </w:rPr>
        <w:t>SIMPLIFIC PAVARINI DISTRIBUIDORA DE TÍTULOS E VALORES MOBILIÁRIOS LTDA.</w:t>
      </w:r>
      <w:r>
        <w:rPr>
          <w:b w:val="0"/>
          <w:bCs w:val="0"/>
          <w:color w:val="auto"/>
        </w:rPr>
        <w:br/>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ELETROMIDIA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TV MINUTO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ELEMÍDIA CONSULTORIA E SERVIÇOS DE MARKETING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bookmarkStart w:id="17" w:name="_DV_M117"/>
      <w:bookmarkStart w:id="18" w:name="_DV_M119"/>
      <w:bookmarkStart w:id="19" w:name="_DV_M120"/>
      <w:bookmarkStart w:id="20" w:name="_DV_M121"/>
      <w:bookmarkStart w:id="21" w:name="_DV_M122"/>
      <w:bookmarkStart w:id="22" w:name="_DV_M123"/>
      <w:bookmarkStart w:id="23" w:name="_DV_M124"/>
      <w:bookmarkEnd w:id="17"/>
      <w:bookmarkEnd w:id="18"/>
      <w:bookmarkEnd w:id="19"/>
      <w:bookmarkEnd w:id="20"/>
      <w:bookmarkEnd w:id="21"/>
      <w:bookmarkEnd w:id="22"/>
      <w:bookmarkEnd w:id="23"/>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spacing w:after="140" w:line="290" w:lineRule="auto"/>
        <w:rPr>
          <w:rFonts w:ascii="Arial" w:hAnsi="Arial" w:cs="Arial"/>
          <w:b/>
          <w:bCs/>
          <w:lang w:val="pt-BR"/>
        </w:rPr>
      </w:pPr>
    </w:p>
    <w:p>
      <w:pPr>
        <w:spacing w:after="140" w:line="290" w:lineRule="auto"/>
        <w:rPr>
          <w:rFonts w:ascii="Arial" w:hAnsi="Arial" w:cs="Arial"/>
          <w:b/>
          <w:bCs/>
          <w:lang w:val="pt-BR"/>
        </w:rPr>
      </w:pPr>
    </w:p>
    <w:p>
      <w:pPr>
        <w:spacing w:after="140" w:line="290" w:lineRule="auto"/>
        <w:rPr>
          <w:rFonts w:ascii="Arial" w:hAnsi="Arial" w:cs="Arial"/>
          <w:lang w:val="pt-BR"/>
        </w:rPr>
      </w:pPr>
      <w:r>
        <w:rPr>
          <w:rFonts w:ascii="Arial" w:hAnsi="Arial" w:cs="Arial"/>
          <w:lang w:val="pt-BR"/>
        </w:rPr>
        <w:t>Testemunhas</w:t>
      </w:r>
    </w:p>
    <w:p>
      <w:pPr>
        <w:spacing w:after="140" w:line="290" w:lineRule="auto"/>
        <w:rPr>
          <w:rFonts w:ascii="Arial" w:hAnsi="Arial" w:cs="Arial"/>
          <w:lang w:val="pt-BR"/>
        </w:rPr>
      </w:pPr>
    </w:p>
    <w:p>
      <w:pPr>
        <w:spacing w:after="140" w:line="290" w:lineRule="auto"/>
        <w:rPr>
          <w:rFonts w:ascii="Arial" w:hAnsi="Arial" w:cs="Arial"/>
          <w:lang w:val="pt-BR"/>
        </w:rPr>
      </w:pPr>
    </w:p>
    <w:p>
      <w:pPr>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r>
    </w:tbl>
    <w:p>
      <w:pPr>
        <w:autoSpaceDE/>
        <w:autoSpaceDN/>
        <w:adjustRightInd/>
        <w:spacing w:after="140" w:line="290" w:lineRule="auto"/>
        <w:rPr>
          <w:rFonts w:ascii="Arial" w:hAnsi="Arial" w:cs="Arial"/>
          <w:b/>
          <w:lang w:val="pt-BR"/>
        </w:rPr>
      </w:pPr>
      <w:bookmarkStart w:id="24" w:name="_DV_M217"/>
      <w:bookmarkEnd w:id="24"/>
    </w:p>
    <w:p>
      <w:pPr>
        <w:widowControl/>
        <w:autoSpaceDE/>
        <w:autoSpaceDN/>
        <w:adjustRightInd/>
        <w:rPr>
          <w:rFonts w:ascii="Arial" w:hAnsi="Arial" w:cs="Arial"/>
          <w:b/>
          <w:lang w:val="pt-BR"/>
        </w:rPr>
      </w:pPr>
      <w:r>
        <w:rPr>
          <w:rFonts w:ascii="Arial" w:hAnsi="Arial" w:cs="Arial"/>
          <w:b/>
          <w:lang w:val="pt-BR"/>
        </w:rPr>
        <w:br w:type="page"/>
      </w:r>
    </w:p>
    <w:p>
      <w:pPr>
        <w:autoSpaceDE/>
        <w:autoSpaceDN/>
        <w:adjustRightInd/>
        <w:spacing w:after="140" w:line="290" w:lineRule="auto"/>
        <w:jc w:val="center"/>
        <w:rPr>
          <w:rFonts w:ascii="Arial" w:hAnsi="Arial" w:cs="Arial"/>
          <w:b/>
          <w:lang w:val="pt-BR"/>
        </w:rPr>
      </w:pPr>
      <w:r>
        <w:rPr>
          <w:rFonts w:ascii="Arial" w:hAnsi="Arial" w:cs="Arial"/>
          <w:b/>
          <w:lang w:val="pt-BR"/>
        </w:rPr>
        <w:lastRenderedPageBreak/>
        <w:t>ANEXO A</w:t>
      </w:r>
    </w:p>
    <w:p>
      <w:pPr>
        <w:autoSpaceDE/>
        <w:autoSpaceDN/>
        <w:adjustRightInd/>
        <w:spacing w:after="140" w:line="290" w:lineRule="auto"/>
        <w:jc w:val="center"/>
        <w:rPr>
          <w:rFonts w:ascii="Arial" w:hAnsi="Arial" w:cs="Arial"/>
          <w:b/>
          <w:lang w:val="pt-BR"/>
        </w:rPr>
      </w:pPr>
      <w:r>
        <w:rPr>
          <w:rFonts w:ascii="Arial" w:hAnsi="Arial" w:cs="Arial"/>
          <w:b/>
          <w:lang w:val="pt-BR"/>
        </w:rPr>
        <w:t>CONSOLIDAÇÃO DO CONTRATO DE CESSÃO FIDUCIÁRIA DE CONTAS VINCULADAS E OUTRAS AVENÇAS</w:t>
      </w:r>
    </w:p>
    <w:p>
      <w:pPr>
        <w:widowControl/>
        <w:autoSpaceDE/>
        <w:autoSpaceDN/>
        <w:adjustRightInd/>
        <w:jc w:val="both"/>
        <w:rPr>
          <w:rFonts w:ascii="Arial" w:hAnsi="Arial" w:cs="Arial"/>
          <w:lang w:val="pt-BR"/>
        </w:rPr>
      </w:pPr>
      <w:r>
        <w:rPr>
          <w:rFonts w:ascii="Arial" w:hAnsi="Arial" w:cs="Arial"/>
          <w:lang w:val="pt-BR"/>
        </w:rPr>
        <w:br w:type="page"/>
      </w:r>
    </w:p>
    <w:p>
      <w:pPr>
        <w:autoSpaceDE/>
        <w:autoSpaceDN/>
        <w:adjustRightInd/>
        <w:spacing w:after="140" w:line="290" w:lineRule="auto"/>
        <w:jc w:val="both"/>
        <w:rPr>
          <w:rFonts w:ascii="Arial" w:hAnsi="Arial" w:cs="Arial"/>
          <w:lang w:val="pt-BR"/>
        </w:rPr>
      </w:pPr>
    </w:p>
    <w:p>
      <w:pPr>
        <w:pStyle w:val="Ttulo"/>
        <w:spacing w:after="140" w:line="290" w:lineRule="auto"/>
        <w:rPr>
          <w:rFonts w:ascii="Arial" w:hAnsi="Arial" w:cs="Arial"/>
          <w:sz w:val="20"/>
          <w:szCs w:val="20"/>
          <w:lang w:val="pt-BR"/>
        </w:rPr>
      </w:pPr>
      <w:bookmarkStart w:id="25" w:name="Texto36"/>
      <w:bookmarkStart w:id="26" w:name="Texto674"/>
      <w:bookmarkStart w:id="27" w:name="Texto816"/>
      <w:bookmarkStart w:id="28" w:name="Texto1923"/>
      <w:bookmarkStart w:id="29" w:name="Text935"/>
      <w:bookmarkStart w:id="30" w:name="Texto1966"/>
      <w:bookmarkStart w:id="31" w:name="Texto1967"/>
      <w:bookmarkStart w:id="32" w:name="Texto1968"/>
      <w:bookmarkStart w:id="33" w:name="Texto1969"/>
      <w:bookmarkStart w:id="34" w:name="OLE_LINK2"/>
      <w:bookmarkStart w:id="35" w:name="Texto1970"/>
      <w:bookmarkStart w:id="36" w:name="Text296"/>
      <w:bookmarkStart w:id="37" w:name="Texto2206"/>
      <w:bookmarkStart w:id="38" w:name="Texto1971"/>
      <w:bookmarkStart w:id="39" w:name="Texto1972"/>
      <w:bookmarkStart w:id="40" w:name="Text297"/>
      <w:bookmarkStart w:id="41" w:name="Texto1973"/>
      <w:bookmarkStart w:id="42" w:name="Text303"/>
      <w:bookmarkStart w:id="43" w:name="Texto1974"/>
      <w:bookmarkStart w:id="44" w:name="Texto679"/>
      <w:bookmarkStart w:id="45" w:name="Text301"/>
      <w:bookmarkStart w:id="46" w:name="Text298"/>
      <w:r>
        <w:rPr>
          <w:rFonts w:ascii="Arial" w:hAnsi="Arial" w:cs="Arial"/>
          <w:sz w:val="20"/>
          <w:szCs w:val="20"/>
          <w:lang w:val="pt-BR"/>
        </w:rPr>
        <w:t>INSTRUMENTO PARTICULAR DE CONTRATO DE CESSÃO FIDUCIÁRIA DE CONTAS VINCULADAS E OUTRAS AVENÇAS</w:t>
      </w:r>
    </w:p>
    <w:bookmarkEnd w:id="25"/>
    <w:p>
      <w:pPr>
        <w:pStyle w:val="Ttulo"/>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spacing w:after="140" w:line="290" w:lineRule="auto"/>
              <w:jc w:val="center"/>
              <w:rPr>
                <w:rFonts w:ascii="Arial" w:hAnsi="Arial" w:cs="Arial"/>
                <w:b/>
                <w:lang w:val="pt-BR"/>
              </w:rPr>
            </w:pPr>
            <w:r>
              <w:rPr>
                <w:rFonts w:ascii="Arial" w:hAnsi="Arial" w:cs="Arial"/>
                <w:b/>
                <w:lang w:val="pt-BR"/>
              </w:rPr>
              <w:t>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CREDOR FIDUCIÁRIO:</w:t>
            </w:r>
          </w:p>
          <w:bookmarkEnd w:id="26"/>
          <w:bookmarkEnd w:id="27"/>
          <w:p>
            <w:pPr>
              <w:pStyle w:val="TextosemFormatao"/>
              <w:spacing w:after="140" w:line="290" w:lineRule="auto"/>
              <w:rPr>
                <w:rFonts w:ascii="Arial" w:hAnsi="Arial" w:cs="Arial"/>
              </w:rPr>
            </w:pPr>
            <w:r>
              <w:rPr>
                <w:rFonts w:ascii="Arial" w:hAnsi="Arial" w:cs="Arial"/>
                <w:b/>
              </w:rPr>
              <w:t>SIMPLIFIC PAVARINI DISTRIBUIDORA DE TÍTULOS E VALORES MOBILIÁRIOS LTDA.</w:t>
            </w:r>
            <w:r>
              <w:rPr>
                <w:rFonts w:ascii="Arial" w:hAnsi="Arial" w:cs="Arial"/>
              </w:rPr>
              <w:t>, sociedade limitada, atuando por sua filial, localizada na cidade de São Paulo, Estado de São Paulo, na Rua Joaquim Floriano, nº 466, Bloco B, sala 1.401, CEP 04534-002, inscrita no Cadastro Nacional da Pessoa Jurídica do Ministério da Economia (“</w:t>
            </w:r>
            <w:r>
              <w:rPr>
                <w:rFonts w:ascii="Arial" w:hAnsi="Arial" w:cs="Arial"/>
                <w:b/>
              </w:rPr>
              <w:t>CNPJ/ME</w:t>
            </w:r>
            <w:r>
              <w:rPr>
                <w:rFonts w:ascii="Arial" w:hAnsi="Arial" w:cs="Arial"/>
              </w:rPr>
              <w:t>”) sob o nº 15.227.994/0004-01, com seus atos constitutivos devidamente registrados na Junta Comercial do Estado do Rio de Janeiro (“</w:t>
            </w:r>
            <w:r>
              <w:rPr>
                <w:rFonts w:ascii="Arial" w:hAnsi="Arial" w:cs="Arial"/>
                <w:b/>
              </w:rPr>
              <w:t>JUCERJA</w:t>
            </w:r>
            <w:r>
              <w:rPr>
                <w:rFonts w:ascii="Arial" w:hAnsi="Arial" w:cs="Arial"/>
              </w:rPr>
              <w:t>”) sob o NIRE 33.2.0064417-1, neste ato representada na forma de seu contrato social, na qualidade de agente fiduciário representando a comunhão dos titulares das Debêntures (conforme abaixo definidas) (“</w:t>
            </w:r>
            <w:r>
              <w:rPr>
                <w:rFonts w:ascii="Arial" w:hAnsi="Arial" w:cs="Arial"/>
                <w:b/>
              </w:rPr>
              <w:t>Agente Fiduciário</w:t>
            </w:r>
            <w:r>
              <w:rPr>
                <w:rFonts w:ascii="Arial" w:hAnsi="Arial" w:cs="Arial"/>
              </w:rPr>
              <w:t>” e “</w:t>
            </w:r>
            <w:r>
              <w:rPr>
                <w:rFonts w:ascii="Arial" w:hAnsi="Arial" w:cs="Arial"/>
                <w:b/>
              </w:rPr>
              <w:t>Debenturistas</w:t>
            </w:r>
            <w:r>
              <w:rPr>
                <w:rFonts w:ascii="Arial" w:hAnsi="Arial" w:cs="Arial"/>
              </w:rPr>
              <w:t xml:space="preserve">”, respectivamente). </w:t>
            </w:r>
          </w:p>
        </w:tc>
      </w:tr>
      <w:tr>
        <w:trPr>
          <w:trHeight w:val="1267"/>
          <w:jc w:val="center"/>
        </w:trPr>
        <w:tc>
          <w:tcPr>
            <w:tcW w:w="643" w:type="dxa"/>
          </w:tcPr>
          <w:p>
            <w:pPr>
              <w:spacing w:after="140" w:line="290" w:lineRule="auto"/>
              <w:jc w:val="center"/>
              <w:rPr>
                <w:rFonts w:ascii="Arial" w:hAnsi="Arial" w:cs="Arial"/>
                <w:b/>
                <w:lang w:val="pt-BR"/>
              </w:rPr>
            </w:pPr>
            <w:r>
              <w:rPr>
                <w:rFonts w:ascii="Arial" w:hAnsi="Arial" w:cs="Arial"/>
                <w:b/>
                <w:lang w:val="pt-BR"/>
              </w:rPr>
              <w:t>II</w:t>
            </w:r>
          </w:p>
        </w:tc>
        <w:tc>
          <w:tcPr>
            <w:tcW w:w="10091" w:type="dxa"/>
            <w:gridSpan w:val="3"/>
          </w:tcPr>
          <w:p>
            <w:pPr>
              <w:tabs>
                <w:tab w:val="left" w:pos="1766"/>
              </w:tabs>
              <w:spacing w:after="140" w:line="290" w:lineRule="auto"/>
              <w:jc w:val="both"/>
              <w:rPr>
                <w:rFonts w:ascii="Arial" w:hAnsi="Arial" w:cs="Arial"/>
                <w:lang w:val="pt-BR"/>
              </w:rPr>
            </w:pPr>
            <w:r>
              <w:rPr>
                <w:rFonts w:ascii="Arial" w:hAnsi="Arial" w:cs="Arial"/>
                <w:b/>
                <w:lang w:val="pt-BR"/>
              </w:rPr>
              <w:t>CEDENTES FIDUCIÁRIAS:</w:t>
            </w:r>
          </w:p>
          <w:p>
            <w:pPr>
              <w:pStyle w:val="TextosemFormatao"/>
              <w:spacing w:after="140" w:line="290" w:lineRule="auto"/>
              <w:rPr>
                <w:rFonts w:ascii="Arial" w:hAnsi="Arial" w:cs="Arial"/>
              </w:rPr>
            </w:pPr>
            <w:bookmarkStart w:id="47" w:name="_DV_M4"/>
            <w:bookmarkStart w:id="48" w:name="_DV_M5"/>
            <w:bookmarkEnd w:id="47"/>
            <w:bookmarkEnd w:id="48"/>
            <w:r>
              <w:rPr>
                <w:rFonts w:ascii="Arial" w:hAnsi="Arial" w:cs="Arial"/>
                <w:b/>
              </w:rPr>
              <w:t>(A) ELETROMIDIA S.A.,</w:t>
            </w:r>
            <w:r>
              <w:rPr>
                <w:rFonts w:ascii="Arial" w:hAnsi="Arial" w:cs="Arial"/>
                <w:b/>
                <w:smallCaps/>
              </w:rPr>
              <w:t xml:space="preserve"> </w:t>
            </w:r>
            <w:r>
              <w:rPr>
                <w:rFonts w:ascii="Arial" w:hAnsi="Arial" w:cs="Arial"/>
              </w:rPr>
              <w:t>sociedade por ações sem registro de companhia aberta perante à Comissão de Valores Mobiliários (“</w:t>
            </w:r>
            <w:r>
              <w:rPr>
                <w:rFonts w:ascii="Arial" w:hAnsi="Arial" w:cs="Arial"/>
                <w:b/>
              </w:rPr>
              <w:t>CVM</w:t>
            </w:r>
            <w:r>
              <w:rPr>
                <w:rFonts w:ascii="Arial" w:hAnsi="Arial" w:cs="Arial"/>
              </w:rPr>
              <w:t xml:space="preserve">”), com sede na Cidade de São Paulo, Estado de São Paulo, na Rua Leopoldo Couto de Magalhães Júnior, nº 758, 7º andar, CEP 04.542-000, Itaim Bibi, inscrita no </w:t>
            </w:r>
            <w:r>
              <w:rPr>
                <w:rFonts w:ascii="Arial" w:hAnsi="Arial" w:cs="Arial"/>
                <w:bCs/>
              </w:rPr>
              <w:t>CNPJ/ME</w:t>
            </w:r>
            <w:r>
              <w:rPr>
                <w:rFonts w:ascii="Arial" w:hAnsi="Arial" w:cs="Arial"/>
              </w:rPr>
              <w:t xml:space="preserve"> sob o nº 09.347.516/0001-81 e na Junta Comercial do Estado de São Paulo (“</w:t>
            </w:r>
            <w:r>
              <w:rPr>
                <w:rFonts w:ascii="Arial" w:hAnsi="Arial" w:cs="Arial"/>
                <w:b/>
              </w:rPr>
              <w:t>JUCESP</w:t>
            </w:r>
            <w:r>
              <w:rPr>
                <w:rFonts w:ascii="Arial" w:hAnsi="Arial" w:cs="Arial"/>
              </w:rPr>
              <w:t>”) sob o NIRE nº 35.300.458.893, neste ato representada na forma de seu estatuto social (“</w:t>
            </w:r>
            <w:proofErr w:type="spellStart"/>
            <w:r>
              <w:rPr>
                <w:rFonts w:ascii="Arial" w:hAnsi="Arial" w:cs="Arial"/>
                <w:b/>
              </w:rPr>
              <w:t>Eletromidia</w:t>
            </w:r>
            <w:proofErr w:type="spellEnd"/>
            <w:r>
              <w:rPr>
                <w:rFonts w:ascii="Arial" w:hAnsi="Arial" w:cs="Arial"/>
              </w:rPr>
              <w:t>”);</w:t>
            </w:r>
          </w:p>
          <w:p>
            <w:pPr>
              <w:pStyle w:val="TextosemFormatao"/>
              <w:spacing w:after="140" w:line="290" w:lineRule="auto"/>
              <w:rPr>
                <w:rFonts w:ascii="Arial" w:hAnsi="Arial" w:cs="Arial"/>
              </w:rPr>
            </w:pPr>
            <w:r>
              <w:rPr>
                <w:rFonts w:ascii="Arial" w:hAnsi="Arial" w:cs="Arial"/>
                <w:b/>
              </w:rPr>
              <w:t>(B) TV MINUTO S.A.</w:t>
            </w:r>
            <w:r>
              <w:rPr>
                <w:rFonts w:ascii="Arial" w:hAnsi="Arial" w:cs="Arial"/>
              </w:rPr>
              <w:t>,</w:t>
            </w:r>
            <w:r>
              <w:rPr>
                <w:rFonts w:ascii="Arial" w:hAnsi="Arial" w:cs="Arial"/>
                <w:b/>
              </w:rPr>
              <w:t xml:space="preserve"> </w:t>
            </w:r>
            <w:r>
              <w:rPr>
                <w:rFonts w:ascii="Arial" w:hAnsi="Arial" w:cs="Arial"/>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rPr>
              <w:t>TV Minuto</w:t>
            </w:r>
            <w:r>
              <w:rPr>
                <w:rFonts w:ascii="Arial" w:hAnsi="Arial" w:cs="Arial"/>
              </w:rPr>
              <w:t xml:space="preserve">”); e </w:t>
            </w:r>
          </w:p>
          <w:p>
            <w:pPr>
              <w:pStyle w:val="TextosemFormatao"/>
              <w:spacing w:after="140" w:line="290" w:lineRule="auto"/>
              <w:rPr>
                <w:rFonts w:ascii="Arial" w:hAnsi="Arial" w:cs="Arial"/>
              </w:rPr>
            </w:pPr>
            <w:r>
              <w:rPr>
                <w:rFonts w:ascii="Arial" w:hAnsi="Arial" w:cs="Arial"/>
                <w:b/>
              </w:rPr>
              <w:t>(C) ELEMÍDIA CONSULTORIA E SERVIÇOS DE MARKETING S.A.</w:t>
            </w:r>
            <w:r>
              <w:rPr>
                <w:rFonts w:ascii="Arial" w:hAnsi="Arial" w:cs="Arial"/>
              </w:rPr>
              <w:t xml:space="preserve">, sociedade por ações sem registro de companhia aberta perante à CVM, com sede na Cidade de São Paulo, Estado de São Paulo, na Avenida </w:t>
            </w:r>
            <w:r>
              <w:rPr>
                <w:rFonts w:ascii="Arial" w:hAnsi="Arial" w:cs="Arial"/>
                <w:bCs/>
              </w:rPr>
              <w:t>Brigadeiro Faria Lima, 4300</w:t>
            </w:r>
            <w:r>
              <w:rPr>
                <w:rFonts w:ascii="Arial" w:hAnsi="Arial" w:cs="Arial"/>
              </w:rPr>
              <w:t xml:space="preserve">, 7º </w:t>
            </w:r>
            <w:r>
              <w:rPr>
                <w:rFonts w:ascii="Arial" w:hAnsi="Arial" w:cs="Arial"/>
                <w:bCs/>
              </w:rPr>
              <w:t>Andar</w:t>
            </w:r>
            <w:r>
              <w:rPr>
                <w:rFonts w:ascii="Arial" w:hAnsi="Arial" w:cs="Arial"/>
              </w:rPr>
              <w:t xml:space="preserve">, Itaim Bibi, </w:t>
            </w:r>
            <w:r>
              <w:rPr>
                <w:rFonts w:ascii="Arial" w:hAnsi="Arial" w:cs="Arial"/>
                <w:bCs/>
              </w:rPr>
              <w:t>CEP 04.538-132</w:t>
            </w:r>
            <w:r>
              <w:rPr>
                <w:rFonts w:ascii="Arial" w:hAnsi="Arial" w:cs="Arial"/>
              </w:rPr>
              <w:t>, inscrita no CNPJ/ME sob o nº 05.881.258/0001-68 e na JUCESP sob o NIRE nº 35.300.333.489, neste ato representada na forma de seu estatuto social (“</w:t>
            </w:r>
            <w:r>
              <w:rPr>
                <w:rFonts w:ascii="Arial" w:hAnsi="Arial" w:cs="Arial"/>
                <w:b/>
              </w:rPr>
              <w:t>ELEMÍDIA</w:t>
            </w:r>
            <w:r>
              <w:rPr>
                <w:rFonts w:ascii="Arial" w:hAnsi="Arial" w:cs="Arial"/>
              </w:rPr>
              <w:t xml:space="preserve">” e, em conjunto com a </w:t>
            </w:r>
            <w:proofErr w:type="spellStart"/>
            <w:r>
              <w:rPr>
                <w:rFonts w:ascii="Arial" w:hAnsi="Arial" w:cs="Arial"/>
              </w:rPr>
              <w:t>Eletromidia</w:t>
            </w:r>
            <w:proofErr w:type="spellEnd"/>
            <w:r>
              <w:rPr>
                <w:rFonts w:ascii="Arial" w:hAnsi="Arial" w:cs="Arial"/>
              </w:rPr>
              <w:t xml:space="preserve"> e a TV Minuto, “</w:t>
            </w:r>
            <w:r>
              <w:rPr>
                <w:rFonts w:ascii="Arial" w:hAnsi="Arial" w:cs="Arial"/>
                <w:b/>
              </w:rPr>
              <w:t>Cedentes Fiduciárias</w:t>
            </w:r>
            <w:r>
              <w:rPr>
                <w:rFonts w:ascii="Arial" w:hAnsi="Arial" w:cs="Arial"/>
              </w:rPr>
              <w:t xml:space="preserve">”). </w:t>
            </w:r>
          </w:p>
        </w:tc>
      </w:tr>
      <w:tr>
        <w:trPr>
          <w:trHeight w:val="724"/>
          <w:jc w:val="center"/>
        </w:trPr>
        <w:tc>
          <w:tcPr>
            <w:tcW w:w="643" w:type="dxa"/>
          </w:tcPr>
          <w:p>
            <w:pPr>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pPr>
              <w:tabs>
                <w:tab w:val="left" w:pos="1766"/>
              </w:tabs>
              <w:spacing w:after="140" w:line="290" w:lineRule="auto"/>
              <w:jc w:val="both"/>
              <w:rPr>
                <w:rFonts w:ascii="Arial" w:hAnsi="Arial" w:cs="Arial"/>
                <w:b/>
                <w:lang w:val="pt-BR"/>
              </w:rPr>
            </w:pPr>
            <w:r>
              <w:rPr>
                <w:rFonts w:ascii="Arial" w:hAnsi="Arial" w:cs="Arial"/>
                <w:b/>
                <w:lang w:val="pt-BR"/>
              </w:rPr>
              <w:t>EMISSORA:</w:t>
            </w:r>
          </w:p>
          <w:p>
            <w:pPr>
              <w:pStyle w:val="TextosemFormatao"/>
              <w:spacing w:after="140" w:line="290" w:lineRule="auto"/>
              <w:rPr>
                <w:rFonts w:ascii="Arial" w:hAnsi="Arial" w:cs="Arial"/>
              </w:rPr>
            </w:pPr>
            <w:r>
              <w:rPr>
                <w:rFonts w:ascii="Arial" w:hAnsi="Arial" w:cs="Arial"/>
                <w:b/>
              </w:rPr>
              <w:t>ELETROMIDIA S.A.</w:t>
            </w:r>
            <w:r>
              <w:rPr>
                <w:rFonts w:ascii="Arial" w:hAnsi="Arial" w:cs="Arial"/>
              </w:rPr>
              <w:t>, acima qualificada (“</w:t>
            </w:r>
            <w:r>
              <w:rPr>
                <w:rFonts w:ascii="Arial" w:hAnsi="Arial" w:cs="Arial"/>
                <w:b/>
              </w:rPr>
              <w:t>Emissora</w:t>
            </w:r>
            <w:r>
              <w:rPr>
                <w:rFonts w:ascii="Arial" w:hAnsi="Arial" w:cs="Arial"/>
              </w:rPr>
              <w:t>”).</w:t>
            </w:r>
          </w:p>
        </w:tc>
      </w:tr>
      <w:tr>
        <w:trPr>
          <w:trHeight w:val="1918"/>
          <w:jc w:val="center"/>
        </w:trPr>
        <w:tc>
          <w:tcPr>
            <w:tcW w:w="643" w:type="dxa"/>
          </w:tcPr>
          <w:p>
            <w:pPr>
              <w:spacing w:after="140" w:line="290" w:lineRule="auto"/>
              <w:jc w:val="center"/>
              <w:rPr>
                <w:rFonts w:ascii="Arial" w:hAnsi="Arial" w:cs="Arial"/>
                <w:b/>
                <w:lang w:val="pt-BR"/>
              </w:rPr>
            </w:pPr>
            <w:r>
              <w:rPr>
                <w:rFonts w:ascii="Arial" w:hAnsi="Arial" w:cs="Arial"/>
                <w:b/>
                <w:lang w:val="pt-BR"/>
              </w:rPr>
              <w:t>IV</w:t>
            </w:r>
          </w:p>
        </w:tc>
        <w:tc>
          <w:tcPr>
            <w:tcW w:w="10091" w:type="dxa"/>
            <w:gridSpan w:val="3"/>
          </w:tcPr>
          <w:p>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49" w:name="Texto530"/>
            <w:bookmarkStart w:id="50" w:name="_DV_M9"/>
            <w:bookmarkEnd w:id="49"/>
            <w:bookmarkEnd w:id="50"/>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lang w:val="pt-BR"/>
              </w:rPr>
              <w:t>Eletromidia</w:t>
            </w:r>
            <w:proofErr w:type="spellEnd"/>
            <w:r>
              <w:rPr>
                <w:rFonts w:ascii="Arial" w:hAnsi="Arial" w:cs="Arial"/>
                <w:i/>
                <w:lang w:val="pt-BR"/>
              </w:rPr>
              <w:t xml:space="preserve">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w:t>
            </w:r>
            <w:r>
              <w:rPr>
                <w:rFonts w:ascii="Arial" w:hAnsi="Arial" w:cs="Arial"/>
                <w:lang w:val="pt-BR"/>
              </w:rPr>
              <w:lastRenderedPageBreak/>
              <w:t xml:space="preserve">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trPr>
          <w:trHeight w:val="559"/>
          <w:jc w:val="center"/>
        </w:trPr>
        <w:tc>
          <w:tcPr>
            <w:tcW w:w="643" w:type="dxa"/>
          </w:tcPr>
          <w:p>
            <w:pPr>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pPr>
              <w:pStyle w:val="TextosemFormatao"/>
              <w:spacing w:after="140" w:line="290" w:lineRule="auto"/>
              <w:rPr>
                <w:rFonts w:ascii="Arial" w:hAnsi="Arial" w:cs="Arial"/>
                <w:iCs/>
              </w:rPr>
            </w:pPr>
            <w:r>
              <w:rPr>
                <w:rFonts w:ascii="Arial" w:hAnsi="Arial" w:cs="Arial"/>
                <w:b/>
              </w:rPr>
              <w:t>VALOR MÍNIMO DE RECURSOS NAS CONTAS VINCULADAS:</w:t>
            </w:r>
            <w:bookmarkEnd w:id="28"/>
            <w:r>
              <w:rPr>
                <w:rFonts w:ascii="Arial" w:hAnsi="Arial" w:cs="Arial"/>
                <w:b/>
              </w:rPr>
              <w:t xml:space="preserve"> </w:t>
            </w:r>
            <w:r>
              <w:rPr>
                <w:rFonts w:ascii="Arial" w:hAnsi="Arial" w:cs="Arial"/>
                <w:iCs/>
              </w:rPr>
              <w:t xml:space="preserve">a partir da ocorrência do Gatilho de Apuração (confirme definido abaixo) e até a quitação integral das Obrigações Garantidas, na periodicidade abaixo definida, deverá transitar nas Contas Vinculadas (conforme quadro “VIII” deste preâmbulo), em conjunto, valor igual a, no mínimo, 5% (cinco por cento) do </w:t>
            </w:r>
            <w:r>
              <w:rPr>
                <w:rFonts w:ascii="Arial" w:hAnsi="Arial" w:cs="Arial"/>
                <w:bCs/>
                <w:iCs/>
              </w:rPr>
              <w:t>saldo devedor das Obrigações Garantidas, que deverá considerar principal mais juros</w:t>
            </w:r>
            <w:r>
              <w:rPr>
                <w:rFonts w:ascii="Arial" w:hAnsi="Arial" w:cs="Arial"/>
                <w:iCs/>
              </w:rPr>
              <w:t xml:space="preserve"> (“</w:t>
            </w:r>
            <w:r>
              <w:rPr>
                <w:rFonts w:ascii="Arial" w:hAnsi="Arial" w:cs="Arial"/>
                <w:b/>
                <w:iCs/>
              </w:rPr>
              <w:t>Valor Mínimo de Recursos nas Contas Vinculadas</w:t>
            </w:r>
            <w:r>
              <w:rPr>
                <w:rFonts w:ascii="Arial" w:hAnsi="Arial" w:cs="Arial"/>
                <w:iCs/>
              </w:rPr>
              <w:t xml:space="preserve">”). </w:t>
            </w:r>
          </w:p>
          <w:p>
            <w:pPr>
              <w:pStyle w:val="TextosemFormatao"/>
              <w:spacing w:after="140" w:line="290" w:lineRule="auto"/>
              <w:rPr>
                <w:rFonts w:ascii="Arial" w:hAnsi="Arial" w:cs="Arial"/>
                <w:iCs/>
              </w:rPr>
            </w:pPr>
            <w:r>
              <w:rPr>
                <w:rFonts w:ascii="Arial" w:hAnsi="Arial" w:cs="Arial"/>
                <w:bCs/>
                <w:iCs/>
                <w:lang w:val="pt-PT"/>
              </w:rPr>
              <w:t>A partir do Início da Apuração (conforme definido abaixo), e especificamente para as apurações realizadas até janeiro de 2022 (inclusive), ou até que se verifique em determinada apuração que tenha transitado nas Contas Vinculadas valores iguais a, no mínimo, 5% (cinco por cento) do saldo devedor das Obrigações Garantidas (considerando principal mais juros), o que ocorrer primeiro (“</w:t>
            </w:r>
            <w:r>
              <w:rPr>
                <w:rFonts w:ascii="Arial" w:hAnsi="Arial" w:cs="Arial"/>
                <w:b/>
                <w:bCs/>
                <w:iCs/>
                <w:lang w:val="pt-PT"/>
              </w:rPr>
              <w:t>Gatilho de Apuração</w:t>
            </w:r>
            <w:r>
              <w:rPr>
                <w:rFonts w:ascii="Arial" w:hAnsi="Arial" w:cs="Arial"/>
                <w:bCs/>
                <w:iCs/>
                <w:lang w:val="pt-PT"/>
              </w:rPr>
              <w:t>”), o Valor Mínimo de Recursos nas Contas Vinculadas será considerado cumprido para fins deste Contrato caso, conforme apuração realizada pelo Agente Fiduciário, tenha transitado nas Contas Vinculadas, em conjunto (“</w:t>
            </w:r>
            <w:r>
              <w:rPr>
                <w:rFonts w:ascii="Arial" w:hAnsi="Arial" w:cs="Arial"/>
                <w:b/>
                <w:bCs/>
                <w:iCs/>
                <w:lang w:val="pt-PT"/>
              </w:rPr>
              <w:t>Valor Transitado nas Contas Vinculadas</w:t>
            </w:r>
            <w:r>
              <w:rPr>
                <w:rFonts w:ascii="Arial" w:hAnsi="Arial" w:cs="Arial"/>
                <w:bCs/>
                <w:iCs/>
                <w:lang w:val="pt-PT"/>
              </w:rPr>
              <w:t xml:space="preserve">”), valor igual a, no mínimo, 2% (dois por cento) do saldo devedor das Obrigações Garantidas (considerando principal mais juros), e </w:t>
            </w:r>
            <w:r>
              <w:rPr>
                <w:rFonts w:ascii="Arial" w:hAnsi="Arial" w:cs="Arial"/>
                <w:b/>
                <w:bCs/>
                <w:iCs/>
                <w:lang w:val="pt-PT"/>
              </w:rPr>
              <w:t>desde que</w:t>
            </w:r>
            <w:r>
              <w:rPr>
                <w:rFonts w:ascii="Arial" w:hAnsi="Arial" w:cs="Arial"/>
                <w:bCs/>
                <w:iCs/>
                <w:lang w:val="pt-PT"/>
              </w:rPr>
              <w:t xml:space="preserve"> o saldo investido na Conta Vinculada de titularidade da Eletromidia mantida junto ao Banco Bradesco S.A., conforme indicado no Quadro VIII abaixo (“</w:t>
            </w:r>
            <w:r>
              <w:rPr>
                <w:rFonts w:ascii="Arial" w:hAnsi="Arial" w:cs="Arial"/>
                <w:b/>
                <w:bCs/>
                <w:iCs/>
                <w:lang w:val="pt-PT"/>
              </w:rPr>
              <w:t>Conta Eletromidia Bradesco</w:t>
            </w:r>
            <w:r>
              <w:rPr>
                <w:rFonts w:ascii="Arial" w:hAnsi="Arial" w:cs="Arial"/>
                <w:bCs/>
                <w:iCs/>
                <w:lang w:val="pt-PT"/>
              </w:rPr>
              <w:t>”) na respectiva data de apuração (“</w:t>
            </w:r>
            <w:r>
              <w:rPr>
                <w:rFonts w:ascii="Arial" w:hAnsi="Arial" w:cs="Arial"/>
                <w:b/>
                <w:bCs/>
                <w:iCs/>
                <w:lang w:val="pt-PT"/>
              </w:rPr>
              <w:t>Saldo Investido Conta Eletromidia Bradesco</w:t>
            </w:r>
            <w:r>
              <w:rPr>
                <w:rFonts w:ascii="Arial" w:hAnsi="Arial" w:cs="Arial"/>
                <w:bCs/>
                <w:iCs/>
                <w:lang w:val="pt-PT"/>
              </w:rPr>
              <w:t>”), somado ao Valor Transitado nas Contas Vinculadas, corresponda a, no mínimo, o Valor Mínimo de Recursos nas Contas Vinculadas. Para evitar apuração em duplicidade, o Saldo Investido Conta Eletromidia Bradesco não será computado para fins do cálculo do Valor Transitado nas Contas Vinculadas.</w:t>
            </w:r>
          </w:p>
          <w:p>
            <w:pPr>
              <w:pStyle w:val="TextosemFormatao"/>
              <w:spacing w:after="140" w:line="290" w:lineRule="auto"/>
              <w:rPr>
                <w:rFonts w:ascii="Arial" w:hAnsi="Arial" w:cs="Arial"/>
                <w:bCs/>
                <w:iCs/>
              </w:rPr>
            </w:pPr>
            <w:r>
              <w:rPr>
                <w:rFonts w:ascii="Arial" w:hAnsi="Arial" w:cs="Arial"/>
                <w:iCs/>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Cs/>
              </w:rPr>
              <w:t>Base de Cálculo</w:t>
            </w:r>
            <w:r>
              <w:rPr>
                <w:rFonts w:ascii="Arial" w:hAnsi="Arial" w:cs="Arial"/>
                <w:iCs/>
              </w:rPr>
              <w:t xml:space="preserve">”), sendo certo que para a apuração serão considerados o mês calendário (primeiro dia ao último dia do mês), nas Contas Vinculadas por outras pessoas físicas ou jurídicas que não aquelas listadas no </w:t>
            </w:r>
            <w:r>
              <w:rPr>
                <w:rFonts w:ascii="Arial" w:hAnsi="Arial" w:cs="Arial"/>
                <w:b/>
                <w:iCs/>
              </w:rPr>
              <w:t>Anexo II</w:t>
            </w:r>
            <w:r>
              <w:rPr>
                <w:rFonts w:ascii="Arial" w:hAnsi="Arial" w:cs="Arial"/>
                <w:b/>
                <w:iCs/>
                <w:lang w:val="pt-PT"/>
              </w:rPr>
              <w:t>I</w:t>
            </w:r>
            <w:r>
              <w:rPr>
                <w:rFonts w:ascii="Arial" w:hAnsi="Arial" w:cs="Arial"/>
                <w:b/>
                <w:iCs/>
              </w:rPr>
              <w:t xml:space="preserve"> </w:t>
            </w:r>
            <w:r>
              <w:rPr>
                <w:rFonts w:ascii="Arial" w:hAnsi="Arial" w:cs="Arial"/>
                <w:bCs/>
                <w:iCs/>
              </w:rPr>
              <w:t>do presente Contrato, sendo que, para fins de composição da Base de Cálculo, será considerado, em conjunto, o saldo de todas as Contas Vinculadas indicadas no item VIII abaixo</w:t>
            </w:r>
            <w:r>
              <w:rPr>
                <w:rFonts w:ascii="Arial" w:hAnsi="Arial" w:cs="Arial"/>
                <w:b/>
              </w:rPr>
              <w:t xml:space="preserve">. </w:t>
            </w:r>
          </w:p>
        </w:tc>
      </w:tr>
      <w:tr>
        <w:trPr>
          <w:trHeight w:val="935"/>
          <w:jc w:val="center"/>
        </w:trPr>
        <w:tc>
          <w:tcPr>
            <w:tcW w:w="643" w:type="dxa"/>
          </w:tcPr>
          <w:p>
            <w:pPr>
              <w:spacing w:after="140" w:line="290" w:lineRule="auto"/>
              <w:jc w:val="center"/>
              <w:rPr>
                <w:rFonts w:ascii="Arial" w:hAnsi="Arial" w:cs="Arial"/>
                <w:b/>
                <w:lang w:val="pt-BR"/>
              </w:rPr>
            </w:pPr>
            <w:r>
              <w:rPr>
                <w:rFonts w:ascii="Arial" w:hAnsi="Arial" w:cs="Arial"/>
                <w:b/>
                <w:lang w:val="pt-BR"/>
              </w:rPr>
              <w:t>VI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pPr>
              <w:autoSpaceDE/>
              <w:autoSpaceDN/>
              <w:adjustRightInd/>
              <w:spacing w:after="140" w:line="290" w:lineRule="auto"/>
              <w:jc w:val="both"/>
              <w:rPr>
                <w:rFonts w:ascii="Arial" w:hAnsi="Arial" w:cs="Arial"/>
                <w:iCs/>
                <w:lang w:val="pt-BR"/>
              </w:rPr>
            </w:pPr>
            <w:r>
              <w:rPr>
                <w:rFonts w:ascii="Arial" w:hAnsi="Arial" w:cs="Arial"/>
                <w:iCs/>
                <w:lang w:val="pt-BR"/>
              </w:rPr>
              <w:t>Periodicidade: Mensal, sendo que no 5º (quinto) Dia Útil de cada mês ocorrerá a apuração considerando a Base de Cálculo, observado o disposto na Cláusula 1.3.2.4 deste Contrato (“</w:t>
            </w:r>
            <w:r>
              <w:rPr>
                <w:rFonts w:ascii="Arial" w:hAnsi="Arial" w:cs="Arial"/>
                <w:b/>
                <w:iCs/>
                <w:lang w:val="pt-BR"/>
              </w:rPr>
              <w:t>Data de Apuração Programada</w:t>
            </w:r>
            <w:r>
              <w:rPr>
                <w:rFonts w:ascii="Arial" w:hAnsi="Arial" w:cs="Arial"/>
                <w:iCs/>
                <w:lang w:val="pt-BR"/>
              </w:rPr>
              <w:t>”).</w:t>
            </w:r>
          </w:p>
          <w:p>
            <w:pPr>
              <w:tabs>
                <w:tab w:val="left" w:pos="1876"/>
              </w:tabs>
              <w:spacing w:after="140" w:line="290" w:lineRule="auto"/>
              <w:jc w:val="both"/>
              <w:rPr>
                <w:rFonts w:ascii="Arial" w:hAnsi="Arial" w:cs="Arial"/>
                <w:b/>
                <w:lang w:val="pt-BR"/>
              </w:rPr>
            </w:pPr>
            <w:r>
              <w:rPr>
                <w:rFonts w:ascii="Arial" w:hAnsi="Arial" w:cs="Arial"/>
                <w:iCs/>
                <w:lang w:val="pt-BR"/>
              </w:rPr>
              <w:t>Início da Apuração: 8 de abril 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trPr>
          <w:trHeight w:val="1553"/>
          <w:jc w:val="center"/>
        </w:trPr>
        <w:tc>
          <w:tcPr>
            <w:tcW w:w="643" w:type="dxa"/>
          </w:tcPr>
          <w:p>
            <w:pPr>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pPr>
              <w:pStyle w:val="TextosemFormatao"/>
              <w:tabs>
                <w:tab w:val="left" w:pos="313"/>
                <w:tab w:val="left" w:pos="403"/>
              </w:tabs>
              <w:spacing w:after="140" w:line="290" w:lineRule="auto"/>
              <w:rPr>
                <w:rFonts w:ascii="Arial" w:hAnsi="Arial" w:cs="Arial"/>
              </w:rPr>
            </w:pPr>
            <w:r>
              <w:rPr>
                <w:rFonts w:ascii="Arial" w:hAnsi="Arial" w:cs="Arial"/>
              </w:rPr>
              <w:t>Todos os recursos depositados nas Contas Vinculadas serão transferidos para as respectivas Contas Movimento (conforme abaixo definidas) em até 1 (um) Dia Útil contado do seu recebimento, observados os termos do presente Contrato, observado o disposto abaixo.</w:t>
            </w:r>
            <w:bookmarkEnd w:id="29"/>
            <w:r>
              <w:rPr>
                <w:rFonts w:ascii="Arial" w:hAnsi="Arial" w:cs="Arial"/>
              </w:rPr>
              <w:t xml:space="preserve"> </w:t>
            </w:r>
          </w:p>
          <w:p>
            <w:pPr>
              <w:pStyle w:val="TextosemFormatao"/>
              <w:spacing w:after="140" w:line="290" w:lineRule="auto"/>
              <w:rPr>
                <w:rFonts w:ascii="Arial" w:hAnsi="Arial" w:cs="Arial"/>
                <w:iCs/>
              </w:rPr>
            </w:pPr>
            <w:r>
              <w:rPr>
                <w:rFonts w:ascii="Arial" w:hAnsi="Arial" w:cs="Arial"/>
                <w:iCs/>
                <w:lang w:val="pt-PT"/>
              </w:rPr>
              <w:t xml:space="preserve">Até o Gatilho de Apuração, a Emissora deverá manter o Saldo Investido Conta Eletromidia Bradesco para fins do cumprimento do Valor Mínimo de Recursos nas Contas Vinculadas, que será investido nos Investimentos </w:t>
            </w:r>
            <w:r>
              <w:rPr>
                <w:rFonts w:ascii="Arial" w:hAnsi="Arial" w:cs="Arial"/>
                <w:iCs/>
                <w:lang w:val="pt-PT"/>
              </w:rPr>
              <w:lastRenderedPageBreak/>
              <w:t>Permitidos (conforme definidos no Contrato de Banco Administrador, abaixo definido). O Saldo Investido Conta Eletromidia Bradesco será liberado mediante envio de instrução pelo Agente Fiduciário, observados os termos deste Contrato.</w:t>
            </w:r>
          </w:p>
        </w:tc>
      </w:tr>
      <w:bookmarkEnd w:id="30"/>
      <w:bookmarkEnd w:id="31"/>
      <w:bookmarkEnd w:id="32"/>
      <w:bookmarkEnd w:id="33"/>
      <w:tr>
        <w:trPr>
          <w:trHeight w:val="100"/>
          <w:jc w:val="center"/>
        </w:trPr>
        <w:tc>
          <w:tcPr>
            <w:tcW w:w="643" w:type="dxa"/>
            <w:vMerge w:val="restart"/>
          </w:tcPr>
          <w:p>
            <w:pPr>
              <w:spacing w:after="140" w:line="290" w:lineRule="auto"/>
              <w:jc w:val="center"/>
              <w:rPr>
                <w:rFonts w:ascii="Arial" w:hAnsi="Arial" w:cs="Arial"/>
                <w:b/>
                <w:lang w:val="pt-BR"/>
              </w:rPr>
            </w:pPr>
            <w:r>
              <w:rPr>
                <w:rFonts w:ascii="Arial" w:hAnsi="Arial" w:cs="Arial"/>
                <w:b/>
                <w:lang w:val="pt-BR"/>
              </w:rPr>
              <w:lastRenderedPageBreak/>
              <w:t>VIII</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rPr>
              <w:t>13098976-3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rPr>
              <w:t>13009348-8</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rPr>
              <w:t>13090896-6</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trPr>
          <w:trHeight w:val="100"/>
          <w:jc w:val="center"/>
        </w:trPr>
        <w:tc>
          <w:tcPr>
            <w:tcW w:w="643" w:type="dxa"/>
            <w:vMerge/>
          </w:tcPr>
          <w:p>
            <w:pPr>
              <w:spacing w:after="140" w:line="290" w:lineRule="auto"/>
              <w:jc w:val="center"/>
              <w:rPr>
                <w:rFonts w:ascii="Arial" w:hAnsi="Arial" w:cs="Arial"/>
                <w:b/>
                <w:lang w:val="pt-BR"/>
              </w:rPr>
            </w:pP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r>
        <w:trPr>
          <w:trHeight w:val="1557"/>
          <w:jc w:val="center"/>
        </w:trPr>
        <w:tc>
          <w:tcPr>
            <w:tcW w:w="643" w:type="dxa"/>
            <w:vMerge w:val="restart"/>
          </w:tcPr>
          <w:p>
            <w:pPr>
              <w:spacing w:after="140" w:line="290" w:lineRule="auto"/>
              <w:jc w:val="center"/>
              <w:rPr>
                <w:rFonts w:ascii="Arial" w:hAnsi="Arial" w:cs="Arial"/>
                <w:b/>
                <w:lang w:val="pt-BR"/>
              </w:rPr>
            </w:pPr>
            <w:r>
              <w:rPr>
                <w:rFonts w:ascii="Arial" w:hAnsi="Arial" w:cs="Arial"/>
                <w:b/>
                <w:lang w:val="pt-BR"/>
              </w:rPr>
              <w:t>IX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CONTAS MOVIMENTO:</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trPr>
          <w:trHeight w:val="1557"/>
          <w:jc w:val="center"/>
        </w:trPr>
        <w:tc>
          <w:tcPr>
            <w:tcW w:w="643" w:type="dxa"/>
            <w:vMerge/>
          </w:tcPr>
          <w:p>
            <w:pPr>
              <w:spacing w:after="140" w:line="290" w:lineRule="auto"/>
              <w:jc w:val="center"/>
              <w:rPr>
                <w:rFonts w:ascii="Arial" w:hAnsi="Arial" w:cs="Arial"/>
                <w:b/>
                <w:lang w:val="pt-BR"/>
              </w:rPr>
            </w:pP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bl>
    <w:p>
      <w:pPr>
        <w:pStyle w:val="Ttulo"/>
        <w:spacing w:after="140" w:line="290" w:lineRule="auto"/>
        <w:jc w:val="left"/>
        <w:rPr>
          <w:rFonts w:ascii="Arial" w:hAnsi="Arial" w:cs="Arial"/>
          <w:b w:val="0"/>
          <w:sz w:val="20"/>
          <w:szCs w:val="20"/>
          <w:lang w:val="pt-BR"/>
        </w:rPr>
      </w:pPr>
      <w:bookmarkStart w:id="51" w:name="_DV_M21"/>
      <w:bookmarkEnd w:id="51"/>
    </w:p>
    <w:p>
      <w:pPr>
        <w:spacing w:after="140" w:line="290" w:lineRule="auto"/>
        <w:jc w:val="both"/>
        <w:rPr>
          <w:rFonts w:ascii="Arial" w:hAnsi="Arial" w:cs="Arial"/>
          <w:lang w:val="pt-BR"/>
        </w:rPr>
      </w:pPr>
      <w:bookmarkStart w:id="52" w:name="_DV_M22"/>
      <w:bookmarkEnd w:id="52"/>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53" w:name="_DV_M23"/>
      <w:bookmarkEnd w:id="53"/>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pPr>
        <w:pStyle w:val="Level1"/>
        <w:numPr>
          <w:ilvl w:val="0"/>
          <w:numId w:val="19"/>
        </w:numPr>
        <w:autoSpaceDE w:val="0"/>
        <w:autoSpaceDN w:val="0"/>
        <w:adjustRightInd w:val="0"/>
        <w:spacing w:before="0"/>
        <w:rPr>
          <w:color w:val="auto"/>
          <w:sz w:val="20"/>
          <w:szCs w:val="20"/>
        </w:rPr>
      </w:pPr>
      <w:bookmarkStart w:id="54" w:name="_DV_M24"/>
      <w:bookmarkEnd w:id="54"/>
      <w:r>
        <w:rPr>
          <w:color w:val="auto"/>
          <w:sz w:val="20"/>
          <w:szCs w:val="20"/>
        </w:rPr>
        <w:lastRenderedPageBreak/>
        <w:t>DA CESSÃO FIDUCIÁRIA E DAS CONTAS VINCULADAS</w:t>
      </w:r>
    </w:p>
    <w:p>
      <w:pPr>
        <w:pStyle w:val="Level2"/>
        <w:widowControl w:val="0"/>
        <w:numPr>
          <w:ilvl w:val="1"/>
          <w:numId w:val="19"/>
        </w:numPr>
        <w:autoSpaceDE w:val="0"/>
        <w:autoSpaceDN w:val="0"/>
        <w:adjustRightInd w:val="0"/>
        <w:rPr>
          <w:color w:val="auto"/>
          <w:szCs w:val="20"/>
        </w:rPr>
      </w:pPr>
      <w:bookmarkStart w:id="55" w:name="_DV_M25"/>
      <w:bookmarkStart w:id="56" w:name="_Ref535252402"/>
      <w:bookmarkEnd w:id="55"/>
      <w:r>
        <w:rPr>
          <w:color w:val="auto"/>
          <w:szCs w:val="20"/>
        </w:rPr>
        <w:t>Nos termos das normas legais e regulamentares aplicáveis, incluindo, mas não se limitando, aos artigos 1.361 e seguintes da Lei nº 10.406, de 10 de janeiro de 2002, conforme alterada (“</w:t>
      </w:r>
      <w:r>
        <w:rPr>
          <w:b/>
          <w:color w:val="auto"/>
          <w:szCs w:val="20"/>
        </w:rPr>
        <w:t>Código Civil</w:t>
      </w:r>
      <w:r>
        <w:rPr>
          <w:color w:val="auto"/>
          <w:szCs w:val="20"/>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color w:val="auto"/>
          <w:szCs w:val="20"/>
        </w:rPr>
        <w:t>Lei 9.514</w:t>
      </w:r>
      <w:r>
        <w:rPr>
          <w:color w:val="auto"/>
          <w:szCs w:val="20"/>
        </w:rPr>
        <w:t xml:space="preserve">”), encontram-se descritas no </w:t>
      </w:r>
      <w:r>
        <w:rPr>
          <w:b/>
          <w:color w:val="auto"/>
          <w:szCs w:val="20"/>
        </w:rPr>
        <w:t>Anexo I</w:t>
      </w:r>
      <w:r>
        <w:rPr>
          <w:color w:val="auto"/>
          <w:szCs w:val="20"/>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color w:val="auto"/>
          <w:szCs w:val="20"/>
        </w:rPr>
        <w:t>Cessão Fiduciária</w:t>
      </w:r>
      <w:r>
        <w:rPr>
          <w:color w:val="auto"/>
          <w:szCs w:val="20"/>
        </w:rPr>
        <w:t>”):</w:t>
      </w:r>
    </w:p>
    <w:bookmarkEnd w:id="56"/>
    <w:p>
      <w:pPr>
        <w:pStyle w:val="Level4"/>
        <w:numPr>
          <w:ilvl w:val="3"/>
          <w:numId w:val="19"/>
        </w:numPr>
        <w:tabs>
          <w:tab w:val="clear" w:pos="2041"/>
          <w:tab w:val="left" w:pos="1417"/>
        </w:tabs>
        <w:autoSpaceDE w:val="0"/>
        <w:autoSpaceDN w:val="0"/>
        <w:adjustRightInd w:val="0"/>
        <w:ind w:left="1418" w:hanging="709"/>
        <w:rPr>
          <w:color w:val="auto"/>
          <w:szCs w:val="20"/>
        </w:rPr>
      </w:pPr>
      <w:proofErr w:type="gramStart"/>
      <w:r>
        <w:rPr>
          <w:color w:val="auto"/>
          <w:szCs w:val="20"/>
        </w:rPr>
        <w:t>todos</w:t>
      </w:r>
      <w:proofErr w:type="gramEnd"/>
      <w:r>
        <w:rPr>
          <w:color w:val="auto"/>
          <w:szCs w:val="20"/>
        </w:rPr>
        <w:t xml:space="preserve"> e quaisquer direitos creditórios, presentes e futuros detidos contra o Banco Administrador (conforme abaixo definido) em decorrência das Contas Vinculadas de titularidade das Cedentes Fiduciárias (“</w:t>
      </w:r>
      <w:r>
        <w:rPr>
          <w:b/>
          <w:color w:val="auto"/>
          <w:szCs w:val="20"/>
        </w:rPr>
        <w:t>Direitos Creditórios Cedentes Fiduciárias</w:t>
      </w:r>
      <w:r>
        <w:rPr>
          <w:color w:val="auto"/>
          <w:szCs w:val="20"/>
        </w:rPr>
        <w:t xml:space="preserve">”), as quais serão administradas e movimentáveis unicamente e exclusivamente pelo Banco Administrador, mediante instruções do Agente Fiduciário, nos termos do presente Contrato; e </w:t>
      </w:r>
    </w:p>
    <w:p>
      <w:pPr>
        <w:pStyle w:val="Level4"/>
        <w:numPr>
          <w:ilvl w:val="3"/>
          <w:numId w:val="19"/>
        </w:numPr>
        <w:tabs>
          <w:tab w:val="clear" w:pos="2041"/>
          <w:tab w:val="left" w:pos="1361"/>
        </w:tabs>
        <w:autoSpaceDE w:val="0"/>
        <w:autoSpaceDN w:val="0"/>
        <w:adjustRightInd w:val="0"/>
        <w:ind w:left="1361"/>
        <w:rPr>
          <w:color w:val="auto"/>
          <w:szCs w:val="20"/>
        </w:rPr>
      </w:pPr>
      <w:proofErr w:type="gramStart"/>
      <w:r>
        <w:rPr>
          <w:color w:val="auto"/>
          <w:szCs w:val="20"/>
        </w:rPr>
        <w:t>todos</w:t>
      </w:r>
      <w:proofErr w:type="gramEnd"/>
      <w:r>
        <w:rPr>
          <w:color w:val="auto"/>
          <w:szCs w:val="20"/>
        </w:rPr>
        <w:t xml:space="preserve">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color w:val="auto"/>
          <w:szCs w:val="20"/>
        </w:rPr>
        <w:t>Direitos Contas Vinculadas</w:t>
      </w:r>
      <w:r>
        <w:rPr>
          <w:color w:val="auto"/>
          <w:szCs w:val="20"/>
        </w:rPr>
        <w:t>” e em conjunto com os Direitos Creditórios Cedentes Fiduciárias e as Contas Vinculadas, “</w:t>
      </w:r>
      <w:r>
        <w:rPr>
          <w:b/>
          <w:color w:val="auto"/>
          <w:szCs w:val="20"/>
        </w:rPr>
        <w:t>Direitos Creditórios Cedidos Fiduciariamente</w:t>
      </w:r>
      <w:r>
        <w:rPr>
          <w:color w:val="auto"/>
          <w:szCs w:val="20"/>
        </w:rPr>
        <w:t xml:space="preserve">”). </w:t>
      </w:r>
    </w:p>
    <w:p>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As Cedentes Fiduciárias se obrigam a fazer com que sejam depositados nas Contas Vinculadas </w:t>
      </w:r>
      <w:r>
        <w:rPr>
          <w:rFonts w:ascii="Arial" w:hAnsi="Arial" w:cs="Arial"/>
          <w:color w:val="auto"/>
          <w:sz w:val="20"/>
          <w:szCs w:val="20"/>
        </w:rP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rFonts w:ascii="Arial" w:hAnsi="Arial" w:cs="Arial"/>
          <w:b/>
          <w:color w:val="auto"/>
          <w:sz w:val="20"/>
          <w:szCs w:val="20"/>
        </w:rPr>
        <w:t>Controladora</w:t>
      </w:r>
      <w:r>
        <w:rPr>
          <w:rFonts w:ascii="Arial" w:hAnsi="Arial" w:cs="Arial"/>
          <w:color w:val="auto"/>
          <w:sz w:val="20"/>
          <w:szCs w:val="20"/>
        </w:rPr>
        <w:t>”), sociedades controladas (conforme definição de controle prevista no artigo 116 da Lei das Sociedades por Ações) (“</w:t>
      </w:r>
      <w:r>
        <w:rPr>
          <w:rFonts w:ascii="Arial" w:hAnsi="Arial" w:cs="Arial"/>
          <w:b/>
          <w:bCs/>
          <w:color w:val="auto"/>
          <w:sz w:val="20"/>
          <w:szCs w:val="20"/>
        </w:rPr>
        <w:t>Controlada</w:t>
      </w:r>
      <w:r>
        <w:rPr>
          <w:rFonts w:ascii="Arial" w:hAnsi="Arial" w:cs="Arial"/>
          <w:color w:val="auto"/>
          <w:sz w:val="20"/>
          <w:szCs w:val="20"/>
        </w:rPr>
        <w:t>”) ou aquelas sociedades conforme definidas nos Parágrafos 1º, 4º e 5º do Artigo 243 da Lei das Sociedades por Ações (“</w:t>
      </w:r>
      <w:r>
        <w:rPr>
          <w:rFonts w:ascii="Arial" w:hAnsi="Arial" w:cs="Arial"/>
          <w:b/>
          <w:bCs/>
          <w:color w:val="auto"/>
          <w:sz w:val="20"/>
          <w:szCs w:val="20"/>
        </w:rPr>
        <w:t>Coligadas</w:t>
      </w:r>
      <w:r>
        <w:rPr>
          <w:rFonts w:ascii="Arial" w:hAnsi="Arial" w:cs="Arial"/>
          <w:color w:val="auto"/>
          <w:sz w:val="20"/>
          <w:szCs w:val="20"/>
        </w:rPr>
        <w:t xml:space="preserve">”) de forma direta ou indireta, tampouco com seus acionistas e parentes até terceiro grau, exceto em relação à </w:t>
      </w:r>
      <w:r>
        <w:rPr>
          <w:rFonts w:ascii="Arial" w:hAnsi="Arial" w:cs="Arial"/>
          <w:color w:val="auto"/>
          <w:sz w:val="20"/>
          <w:szCs w:val="20"/>
          <w:lang w:val="pt-PT"/>
        </w:rPr>
        <w:t>Publibanca Brasil S.A.</w:t>
      </w:r>
      <w:r>
        <w:rPr>
          <w:rFonts w:ascii="Arial" w:hAnsi="Arial" w:cs="Arial"/>
          <w:color w:val="auto"/>
          <w:w w:val="0"/>
          <w:sz w:val="20"/>
          <w:szCs w:val="20"/>
        </w:rPr>
        <w:t xml:space="preserve"> </w:t>
      </w:r>
    </w:p>
    <w:p>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Fica desde já estabelecido que, para fins de composição do Saldo Investido Conta </w:t>
      </w:r>
      <w:proofErr w:type="spellStart"/>
      <w:r>
        <w:rPr>
          <w:rFonts w:ascii="Arial" w:hAnsi="Arial" w:cs="Arial"/>
          <w:color w:val="auto"/>
          <w:w w:val="0"/>
          <w:sz w:val="20"/>
          <w:szCs w:val="20"/>
        </w:rPr>
        <w:t>Eletromidia</w:t>
      </w:r>
      <w:proofErr w:type="spellEnd"/>
      <w:r>
        <w:rPr>
          <w:rFonts w:ascii="Arial" w:hAnsi="Arial" w:cs="Arial"/>
          <w:color w:val="auto"/>
          <w:w w:val="0"/>
          <w:sz w:val="20"/>
          <w:szCs w:val="20"/>
        </w:rPr>
        <w:t xml:space="preserve"> Bradesco, até o Gatilho de Apuração a Conta </w:t>
      </w:r>
      <w:proofErr w:type="spellStart"/>
      <w:r>
        <w:rPr>
          <w:rFonts w:ascii="Arial" w:hAnsi="Arial" w:cs="Arial"/>
          <w:color w:val="auto"/>
          <w:w w:val="0"/>
          <w:sz w:val="20"/>
          <w:szCs w:val="20"/>
        </w:rPr>
        <w:t>Eletromidia</w:t>
      </w:r>
      <w:proofErr w:type="spellEnd"/>
      <w:r>
        <w:rPr>
          <w:rFonts w:ascii="Arial" w:hAnsi="Arial" w:cs="Arial"/>
          <w:color w:val="auto"/>
          <w:w w:val="0"/>
          <w:sz w:val="20"/>
          <w:szCs w:val="20"/>
        </w:rPr>
        <w:t xml:space="preserve"> Bradesco poderá receber recursos que não tenham origem na prestação de serviços descrita na Cláusula 1.1.1 acima.</w:t>
      </w:r>
    </w:p>
    <w:p>
      <w:pPr>
        <w:pStyle w:val="Level2"/>
        <w:widowControl w:val="0"/>
        <w:numPr>
          <w:ilvl w:val="1"/>
          <w:numId w:val="19"/>
        </w:numPr>
        <w:autoSpaceDE w:val="0"/>
        <w:autoSpaceDN w:val="0"/>
        <w:adjustRightInd w:val="0"/>
        <w:rPr>
          <w:color w:val="auto"/>
          <w:szCs w:val="20"/>
        </w:rPr>
      </w:pPr>
      <w:r>
        <w:rPr>
          <w:color w:val="auto"/>
          <w:szCs w:val="20"/>
        </w:rPr>
        <w:t>A Cessão Fiduciária resulta na transferência aos Debenturistas, representados pelo Agente Fiduciário, da propriedade fiduciária, do domínio resolúvel e da posse direta e indireta dos Direitos Creditórios Cedidos Fiduciariamente.</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w w:val="0"/>
          <w:sz w:val="20"/>
          <w:szCs w:val="20"/>
        </w:rPr>
        <w:t xml:space="preserve">Caso ocorram alterações nos termos e condições das </w:t>
      </w:r>
      <w:r>
        <w:rPr>
          <w:rFonts w:ascii="Arial" w:hAnsi="Arial" w:cs="Arial"/>
          <w:color w:val="auto"/>
          <w:sz w:val="20"/>
          <w:szCs w:val="20"/>
        </w:rPr>
        <w:t>Obrigações Garantidas</w:t>
      </w:r>
      <w:r>
        <w:rPr>
          <w:rFonts w:ascii="Arial" w:hAnsi="Arial" w:cs="Arial"/>
          <w:color w:val="auto"/>
          <w:w w:val="0"/>
          <w:sz w:val="20"/>
          <w:szCs w:val="20"/>
        </w:rPr>
        <w:t xml:space="preserve">, descritas </w:t>
      </w:r>
      <w:r>
        <w:rPr>
          <w:rFonts w:ascii="Arial" w:hAnsi="Arial" w:cs="Arial"/>
          <w:color w:val="auto"/>
          <w:sz w:val="20"/>
          <w:szCs w:val="20"/>
        </w:rPr>
        <w:t xml:space="preserve">no </w:t>
      </w:r>
      <w:r>
        <w:rPr>
          <w:rFonts w:ascii="Arial" w:hAnsi="Arial" w:cs="Arial"/>
          <w:b/>
          <w:color w:val="auto"/>
          <w:sz w:val="20"/>
          <w:szCs w:val="20"/>
        </w:rPr>
        <w:t>Anexo I</w:t>
      </w:r>
      <w:r>
        <w:rPr>
          <w:rFonts w:ascii="Arial" w:hAnsi="Arial" w:cs="Arial"/>
          <w:color w:val="auto"/>
          <w:sz w:val="20"/>
          <w:szCs w:val="20"/>
        </w:rPr>
        <w:t xml:space="preserve"> ao presente Contrato</w:t>
      </w:r>
      <w:r>
        <w:rPr>
          <w:rFonts w:ascii="Arial" w:hAnsi="Arial" w:cs="Arial"/>
          <w:color w:val="auto"/>
          <w:w w:val="0"/>
          <w:sz w:val="20"/>
          <w:szCs w:val="2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Arial" w:hAnsi="Arial" w:cs="Arial"/>
          <w:color w:val="auto"/>
          <w:sz w:val="20"/>
          <w:szCs w:val="20"/>
        </w:rPr>
        <w:t xml:space="preserve"> </w:t>
      </w:r>
      <w:r>
        <w:rPr>
          <w:rFonts w:ascii="Arial" w:hAnsi="Arial" w:cs="Arial"/>
          <w:color w:val="auto"/>
          <w:sz w:val="20"/>
          <w:szCs w:val="20"/>
        </w:rPr>
        <w:fldChar w:fldCharType="begin"/>
      </w:r>
      <w:r>
        <w:rPr>
          <w:rFonts w:ascii="Arial" w:hAnsi="Arial" w:cs="Arial"/>
          <w:color w:val="auto"/>
          <w:sz w:val="20"/>
          <w:szCs w:val="20"/>
        </w:rPr>
        <w:instrText xml:space="preserve"> REF _Ref1507213 \r \h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1.3.1</w:t>
      </w:r>
      <w:r>
        <w:rPr>
          <w:rFonts w:ascii="Arial" w:hAnsi="Arial" w:cs="Arial"/>
          <w:color w:val="auto"/>
          <w:sz w:val="20"/>
          <w:szCs w:val="20"/>
        </w:rPr>
        <w:fldChar w:fldCharType="end"/>
      </w:r>
      <w:r>
        <w:rPr>
          <w:rFonts w:ascii="Arial" w:hAnsi="Arial" w:cs="Arial"/>
          <w:color w:val="auto"/>
          <w:sz w:val="20"/>
          <w:szCs w:val="20"/>
        </w:rPr>
        <w:t xml:space="preserve"> abaixo</w:t>
      </w:r>
      <w:r>
        <w:rPr>
          <w:rFonts w:ascii="Arial" w:hAnsi="Arial" w:cs="Arial"/>
          <w:color w:val="auto"/>
          <w:w w:val="0"/>
          <w:sz w:val="20"/>
          <w:szCs w:val="20"/>
        </w:rPr>
        <w:t xml:space="preserve">. </w:t>
      </w:r>
    </w:p>
    <w:p>
      <w:pPr>
        <w:pStyle w:val="Level2"/>
        <w:widowControl w:val="0"/>
        <w:numPr>
          <w:ilvl w:val="1"/>
          <w:numId w:val="19"/>
        </w:numPr>
        <w:autoSpaceDE w:val="0"/>
        <w:autoSpaceDN w:val="0"/>
        <w:adjustRightInd w:val="0"/>
        <w:rPr>
          <w:color w:val="auto"/>
          <w:szCs w:val="20"/>
        </w:rPr>
      </w:pPr>
      <w:bookmarkStart w:id="57" w:name="_DV_M26"/>
      <w:bookmarkEnd w:id="57"/>
      <w:r>
        <w:rPr>
          <w:color w:val="auto"/>
          <w:szCs w:val="20"/>
        </w:rPr>
        <w:t xml:space="preserve">Para fins do aperfeiçoamento da Cessão Fiduciária dos Direitos Creditórios Cedidos Fiduciariamente disposta na Cláusula </w:t>
      </w:r>
      <w:r>
        <w:rPr>
          <w:color w:val="auto"/>
          <w:szCs w:val="20"/>
        </w:rPr>
        <w:fldChar w:fldCharType="begin"/>
      </w:r>
      <w:r>
        <w:rPr>
          <w:color w:val="auto"/>
          <w:szCs w:val="20"/>
        </w:rPr>
        <w:instrText xml:space="preserve"> REF _Ref535252402 \r \h  \* MERGEFORMAT </w:instrText>
      </w:r>
      <w:r>
        <w:rPr>
          <w:color w:val="auto"/>
          <w:szCs w:val="20"/>
        </w:rPr>
      </w:r>
      <w:r>
        <w:rPr>
          <w:color w:val="auto"/>
          <w:szCs w:val="20"/>
        </w:rPr>
        <w:fldChar w:fldCharType="separate"/>
      </w:r>
      <w:r>
        <w:rPr>
          <w:color w:val="auto"/>
          <w:szCs w:val="20"/>
        </w:rPr>
        <w:t>1.1</w:t>
      </w:r>
      <w:r>
        <w:rPr>
          <w:color w:val="auto"/>
          <w:szCs w:val="20"/>
        </w:rPr>
        <w:fldChar w:fldCharType="end"/>
      </w:r>
      <w:r>
        <w:rPr>
          <w:color w:val="auto"/>
          <w:szCs w:val="20"/>
        </w:rPr>
        <w:t xml:space="preserve">. </w:t>
      </w:r>
      <w:proofErr w:type="gramStart"/>
      <w:r>
        <w:rPr>
          <w:color w:val="auto"/>
          <w:szCs w:val="20"/>
        </w:rPr>
        <w:t>acima</w:t>
      </w:r>
      <w:proofErr w:type="gramEnd"/>
      <w:r>
        <w:rPr>
          <w:color w:val="auto"/>
          <w:szCs w:val="20"/>
        </w:rPr>
        <w:t xml:space="preserve">, as Cedentes Fiduciárias se comprometem a realizar os procedimentos </w:t>
      </w:r>
      <w:r>
        <w:rPr>
          <w:color w:val="auto"/>
          <w:szCs w:val="20"/>
        </w:rPr>
        <w:lastRenderedPageBreak/>
        <w:t xml:space="preserve">dispostos nas Cláusulas </w:t>
      </w:r>
      <w:r>
        <w:rPr>
          <w:color w:val="auto"/>
          <w:szCs w:val="20"/>
        </w:rPr>
        <w:fldChar w:fldCharType="begin"/>
      </w:r>
      <w:r>
        <w:rPr>
          <w:color w:val="auto"/>
          <w:szCs w:val="20"/>
        </w:rPr>
        <w:instrText xml:space="preserve"> REF _Ref1507213 \r \h </w:instrText>
      </w:r>
      <w:r>
        <w:rPr>
          <w:color w:val="auto"/>
          <w:szCs w:val="20"/>
        </w:rPr>
      </w:r>
      <w:r>
        <w:rPr>
          <w:color w:val="auto"/>
          <w:szCs w:val="20"/>
        </w:rPr>
        <w:fldChar w:fldCharType="separate"/>
      </w:r>
      <w:r>
        <w:rPr>
          <w:color w:val="auto"/>
          <w:szCs w:val="20"/>
        </w:rPr>
        <w:t>1.3.1</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_Ref1749709 \r \h  \* MERGEFORMAT </w:instrText>
      </w:r>
      <w:r>
        <w:rPr>
          <w:color w:val="auto"/>
          <w:szCs w:val="20"/>
        </w:rPr>
      </w:r>
      <w:r>
        <w:rPr>
          <w:color w:val="auto"/>
          <w:szCs w:val="20"/>
        </w:rPr>
        <w:fldChar w:fldCharType="separate"/>
      </w:r>
      <w:r>
        <w:rPr>
          <w:color w:val="auto"/>
          <w:szCs w:val="20"/>
        </w:rPr>
        <w:t>1.3.1.1</w:t>
      </w:r>
      <w:r>
        <w:rPr>
          <w:color w:val="auto"/>
          <w:szCs w:val="20"/>
        </w:rPr>
        <w:fldChar w:fldCharType="end"/>
      </w:r>
      <w:r>
        <w:rPr>
          <w:color w:val="auto"/>
          <w:szCs w:val="20"/>
        </w:rPr>
        <w:t xml:space="preserve"> abaixo.</w:t>
      </w:r>
    </w:p>
    <w:p>
      <w:pPr>
        <w:pStyle w:val="Level3"/>
        <w:widowControl w:val="0"/>
        <w:numPr>
          <w:ilvl w:val="2"/>
          <w:numId w:val="19"/>
        </w:numPr>
        <w:rPr>
          <w:rFonts w:ascii="Arial" w:hAnsi="Arial" w:cs="Arial"/>
          <w:color w:val="auto"/>
          <w:sz w:val="20"/>
          <w:szCs w:val="20"/>
        </w:rPr>
      </w:pPr>
      <w:bookmarkStart w:id="58" w:name="_Ref1507213"/>
      <w:bookmarkStart w:id="59" w:name="_Ref34159457"/>
      <w:r>
        <w:rPr>
          <w:rFonts w:ascii="Arial" w:hAnsi="Arial" w:cs="Arial"/>
          <w:color w:val="auto"/>
          <w:sz w:val="20"/>
          <w:szCs w:val="20"/>
        </w:rPr>
        <w:t xml:space="preserve">A </w:t>
      </w:r>
      <w:proofErr w:type="spellStart"/>
      <w:r>
        <w:rPr>
          <w:rFonts w:ascii="Arial" w:hAnsi="Arial" w:cs="Arial"/>
          <w:color w:val="auto"/>
          <w:sz w:val="20"/>
          <w:szCs w:val="20"/>
        </w:rPr>
        <w:t>Eletromidia</w:t>
      </w:r>
      <w:proofErr w:type="spellEnd"/>
      <w:r>
        <w:rPr>
          <w:rFonts w:ascii="Arial" w:hAnsi="Arial" w:cs="Arial"/>
          <w:color w:val="auto"/>
          <w:sz w:val="20"/>
          <w:szCs w:val="20"/>
        </w:rPr>
        <w:t>,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Arial" w:hAnsi="Arial" w:cs="Arial"/>
          <w:b/>
          <w:color w:val="auto"/>
          <w:sz w:val="20"/>
          <w:szCs w:val="20"/>
        </w:rPr>
        <w:t>Cartório de RTD</w:t>
      </w:r>
      <w:r>
        <w:rPr>
          <w:rFonts w:ascii="Arial" w:hAnsi="Arial" w:cs="Arial"/>
          <w:color w:val="auto"/>
          <w:sz w:val="20"/>
          <w:szCs w:val="20"/>
        </w:rPr>
        <w:t>”), observado que (i) o presente Contrato deverá ser registrado antes da Primeira Data de Integralização (conforme definida na Escritura de Emissão); e (</w:t>
      </w:r>
      <w:proofErr w:type="spellStart"/>
      <w:r>
        <w:rPr>
          <w:rFonts w:ascii="Arial" w:hAnsi="Arial" w:cs="Arial"/>
          <w:color w:val="auto"/>
          <w:sz w:val="20"/>
          <w:szCs w:val="20"/>
        </w:rPr>
        <w:t>ii</w:t>
      </w:r>
      <w:proofErr w:type="spellEnd"/>
      <w:r>
        <w:rPr>
          <w:rFonts w:ascii="Arial" w:hAnsi="Arial" w:cs="Arial"/>
          <w:color w:val="auto"/>
          <w:sz w:val="20"/>
          <w:szCs w:val="20"/>
        </w:rPr>
        <w:t>) os eventuais aditamentos ao presente Contrato deverão ser registrados no Cartório de RTD, respeitado o prazo disposto no artigo 130 da Lei n.º 6.015, de 31 de dezembro de 1973, conforme em vigor (“</w:t>
      </w:r>
      <w:r>
        <w:rPr>
          <w:rFonts w:ascii="Arial" w:hAnsi="Arial" w:cs="Arial"/>
          <w:b/>
          <w:color w:val="auto"/>
          <w:sz w:val="20"/>
          <w:szCs w:val="20"/>
        </w:rPr>
        <w:t>Lei de Registros Públicos</w:t>
      </w:r>
      <w:r>
        <w:rPr>
          <w:rFonts w:ascii="Arial" w:hAnsi="Arial" w:cs="Arial"/>
          <w:color w:val="auto"/>
          <w:sz w:val="20"/>
          <w:szCs w:val="20"/>
        </w:rPr>
        <w:t xml:space="preserve">”), sendo que tal prazo poderá ser prorrogado por 10 (dez) dias caso a Emissora comprove ao Agente Fiduciário que o Cartório de RTD fez exigências e que está, tempestivamente, atendendo a tais exigências. A </w:t>
      </w:r>
      <w:proofErr w:type="spellStart"/>
      <w:r>
        <w:rPr>
          <w:rFonts w:ascii="Arial" w:hAnsi="Arial" w:cs="Arial"/>
          <w:color w:val="auto"/>
          <w:sz w:val="20"/>
          <w:szCs w:val="20"/>
        </w:rPr>
        <w:t>Eletromidia</w:t>
      </w:r>
      <w:proofErr w:type="spellEnd"/>
      <w:r>
        <w:rPr>
          <w:rFonts w:ascii="Arial" w:hAnsi="Arial" w:cs="Arial"/>
          <w:color w:val="auto"/>
          <w:sz w:val="20"/>
          <w:szCs w:val="20"/>
        </w:rPr>
        <w:t xml:space="preserve">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58"/>
      <w:r>
        <w:rPr>
          <w:rFonts w:ascii="Arial" w:hAnsi="Arial" w:cs="Arial"/>
          <w:color w:val="auto"/>
          <w:sz w:val="20"/>
          <w:szCs w:val="20"/>
        </w:rPr>
        <w:t xml:space="preserve"> </w:t>
      </w:r>
      <w:bookmarkEnd w:id="59"/>
    </w:p>
    <w:p>
      <w:pPr>
        <w:pStyle w:val="Level3"/>
        <w:numPr>
          <w:ilvl w:val="3"/>
          <w:numId w:val="29"/>
        </w:numPr>
        <w:autoSpaceDE w:val="0"/>
        <w:autoSpaceDN w:val="0"/>
        <w:adjustRightInd w:val="0"/>
        <w:ind w:left="2127"/>
        <w:rPr>
          <w:rFonts w:ascii="Arial" w:hAnsi="Arial" w:cs="Arial"/>
          <w:color w:val="auto"/>
          <w:sz w:val="20"/>
          <w:szCs w:val="20"/>
        </w:rPr>
      </w:pPr>
      <w:bookmarkStart w:id="60" w:name="_Ref1749709"/>
      <w:r>
        <w:rPr>
          <w:rFonts w:ascii="Arial" w:hAnsi="Arial" w:cs="Arial"/>
          <w:color w:val="auto"/>
          <w:sz w:val="20"/>
          <w:szCs w:val="20"/>
        </w:rPr>
        <w:t xml:space="preserve">Caso a </w:t>
      </w:r>
      <w:proofErr w:type="spellStart"/>
      <w:r>
        <w:rPr>
          <w:rFonts w:ascii="Arial" w:hAnsi="Arial" w:cs="Arial"/>
          <w:color w:val="auto"/>
          <w:sz w:val="20"/>
          <w:szCs w:val="20"/>
        </w:rPr>
        <w:t>Eletromidia</w:t>
      </w:r>
      <w:proofErr w:type="spellEnd"/>
      <w:r>
        <w:rPr>
          <w:rFonts w:ascii="Arial" w:hAnsi="Arial" w:cs="Arial"/>
          <w:color w:val="auto"/>
          <w:sz w:val="20"/>
          <w:szCs w:val="20"/>
        </w:rPr>
        <w:t xml:space="preserve"> não realize os registros previstos nas Cláusula </w:t>
      </w:r>
      <w:r>
        <w:rPr>
          <w:rFonts w:ascii="Arial" w:hAnsi="Arial" w:cs="Arial"/>
          <w:color w:val="auto"/>
          <w:sz w:val="20"/>
          <w:szCs w:val="20"/>
        </w:rPr>
        <w:fldChar w:fldCharType="begin"/>
      </w:r>
      <w:r>
        <w:rPr>
          <w:rFonts w:ascii="Arial" w:hAnsi="Arial" w:cs="Arial"/>
          <w:color w:val="auto"/>
          <w:sz w:val="20"/>
          <w:szCs w:val="20"/>
        </w:rPr>
        <w:instrText xml:space="preserve"> REF _Ref34159457 \n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1.3.1</w:t>
      </w:r>
      <w:r>
        <w:rPr>
          <w:rFonts w:ascii="Arial" w:hAnsi="Arial" w:cs="Arial"/>
          <w:color w:val="auto"/>
          <w:sz w:val="20"/>
          <w:szCs w:val="20"/>
        </w:rPr>
        <w:fldChar w:fldCharType="end"/>
      </w:r>
      <w:r>
        <w:rPr>
          <w:rFonts w:ascii="Arial" w:hAnsi="Arial" w:cs="Arial"/>
          <w:color w:val="auto"/>
          <w:sz w:val="20"/>
          <w:szCs w:val="20"/>
        </w:rPr>
        <w:t xml:space="preserve"> acima, o Agente Fiduciário fica desde já autorizado e constituído de todos os poderes para, em nome da </w:t>
      </w:r>
      <w:proofErr w:type="spellStart"/>
      <w:r>
        <w:rPr>
          <w:rFonts w:ascii="Arial" w:hAnsi="Arial" w:cs="Arial"/>
          <w:color w:val="auto"/>
          <w:sz w:val="20"/>
          <w:szCs w:val="20"/>
        </w:rPr>
        <w:t>Eletromidia</w:t>
      </w:r>
      <w:proofErr w:type="spellEnd"/>
      <w:r>
        <w:rPr>
          <w:rFonts w:ascii="Arial" w:hAnsi="Arial" w:cs="Arial"/>
          <w:color w:val="auto"/>
          <w:sz w:val="20"/>
          <w:szCs w:val="20"/>
        </w:rPr>
        <w:t>, promover tais registros, conforme disposto no artigo 62, parágrafo 2º, da Lei nº 6.404, de 15 de dezembro de 1976, conforme em vigor (“</w:t>
      </w:r>
      <w:r>
        <w:rPr>
          <w:rFonts w:ascii="Arial" w:hAnsi="Arial" w:cs="Arial"/>
          <w:b/>
          <w:color w:val="auto"/>
          <w:sz w:val="20"/>
          <w:szCs w:val="20"/>
        </w:rPr>
        <w:t>Lei das Sociedades por Ações</w:t>
      </w:r>
      <w:r>
        <w:rPr>
          <w:rFonts w:ascii="Arial" w:hAnsi="Arial" w:cs="Arial"/>
          <w:color w:val="auto"/>
          <w:sz w:val="20"/>
          <w:szCs w:val="20"/>
        </w:rPr>
        <w:t xml:space="preserve">”), o que não descaracteriza, contudo, o descumprimento de obrigação não pecuniária pela Emissora, nos termos da Cláusula 8.2.1, inciso (x), da Escritura de Emissão. </w:t>
      </w:r>
      <w:bookmarkEnd w:id="60"/>
    </w:p>
    <w:p>
      <w:pPr>
        <w:pStyle w:val="Level3"/>
        <w:numPr>
          <w:ilvl w:val="2"/>
          <w:numId w:val="19"/>
        </w:numPr>
        <w:autoSpaceDE w:val="0"/>
        <w:autoSpaceDN w:val="0"/>
        <w:adjustRightInd w:val="0"/>
        <w:rPr>
          <w:rFonts w:ascii="Arial" w:hAnsi="Arial" w:cs="Arial"/>
          <w:color w:val="auto"/>
          <w:sz w:val="20"/>
          <w:szCs w:val="20"/>
        </w:rPr>
      </w:pPr>
      <w:bookmarkStart w:id="61" w:name="_DV_M31"/>
      <w:bookmarkStart w:id="62" w:name="_DV_M32"/>
      <w:bookmarkStart w:id="63" w:name="_DV_M33"/>
      <w:bookmarkStart w:id="64" w:name="_DV_M34"/>
      <w:bookmarkStart w:id="65" w:name="_Hlk482135596"/>
      <w:bookmarkStart w:id="66" w:name="_Ref535252921"/>
      <w:bookmarkStart w:id="67" w:name="_Ref535246277"/>
      <w:bookmarkStart w:id="68" w:name="_Ref34158731"/>
      <w:bookmarkEnd w:id="61"/>
      <w:bookmarkEnd w:id="62"/>
      <w:bookmarkEnd w:id="63"/>
      <w:bookmarkEnd w:id="64"/>
      <w:r>
        <w:rPr>
          <w:rFonts w:ascii="Arial" w:hAnsi="Arial" w:cs="Arial"/>
          <w:color w:val="auto"/>
          <w:sz w:val="20"/>
          <w:szCs w:val="20"/>
        </w:rPr>
        <w:t xml:space="preserve">O valor dos Direitos Creditórios Cedentes Fiduciárias </w:t>
      </w:r>
      <w:bookmarkEnd w:id="65"/>
      <w:bookmarkEnd w:id="66"/>
      <w:r>
        <w:rPr>
          <w:rFonts w:ascii="Arial" w:hAnsi="Arial" w:cs="Arial"/>
          <w:color w:val="auto"/>
          <w:sz w:val="20"/>
          <w:szCs w:val="20"/>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obtidos do Banco Administrador, a apuração do montante dos Direitos Creditórios Cedentes Fiduciárias que transitaram nas Contas Vinculadas</w:t>
      </w:r>
      <w:bookmarkEnd w:id="67"/>
      <w:r>
        <w:rPr>
          <w:rFonts w:ascii="Arial" w:hAnsi="Arial" w:cs="Arial"/>
          <w:color w:val="auto"/>
          <w:sz w:val="20"/>
          <w:szCs w:val="20"/>
        </w:rPr>
        <w:t>.</w:t>
      </w:r>
      <w:bookmarkEnd w:id="68"/>
      <w:r>
        <w:rPr>
          <w:rFonts w:ascii="Arial" w:hAnsi="Arial" w:cs="Arial"/>
          <w:color w:val="auto"/>
          <w:sz w:val="20"/>
          <w:szCs w:val="20"/>
        </w:rPr>
        <w:t xml:space="preserve"> </w:t>
      </w:r>
    </w:p>
    <w:p>
      <w:pPr>
        <w:pStyle w:val="Level3"/>
        <w:numPr>
          <w:ilvl w:val="3"/>
          <w:numId w:val="31"/>
        </w:numPr>
        <w:autoSpaceDE w:val="0"/>
        <w:autoSpaceDN w:val="0"/>
        <w:adjustRightInd w:val="0"/>
        <w:rPr>
          <w:rFonts w:ascii="Arial" w:hAnsi="Arial" w:cs="Arial"/>
          <w:color w:val="auto"/>
          <w:sz w:val="20"/>
          <w:szCs w:val="20"/>
        </w:rPr>
      </w:pPr>
      <w:bookmarkStart w:id="69" w:name="_DV_M35"/>
      <w:bookmarkStart w:id="70" w:name="_Ref34158716"/>
      <w:bookmarkStart w:id="71" w:name="_Ref535246236"/>
      <w:bookmarkStart w:id="72" w:name="_Ref376346"/>
      <w:bookmarkEnd w:id="69"/>
      <w:r>
        <w:rPr>
          <w:rFonts w:ascii="Arial" w:hAnsi="Arial" w:cs="Arial"/>
          <w:color w:val="auto"/>
          <w:sz w:val="20"/>
          <w:szCs w:val="20"/>
        </w:rPr>
        <w:t>Caso, em qualquer Data de Apuração Programada, o valor dos Direitos Creditórios Cedentes Fiduciárias seja inferior ao Valor Mínimo de Recursos nas Contas Vinculadas, o Agente Fiduciário (a) notificará, em até 1 (um) dia útil, as Cedentes Fiduciárias (“</w:t>
      </w:r>
      <w:r>
        <w:rPr>
          <w:rFonts w:ascii="Arial" w:hAnsi="Arial" w:cs="Arial"/>
          <w:b/>
          <w:color w:val="auto"/>
          <w:sz w:val="20"/>
          <w:szCs w:val="20"/>
        </w:rPr>
        <w:t>Notificação de Descumprimento do Valor Mínimo</w:t>
      </w:r>
      <w:r>
        <w:rPr>
          <w:rFonts w:ascii="Arial" w:hAnsi="Arial" w:cs="Arial"/>
          <w:color w:val="auto"/>
          <w:sz w:val="20"/>
          <w:szCs w:val="20"/>
        </w:rPr>
        <w:t>”), para a recomposição do Valor Mínimo de Recursos nas Contas Vinculadas</w:t>
      </w:r>
      <w:r>
        <w:rPr>
          <w:rStyle w:val="DeltaViewInsertion"/>
          <w:rFonts w:ascii="Arial" w:hAnsi="Arial" w:cs="Arial"/>
          <w:color w:val="auto"/>
          <w:sz w:val="20"/>
          <w:szCs w:val="20"/>
          <w:u w:val="none"/>
        </w:rPr>
        <w:t xml:space="preserve">; e (b) realizará, após 5 (cinco) dias úteis contados da Data de Apuração Programada imediatamente anterior, nova apuração do </w:t>
      </w:r>
      <w:r>
        <w:rPr>
          <w:rFonts w:ascii="Arial" w:hAnsi="Arial" w:cs="Arial"/>
          <w:color w:val="auto"/>
          <w:sz w:val="20"/>
          <w:szCs w:val="20"/>
        </w:rPr>
        <w:t>montante dos Direitos Creditórios Cedentes Fiduciárias que transitaram nas Contas Vinculadas (“</w:t>
      </w:r>
      <w:r>
        <w:rPr>
          <w:rFonts w:ascii="Arial" w:hAnsi="Arial" w:cs="Arial"/>
          <w:b/>
          <w:color w:val="auto"/>
          <w:sz w:val="20"/>
          <w:szCs w:val="20"/>
        </w:rPr>
        <w:t>Apuração Extraordinária</w:t>
      </w:r>
      <w:r>
        <w:rPr>
          <w:rFonts w:ascii="Arial" w:hAnsi="Arial" w:cs="Arial"/>
          <w:color w:val="auto"/>
          <w:sz w:val="20"/>
          <w:szCs w:val="20"/>
        </w:rPr>
        <w:t>”), considerando na apuração o período compreendido entre a Data da Apuração Programada imediatamente anterior à última Data de Apuração Programada e a data da Apuração Extraordinária, de modo que:</w:t>
      </w:r>
      <w:bookmarkEnd w:id="70"/>
    </w:p>
    <w:p>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tab/>
      </w:r>
      <w:bookmarkStart w:id="73" w:name="_Ref34158859"/>
      <w:proofErr w:type="gramStart"/>
      <w:r>
        <w:rPr>
          <w:color w:val="auto"/>
          <w:szCs w:val="20"/>
        </w:rPr>
        <w:t>caso</w:t>
      </w:r>
      <w:proofErr w:type="gramEnd"/>
      <w:r>
        <w:rPr>
          <w:color w:val="auto"/>
          <w:szCs w:val="20"/>
        </w:rPr>
        <w:t xml:space="preserve">,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Pr>
          <w:color w:val="auto"/>
          <w:szCs w:val="20"/>
        </w:rPr>
        <w:fldChar w:fldCharType="begin"/>
      </w:r>
      <w:r>
        <w:rPr>
          <w:color w:val="auto"/>
          <w:szCs w:val="20"/>
        </w:rPr>
        <w:instrText xml:space="preserve"> REF _Ref34159007 \w \h  \* MERGEFORMAT </w:instrText>
      </w:r>
      <w:r>
        <w:rPr>
          <w:color w:val="auto"/>
          <w:szCs w:val="20"/>
        </w:rPr>
      </w:r>
      <w:r>
        <w:rPr>
          <w:color w:val="auto"/>
          <w:szCs w:val="20"/>
        </w:rPr>
        <w:fldChar w:fldCharType="separate"/>
      </w:r>
      <w:r>
        <w:rPr>
          <w:color w:val="auto"/>
          <w:szCs w:val="20"/>
        </w:rPr>
        <w:t>1.3.3(</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abaixo; e</w:t>
      </w:r>
      <w:bookmarkEnd w:id="73"/>
    </w:p>
    <w:p>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lastRenderedPageBreak/>
        <w:tab/>
      </w:r>
      <w:proofErr w:type="gramStart"/>
      <w:r>
        <w:rPr>
          <w:color w:val="auto"/>
          <w:szCs w:val="20"/>
        </w:rPr>
        <w:t>caso</w:t>
      </w:r>
      <w:proofErr w:type="gramEnd"/>
      <w:r>
        <w:rPr>
          <w:color w:val="auto"/>
          <w:szCs w:val="20"/>
        </w:rPr>
        <w:t>,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color w:val="auto"/>
          <w:szCs w:val="20"/>
        </w:rPr>
        <w:t>Evento de Retenção Extraordinário</w:t>
      </w:r>
      <w:r>
        <w:rPr>
          <w:color w:val="auto"/>
          <w:szCs w:val="20"/>
        </w:rPr>
        <w:t>”).</w:t>
      </w:r>
    </w:p>
    <w:p>
      <w:pPr>
        <w:pStyle w:val="Level3"/>
        <w:numPr>
          <w:ilvl w:val="3"/>
          <w:numId w:val="31"/>
        </w:numPr>
        <w:autoSpaceDE w:val="0"/>
        <w:autoSpaceDN w:val="0"/>
        <w:adjustRightInd w:val="0"/>
        <w:rPr>
          <w:rFonts w:ascii="Arial" w:hAnsi="Arial" w:cs="Arial"/>
          <w:color w:val="auto"/>
          <w:sz w:val="20"/>
          <w:szCs w:val="20"/>
        </w:rPr>
      </w:pPr>
      <w:bookmarkStart w:id="74" w:name="_Ref34158871"/>
      <w:r>
        <w:rPr>
          <w:rFonts w:ascii="Arial" w:hAnsi="Arial" w:cs="Arial"/>
          <w:color w:val="auto"/>
          <w:sz w:val="20"/>
          <w:szCs w:val="20"/>
        </w:rP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rFonts w:ascii="Arial" w:hAnsi="Arial" w:cs="Arial"/>
          <w:b/>
          <w:color w:val="auto"/>
          <w:sz w:val="20"/>
          <w:szCs w:val="20"/>
        </w:rPr>
        <w:t xml:space="preserve"> </w:t>
      </w:r>
      <w:r>
        <w:rPr>
          <w:rFonts w:ascii="Arial" w:hAnsi="Arial" w:cs="Arial"/>
          <w:color w:val="auto"/>
          <w:sz w:val="20"/>
          <w:szCs w:val="20"/>
        </w:rP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um Evento de Retenção Extraordinário esteja em curso, o Agente Fiduciário realizará a apuração do Valor Mínimo de Recursos nas Contas Vinculadas </w:t>
      </w:r>
      <w:r>
        <w:rPr>
          <w:rFonts w:ascii="Arial" w:hAnsi="Arial" w:cs="Arial"/>
          <w:color w:val="auto"/>
          <w:sz w:val="20"/>
          <w:szCs w:val="20"/>
          <w:u w:val="single"/>
        </w:rPr>
        <w:t>diariamente</w:t>
      </w:r>
      <w:r>
        <w:rPr>
          <w:rFonts w:ascii="Arial" w:hAnsi="Arial" w:cs="Arial"/>
          <w:color w:val="auto"/>
          <w:sz w:val="20"/>
          <w:szCs w:val="20"/>
        </w:rP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rFonts w:ascii="Arial" w:hAnsi="Arial" w:cs="Arial"/>
          <w:b/>
          <w:color w:val="auto"/>
          <w:sz w:val="20"/>
          <w:szCs w:val="20"/>
        </w:rPr>
        <w:t>Notificação de Liberação da Retenção Extraordinária</w:t>
      </w:r>
      <w:r>
        <w:rPr>
          <w:rFonts w:ascii="Arial" w:hAnsi="Arial" w:cs="Arial"/>
          <w:color w:val="auto"/>
          <w:sz w:val="20"/>
          <w:szCs w:val="20"/>
        </w:rPr>
        <w:t>”).</w:t>
      </w:r>
      <w:bookmarkEnd w:id="74"/>
    </w:p>
    <w:p>
      <w:pPr>
        <w:pStyle w:val="Level3"/>
        <w:numPr>
          <w:ilvl w:val="3"/>
          <w:numId w:val="31"/>
        </w:numPr>
        <w:autoSpaceDE w:val="0"/>
        <w:autoSpaceDN w:val="0"/>
        <w:adjustRightInd w:val="0"/>
        <w:rPr>
          <w:rFonts w:ascii="Arial" w:hAnsi="Arial" w:cs="Arial"/>
          <w:color w:val="auto"/>
          <w:sz w:val="20"/>
          <w:szCs w:val="20"/>
        </w:rPr>
      </w:pPr>
      <w:bookmarkStart w:id="75" w:name="_Ref34159428"/>
      <w:r>
        <w:rPr>
          <w:rFonts w:ascii="Arial" w:hAnsi="Arial" w:cs="Arial"/>
          <w:color w:val="auto"/>
          <w:sz w:val="20"/>
          <w:szCs w:val="20"/>
        </w:rP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rPr>
          <w:rFonts w:ascii="Arial" w:hAnsi="Arial" w:cs="Arial"/>
          <w:color w:val="auto"/>
          <w:sz w:val="20"/>
          <w:szCs w:val="20"/>
        </w:rPr>
        <w:fldChar w:fldCharType="begin"/>
      </w:r>
      <w:r>
        <w:rPr>
          <w:rFonts w:ascii="Arial" w:hAnsi="Arial" w:cs="Arial"/>
          <w:color w:val="auto"/>
          <w:sz w:val="20"/>
          <w:szCs w:val="20"/>
        </w:rPr>
        <w:instrText xml:space="preserve"> REF _Ref34158731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w:t>
      </w:r>
      <w:r>
        <w:rPr>
          <w:rFonts w:ascii="Arial" w:hAnsi="Arial" w:cs="Arial"/>
          <w:color w:val="auto"/>
          <w:sz w:val="20"/>
          <w:szCs w:val="20"/>
        </w:rPr>
        <w:fldChar w:fldCharType="end"/>
      </w:r>
      <w:r>
        <w:rPr>
          <w:rFonts w:ascii="Arial" w:hAnsi="Arial" w:cs="Arial"/>
          <w:color w:val="auto"/>
          <w:sz w:val="20"/>
          <w:szCs w:val="20"/>
        </w:rPr>
        <w:t xml:space="preserve"> acima.</w:t>
      </w:r>
      <w:bookmarkEnd w:id="75"/>
    </w:p>
    <w:p>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não poderão descumprir o Valor Mínimo de Recursos nas Contas Vinculadas, nos termos da Cláusula </w:t>
      </w:r>
      <w:r>
        <w:rPr>
          <w:rFonts w:ascii="Arial" w:hAnsi="Arial" w:cs="Arial"/>
          <w:color w:val="auto"/>
          <w:sz w:val="20"/>
          <w:szCs w:val="20"/>
        </w:rPr>
        <w:fldChar w:fldCharType="begin"/>
      </w:r>
      <w:r>
        <w:rPr>
          <w:rFonts w:ascii="Arial" w:hAnsi="Arial" w:cs="Arial"/>
          <w:color w:val="auto"/>
          <w:sz w:val="20"/>
          <w:szCs w:val="20"/>
        </w:rPr>
        <w:instrText xml:space="preserve"> REF _Ref34158716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1.3.2.1</w:t>
      </w:r>
      <w:r>
        <w:rPr>
          <w:rFonts w:ascii="Arial" w:hAnsi="Arial" w:cs="Arial"/>
          <w:color w:val="auto"/>
          <w:sz w:val="20"/>
          <w:szCs w:val="20"/>
        </w:rPr>
        <w:fldChar w:fldCharType="end"/>
      </w:r>
      <w:r>
        <w:rPr>
          <w:rFonts w:ascii="Arial" w:hAnsi="Arial" w:cs="Arial"/>
          <w:color w:val="auto"/>
          <w:sz w:val="20"/>
          <w:szCs w:val="20"/>
        </w:rPr>
        <w:t xml:space="preserve"> acima </w:t>
      </w:r>
      <w:r>
        <w:rPr>
          <w:rFonts w:ascii="Arial" w:hAnsi="Arial" w:cs="Arial"/>
          <w:b/>
          <w:bCs/>
          <w:color w:val="auto"/>
          <w:sz w:val="20"/>
          <w:szCs w:val="20"/>
        </w:rPr>
        <w:t>(i)</w:t>
      </w:r>
      <w:r>
        <w:rPr>
          <w:rFonts w:ascii="Arial" w:hAnsi="Arial" w:cs="Arial"/>
          <w:color w:val="auto"/>
          <w:sz w:val="20"/>
          <w:szCs w:val="20"/>
        </w:rPr>
        <w:t xml:space="preserve"> em mais de 3 (três) datas de Apuração Extraordinária consecutivas; e/ou </w:t>
      </w:r>
      <w:r>
        <w:rPr>
          <w:rFonts w:ascii="Arial" w:hAnsi="Arial" w:cs="Arial"/>
          <w:b/>
          <w:bCs/>
          <w:color w:val="auto"/>
          <w:sz w:val="20"/>
          <w:szCs w:val="20"/>
        </w:rPr>
        <w:t>(</w:t>
      </w:r>
      <w:proofErr w:type="spellStart"/>
      <w:r>
        <w:rPr>
          <w:rFonts w:ascii="Arial" w:hAnsi="Arial" w:cs="Arial"/>
          <w:b/>
          <w:bCs/>
          <w:color w:val="auto"/>
          <w:sz w:val="20"/>
          <w:szCs w:val="20"/>
        </w:rPr>
        <w:t>ii</w:t>
      </w:r>
      <w:proofErr w:type="spellEnd"/>
      <w:r>
        <w:rPr>
          <w:rFonts w:ascii="Arial" w:hAnsi="Arial" w:cs="Arial"/>
          <w:b/>
          <w:bCs/>
          <w:color w:val="auto"/>
          <w:sz w:val="20"/>
          <w:szCs w:val="20"/>
        </w:rPr>
        <w:t>)</w:t>
      </w:r>
      <w:r>
        <w:rPr>
          <w:rFonts w:ascii="Arial" w:hAnsi="Arial" w:cs="Arial"/>
          <w:color w:val="auto"/>
          <w:sz w:val="20"/>
          <w:szCs w:val="20"/>
        </w:rP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71"/>
      <w:bookmarkEnd w:id="72"/>
    </w:p>
    <w:p>
      <w:pPr>
        <w:pStyle w:val="Level3"/>
        <w:numPr>
          <w:ilvl w:val="3"/>
          <w:numId w:val="31"/>
        </w:numPr>
        <w:autoSpaceDE w:val="0"/>
        <w:autoSpaceDN w:val="0"/>
        <w:adjustRightInd w:val="0"/>
        <w:rPr>
          <w:rFonts w:ascii="Arial" w:hAnsi="Arial" w:cs="Arial"/>
          <w:color w:val="auto"/>
          <w:sz w:val="20"/>
          <w:szCs w:val="20"/>
        </w:rPr>
      </w:pPr>
      <w:bookmarkStart w:id="76" w:name="_Ref68425174"/>
      <w:r>
        <w:rPr>
          <w:rFonts w:ascii="Arial" w:hAnsi="Arial" w:cs="Arial"/>
          <w:color w:val="auto"/>
          <w:sz w:val="20"/>
          <w:szCs w:val="20"/>
        </w:rPr>
        <w:t xml:space="preserve">Caso, após uma apuração ocorrida antes do Gatilho de Apuração, verifique-se que o </w:t>
      </w:r>
      <w:r>
        <w:rPr>
          <w:rFonts w:ascii="Arial" w:hAnsi="Arial" w:cs="Arial"/>
          <w:color w:val="auto"/>
          <w:sz w:val="20"/>
          <w:szCs w:val="20"/>
          <w:lang w:val="pt-PT"/>
        </w:rPr>
        <w:t xml:space="preserve">Valor Mínimo de Recursos na Conta Vinculada foi cumprido, </w:t>
      </w:r>
      <w:r>
        <w:rPr>
          <w:rFonts w:ascii="Arial" w:hAnsi="Arial" w:cs="Arial"/>
          <w:bCs/>
          <w:iCs/>
          <w:color w:val="auto"/>
          <w:sz w:val="20"/>
          <w:szCs w:val="20"/>
          <w:lang w:val="pt-PT"/>
        </w:rPr>
        <w:t>a Emissora poderá, em até 5 (cinco) Dias Úteis após a apuração, solicitar ao Agente Fiduciário que o valor correspondente à diferença entre: (i) o somatório do Saldo Investido Conta Eletromidia Bradesco com o Valor Transitado nas Contas Vinculadas, conforme apuração realizada pelo Agente Fiduciário; e (ii) 5% (cinco por cento) do saldo devedor das Obrigações Garantidas (considerando principal mais juros), seja liberado à Conta Movimento de titularidade da Emissora, hipótese em que, em até 1 (um) Dia Útil após a solicitação, o Agente Fiduciário deverá instruir o Banco Administrador a resgatar investimentos nos valores excedentes, para transferência à Conta Movimento de titularidade da Emissora.</w:t>
      </w:r>
      <w:bookmarkEnd w:id="76"/>
    </w:p>
    <w:p>
      <w:pPr>
        <w:pStyle w:val="Level3"/>
        <w:numPr>
          <w:ilvl w:val="3"/>
          <w:numId w:val="31"/>
        </w:numPr>
        <w:autoSpaceDE w:val="0"/>
        <w:autoSpaceDN w:val="0"/>
        <w:adjustRightInd w:val="0"/>
        <w:rPr>
          <w:rFonts w:ascii="Arial" w:hAnsi="Arial" w:cs="Arial"/>
          <w:color w:val="auto"/>
          <w:sz w:val="20"/>
          <w:szCs w:val="20"/>
        </w:rPr>
      </w:pPr>
      <w:bookmarkStart w:id="77" w:name="_Ref68425183"/>
      <w:r>
        <w:rPr>
          <w:rFonts w:ascii="Arial" w:hAnsi="Arial" w:cs="Arial"/>
          <w:bCs/>
          <w:iCs/>
          <w:color w:val="auto"/>
          <w:sz w:val="20"/>
          <w:szCs w:val="20"/>
          <w:lang w:val="pt-PT"/>
        </w:rPr>
        <w:lastRenderedPageBreak/>
        <w:t>Após o Gatilho de Apuração, a Emissora poderá, a qualquer momento, solicitar ao Agente Fiduciário que a totalidade dos recursos investidos sejam liberados à Conta Movimento de titularidade da Emissora, hipótese em que, em até 1 (um) Dia Útil após a solicitação, o Agente Fiduciário deverá instruir o Banco Administrador a resgatar todos os investimentos para transferência à Conta Movimento de titularidade da Emissora.</w:t>
      </w:r>
      <w:bookmarkEnd w:id="77"/>
    </w:p>
    <w:p>
      <w:pPr>
        <w:pStyle w:val="Level3"/>
        <w:numPr>
          <w:ilvl w:val="2"/>
          <w:numId w:val="19"/>
        </w:numPr>
        <w:autoSpaceDE w:val="0"/>
        <w:autoSpaceDN w:val="0"/>
        <w:adjustRightInd w:val="0"/>
        <w:rPr>
          <w:rFonts w:ascii="Arial" w:hAnsi="Arial" w:cs="Arial"/>
          <w:color w:val="auto"/>
          <w:sz w:val="20"/>
          <w:szCs w:val="20"/>
        </w:rPr>
      </w:pPr>
      <w:bookmarkStart w:id="78" w:name="_DV_M38"/>
      <w:bookmarkStart w:id="79" w:name="_Ref34158970"/>
      <w:bookmarkEnd w:id="78"/>
      <w:r>
        <w:rPr>
          <w:rFonts w:ascii="Arial" w:hAnsi="Arial" w:cs="Arial"/>
          <w:color w:val="auto"/>
          <w:sz w:val="20"/>
          <w:szCs w:val="20"/>
        </w:rPr>
        <w:t>As Contas Vinculadas somente serão debitadas e/ou movimentadas pelo Banco Administrador, sob as condições deste Contrato e do respectivo Contrato de Banco Administrador (conforme abaixo definido), para atender exclusivamente às seguintes finalidades:</w:t>
      </w:r>
      <w:bookmarkEnd w:id="79"/>
      <w:r>
        <w:rPr>
          <w:rFonts w:ascii="Arial" w:hAnsi="Arial" w:cs="Arial"/>
          <w:color w:val="auto"/>
          <w:sz w:val="20"/>
          <w:szCs w:val="20"/>
        </w:rPr>
        <w:t xml:space="preserve"> </w:t>
      </w:r>
    </w:p>
    <w:p>
      <w:pPr>
        <w:pStyle w:val="Level4"/>
        <w:numPr>
          <w:ilvl w:val="3"/>
          <w:numId w:val="19"/>
        </w:numPr>
        <w:autoSpaceDE w:val="0"/>
        <w:autoSpaceDN w:val="0"/>
        <w:adjustRightInd w:val="0"/>
        <w:rPr>
          <w:color w:val="auto"/>
          <w:szCs w:val="20"/>
        </w:rPr>
      </w:pPr>
      <w:bookmarkStart w:id="80" w:name="_Ref34158983"/>
      <w:proofErr w:type="gramStart"/>
      <w:r>
        <w:rPr>
          <w:color w:val="auto"/>
          <w:szCs w:val="20"/>
        </w:rPr>
        <w:t>por</w:t>
      </w:r>
      <w:proofErr w:type="gramEnd"/>
      <w:r>
        <w:rPr>
          <w:color w:val="auto"/>
          <w:szCs w:val="20"/>
        </w:rPr>
        <w:t xml:space="preserve">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80"/>
      <w:r>
        <w:rPr>
          <w:color w:val="auto"/>
          <w:szCs w:val="20"/>
        </w:rPr>
        <w:t xml:space="preserve"> </w:t>
      </w:r>
    </w:p>
    <w:p>
      <w:pPr>
        <w:pStyle w:val="Level4"/>
        <w:numPr>
          <w:ilvl w:val="3"/>
          <w:numId w:val="19"/>
        </w:numPr>
        <w:autoSpaceDE w:val="0"/>
        <w:autoSpaceDN w:val="0"/>
        <w:adjustRightInd w:val="0"/>
        <w:rPr>
          <w:color w:val="auto"/>
          <w:szCs w:val="20"/>
        </w:rPr>
      </w:pPr>
      <w:bookmarkStart w:id="81" w:name="_Ref34159007"/>
      <w:r>
        <w:rPr>
          <w:color w:val="auto"/>
          <w:szCs w:val="20"/>
        </w:rPr>
        <w:t xml:space="preserve">transferência de valores para as Contas Movimento </w:t>
      </w:r>
      <w:r>
        <w:rPr>
          <w:rStyle w:val="DeltaViewInsertion"/>
          <w:color w:val="auto"/>
          <w:szCs w:val="20"/>
          <w:u w:val="none"/>
        </w:rPr>
        <w:t>nas hipóteses previstas nas</w:t>
      </w:r>
      <w:r>
        <w:rPr>
          <w:color w:val="auto"/>
          <w:szCs w:val="20"/>
        </w:rPr>
        <w:t xml:space="preserve"> Cláusulas </w:t>
      </w:r>
      <w:r>
        <w:rPr>
          <w:color w:val="auto"/>
          <w:szCs w:val="20"/>
        </w:rPr>
        <w:fldChar w:fldCharType="begin"/>
      </w:r>
      <w:r>
        <w:rPr>
          <w:color w:val="auto"/>
          <w:szCs w:val="20"/>
        </w:rPr>
        <w:instrText xml:space="preserve"> REF _Ref34158716 \r \h  \* MERGEFORMAT </w:instrText>
      </w:r>
      <w:r>
        <w:rPr>
          <w:color w:val="auto"/>
          <w:szCs w:val="20"/>
        </w:rPr>
      </w:r>
      <w:r>
        <w:rPr>
          <w:color w:val="auto"/>
          <w:szCs w:val="20"/>
        </w:rPr>
        <w:fldChar w:fldCharType="separate"/>
      </w:r>
      <w:r>
        <w:rPr>
          <w:color w:val="auto"/>
          <w:szCs w:val="20"/>
        </w:rPr>
        <w:t>1.3.2.1</w:t>
      </w:r>
      <w:r>
        <w:rPr>
          <w:color w:val="auto"/>
          <w:szCs w:val="20"/>
        </w:rPr>
        <w:fldChar w:fldCharType="end"/>
      </w:r>
      <w:r>
        <w:rPr>
          <w:color w:val="auto"/>
          <w:szCs w:val="20"/>
        </w:rPr>
        <w:t xml:space="preserve">, </w:t>
      </w:r>
      <w:r>
        <w:rPr>
          <w:rStyle w:val="DeltaViewInsertion"/>
          <w:color w:val="auto"/>
          <w:szCs w:val="20"/>
          <w:u w:val="none"/>
        </w:rPr>
        <w:fldChar w:fldCharType="begin"/>
      </w:r>
      <w:r>
        <w:rPr>
          <w:rStyle w:val="DeltaViewInsertion"/>
          <w:color w:val="auto"/>
          <w:szCs w:val="20"/>
          <w:u w:val="none"/>
        </w:rPr>
        <w:instrText xml:space="preserve"> REF _Ref34158859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1.3.2(i)</w:t>
      </w:r>
      <w:r>
        <w:rPr>
          <w:rStyle w:val="DeltaViewInsertion"/>
          <w:color w:val="auto"/>
          <w:szCs w:val="20"/>
          <w:u w:val="none"/>
        </w:rPr>
        <w:fldChar w:fldCharType="end"/>
      </w:r>
      <w:r>
        <w:rPr>
          <w:rStyle w:val="DeltaViewInsertion"/>
          <w:color w:val="auto"/>
          <w:szCs w:val="20"/>
          <w:u w:val="none"/>
        </w:rPr>
        <w:t xml:space="preserve"> </w:t>
      </w:r>
      <w:r>
        <w:rPr>
          <w:color w:val="auto"/>
          <w:szCs w:val="20"/>
        </w:rPr>
        <w:t>acima</w:t>
      </w:r>
      <w:r>
        <w:rPr>
          <w:rStyle w:val="DeltaViewInsertion"/>
          <w:color w:val="auto"/>
          <w:szCs w:val="20"/>
          <w:u w:val="none"/>
        </w:rPr>
        <w:t xml:space="preserve">, </w:t>
      </w:r>
      <w:r>
        <w:rPr>
          <w:rStyle w:val="DeltaViewInsertion"/>
          <w:color w:val="auto"/>
          <w:szCs w:val="20"/>
          <w:u w:val="none"/>
        </w:rPr>
        <w:fldChar w:fldCharType="begin"/>
      </w:r>
      <w:r>
        <w:rPr>
          <w:rStyle w:val="DeltaViewInsertion"/>
          <w:color w:val="auto"/>
          <w:szCs w:val="20"/>
          <w:u w:val="none"/>
        </w:rPr>
        <w:instrText xml:space="preserve"> REF _Ref34158871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1.3.2.2</w:t>
      </w:r>
      <w:r>
        <w:rPr>
          <w:rStyle w:val="DeltaViewInsertion"/>
          <w:color w:val="auto"/>
          <w:szCs w:val="20"/>
          <w:u w:val="none"/>
        </w:rPr>
        <w:fldChar w:fldCharType="end"/>
      </w:r>
      <w:r>
        <w:rPr>
          <w:rStyle w:val="DeltaViewInsertion"/>
          <w:color w:val="auto"/>
          <w:szCs w:val="20"/>
          <w:u w:val="none"/>
        </w:rPr>
        <w:t xml:space="preserve"> acima, </w:t>
      </w:r>
      <w:r>
        <w:rPr>
          <w:rStyle w:val="DeltaViewInsertion"/>
          <w:color w:val="auto"/>
          <w:szCs w:val="20"/>
          <w:u w:val="none"/>
        </w:rPr>
        <w:fldChar w:fldCharType="begin"/>
      </w:r>
      <w:r>
        <w:rPr>
          <w:rStyle w:val="DeltaViewInsertion"/>
          <w:color w:val="auto"/>
          <w:szCs w:val="20"/>
          <w:u w:val="none"/>
        </w:rPr>
        <w:instrText xml:space="preserve"> REF _Ref68425174 \r \h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1.3.2.6</w:t>
      </w:r>
      <w:r>
        <w:rPr>
          <w:rStyle w:val="DeltaViewInsertion"/>
          <w:color w:val="auto"/>
          <w:szCs w:val="20"/>
          <w:u w:val="none"/>
        </w:rPr>
        <w:fldChar w:fldCharType="end"/>
      </w:r>
      <w:r>
        <w:rPr>
          <w:rStyle w:val="DeltaViewInsertion"/>
          <w:color w:val="auto"/>
          <w:szCs w:val="20"/>
          <w:u w:val="none"/>
        </w:rPr>
        <w:t xml:space="preserve"> acima, </w:t>
      </w:r>
      <w:r>
        <w:rPr>
          <w:rStyle w:val="DeltaViewInsertion"/>
          <w:color w:val="auto"/>
          <w:szCs w:val="20"/>
          <w:u w:val="none"/>
        </w:rPr>
        <w:fldChar w:fldCharType="begin"/>
      </w:r>
      <w:r>
        <w:rPr>
          <w:rStyle w:val="DeltaViewInsertion"/>
          <w:color w:val="auto"/>
          <w:szCs w:val="20"/>
          <w:u w:val="none"/>
        </w:rPr>
        <w:instrText xml:space="preserve"> REF _Ref68425183 \r \h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1.3.2.7</w:t>
      </w:r>
      <w:r>
        <w:rPr>
          <w:rStyle w:val="DeltaViewInsertion"/>
          <w:color w:val="auto"/>
          <w:szCs w:val="20"/>
          <w:u w:val="none"/>
        </w:rPr>
        <w:fldChar w:fldCharType="end"/>
      </w:r>
      <w:r>
        <w:rPr>
          <w:rStyle w:val="DeltaViewInsertion"/>
          <w:color w:val="auto"/>
          <w:szCs w:val="20"/>
          <w:u w:val="none"/>
        </w:rPr>
        <w:t xml:space="preserve"> acima, </w:t>
      </w:r>
      <w:r>
        <w:rPr>
          <w:rStyle w:val="DeltaViewInsertion"/>
          <w:color w:val="auto"/>
          <w:szCs w:val="20"/>
          <w:u w:val="none"/>
        </w:rPr>
        <w:fldChar w:fldCharType="begin"/>
      </w:r>
      <w:r>
        <w:rPr>
          <w:rStyle w:val="DeltaViewInsertion"/>
          <w:color w:val="auto"/>
          <w:szCs w:val="20"/>
          <w:u w:val="none"/>
        </w:rPr>
        <w:instrText xml:space="preserve"> REF _Ref34662902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2.2</w:t>
      </w:r>
      <w:r>
        <w:rPr>
          <w:rStyle w:val="DeltaViewInsertion"/>
          <w:color w:val="auto"/>
          <w:szCs w:val="20"/>
          <w:u w:val="none"/>
        </w:rPr>
        <w:fldChar w:fldCharType="end"/>
      </w:r>
      <w:r>
        <w:rPr>
          <w:rStyle w:val="DeltaViewInsertion"/>
          <w:color w:val="auto"/>
          <w:szCs w:val="20"/>
          <w:u w:val="none"/>
        </w:rPr>
        <w:t xml:space="preserve"> abaixo, e </w:t>
      </w:r>
      <w:r>
        <w:rPr>
          <w:rStyle w:val="DeltaViewInsertion"/>
          <w:color w:val="auto"/>
          <w:szCs w:val="20"/>
          <w:u w:val="none"/>
        </w:rPr>
        <w:fldChar w:fldCharType="begin"/>
      </w:r>
      <w:r>
        <w:rPr>
          <w:rStyle w:val="DeltaViewInsertion"/>
          <w:color w:val="auto"/>
          <w:szCs w:val="20"/>
          <w:u w:val="none"/>
        </w:rPr>
        <w:instrText xml:space="preserve"> REF _Ref34158917 \w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3.2(</w:t>
      </w:r>
      <w:proofErr w:type="spellStart"/>
      <w:r>
        <w:rPr>
          <w:rStyle w:val="DeltaViewInsertion"/>
          <w:color w:val="auto"/>
          <w:szCs w:val="20"/>
          <w:u w:val="none"/>
        </w:rPr>
        <w:t>iv</w:t>
      </w:r>
      <w:proofErr w:type="spellEnd"/>
      <w:r>
        <w:rPr>
          <w:rStyle w:val="DeltaViewInsertion"/>
          <w:color w:val="auto"/>
          <w:szCs w:val="20"/>
          <w:u w:val="none"/>
        </w:rPr>
        <w:t>)</w:t>
      </w:r>
      <w:r>
        <w:rPr>
          <w:rStyle w:val="DeltaViewInsertion"/>
          <w:color w:val="auto"/>
          <w:szCs w:val="20"/>
          <w:u w:val="none"/>
        </w:rPr>
        <w:fldChar w:fldCharType="end"/>
      </w:r>
      <w:r>
        <w:rPr>
          <w:rStyle w:val="DeltaViewInsertion"/>
          <w:color w:val="auto"/>
          <w:szCs w:val="20"/>
          <w:u w:val="none"/>
        </w:rPr>
        <w:t xml:space="preserve"> abaixo, as quais poderão ser livremente movimentadas pelas Cedentes Fiduciárias</w:t>
      </w:r>
      <w:r>
        <w:rPr>
          <w:color w:val="auto"/>
          <w:szCs w:val="20"/>
        </w:rPr>
        <w:t>.</w:t>
      </w:r>
      <w:bookmarkEnd w:id="81"/>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82" w:name="_DV_M39"/>
      <w:bookmarkEnd w:id="82"/>
      <w:r>
        <w:rPr>
          <w:color w:val="auto"/>
          <w:szCs w:val="20"/>
          <w:lang w:val="pt-PT"/>
        </w:rPr>
        <w:t xml:space="preserve">A </w:t>
      </w:r>
      <w:r>
        <w:rPr>
          <w:bCs/>
          <w:color w:val="auto"/>
          <w:szCs w:val="20"/>
          <w:lang w:val="pt-PT"/>
        </w:rPr>
        <w:t>movimentação</w:t>
      </w:r>
      <w:r>
        <w:rPr>
          <w:color w:val="auto"/>
          <w:szCs w:val="20"/>
          <w:lang w:val="pt-PT"/>
        </w:rPr>
        <w:t xml:space="preserve"> das</w:t>
      </w:r>
      <w:r>
        <w:rPr>
          <w:b/>
          <w:color w:val="auto"/>
          <w:szCs w:val="20"/>
          <w:lang w:val="pt-PT"/>
        </w:rPr>
        <w:t xml:space="preserve"> </w:t>
      </w:r>
      <w:r>
        <w:rPr>
          <w:color w:val="auto"/>
          <w:szCs w:val="20"/>
          <w:lang w:val="pt-PT"/>
        </w:rPr>
        <w:t xml:space="preserve">Contas Vinculadas será feita, exclusivamente, (i) pelo Banco Santander (Brasil) S.A., instituição financeira, </w:t>
      </w:r>
      <w:r>
        <w:rPr>
          <w:bCs/>
          <w:color w:val="auto"/>
          <w:szCs w:val="20"/>
          <w:lang w:val="pt-PT"/>
        </w:rPr>
        <w:t>com sede em São Paulo, Estado de São Paulo, na Avenida Presidente Juscelino Kubitschek n.º 2041 e n.º 2235 – Bloco A inscrito no CNPJ/ME sob o nº 90.400.888/0001-42 (“</w:t>
      </w:r>
      <w:r>
        <w:rPr>
          <w:b/>
          <w:bCs/>
          <w:color w:val="auto"/>
          <w:szCs w:val="20"/>
          <w:lang w:val="pt-PT"/>
        </w:rPr>
        <w:t>Santander</w:t>
      </w:r>
      <w:r>
        <w:rPr>
          <w:bCs/>
          <w:color w:val="auto"/>
          <w:szCs w:val="20"/>
          <w:lang w:val="pt-PT"/>
        </w:rPr>
        <w:t>”); ou (ii) pelo Banco Bradesco S.A., instituição financeira com sede no Núcleo Cidade de Deus, s/nº, na Vila Yara, na Cidade de Osasco, no Estado de São Paulo, inscrito no CNPJ/ME sob nº 60.746.948/0001-12 (“</w:t>
      </w:r>
      <w:r>
        <w:rPr>
          <w:b/>
          <w:bCs/>
          <w:color w:val="auto"/>
          <w:szCs w:val="20"/>
          <w:lang w:val="pt-PT"/>
        </w:rPr>
        <w:t>Bradesco</w:t>
      </w:r>
      <w:r>
        <w:rPr>
          <w:bCs/>
          <w:color w:val="auto"/>
          <w:szCs w:val="20"/>
          <w:lang w:val="pt-PT"/>
        </w:rPr>
        <w:t>” e, em conjunto com o Santander, “</w:t>
      </w:r>
      <w:r>
        <w:rPr>
          <w:b/>
          <w:bCs/>
          <w:color w:val="auto"/>
          <w:szCs w:val="20"/>
          <w:lang w:val="pt-PT"/>
        </w:rPr>
        <w:t>Bancos Administradores</w:t>
      </w:r>
      <w:r>
        <w:rPr>
          <w:bCs/>
          <w:color w:val="auto"/>
          <w:szCs w:val="20"/>
          <w:lang w:val="pt-PT"/>
        </w:rPr>
        <w:t>” e cada um, individulamente, “</w:t>
      </w:r>
      <w:r>
        <w:rPr>
          <w:b/>
          <w:bCs/>
          <w:color w:val="auto"/>
          <w:szCs w:val="20"/>
          <w:lang w:val="pt-PT"/>
        </w:rPr>
        <w:t>Banco Administrador</w:t>
      </w:r>
      <w:r>
        <w:rPr>
          <w:bCs/>
          <w:color w:val="auto"/>
          <w:szCs w:val="20"/>
          <w:lang w:val="pt-PT"/>
        </w:rPr>
        <w:t>”)</w:t>
      </w:r>
      <w:r>
        <w:rPr>
          <w:color w:val="auto"/>
          <w:szCs w:val="20"/>
          <w:lang w:val="pt-PT"/>
        </w:rPr>
        <w:t>,</w:t>
      </w:r>
      <w:r>
        <w:rPr>
          <w:b/>
          <w:color w:val="auto"/>
          <w:szCs w:val="20"/>
          <w:lang w:val="pt-PT"/>
        </w:rPr>
        <w:t xml:space="preserve"> </w:t>
      </w:r>
      <w:r>
        <w:rPr>
          <w:color w:val="auto"/>
          <w:szCs w:val="20"/>
          <w:lang w:val="pt-PT"/>
        </w:rPr>
        <w:t>na qualidade de bancos depositários das Contas Vinculadas, por instrução do</w:t>
      </w:r>
      <w:r>
        <w:rPr>
          <w:b/>
          <w:color w:val="auto"/>
          <w:szCs w:val="20"/>
          <w:lang w:val="pt-PT"/>
        </w:rPr>
        <w:t xml:space="preserve"> </w:t>
      </w:r>
      <w:r>
        <w:rPr>
          <w:color w:val="auto"/>
          <w:szCs w:val="20"/>
          <w:lang w:val="pt-PT"/>
        </w:rPr>
        <w:t>Agente Fiduciário</w:t>
      </w:r>
      <w:r>
        <w:rPr>
          <w:color w:val="auto"/>
          <w:szCs w:val="20"/>
        </w:rPr>
        <w:t xml:space="preserve">.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A atuação e a contratação dos Bancos Administradores são reguladas por meio (i) do “</w:t>
      </w:r>
      <w:r>
        <w:rPr>
          <w:rFonts w:ascii="Arial" w:hAnsi="Arial" w:cs="Arial"/>
          <w:iCs/>
          <w:color w:val="auto"/>
          <w:sz w:val="20"/>
          <w:szCs w:val="20"/>
          <w:lang w:val="pt-PT"/>
        </w:rPr>
        <w:t>Contrato de Depósito</w:t>
      </w:r>
      <w:r>
        <w:rPr>
          <w:rFonts w:ascii="Arial" w:hAnsi="Arial" w:cs="Arial"/>
          <w:color w:val="auto"/>
          <w:sz w:val="20"/>
          <w:szCs w:val="20"/>
          <w:lang w:val="pt-PT"/>
        </w:rPr>
        <w:t>”, celebrado em 20 de março de 2020 entre as Cedentes Fiduciárias, o Santander e o Agente Fiduciário (“</w:t>
      </w:r>
      <w:r>
        <w:rPr>
          <w:rFonts w:ascii="Arial" w:hAnsi="Arial" w:cs="Arial"/>
          <w:b/>
          <w:color w:val="auto"/>
          <w:sz w:val="20"/>
          <w:szCs w:val="20"/>
          <w:lang w:val="pt-PT"/>
        </w:rPr>
        <w:t>Contrato de Banco Administrador Santander</w:t>
      </w:r>
      <w:r>
        <w:rPr>
          <w:rFonts w:ascii="Arial" w:hAnsi="Arial" w:cs="Arial"/>
          <w:color w:val="auto"/>
          <w:sz w:val="20"/>
          <w:szCs w:val="20"/>
          <w:lang w:val="pt-PT"/>
        </w:rPr>
        <w:t>”); e (ii) do “</w:t>
      </w:r>
      <w:r>
        <w:rPr>
          <w:rFonts w:ascii="Arial" w:hAnsi="Arial" w:cs="Arial"/>
          <w:iCs/>
          <w:color w:val="auto"/>
          <w:sz w:val="20"/>
          <w:szCs w:val="20"/>
          <w:lang w:val="pt-PT"/>
        </w:rPr>
        <w:t>Contrato de Prestação de Serviços de Depositário</w:t>
      </w:r>
      <w:r>
        <w:rPr>
          <w:rFonts w:ascii="Arial" w:hAnsi="Arial" w:cs="Arial"/>
          <w:color w:val="auto"/>
          <w:sz w:val="20"/>
          <w:szCs w:val="20"/>
          <w:lang w:val="pt-PT"/>
        </w:rPr>
        <w:t>”, celebrado em [●] de abril de 2021 entre as Cedentes Fiduciárias, o Bradesco e o Agente Fiduciário (“</w:t>
      </w:r>
      <w:r>
        <w:rPr>
          <w:rFonts w:ascii="Arial" w:hAnsi="Arial" w:cs="Arial"/>
          <w:b/>
          <w:color w:val="auto"/>
          <w:sz w:val="20"/>
          <w:szCs w:val="20"/>
          <w:lang w:val="pt-PT"/>
        </w:rPr>
        <w:t>Contrato de Banco Administrador Bradesco</w:t>
      </w:r>
      <w:r>
        <w:rPr>
          <w:rFonts w:ascii="Arial" w:hAnsi="Arial" w:cs="Arial"/>
          <w:color w:val="auto"/>
          <w:sz w:val="20"/>
          <w:szCs w:val="20"/>
          <w:lang w:val="pt-PT"/>
        </w:rPr>
        <w:t>” e, em conjunto com o Contrato de Banco Administrador Santander, os “</w:t>
      </w:r>
      <w:r>
        <w:rPr>
          <w:rFonts w:ascii="Arial" w:hAnsi="Arial" w:cs="Arial"/>
          <w:b/>
          <w:color w:val="auto"/>
          <w:sz w:val="20"/>
          <w:szCs w:val="20"/>
          <w:lang w:val="pt-PT"/>
        </w:rPr>
        <w:t>Contratos de Banco Administrador</w:t>
      </w:r>
      <w:r>
        <w:rPr>
          <w:rFonts w:ascii="Arial" w:hAnsi="Arial" w:cs="Arial"/>
          <w:color w:val="auto"/>
          <w:sz w:val="20"/>
          <w:szCs w:val="20"/>
          <w:lang w:val="pt-PT"/>
        </w:rPr>
        <w:t xml:space="preserve">” </w:t>
      </w:r>
      <w:r>
        <w:rPr>
          <w:rFonts w:ascii="Arial" w:hAnsi="Arial" w:cs="Arial"/>
          <w:bCs/>
          <w:color w:val="auto"/>
          <w:sz w:val="20"/>
          <w:szCs w:val="20"/>
          <w:lang w:val="pt-PT"/>
        </w:rPr>
        <w:t xml:space="preserve">e, individulamente, </w:t>
      </w:r>
      <w:r>
        <w:rPr>
          <w:rFonts w:ascii="Arial" w:hAnsi="Arial" w:cs="Arial"/>
          <w:color w:val="auto"/>
          <w:sz w:val="20"/>
          <w:szCs w:val="20"/>
          <w:lang w:val="pt-PT"/>
        </w:rPr>
        <w:t>“</w:t>
      </w:r>
      <w:r>
        <w:rPr>
          <w:rFonts w:ascii="Arial" w:hAnsi="Arial" w:cs="Arial"/>
          <w:b/>
          <w:color w:val="auto"/>
          <w:sz w:val="20"/>
          <w:szCs w:val="20"/>
          <w:lang w:val="pt-PT"/>
        </w:rPr>
        <w:t>Contrato de Banco Administrador</w:t>
      </w:r>
      <w:r>
        <w:rPr>
          <w:rFonts w:ascii="Arial" w:hAnsi="Arial" w:cs="Arial"/>
          <w:color w:val="auto"/>
          <w:sz w:val="20"/>
          <w:szCs w:val="20"/>
          <w:lang w:val="pt-PT"/>
        </w:rPr>
        <w:t>”).</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Nos</w:t>
      </w:r>
      <w:r>
        <w:rPr>
          <w:rFonts w:ascii="Arial" w:hAnsi="Arial" w:cs="Arial"/>
          <w:bCs/>
          <w:color w:val="auto"/>
          <w:sz w:val="20"/>
          <w:szCs w:val="20"/>
          <w:lang w:val="pt-PT"/>
        </w:rPr>
        <w:t xml:space="preserve"> termos deste Contrato e dos Contratos de Banco Administrador, o Banco Administrador poderá aplicar, bloquear, debitar quantias e resgatar os recursos mantidos nas Contas Vinculadas, se assim instruído pelo Agente Fiduciário que, por sua vez, o fará </w:t>
      </w:r>
      <w:r>
        <w:rPr>
          <w:rFonts w:ascii="Arial" w:hAnsi="Arial" w:cs="Arial"/>
          <w:color w:val="auto"/>
          <w:sz w:val="20"/>
          <w:szCs w:val="20"/>
          <w:lang w:val="pt-PT"/>
        </w:rPr>
        <w:t>exclusivamente para o pagamento das Obrigações</w:t>
      </w:r>
      <w:r>
        <w:rPr>
          <w:rFonts w:ascii="Arial" w:hAnsi="Arial" w:cs="Arial"/>
          <w:bCs/>
          <w:color w:val="auto"/>
          <w:sz w:val="20"/>
          <w:szCs w:val="20"/>
          <w:lang w:val="pt-PT"/>
        </w:rPr>
        <w:t xml:space="preserve"> </w:t>
      </w:r>
      <w:r>
        <w:rPr>
          <w:rFonts w:ascii="Arial" w:hAnsi="Arial" w:cs="Arial"/>
          <w:color w:val="auto"/>
          <w:sz w:val="20"/>
          <w:szCs w:val="20"/>
          <w:lang w:val="pt-PT"/>
        </w:rPr>
        <w:t>Garantidas</w:t>
      </w:r>
      <w:r>
        <w:rPr>
          <w:rFonts w:ascii="Arial" w:hAnsi="Arial" w:cs="Arial"/>
          <w:bCs/>
          <w:color w:val="auto"/>
          <w:sz w:val="20"/>
          <w:szCs w:val="20"/>
          <w:lang w:val="pt-PT"/>
        </w:rPr>
        <w:t>, de acordo com os termos e condições estabelecidos neste Contrato e na Escritura de Emissão</w:t>
      </w:r>
      <w:r>
        <w:rPr>
          <w:rFonts w:ascii="Arial" w:hAnsi="Arial" w:cs="Arial"/>
          <w:bCs/>
          <w:color w:val="auto"/>
          <w:sz w:val="20"/>
          <w:szCs w:val="20"/>
        </w:rPr>
        <w:t>.</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e o Agente Fiduciário ficam autorizados a encerrar todas as Contas Vinculadas de titularidade da Emissora e das Cedentes Fiduciárias mantidas junto a qualquer um dos Bancos Administradores, a critério da Emissora, com a consequente resilição do respectivo Contrato de Banco Administrador, mediante o envio de notificação na forma do </w:t>
      </w:r>
      <w:r>
        <w:rPr>
          <w:rFonts w:ascii="Arial" w:hAnsi="Arial" w:cs="Arial"/>
          <w:b/>
          <w:color w:val="auto"/>
          <w:sz w:val="20"/>
          <w:szCs w:val="20"/>
        </w:rPr>
        <w:t>Anexo II</w:t>
      </w:r>
      <w:r>
        <w:rPr>
          <w:rFonts w:ascii="Arial" w:hAnsi="Arial" w:cs="Arial"/>
          <w:color w:val="auto"/>
          <w:sz w:val="20"/>
          <w:szCs w:val="20"/>
        </w:rPr>
        <w:t xml:space="preserve"> ao presente Contrato e a tomada de quaisquer outras medidas com tal finalidade, sem qualquer necessidade de anuência dos Debenturistas, desde que as Contas Vinculadas mantidas junto ao outro Banco Administrador permaneçam abertas, e desde que tal </w:t>
      </w:r>
      <w:r>
        <w:rPr>
          <w:rFonts w:ascii="Arial" w:hAnsi="Arial" w:cs="Arial"/>
          <w:color w:val="auto"/>
          <w:sz w:val="20"/>
          <w:szCs w:val="20"/>
        </w:rPr>
        <w:lastRenderedPageBreak/>
        <w:t>encerramento não afete, sob nenhuma hipótese, o valor, a existência, validade e eficácia da Cessão Fiduciária. Uma vez encerradas as Contas Vinculadas abertas junto a determinado Banco Administrador, a definição de “Contas Vinculadas” passará a compreender exclusivamente as Contas Vinculadas abertas junto ao outro Banco Administrador, conforme identificadas no Preâmbulo, que deverão receber o fluxo de pagamentos de clientes das Cedentes Fiduciárias, nos termos deste Contrato.</w:t>
      </w:r>
    </w:p>
    <w:p>
      <w:pPr>
        <w:pStyle w:val="Level2"/>
        <w:widowControl w:val="0"/>
        <w:numPr>
          <w:ilvl w:val="1"/>
          <w:numId w:val="19"/>
        </w:numPr>
        <w:autoSpaceDE w:val="0"/>
        <w:autoSpaceDN w:val="0"/>
        <w:adjustRightInd w:val="0"/>
        <w:rPr>
          <w:color w:val="auto"/>
          <w:szCs w:val="20"/>
        </w:rPr>
      </w:pPr>
      <w:r>
        <w:rPr>
          <w:color w:val="auto"/>
          <w:szCs w:val="20"/>
        </w:rPr>
        <w:t>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w:t>
      </w:r>
      <w:proofErr w:type="spellStart"/>
      <w:r>
        <w:rPr>
          <w:color w:val="auto"/>
          <w:szCs w:val="20"/>
        </w:rPr>
        <w:t>ii</w:t>
      </w:r>
      <w:proofErr w:type="spellEnd"/>
      <w:r>
        <w:rPr>
          <w:color w:val="auto"/>
          <w:szCs w:val="20"/>
        </w:rP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pPr>
        <w:pStyle w:val="Level2"/>
        <w:widowControl w:val="0"/>
        <w:numPr>
          <w:ilvl w:val="1"/>
          <w:numId w:val="19"/>
        </w:numPr>
        <w:autoSpaceDE w:val="0"/>
        <w:autoSpaceDN w:val="0"/>
        <w:adjustRightInd w:val="0"/>
        <w:rPr>
          <w:color w:val="auto"/>
          <w:szCs w:val="20"/>
        </w:rPr>
      </w:pPr>
      <w:r>
        <w:rPr>
          <w:color w:val="auto"/>
          <w:szCs w:val="20"/>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pPr>
        <w:pStyle w:val="Level1"/>
        <w:numPr>
          <w:ilvl w:val="0"/>
          <w:numId w:val="19"/>
        </w:numPr>
        <w:autoSpaceDE w:val="0"/>
        <w:autoSpaceDN w:val="0"/>
        <w:adjustRightInd w:val="0"/>
        <w:spacing w:before="0"/>
        <w:rPr>
          <w:color w:val="auto"/>
          <w:sz w:val="20"/>
          <w:szCs w:val="20"/>
        </w:rPr>
      </w:pPr>
      <w:bookmarkStart w:id="83" w:name="_DV_M40"/>
      <w:bookmarkEnd w:id="83"/>
      <w:r>
        <w:rPr>
          <w:color w:val="auto"/>
          <w:sz w:val="20"/>
          <w:szCs w:val="20"/>
        </w:rPr>
        <w:t>PAGAMENTO DAS OBRIGAÇÕES GARANTIDAS, BLOQUEIO E LIBERAÇÃO DAS CONTAS VINCULADAS E EXCUSSÃO DA GARANTIA</w:t>
      </w:r>
    </w:p>
    <w:p>
      <w:pPr>
        <w:pStyle w:val="Level2"/>
        <w:widowControl w:val="0"/>
        <w:numPr>
          <w:ilvl w:val="1"/>
          <w:numId w:val="19"/>
        </w:numPr>
        <w:autoSpaceDE w:val="0"/>
        <w:autoSpaceDN w:val="0"/>
        <w:adjustRightInd w:val="0"/>
        <w:rPr>
          <w:color w:val="auto"/>
          <w:szCs w:val="20"/>
        </w:rPr>
      </w:pPr>
      <w:bookmarkStart w:id="84" w:name="_DV_M41"/>
      <w:bookmarkStart w:id="85" w:name="_Ref535259859"/>
      <w:bookmarkEnd w:id="84"/>
      <w:r>
        <w:rPr>
          <w:color w:val="auto"/>
          <w:szCs w:val="20"/>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widowControl w:val="0"/>
        <w:numPr>
          <w:ilvl w:val="1"/>
          <w:numId w:val="19"/>
        </w:numPr>
        <w:autoSpaceDE w:val="0"/>
        <w:autoSpaceDN w:val="0"/>
        <w:adjustRightInd w:val="0"/>
        <w:rPr>
          <w:color w:val="auto"/>
          <w:szCs w:val="20"/>
        </w:rPr>
      </w:pPr>
      <w:bookmarkStart w:id="86" w:name="_Ref34662902"/>
      <w:r>
        <w:rPr>
          <w:color w:val="auto"/>
          <w:szCs w:val="20"/>
        </w:rP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85"/>
      <w:bookmarkEnd w:id="86"/>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87" w:name="_DV_M42"/>
      <w:bookmarkEnd w:id="87"/>
      <w:r>
        <w:rPr>
          <w:color w:val="auto"/>
          <w:szCs w:val="20"/>
        </w:rPr>
        <w:t xml:space="preserve">Não obstante o disposto na Cláusula </w:t>
      </w:r>
      <w:r>
        <w:rPr>
          <w:color w:val="auto"/>
          <w:szCs w:val="20"/>
        </w:rPr>
        <w:fldChar w:fldCharType="begin"/>
      </w:r>
      <w:r>
        <w:rPr>
          <w:color w:val="auto"/>
          <w:szCs w:val="20"/>
        </w:rPr>
        <w:instrText xml:space="preserve"> REF _Ref34158970 \r \h  \* MERGEFORMAT </w:instrText>
      </w:r>
      <w:r>
        <w:rPr>
          <w:color w:val="auto"/>
          <w:szCs w:val="20"/>
        </w:rPr>
      </w:r>
      <w:r>
        <w:rPr>
          <w:color w:val="auto"/>
          <w:szCs w:val="20"/>
        </w:rPr>
        <w:fldChar w:fldCharType="separate"/>
      </w:r>
      <w:r>
        <w:rPr>
          <w:color w:val="auto"/>
          <w:szCs w:val="20"/>
        </w:rPr>
        <w:t>1.3.3</w:t>
      </w:r>
      <w:r>
        <w:rPr>
          <w:color w:val="auto"/>
          <w:szCs w:val="20"/>
        </w:rPr>
        <w:fldChar w:fldCharType="end"/>
      </w:r>
      <w:r>
        <w:rPr>
          <w:color w:val="auto"/>
          <w:szCs w:val="20"/>
        </w:rPr>
        <w:t xml:space="preserve">, incisos </w:t>
      </w:r>
      <w:r>
        <w:rPr>
          <w:color w:val="auto"/>
          <w:szCs w:val="20"/>
        </w:rPr>
        <w:fldChar w:fldCharType="begin"/>
      </w:r>
      <w:r>
        <w:rPr>
          <w:color w:val="auto"/>
          <w:szCs w:val="20"/>
        </w:rPr>
        <w:instrText xml:space="preserve"> REF _Ref34158983 \n \h  \* MERGEFORMAT </w:instrText>
      </w:r>
      <w:r>
        <w:rPr>
          <w:color w:val="auto"/>
          <w:szCs w:val="20"/>
        </w:rPr>
      </w:r>
      <w:r>
        <w:rPr>
          <w:color w:val="auto"/>
          <w:szCs w:val="20"/>
        </w:rPr>
        <w:fldChar w:fldCharType="separate"/>
      </w:r>
      <w:r>
        <w:rPr>
          <w:color w:val="auto"/>
          <w:szCs w:val="20"/>
        </w:rPr>
        <w:t>(i)</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_Ref34159007 \n \h  \* MERGEFORMAT </w:instrText>
      </w:r>
      <w:r>
        <w:rPr>
          <w:color w:val="auto"/>
          <w:szCs w:val="20"/>
        </w:rPr>
      </w:r>
      <w:r>
        <w:rPr>
          <w:color w:val="auto"/>
          <w:szCs w:val="20"/>
        </w:rPr>
        <w:fldChar w:fldCharType="separate"/>
      </w:r>
      <w:r>
        <w:rPr>
          <w:color w:val="auto"/>
          <w:szCs w:val="20"/>
        </w:rPr>
        <w:t>(</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acima, ocorrendo o inadimplemento pecuniário por parte da Emissora das Obrigações Garantidas, o Agente Fiduciario informará o Banco Administrador</w:t>
      </w:r>
      <w:r>
        <w:rPr>
          <w:b/>
          <w:color w:val="auto"/>
          <w:szCs w:val="20"/>
        </w:rPr>
        <w:t xml:space="preserve"> </w:t>
      </w:r>
      <w:r>
        <w:rPr>
          <w:color w:val="auto"/>
          <w:szCs w:val="20"/>
        </w:rPr>
        <w:t>para que este imediatamente retenha a totalidade dos valores depositados nas respectivas</w:t>
      </w:r>
      <w:r>
        <w:rPr>
          <w:b/>
          <w:color w:val="auto"/>
          <w:szCs w:val="20"/>
        </w:rPr>
        <w:t xml:space="preserve"> </w:t>
      </w:r>
      <w:r>
        <w:rPr>
          <w:color w:val="auto"/>
          <w:szCs w:val="20"/>
        </w:rPr>
        <w:t>Contas Vinculadas, podendo, o Agente Fiduciário,</w:t>
      </w:r>
      <w:r>
        <w:rPr>
          <w:b/>
          <w:color w:val="auto"/>
          <w:szCs w:val="20"/>
        </w:rPr>
        <w:t xml:space="preserve"> </w:t>
      </w:r>
      <w:r>
        <w:rPr>
          <w:color w:val="auto"/>
          <w:szCs w:val="20"/>
        </w:rP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color w:val="auto"/>
          <w:szCs w:val="20"/>
        </w:rPr>
        <w:t>ad judicia</w:t>
      </w:r>
      <w:r>
        <w:rPr>
          <w:color w:val="auto"/>
          <w:szCs w:val="20"/>
        </w:rPr>
        <w:t>” e “</w:t>
      </w:r>
      <w:r>
        <w:rPr>
          <w:i/>
          <w:color w:val="auto"/>
          <w:szCs w:val="20"/>
        </w:rPr>
        <w:t>ad negotia</w:t>
      </w:r>
      <w:r>
        <w:rPr>
          <w:color w:val="auto"/>
          <w:szCs w:val="20"/>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numPr>
          <w:ilvl w:val="2"/>
          <w:numId w:val="19"/>
        </w:numPr>
        <w:autoSpaceDE w:val="0"/>
        <w:autoSpaceDN w:val="0"/>
        <w:adjustRightInd w:val="0"/>
        <w:rPr>
          <w:rFonts w:ascii="Arial" w:hAnsi="Arial" w:cs="Arial"/>
          <w:color w:val="auto"/>
          <w:sz w:val="20"/>
          <w:szCs w:val="20"/>
        </w:rPr>
      </w:pPr>
      <w:bookmarkStart w:id="88" w:name="_DV_M43"/>
      <w:bookmarkEnd w:id="88"/>
      <w:r>
        <w:rPr>
          <w:rFonts w:ascii="Arial" w:hAnsi="Arial" w:cs="Arial"/>
          <w:color w:val="auto"/>
          <w:sz w:val="20"/>
          <w:szCs w:val="20"/>
        </w:rPr>
        <w:t>Independentemente do disposto acima, as Cedentes Fiduciárias permanecerão responsáveis pelos valores não pagos das Obrigações Garantidas, inclusive quando tal inadimplemento decorrer da insuficiência de recursos depositados nas</w:t>
      </w:r>
      <w:r>
        <w:rPr>
          <w:rFonts w:ascii="Arial" w:hAnsi="Arial" w:cs="Arial"/>
          <w:b/>
          <w:color w:val="auto"/>
          <w:sz w:val="20"/>
          <w:szCs w:val="20"/>
        </w:rPr>
        <w:t xml:space="preserve"> </w:t>
      </w:r>
      <w:r>
        <w:rPr>
          <w:rFonts w:ascii="Arial" w:hAnsi="Arial" w:cs="Arial"/>
          <w:color w:val="auto"/>
          <w:sz w:val="20"/>
          <w:szCs w:val="20"/>
        </w:rPr>
        <w:t xml:space="preserve">Contas Vinculadas.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Fica estabelecida a responsabilidade exclusiva e integral do Agente Fiduciário, no caso de instrução realizada pelo mesmo que acarrete eventual retenção imotivada, equivocada ou </w:t>
      </w:r>
      <w:r>
        <w:rPr>
          <w:rFonts w:ascii="Arial" w:hAnsi="Arial" w:cs="Arial"/>
          <w:color w:val="auto"/>
          <w:sz w:val="20"/>
          <w:szCs w:val="20"/>
        </w:rPr>
        <w:lastRenderedPageBreak/>
        <w:t>injustificada dos valores depositados nas Contas Vinculadas, hipótese na qual deverá providenciar o respectivo desbloqueio tão logo seja notificado pelas Cedentes Fiduciárias ou pela Emissora.</w:t>
      </w:r>
    </w:p>
    <w:p>
      <w:pPr>
        <w:pStyle w:val="Level2"/>
        <w:widowControl w:val="0"/>
        <w:numPr>
          <w:ilvl w:val="1"/>
          <w:numId w:val="19"/>
        </w:numPr>
        <w:autoSpaceDE w:val="0"/>
        <w:autoSpaceDN w:val="0"/>
        <w:adjustRightInd w:val="0"/>
        <w:rPr>
          <w:color w:val="auto"/>
          <w:szCs w:val="20"/>
        </w:rPr>
      </w:pPr>
      <w:bookmarkStart w:id="89" w:name="_Ref535255689"/>
      <w:r>
        <w:rPr>
          <w:color w:val="auto"/>
          <w:szCs w:val="20"/>
        </w:rPr>
        <w:t>Sem prejuízo e em adição a outras Cláusulas deste Contrato, caso seja declarado o vencimento antecipado das Debêntures nas hipóteses previstas na Escritura de Emissão ou na data de vencimento das Debêntures sem que as Obrigações Garantidas</w:t>
      </w:r>
      <w:r>
        <w:rPr>
          <w:b/>
          <w:color w:val="auto"/>
          <w:szCs w:val="20"/>
        </w:rPr>
        <w:t xml:space="preserve"> </w:t>
      </w:r>
      <w:r>
        <w:rPr>
          <w:color w:val="auto"/>
          <w:szCs w:val="20"/>
        </w:rP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rPr>
          <w:color w:val="auto"/>
          <w:szCs w:val="20"/>
        </w:rPr>
        <w:t>ii</w:t>
      </w:r>
      <w:proofErr w:type="spellEnd"/>
      <w:r>
        <w:rPr>
          <w:color w:val="auto"/>
          <w:szCs w:val="20"/>
        </w:rPr>
        <w:t>) reter e dispor, excutir e/ou utilizar todos os recursos depositados nas</w:t>
      </w:r>
      <w:r>
        <w:rPr>
          <w:b/>
          <w:color w:val="auto"/>
          <w:szCs w:val="20"/>
        </w:rPr>
        <w:t xml:space="preserve"> </w:t>
      </w:r>
      <w:r>
        <w:rPr>
          <w:color w:val="auto"/>
          <w:szCs w:val="20"/>
        </w:rPr>
        <w:t>Contas Vinculadas</w:t>
      </w:r>
      <w:r>
        <w:rPr>
          <w:b/>
          <w:color w:val="auto"/>
          <w:szCs w:val="20"/>
        </w:rPr>
        <w:t xml:space="preserve"> </w:t>
      </w:r>
      <w:r>
        <w:rPr>
          <w:color w:val="auto"/>
          <w:szCs w:val="20"/>
        </w:rPr>
        <w:t>até o limite das Obrigações Garantidas.</w:t>
      </w:r>
      <w:bookmarkEnd w:id="89"/>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Na ocorrência das hipóteses descritas na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O Agente Fiduciário aplicará o produto da excussão da garantia constituída nos termos deste Contrato em observância aos seguintes procedimentos: </w:t>
      </w:r>
    </w:p>
    <w:p>
      <w:pPr>
        <w:pStyle w:val="Level4"/>
        <w:numPr>
          <w:ilvl w:val="3"/>
          <w:numId w:val="19"/>
        </w:numPr>
        <w:autoSpaceDE w:val="0"/>
        <w:autoSpaceDN w:val="0"/>
        <w:adjustRightInd w:val="0"/>
        <w:rPr>
          <w:color w:val="auto"/>
          <w:szCs w:val="20"/>
        </w:rPr>
      </w:pPr>
      <w:proofErr w:type="gramStart"/>
      <w:r>
        <w:rPr>
          <w:color w:val="auto"/>
          <w:szCs w:val="20"/>
        </w:rPr>
        <w:t>eventuais</w:t>
      </w:r>
      <w:proofErr w:type="gramEnd"/>
      <w:r>
        <w:rPr>
          <w:color w:val="auto"/>
          <w:szCs w:val="20"/>
        </w:rPr>
        <w:t xml:space="preserve"> despesas decorrentes dos procedimentos de excussão da Cessão</w:t>
      </w:r>
      <w:r>
        <w:rPr>
          <w:b/>
          <w:color w:val="auto"/>
          <w:szCs w:val="20"/>
        </w:rPr>
        <w:t xml:space="preserve"> </w:t>
      </w:r>
      <w:r>
        <w:rPr>
          <w:color w:val="auto"/>
          <w:szCs w:val="20"/>
        </w:rPr>
        <w:t>Fiduciária constituída nos termos deste Contrato serão suportadas pelas Cedentes</w:t>
      </w:r>
      <w:r>
        <w:rPr>
          <w:b/>
          <w:color w:val="auto"/>
          <w:szCs w:val="20"/>
        </w:rPr>
        <w:t xml:space="preserve"> </w:t>
      </w:r>
      <w:r>
        <w:rPr>
          <w:color w:val="auto"/>
          <w:szCs w:val="20"/>
        </w:rPr>
        <w:t>Fiduciárias e, em caso de descumprimento das Cedentes</w:t>
      </w:r>
      <w:r>
        <w:rPr>
          <w:b/>
          <w:color w:val="auto"/>
          <w:szCs w:val="20"/>
        </w:rPr>
        <w:t xml:space="preserve"> </w:t>
      </w:r>
      <w:r>
        <w:rPr>
          <w:color w:val="auto"/>
          <w:szCs w:val="20"/>
        </w:rPr>
        <w:t>Fiduciárias em efetuar tal pagamento, serão deduzidas dos recursos apurados, sem prejuízo dos valores devidos aos Debenturistas;</w:t>
      </w:r>
    </w:p>
    <w:p>
      <w:pPr>
        <w:pStyle w:val="Level4"/>
        <w:numPr>
          <w:ilvl w:val="3"/>
          <w:numId w:val="19"/>
        </w:numPr>
        <w:autoSpaceDE w:val="0"/>
        <w:autoSpaceDN w:val="0"/>
        <w:adjustRightInd w:val="0"/>
        <w:rPr>
          <w:color w:val="auto"/>
          <w:szCs w:val="20"/>
        </w:rPr>
      </w:pPr>
      <w:proofErr w:type="gramStart"/>
      <w:r>
        <w:rPr>
          <w:color w:val="auto"/>
          <w:szCs w:val="20"/>
        </w:rPr>
        <w:t>os</w:t>
      </w:r>
      <w:proofErr w:type="gramEnd"/>
      <w:r>
        <w:rPr>
          <w:color w:val="auto"/>
          <w:szCs w:val="20"/>
        </w:rPr>
        <w:t xml:space="preserve"> recursos obtidos mediante a excussão da Cessão Fiduciária constituída nos termos deste Contrato deverão ser utilizados integralmente para a amortização ou liquidação das Obrigações</w:t>
      </w:r>
      <w:r>
        <w:rPr>
          <w:b/>
          <w:color w:val="auto"/>
          <w:szCs w:val="20"/>
        </w:rPr>
        <w:t xml:space="preserve"> </w:t>
      </w:r>
      <w:r>
        <w:rPr>
          <w:color w:val="auto"/>
          <w:szCs w:val="20"/>
        </w:rPr>
        <w:t>Garantidas, nos termos da Escritura de</w:t>
      </w:r>
      <w:r>
        <w:rPr>
          <w:b/>
          <w:color w:val="auto"/>
          <w:szCs w:val="20"/>
        </w:rPr>
        <w:t xml:space="preserve"> </w:t>
      </w:r>
      <w:r>
        <w:rPr>
          <w:color w:val="auto"/>
          <w:szCs w:val="20"/>
        </w:rPr>
        <w:t>Emissão e deste Contrato, permanecendo as Cedentes Fiduciárias responsáveis pelo pagamento de eventual saldo remanescente;</w:t>
      </w:r>
    </w:p>
    <w:p>
      <w:pPr>
        <w:pStyle w:val="Level4"/>
        <w:numPr>
          <w:ilvl w:val="3"/>
          <w:numId w:val="19"/>
        </w:numPr>
        <w:autoSpaceDE w:val="0"/>
        <w:autoSpaceDN w:val="0"/>
        <w:adjustRightInd w:val="0"/>
        <w:rPr>
          <w:color w:val="auto"/>
          <w:szCs w:val="20"/>
        </w:rPr>
      </w:pPr>
      <w:r>
        <w:rPr>
          <w:color w:val="auto"/>
          <w:szCs w:val="20"/>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Pr>
          <w:color w:val="auto"/>
          <w:szCs w:val="20"/>
        </w:rPr>
        <w:t>Eletromidia</w:t>
      </w:r>
      <w:proofErr w:type="spellEnd"/>
      <w:r>
        <w:rPr>
          <w:b/>
          <w:color w:val="auto"/>
          <w:szCs w:val="20"/>
        </w:rPr>
        <w:t xml:space="preserve"> </w:t>
      </w:r>
      <w:r>
        <w:rPr>
          <w:color w:val="auto"/>
          <w:szCs w:val="20"/>
        </w:rPr>
        <w:t>nos termos da Escritura de Emissão, conforme aplicável, que não sejam os valores a que se refere o item (</w:t>
      </w:r>
      <w:proofErr w:type="spellStart"/>
      <w:r>
        <w:rPr>
          <w:color w:val="auto"/>
          <w:szCs w:val="20"/>
        </w:rPr>
        <w:t>ii</w:t>
      </w:r>
      <w:proofErr w:type="spellEnd"/>
      <w:r>
        <w:rPr>
          <w:color w:val="auto"/>
          <w:szCs w:val="20"/>
        </w:rPr>
        <w:t>) e (</w:t>
      </w:r>
      <w:proofErr w:type="spellStart"/>
      <w:r>
        <w:rPr>
          <w:color w:val="auto"/>
          <w:szCs w:val="20"/>
        </w:rPr>
        <w:t>iii</w:t>
      </w:r>
      <w:proofErr w:type="spellEnd"/>
      <w:r>
        <w:rPr>
          <w:color w:val="auto"/>
          <w:szCs w:val="20"/>
        </w:rPr>
        <w:t>) abaixo; (</w:t>
      </w:r>
      <w:proofErr w:type="spellStart"/>
      <w:r>
        <w:rPr>
          <w:color w:val="auto"/>
          <w:szCs w:val="20"/>
        </w:rPr>
        <w:t>ii</w:t>
      </w:r>
      <w:proofErr w:type="spellEnd"/>
      <w:r>
        <w:rPr>
          <w:color w:val="auto"/>
          <w:szCs w:val="20"/>
        </w:rPr>
        <w:t>) Remuneração, Encargos Moratórios e demais encargos e despesas devidos sob as Obrigações</w:t>
      </w:r>
      <w:r>
        <w:rPr>
          <w:b/>
          <w:color w:val="auto"/>
          <w:szCs w:val="20"/>
        </w:rPr>
        <w:t xml:space="preserve"> </w:t>
      </w:r>
      <w:r>
        <w:rPr>
          <w:color w:val="auto"/>
          <w:szCs w:val="20"/>
        </w:rPr>
        <w:t>Garantidas; e (</w:t>
      </w:r>
      <w:proofErr w:type="spellStart"/>
      <w:r>
        <w:rPr>
          <w:color w:val="auto"/>
          <w:szCs w:val="20"/>
        </w:rPr>
        <w:t>iii</w:t>
      </w:r>
      <w:proofErr w:type="spellEnd"/>
      <w:r>
        <w:rPr>
          <w:color w:val="auto"/>
          <w:szCs w:val="20"/>
        </w:rPr>
        <w:t xml:space="preserve">) o Valor Nominal Unitário ou saldo do Valor Nominal Unitário; </w:t>
      </w:r>
    </w:p>
    <w:p>
      <w:pPr>
        <w:pStyle w:val="Level4"/>
        <w:numPr>
          <w:ilvl w:val="3"/>
          <w:numId w:val="19"/>
        </w:numPr>
        <w:autoSpaceDE w:val="0"/>
        <w:autoSpaceDN w:val="0"/>
        <w:adjustRightInd w:val="0"/>
        <w:rPr>
          <w:color w:val="auto"/>
          <w:szCs w:val="20"/>
        </w:rPr>
      </w:pPr>
      <w:proofErr w:type="gramStart"/>
      <w:r>
        <w:rPr>
          <w:color w:val="auto"/>
          <w:szCs w:val="20"/>
        </w:rPr>
        <w:t>havendo</w:t>
      </w:r>
      <w:proofErr w:type="gramEnd"/>
      <w:r>
        <w:rPr>
          <w:color w:val="auto"/>
          <w:szCs w:val="20"/>
        </w:rPr>
        <w:t xml:space="preserve"> saldo positivo nas</w:t>
      </w:r>
      <w:r>
        <w:rPr>
          <w:b/>
          <w:color w:val="auto"/>
          <w:szCs w:val="20"/>
        </w:rPr>
        <w:t xml:space="preserve"> </w:t>
      </w:r>
      <w:r>
        <w:rPr>
          <w:color w:val="auto"/>
          <w:szCs w:val="20"/>
        </w:rPr>
        <w:t>Contas Vinculadas após o cumprimento integral das Obrigações Garantidas e deduzidas as despesas de que trata o item (i) acima, tais recursos remanescentes serão disponibilizados às Cedentes Fiduciárias</w:t>
      </w:r>
      <w:r>
        <w:rPr>
          <w:b/>
          <w:color w:val="auto"/>
          <w:szCs w:val="20"/>
        </w:rPr>
        <w:t xml:space="preserve"> </w:t>
      </w:r>
      <w:r>
        <w:rPr>
          <w:color w:val="auto"/>
          <w:szCs w:val="20"/>
        </w:rPr>
        <w:t>em até 1 (um) Dia Útil, por meio de transferência às respectivas Contas Movimento; e</w:t>
      </w:r>
    </w:p>
    <w:p>
      <w:pPr>
        <w:pStyle w:val="Level4"/>
        <w:numPr>
          <w:ilvl w:val="3"/>
          <w:numId w:val="19"/>
        </w:numPr>
        <w:autoSpaceDE w:val="0"/>
        <w:autoSpaceDN w:val="0"/>
        <w:adjustRightInd w:val="0"/>
        <w:rPr>
          <w:color w:val="auto"/>
          <w:szCs w:val="20"/>
        </w:rPr>
      </w:pPr>
      <w:proofErr w:type="gramStart"/>
      <w:r>
        <w:rPr>
          <w:color w:val="auto"/>
          <w:szCs w:val="20"/>
        </w:rPr>
        <w:lastRenderedPageBreak/>
        <w:t>caso</w:t>
      </w:r>
      <w:proofErr w:type="gramEnd"/>
      <w:r>
        <w:rPr>
          <w:color w:val="auto"/>
          <w:szCs w:val="20"/>
        </w:rPr>
        <w:t xml:space="preserve"> exista, após a excussão da garantia constituída nos termos deste Contrato, saldo em aberto das Obrigações Garantidas, as Cedentes Fiduciárias</w:t>
      </w:r>
      <w:r>
        <w:rPr>
          <w:b/>
          <w:color w:val="auto"/>
          <w:szCs w:val="20"/>
        </w:rPr>
        <w:t xml:space="preserve"> </w:t>
      </w:r>
      <w:r>
        <w:rPr>
          <w:color w:val="auto"/>
          <w:szCs w:val="20"/>
        </w:rPr>
        <w:t>permanecerão responsáveis pelo referido saldo até o integral cumprimento de todas as Obrigações</w:t>
      </w:r>
      <w:r>
        <w:rPr>
          <w:b/>
          <w:color w:val="auto"/>
          <w:szCs w:val="20"/>
        </w:rPr>
        <w:t xml:space="preserve"> </w:t>
      </w:r>
      <w:r>
        <w:rPr>
          <w:color w:val="auto"/>
          <w:szCs w:val="20"/>
        </w:rPr>
        <w:t xml:space="preserve">Garantidas, nos termos da Escritura de Emissão.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início de qualquer ação ou procedimento para excutir ou executar a Cessão Fiduciária objeto deste Contrato não prejudicará, de maneira alguma, nem diminuirá, os direitos dos Debenturistas, representados pelo Agente</w:t>
      </w:r>
      <w:r>
        <w:rPr>
          <w:rFonts w:ascii="Arial" w:hAnsi="Arial" w:cs="Arial"/>
          <w:b/>
          <w:color w:val="auto"/>
          <w:sz w:val="20"/>
          <w:szCs w:val="20"/>
        </w:rPr>
        <w:t xml:space="preserve"> </w:t>
      </w:r>
      <w:r>
        <w:rPr>
          <w:rFonts w:ascii="Arial" w:hAnsi="Arial" w:cs="Arial"/>
          <w:color w:val="auto"/>
          <w:sz w:val="20"/>
          <w:szCs w:val="20"/>
        </w:rPr>
        <w:t>Fiduciário, de propor qualquer ação ou procedimento contra as Cedentes Fiduciárias para garantir a cobrança de quaisquer importâncias devidas aos Debenturistas, nos termos deste Contrato e da Escritura de Emissão.</w:t>
      </w:r>
    </w:p>
    <w:p>
      <w:pPr>
        <w:pStyle w:val="Level3"/>
        <w:numPr>
          <w:ilvl w:val="2"/>
          <w:numId w:val="19"/>
        </w:numPr>
        <w:autoSpaceDE w:val="0"/>
        <w:autoSpaceDN w:val="0"/>
        <w:adjustRightInd w:val="0"/>
        <w:rPr>
          <w:rFonts w:ascii="Arial" w:hAnsi="Arial" w:cs="Arial"/>
          <w:color w:val="auto"/>
          <w:sz w:val="20"/>
          <w:szCs w:val="20"/>
        </w:rPr>
      </w:pPr>
      <w:bookmarkStart w:id="90" w:name="_Ref34159523"/>
      <w:r>
        <w:rPr>
          <w:rFonts w:ascii="Arial" w:hAnsi="Arial" w:cs="Arial"/>
          <w:color w:val="auto"/>
          <w:sz w:val="20"/>
          <w:szCs w:val="20"/>
        </w:rPr>
        <w:t>Fica o Agente Fiduciário, em caráter irrevogável e irretratável, pelo presente e na melhor forma de direito, como condição deste Contrato, autorizado, na qualidade de mandatário das Cedentes</w:t>
      </w:r>
      <w:r>
        <w:rPr>
          <w:rFonts w:ascii="Arial" w:hAnsi="Arial" w:cs="Arial"/>
          <w:b/>
          <w:color w:val="auto"/>
          <w:sz w:val="20"/>
          <w:szCs w:val="20"/>
        </w:rPr>
        <w:t xml:space="preserve"> </w:t>
      </w:r>
      <w:r>
        <w:rPr>
          <w:rFonts w:ascii="Arial" w:hAnsi="Arial" w:cs="Arial"/>
          <w:color w:val="auto"/>
          <w:sz w:val="20"/>
          <w:szCs w:val="20"/>
        </w:rPr>
        <w:t>Fiduciárias nos termos dos artigos 683 e 684 do Código</w:t>
      </w:r>
      <w:r>
        <w:rPr>
          <w:rFonts w:ascii="Arial" w:hAnsi="Arial" w:cs="Arial"/>
          <w:b/>
          <w:color w:val="auto"/>
          <w:sz w:val="20"/>
          <w:szCs w:val="20"/>
        </w:rPr>
        <w:t xml:space="preserve"> </w:t>
      </w:r>
      <w:r>
        <w:rPr>
          <w:rFonts w:ascii="Arial" w:hAnsi="Arial" w:cs="Arial"/>
          <w:color w:val="auto"/>
          <w:sz w:val="20"/>
          <w:szCs w:val="20"/>
        </w:rPr>
        <w:t>Civil, pelo período necessário ao cumprimento integral de todas as Obrigações</w:t>
      </w:r>
      <w:r>
        <w:rPr>
          <w:rFonts w:ascii="Arial" w:hAnsi="Arial" w:cs="Arial"/>
          <w:b/>
          <w:color w:val="auto"/>
          <w:sz w:val="20"/>
          <w:szCs w:val="20"/>
        </w:rPr>
        <w:t xml:space="preserve"> </w:t>
      </w:r>
      <w:r>
        <w:rPr>
          <w:rFonts w:ascii="Arial" w:hAnsi="Arial" w:cs="Arial"/>
          <w:color w:val="auto"/>
          <w:sz w:val="20"/>
          <w:szCs w:val="20"/>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Arial" w:hAnsi="Arial" w:cs="Arial"/>
          <w:i/>
          <w:color w:val="auto"/>
          <w:sz w:val="20"/>
          <w:szCs w:val="20"/>
        </w:rPr>
        <w:t>ad judicia</w:t>
      </w:r>
      <w:r>
        <w:rPr>
          <w:rFonts w:ascii="Arial" w:hAnsi="Arial" w:cs="Arial"/>
          <w:color w:val="auto"/>
          <w:sz w:val="20"/>
          <w:szCs w:val="20"/>
        </w:rPr>
        <w:t xml:space="preserve"> e </w:t>
      </w:r>
      <w:r>
        <w:rPr>
          <w:rFonts w:ascii="Arial" w:hAnsi="Arial" w:cs="Arial"/>
          <w:i/>
          <w:color w:val="auto"/>
          <w:sz w:val="20"/>
          <w:szCs w:val="20"/>
        </w:rPr>
        <w:t>ad negotia</w:t>
      </w:r>
      <w:r>
        <w:rPr>
          <w:rFonts w:ascii="Arial" w:hAnsi="Arial" w:cs="Arial"/>
          <w:color w:val="auto"/>
          <w:sz w:val="20"/>
          <w:szCs w:val="20"/>
        </w:rPr>
        <w:t>.</w:t>
      </w:r>
      <w:bookmarkEnd w:id="90"/>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Sem prejuízo do disposto nesta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em complemento aos poderes outorgados na Cláusula </w:t>
      </w:r>
      <w:r>
        <w:rPr>
          <w:rFonts w:ascii="Arial" w:hAnsi="Arial" w:cs="Arial"/>
          <w:color w:val="auto"/>
          <w:sz w:val="20"/>
          <w:szCs w:val="20"/>
        </w:rPr>
        <w:fldChar w:fldCharType="begin"/>
      </w:r>
      <w:r>
        <w:rPr>
          <w:rFonts w:ascii="Arial" w:hAnsi="Arial" w:cs="Arial"/>
          <w:color w:val="auto"/>
          <w:sz w:val="20"/>
          <w:szCs w:val="20"/>
        </w:rPr>
        <w:instrText xml:space="preserve"> REF _Ref34159523 \w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2.4.4</w:t>
      </w:r>
      <w:r>
        <w:rPr>
          <w:rFonts w:ascii="Arial" w:hAnsi="Arial" w:cs="Arial"/>
          <w:color w:val="auto"/>
          <w:sz w:val="20"/>
          <w:szCs w:val="20"/>
        </w:rPr>
        <w:fldChar w:fldCharType="end"/>
      </w:r>
      <w:r>
        <w:rPr>
          <w:rFonts w:ascii="Arial" w:hAnsi="Arial" w:cs="Arial"/>
          <w:color w:val="auto"/>
          <w:sz w:val="20"/>
          <w:szCs w:val="20"/>
        </w:rPr>
        <w:t xml:space="preserve"> acima, as Cedentes</w:t>
      </w:r>
      <w:r>
        <w:rPr>
          <w:rFonts w:ascii="Arial" w:hAnsi="Arial" w:cs="Arial"/>
          <w:b/>
          <w:color w:val="auto"/>
          <w:sz w:val="20"/>
          <w:szCs w:val="20"/>
        </w:rPr>
        <w:t xml:space="preserve"> </w:t>
      </w:r>
      <w:r>
        <w:rPr>
          <w:rFonts w:ascii="Arial" w:hAnsi="Arial" w:cs="Arial"/>
          <w:color w:val="auto"/>
          <w:sz w:val="20"/>
          <w:szCs w:val="20"/>
        </w:rPr>
        <w:t xml:space="preserve">Fiduciárias outorgam, para facilitar a excussão da presente Cessão Fiduciária, nesta data o instrumento particular de procuração em favor do Agente Fiduciário, nos termos do </w:t>
      </w:r>
      <w:r>
        <w:rPr>
          <w:rFonts w:ascii="Arial" w:hAnsi="Arial" w:cs="Arial"/>
          <w:b/>
          <w:color w:val="auto"/>
          <w:sz w:val="20"/>
          <w:szCs w:val="20"/>
        </w:rPr>
        <w:t>Anexo IV</w:t>
      </w:r>
      <w:r>
        <w:rPr>
          <w:rFonts w:ascii="Arial" w:hAnsi="Arial" w:cs="Arial"/>
          <w:color w:val="auto"/>
          <w:sz w:val="20"/>
          <w:szCs w:val="20"/>
        </w:rPr>
        <w:t xml:space="preserve"> ao presente Contrato. As Cedentes</w:t>
      </w:r>
      <w:r>
        <w:rPr>
          <w:rFonts w:ascii="Arial" w:hAnsi="Arial" w:cs="Arial"/>
          <w:b/>
          <w:color w:val="auto"/>
          <w:sz w:val="20"/>
          <w:szCs w:val="20"/>
        </w:rPr>
        <w:t xml:space="preserve"> </w:t>
      </w:r>
      <w:r>
        <w:rPr>
          <w:rFonts w:ascii="Arial" w:hAnsi="Arial" w:cs="Arial"/>
          <w:color w:val="auto"/>
          <w:sz w:val="20"/>
          <w:szCs w:val="20"/>
        </w:rPr>
        <w:t>Fiduciárias comprometem-se a, após solicitação nesse sentido pelo Agente</w:t>
      </w:r>
      <w:r>
        <w:rPr>
          <w:rFonts w:ascii="Arial" w:hAnsi="Arial" w:cs="Arial"/>
          <w:b/>
          <w:color w:val="auto"/>
          <w:sz w:val="20"/>
          <w:szCs w:val="20"/>
        </w:rPr>
        <w:t xml:space="preserve"> </w:t>
      </w:r>
      <w:r>
        <w:rPr>
          <w:rFonts w:ascii="Arial" w:hAnsi="Arial" w:cs="Arial"/>
          <w:color w:val="auto"/>
          <w:sz w:val="20"/>
          <w:szCs w:val="20"/>
        </w:rPr>
        <w:t>Fiduciário, entregar um instrumento de procuração equivalente a cada sucessor do Agente</w:t>
      </w:r>
      <w:r>
        <w:rPr>
          <w:rFonts w:ascii="Arial" w:hAnsi="Arial" w:cs="Arial"/>
          <w:b/>
          <w:color w:val="auto"/>
          <w:sz w:val="20"/>
          <w:szCs w:val="20"/>
        </w:rPr>
        <w:t xml:space="preserve"> </w:t>
      </w:r>
      <w:r>
        <w:rPr>
          <w:rFonts w:ascii="Arial" w:hAnsi="Arial" w:cs="Arial"/>
          <w:color w:val="auto"/>
          <w:sz w:val="20"/>
          <w:szCs w:val="20"/>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Arial" w:hAnsi="Arial" w:cs="Arial"/>
          <w:b/>
          <w:color w:val="auto"/>
          <w:sz w:val="20"/>
          <w:szCs w:val="20"/>
        </w:rPr>
        <w:t>Anexo IV</w:t>
      </w:r>
      <w:r>
        <w:rPr>
          <w:rFonts w:ascii="Arial" w:hAnsi="Arial" w:cs="Arial"/>
          <w:color w:val="auto"/>
          <w:sz w:val="20"/>
          <w:szCs w:val="20"/>
        </w:rPr>
        <w:t xml:space="preserve"> ao presente Contrato, vigorarão pelo prazo de 12 (doze) meses contados da presente data; e (</w:t>
      </w:r>
      <w:proofErr w:type="spellStart"/>
      <w:r>
        <w:rPr>
          <w:rFonts w:ascii="Arial" w:hAnsi="Arial" w:cs="Arial"/>
          <w:color w:val="auto"/>
          <w:sz w:val="20"/>
          <w:szCs w:val="20"/>
        </w:rPr>
        <w:t>ii</w:t>
      </w:r>
      <w:proofErr w:type="spellEnd"/>
      <w:r>
        <w:rPr>
          <w:rFonts w:ascii="Arial" w:hAnsi="Arial" w:cs="Arial"/>
          <w:color w:val="auto"/>
          <w:sz w:val="20"/>
          <w:szCs w:val="20"/>
        </w:rPr>
        <w:t xml:space="preserve">) obrigam-se a elaborar, com antecedência mínima de 60 (sessenta) dias do vencimento dos mencionados instrumentos de mandato, novos instrumentos de mandato, na forma do </w:t>
      </w:r>
      <w:r>
        <w:rPr>
          <w:rFonts w:ascii="Arial" w:hAnsi="Arial" w:cs="Arial"/>
          <w:b/>
          <w:color w:val="auto"/>
          <w:sz w:val="20"/>
          <w:szCs w:val="20"/>
        </w:rPr>
        <w:t>Anexo IV</w:t>
      </w:r>
      <w:r>
        <w:rPr>
          <w:rFonts w:ascii="Arial" w:hAnsi="Arial" w:cs="Arial"/>
          <w:color w:val="auto"/>
          <w:sz w:val="20"/>
          <w:szCs w:val="20"/>
        </w:rPr>
        <w:t>, para renomear o Agente</w:t>
      </w:r>
      <w:r>
        <w:rPr>
          <w:rFonts w:ascii="Arial" w:hAnsi="Arial" w:cs="Arial"/>
          <w:b/>
          <w:color w:val="auto"/>
          <w:sz w:val="20"/>
          <w:szCs w:val="20"/>
        </w:rPr>
        <w:t xml:space="preserve"> </w:t>
      </w:r>
      <w:r>
        <w:rPr>
          <w:rFonts w:ascii="Arial" w:hAnsi="Arial" w:cs="Arial"/>
          <w:color w:val="auto"/>
          <w:sz w:val="20"/>
          <w:szCs w:val="20"/>
        </w:rPr>
        <w:t>Fiduciário, cumprindo com todas as formalidades legais que se façam necessárias.</w:t>
      </w:r>
    </w:p>
    <w:p>
      <w:pPr>
        <w:pStyle w:val="Level2"/>
        <w:widowControl w:val="0"/>
        <w:numPr>
          <w:ilvl w:val="1"/>
          <w:numId w:val="19"/>
        </w:numPr>
        <w:autoSpaceDE w:val="0"/>
        <w:autoSpaceDN w:val="0"/>
        <w:adjustRightInd w:val="0"/>
        <w:rPr>
          <w:color w:val="auto"/>
          <w:szCs w:val="20"/>
        </w:rPr>
      </w:pPr>
      <w:bookmarkStart w:id="91" w:name="_DV_M44"/>
      <w:bookmarkStart w:id="92" w:name="_DV_M46"/>
      <w:bookmarkStart w:id="93" w:name="_DV_M47"/>
      <w:bookmarkEnd w:id="91"/>
      <w:bookmarkEnd w:id="92"/>
      <w:bookmarkEnd w:id="93"/>
      <w:r>
        <w:rPr>
          <w:color w:val="auto"/>
          <w:szCs w:val="20"/>
        </w:rPr>
        <w:t>Quando o pagamento integral de todas as obrigações pecuniárias estipuladas nas Obrigações Garantidas tiver sido realizado, o Agente Fiduciário</w:t>
      </w:r>
      <w:r>
        <w:rPr>
          <w:b/>
          <w:color w:val="auto"/>
          <w:szCs w:val="20"/>
        </w:rPr>
        <w:t xml:space="preserve"> </w:t>
      </w:r>
      <w:r>
        <w:rPr>
          <w:color w:val="auto"/>
          <w:szCs w:val="20"/>
        </w:rPr>
        <w:t xml:space="preserve">deverá emitir </w:t>
      </w:r>
      <w:r>
        <w:rPr>
          <w:rStyle w:val="DeltaViewInsertion"/>
          <w:color w:val="auto"/>
          <w:szCs w:val="20"/>
          <w:u w:val="none"/>
        </w:rPr>
        <w:t>o termo de liberação e quitação, para que seja providenciado o cancelamento da Cessão Fiduciária sobre os respectivos Direitos Creditórios</w:t>
      </w:r>
      <w:r>
        <w:rPr>
          <w:color w:val="auto"/>
          <w:szCs w:val="20"/>
        </w:rPr>
        <w:t xml:space="preserve"> Cedidos Fiduciariamente e a totalidade do montante depositado nas</w:t>
      </w:r>
      <w:r>
        <w:rPr>
          <w:b/>
          <w:color w:val="auto"/>
          <w:szCs w:val="20"/>
        </w:rPr>
        <w:t xml:space="preserve"> </w:t>
      </w:r>
      <w:r>
        <w:rPr>
          <w:color w:val="auto"/>
          <w:szCs w:val="20"/>
        </w:rPr>
        <w:t>Contas Vinculadas será transferida às Contas Movimento.</w:t>
      </w:r>
    </w:p>
    <w:p>
      <w:pPr>
        <w:pStyle w:val="Level2"/>
        <w:widowControl w:val="0"/>
        <w:numPr>
          <w:ilvl w:val="1"/>
          <w:numId w:val="19"/>
        </w:numPr>
        <w:autoSpaceDE w:val="0"/>
        <w:autoSpaceDN w:val="0"/>
        <w:adjustRightInd w:val="0"/>
        <w:rPr>
          <w:b/>
          <w:color w:val="auto"/>
          <w:szCs w:val="20"/>
        </w:rPr>
      </w:pPr>
      <w:bookmarkStart w:id="94" w:name="_DV_M48"/>
      <w:bookmarkStart w:id="95" w:name="_DV_M49"/>
      <w:bookmarkStart w:id="96" w:name="_DV_M50"/>
      <w:bookmarkStart w:id="97" w:name="_DV_M51"/>
      <w:bookmarkStart w:id="98" w:name="_DV_M52"/>
      <w:bookmarkStart w:id="99" w:name="_DV_M53"/>
      <w:bookmarkStart w:id="100" w:name="_DV_M54"/>
      <w:bookmarkEnd w:id="94"/>
      <w:bookmarkEnd w:id="95"/>
      <w:bookmarkEnd w:id="96"/>
      <w:bookmarkEnd w:id="97"/>
      <w:bookmarkEnd w:id="98"/>
      <w:bookmarkEnd w:id="99"/>
      <w:bookmarkEnd w:id="100"/>
      <w:r>
        <w:rPr>
          <w:color w:val="auto"/>
          <w:szCs w:val="20"/>
        </w:rPr>
        <w:t>Caso o inadimplemento e/ou mora das Obrigações Garantidas seja</w:t>
      </w:r>
      <w:bookmarkStart w:id="101" w:name="_DV_C11"/>
      <w:r>
        <w:rPr>
          <w:rStyle w:val="DeltaViewInsertion"/>
          <w:color w:val="auto"/>
          <w:szCs w:val="20"/>
          <w:u w:val="none"/>
        </w:rPr>
        <w:t xml:space="preserve"> integralmente</w:t>
      </w:r>
      <w:bookmarkStart w:id="102" w:name="_DV_M55"/>
      <w:bookmarkEnd w:id="101"/>
      <w:bookmarkEnd w:id="102"/>
      <w:r>
        <w:rPr>
          <w:color w:val="auto"/>
          <w:szCs w:val="20"/>
        </w:rPr>
        <w:t xml:space="preserve"> sanado mediante a utilização dos recursos depositados nas Contas Vinculadas, o saldo remanescente das</w:t>
      </w:r>
      <w:r>
        <w:rPr>
          <w:b/>
          <w:color w:val="auto"/>
          <w:szCs w:val="20"/>
        </w:rPr>
        <w:t xml:space="preserve"> </w:t>
      </w:r>
      <w:r>
        <w:rPr>
          <w:color w:val="auto"/>
          <w:szCs w:val="20"/>
        </w:rPr>
        <w:t>Contas Vinculadas deverá ser transferido imediatamente às respectivas Cedentes</w:t>
      </w:r>
      <w:r>
        <w:rPr>
          <w:b/>
          <w:color w:val="auto"/>
          <w:szCs w:val="20"/>
        </w:rPr>
        <w:t xml:space="preserve"> </w:t>
      </w:r>
      <w:r>
        <w:rPr>
          <w:color w:val="auto"/>
          <w:szCs w:val="20"/>
        </w:rPr>
        <w:t xml:space="preserve">Fiduciárias, mediante o depósito de tal montante nas Contas Movimento, as quais poderão ser livremente movimentadas pelas </w:t>
      </w:r>
      <w:r>
        <w:rPr>
          <w:color w:val="auto"/>
          <w:szCs w:val="20"/>
        </w:rPr>
        <w:lastRenderedPageBreak/>
        <w:t>Cedentes Fiduciárias.</w:t>
      </w:r>
      <w:r>
        <w:rPr>
          <w:b/>
          <w:color w:val="auto"/>
          <w:szCs w:val="20"/>
        </w:rPr>
        <w:t xml:space="preserve"> </w:t>
      </w:r>
    </w:p>
    <w:p>
      <w:pPr>
        <w:pStyle w:val="Level2"/>
        <w:widowControl w:val="0"/>
        <w:numPr>
          <w:ilvl w:val="1"/>
          <w:numId w:val="19"/>
        </w:numPr>
        <w:autoSpaceDE w:val="0"/>
        <w:autoSpaceDN w:val="0"/>
        <w:adjustRightInd w:val="0"/>
        <w:rPr>
          <w:color w:val="auto"/>
          <w:szCs w:val="20"/>
        </w:rPr>
      </w:pPr>
      <w:bookmarkStart w:id="103" w:name="_DV_M56"/>
      <w:bookmarkEnd w:id="103"/>
      <w:r>
        <w:rPr>
          <w:color w:val="auto"/>
          <w:szCs w:val="20"/>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numPr>
          <w:ilvl w:val="0"/>
          <w:numId w:val="19"/>
        </w:numPr>
        <w:autoSpaceDE w:val="0"/>
        <w:autoSpaceDN w:val="0"/>
        <w:adjustRightInd w:val="0"/>
        <w:spacing w:before="0"/>
        <w:rPr>
          <w:color w:val="auto"/>
          <w:sz w:val="20"/>
          <w:szCs w:val="20"/>
        </w:rPr>
      </w:pPr>
      <w:r>
        <w:rPr>
          <w:color w:val="auto"/>
          <w:sz w:val="20"/>
          <w:szCs w:val="20"/>
        </w:rPr>
        <w:t xml:space="preserve">DECLARAÇÕES E OBRIGAÇÕES DAS </w:t>
      </w:r>
      <w:bookmarkStart w:id="104" w:name="_DV_M57"/>
      <w:bookmarkStart w:id="105" w:name="Texto729"/>
      <w:bookmarkEnd w:id="104"/>
      <w:r>
        <w:rPr>
          <w:color w:val="auto"/>
          <w:sz w:val="20"/>
          <w:szCs w:val="20"/>
        </w:rPr>
        <w:t xml:space="preserve">CEDENTES FIDUCIÁRIAS E DA </w:t>
      </w:r>
      <w:bookmarkStart w:id="106" w:name="_DV_M58"/>
      <w:bookmarkEnd w:id="105"/>
      <w:bookmarkEnd w:id="106"/>
      <w:r>
        <w:rPr>
          <w:color w:val="auto"/>
          <w:sz w:val="20"/>
          <w:szCs w:val="20"/>
        </w:rPr>
        <w:t>EMISSORA</w:t>
      </w:r>
    </w:p>
    <w:p>
      <w:pPr>
        <w:pStyle w:val="Level2"/>
        <w:widowControl w:val="0"/>
        <w:numPr>
          <w:ilvl w:val="1"/>
          <w:numId w:val="19"/>
        </w:numPr>
        <w:autoSpaceDE w:val="0"/>
        <w:autoSpaceDN w:val="0"/>
        <w:adjustRightInd w:val="0"/>
        <w:rPr>
          <w:i/>
          <w:color w:val="auto"/>
          <w:szCs w:val="20"/>
        </w:rPr>
      </w:pPr>
      <w:bookmarkStart w:id="107" w:name="_DV_M59"/>
      <w:bookmarkStart w:id="108" w:name="_Ref535259872"/>
      <w:bookmarkEnd w:id="107"/>
      <w:r>
        <w:rPr>
          <w:color w:val="auto"/>
          <w:szCs w:val="20"/>
        </w:rPr>
        <w:t>Sem prejuízo das demais declarações e garantias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individualmente, declaram:</w:t>
      </w:r>
      <w:bookmarkStart w:id="109" w:name="_DV_M60"/>
      <w:bookmarkEnd w:id="108"/>
      <w:bookmarkEnd w:id="109"/>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b/>
          <w:bCs/>
          <w:color w:val="auto"/>
          <w:szCs w:val="20"/>
        </w:rPr>
      </w:pPr>
      <w:bookmarkStart w:id="110" w:name="_DV_M61"/>
      <w:bookmarkEnd w:id="110"/>
      <w:proofErr w:type="gramStart"/>
      <w:r>
        <w:rPr>
          <w:color w:val="auto"/>
          <w:szCs w:val="20"/>
        </w:rPr>
        <w:t>que</w:t>
      </w:r>
      <w:proofErr w:type="gramEnd"/>
      <w:r>
        <w:rPr>
          <w:color w:val="auto"/>
          <w:szCs w:val="20"/>
        </w:rPr>
        <w:t xml:space="preserve"> os Direitos Creditórios Cedentes</w:t>
      </w:r>
      <w:r>
        <w:rPr>
          <w:b/>
          <w:color w:val="auto"/>
          <w:szCs w:val="20"/>
        </w:rPr>
        <w:t xml:space="preserve"> </w:t>
      </w:r>
      <w:r>
        <w:rPr>
          <w:color w:val="auto"/>
          <w:szCs w:val="20"/>
        </w:rPr>
        <w:t>Fiduciárias</w:t>
      </w:r>
      <w:r>
        <w:rPr>
          <w:b/>
          <w:color w:val="auto"/>
          <w:szCs w:val="20"/>
        </w:rPr>
        <w:t xml:space="preserve"> </w:t>
      </w:r>
      <w:r>
        <w:rPr>
          <w:color w:val="auto"/>
          <w:szCs w:val="20"/>
        </w:rP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color w:val="auto"/>
          <w:szCs w:val="20"/>
          <w:lang w:val="pt-PT"/>
        </w:rPr>
        <w:t>Publibanca Brasil S.A., exceto conforme permitido na Cláusula 1.1.2 acima</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ser</w:t>
      </w:r>
      <w:proofErr w:type="gramEnd"/>
      <w:r>
        <w:rPr>
          <w:color w:val="auto"/>
          <w:szCs w:val="20"/>
        </w:rPr>
        <w:t xml:space="preserve">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111" w:name="_DV_M62"/>
      <w:bookmarkEnd w:id="111"/>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2" w:name="_DV_M63"/>
      <w:bookmarkEnd w:id="112"/>
      <w:proofErr w:type="gramStart"/>
      <w:r>
        <w:rPr>
          <w:color w:val="auto"/>
          <w:szCs w:val="20"/>
        </w:rPr>
        <w:t>que</w:t>
      </w:r>
      <w:proofErr w:type="gramEnd"/>
      <w:r>
        <w:rPr>
          <w:color w:val="auto"/>
          <w:szCs w:val="20"/>
        </w:rPr>
        <w:t xml:space="preserve"> o presente Contrato constitui-se em obrigação válida e legal para as Cedentes</w:t>
      </w:r>
      <w:r>
        <w:rPr>
          <w:b/>
          <w:color w:val="auto"/>
          <w:szCs w:val="20"/>
        </w:rPr>
        <w:t xml:space="preserve"> </w:t>
      </w:r>
      <w:r>
        <w:rPr>
          <w:color w:val="auto"/>
          <w:szCs w:val="20"/>
        </w:rPr>
        <w:t>Fiduciárias, exequível de acordo com os seus respectivos termos, com força de título executivo extrajudicial, nos termos do artigo 784, incisos I a III, da Lei nº 13.105, de 16 de março de 2015, conforme alterada (“</w:t>
      </w:r>
      <w:r>
        <w:rPr>
          <w:b/>
          <w:color w:val="auto"/>
          <w:szCs w:val="20"/>
        </w:rPr>
        <w:t>Código de Processo Civil</w:t>
      </w:r>
      <w:r>
        <w:rPr>
          <w:color w:val="auto"/>
          <w:szCs w:val="20"/>
        </w:rPr>
        <w:t>”);</w:t>
      </w:r>
      <w:bookmarkStart w:id="113" w:name="_DV_M64"/>
      <w:bookmarkEnd w:id="113"/>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4" w:name="_DV_M65"/>
      <w:bookmarkEnd w:id="114"/>
      <w:proofErr w:type="gramStart"/>
      <w:r>
        <w:rPr>
          <w:color w:val="auto"/>
          <w:szCs w:val="20"/>
        </w:rPr>
        <w:t>que</w:t>
      </w:r>
      <w:proofErr w:type="gramEnd"/>
      <w:r>
        <w:rPr>
          <w:color w:val="auto"/>
          <w:szCs w:val="20"/>
        </w:rPr>
        <w:t xml:space="preserve"> 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6"/>
        </w:numPr>
        <w:tabs>
          <w:tab w:val="clear" w:pos="2041"/>
          <w:tab w:val="num" w:pos="1418"/>
        </w:tabs>
        <w:autoSpaceDE w:val="0"/>
        <w:autoSpaceDN w:val="0"/>
        <w:adjustRightInd w:val="0"/>
        <w:ind w:left="1418" w:hanging="709"/>
        <w:rPr>
          <w:color w:val="auto"/>
          <w:spacing w:val="-3"/>
          <w:szCs w:val="20"/>
        </w:rPr>
      </w:pPr>
      <w:proofErr w:type="gramStart"/>
      <w:r>
        <w:rPr>
          <w:color w:val="auto"/>
          <w:spacing w:val="-3"/>
          <w:szCs w:val="20"/>
        </w:rPr>
        <w:t>que</w:t>
      </w:r>
      <w:proofErr w:type="gramEnd"/>
      <w:r>
        <w:rPr>
          <w:color w:val="auto"/>
          <w:spacing w:val="-3"/>
          <w:szCs w:val="20"/>
        </w:rPr>
        <w:t xml:space="preserve"> estão devidamente autorizadas a celebrar o presente </w:t>
      </w:r>
      <w:r>
        <w:rPr>
          <w:color w:val="auto"/>
          <w:szCs w:val="20"/>
        </w:rPr>
        <w:t>Contrato</w:t>
      </w:r>
      <w:r>
        <w:rPr>
          <w:color w:val="auto"/>
          <w:spacing w:val="-3"/>
          <w:szCs w:val="20"/>
        </w:rPr>
        <w:t xml:space="preserve"> e a cumprir com todas as obrigações aqui previstas, tendo sido satisfeitos todos os requisitos legais e estatutários necessários para tanto;</w:t>
      </w:r>
      <w:bookmarkStart w:id="115" w:name="_DV_M66"/>
      <w:bookmarkEnd w:id="115"/>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6" w:name="_DV_M67"/>
      <w:bookmarkEnd w:id="116"/>
      <w:proofErr w:type="gramStart"/>
      <w:r>
        <w:rPr>
          <w:color w:val="auto"/>
          <w:szCs w:val="20"/>
        </w:rPr>
        <w:t>nem</w:t>
      </w:r>
      <w:proofErr w:type="gramEnd"/>
      <w:r>
        <w:rPr>
          <w:color w:val="auto"/>
          <w:szCs w:val="20"/>
        </w:rPr>
        <w:t xml:space="preserve"> a </w:t>
      </w:r>
      <w:r>
        <w:rPr>
          <w:color w:val="auto"/>
          <w:spacing w:val="-3"/>
          <w:szCs w:val="20"/>
        </w:rPr>
        <w:t>celebração</w:t>
      </w:r>
      <w:r>
        <w:rPr>
          <w:color w:val="auto"/>
          <w:szCs w:val="20"/>
        </w:rPr>
        <w:t xml:space="preserve"> deste Contrato, ou os termos aqui pactuados violam:</w:t>
      </w:r>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17" w:name="_DV_M68"/>
      <w:bookmarkEnd w:id="117"/>
      <w:proofErr w:type="gramStart"/>
      <w:r>
        <w:rPr>
          <w:rFonts w:ascii="Arial" w:hAnsi="Arial" w:cs="Arial"/>
          <w:color w:val="auto"/>
          <w:sz w:val="20"/>
          <w:szCs w:val="20"/>
        </w:rPr>
        <w:t>qualquer</w:t>
      </w:r>
      <w:proofErr w:type="gramEnd"/>
      <w:r>
        <w:rPr>
          <w:rFonts w:ascii="Arial" w:hAnsi="Arial" w:cs="Arial"/>
          <w:color w:val="auto"/>
          <w:sz w:val="20"/>
          <w:szCs w:val="20"/>
        </w:rPr>
        <w:t xml:space="preserve"> disposição do ato constitutivo, do estatuto social ou do contrato social das Cedentes Fiduciárias; e/ou,</w:t>
      </w:r>
      <w:bookmarkStart w:id="118" w:name="_DV_M69"/>
      <w:bookmarkEnd w:id="118"/>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19" w:name="_DV_M70"/>
      <w:bookmarkEnd w:id="119"/>
      <w:proofErr w:type="gramStart"/>
      <w:r>
        <w:rPr>
          <w:rFonts w:ascii="Arial" w:hAnsi="Arial" w:cs="Arial"/>
          <w:color w:val="auto"/>
          <w:spacing w:val="-3"/>
          <w:sz w:val="20"/>
          <w:szCs w:val="20"/>
        </w:rPr>
        <w:t>a</w:t>
      </w:r>
      <w:proofErr w:type="gramEnd"/>
      <w:r>
        <w:rPr>
          <w:rFonts w:ascii="Arial" w:hAnsi="Arial" w:cs="Arial"/>
          <w:color w:val="auto"/>
          <w:spacing w:val="-3"/>
          <w:sz w:val="20"/>
          <w:szCs w:val="20"/>
        </w:rPr>
        <w:t xml:space="preserve"> constituição, estatuto, lei, regulamento ou decisão de qualquer autoridade governamental relativamente às Cedentes Fiduciárias; e/ou</w:t>
      </w:r>
      <w:bookmarkStart w:id="120" w:name="_DV_M71"/>
      <w:bookmarkEnd w:id="120"/>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21" w:name="_DV_M72"/>
      <w:bookmarkEnd w:id="121"/>
      <w:proofErr w:type="gramStart"/>
      <w:r>
        <w:rPr>
          <w:rFonts w:ascii="Arial" w:hAnsi="Arial" w:cs="Arial"/>
          <w:color w:val="auto"/>
          <w:spacing w:val="-3"/>
          <w:sz w:val="20"/>
          <w:szCs w:val="20"/>
        </w:rPr>
        <w:t>quaisquer</w:t>
      </w:r>
      <w:proofErr w:type="gramEnd"/>
      <w:r>
        <w:rPr>
          <w:rFonts w:ascii="Arial" w:hAnsi="Arial" w:cs="Arial"/>
          <w:color w:val="auto"/>
          <w:spacing w:val="-3"/>
          <w:sz w:val="20"/>
          <w:szCs w:val="20"/>
        </w:rPr>
        <w:t xml:space="preserve"> contratos, acordos, autorizações governamentais, instrumentos, ajustes ou compromissos aos quais as Cedentes Fiduciárias</w:t>
      </w:r>
      <w:r>
        <w:rPr>
          <w:rFonts w:ascii="Arial" w:hAnsi="Arial" w:cs="Arial"/>
          <w:color w:val="auto"/>
          <w:sz w:val="20"/>
          <w:szCs w:val="20"/>
        </w:rPr>
        <w:t xml:space="preserve"> </w:t>
      </w:r>
      <w:r>
        <w:rPr>
          <w:rFonts w:ascii="Arial" w:hAnsi="Arial" w:cs="Arial"/>
          <w:color w:val="auto"/>
          <w:spacing w:val="-3"/>
          <w:sz w:val="20"/>
          <w:szCs w:val="20"/>
        </w:rPr>
        <w:t>estejam vinculadas</w:t>
      </w:r>
      <w:r>
        <w:rPr>
          <w:rFonts w:ascii="Arial" w:hAnsi="Arial" w:cs="Arial"/>
          <w:color w:val="auto"/>
          <w:sz w:val="20"/>
          <w:szCs w:val="20"/>
        </w:rPr>
        <w:t>.</w:t>
      </w:r>
      <w:bookmarkStart w:id="122" w:name="_DV_M73"/>
      <w:bookmarkEnd w:id="122"/>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lastRenderedPageBreak/>
        <w:t>que</w:t>
      </w:r>
      <w:proofErr w:type="gramEnd"/>
      <w:r>
        <w:rPr>
          <w:color w:val="auto"/>
          <w:szCs w:val="20"/>
        </w:rPr>
        <w:t xml:space="preserv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color w:val="auto"/>
          <w:w w:val="0"/>
          <w:szCs w:val="20"/>
        </w:rPr>
        <w:t>exceto (i) o arquivamento e publicações das atos societários das Cedentes Fiduciárias que, dentre outros, aprovam a Emissão e a presente Cessão</w:t>
      </w:r>
      <w:r>
        <w:rPr>
          <w:b/>
          <w:color w:val="auto"/>
          <w:w w:val="0"/>
          <w:szCs w:val="20"/>
        </w:rPr>
        <w:t xml:space="preserve"> </w:t>
      </w:r>
      <w:r>
        <w:rPr>
          <w:color w:val="auto"/>
          <w:w w:val="0"/>
          <w:szCs w:val="20"/>
        </w:rPr>
        <w:t>Fiduciária, na JUCESP; (</w:t>
      </w:r>
      <w:proofErr w:type="spellStart"/>
      <w:r>
        <w:rPr>
          <w:color w:val="auto"/>
          <w:w w:val="0"/>
          <w:szCs w:val="20"/>
        </w:rPr>
        <w:t>ii</w:t>
      </w:r>
      <w:proofErr w:type="spellEnd"/>
      <w:r>
        <w:rPr>
          <w:color w:val="auto"/>
          <w:w w:val="0"/>
          <w:szCs w:val="20"/>
        </w:rPr>
        <w:t>) a inscrição da Escritura de Emissão na JUCESP; (</w:t>
      </w:r>
      <w:proofErr w:type="spellStart"/>
      <w:r>
        <w:rPr>
          <w:color w:val="auto"/>
          <w:w w:val="0"/>
          <w:szCs w:val="20"/>
        </w:rPr>
        <w:t>iii</w:t>
      </w:r>
      <w:proofErr w:type="spellEnd"/>
      <w:r>
        <w:rPr>
          <w:color w:val="auto"/>
          <w:w w:val="0"/>
          <w:szCs w:val="20"/>
        </w:rPr>
        <w:t>) o depósito das Debêntures na B3; e (</w:t>
      </w:r>
      <w:proofErr w:type="spellStart"/>
      <w:r>
        <w:rPr>
          <w:color w:val="auto"/>
          <w:w w:val="0"/>
          <w:szCs w:val="20"/>
        </w:rPr>
        <w:t>iv</w:t>
      </w:r>
      <w:proofErr w:type="spellEnd"/>
      <w:r>
        <w:rPr>
          <w:color w:val="auto"/>
          <w:w w:val="0"/>
          <w:szCs w:val="20"/>
        </w:rPr>
        <w:t>) o registro da Escritura de Emissão e deste Contrato no Cartório de</w:t>
      </w:r>
      <w:r>
        <w:rPr>
          <w:b/>
          <w:color w:val="auto"/>
          <w:w w:val="0"/>
          <w:szCs w:val="20"/>
        </w:rPr>
        <w:t xml:space="preserve"> </w:t>
      </w:r>
      <w:r>
        <w:rPr>
          <w:color w:val="auto"/>
          <w:w w:val="0"/>
          <w:szCs w:val="20"/>
        </w:rPr>
        <w:t>RTD</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pPr>
        <w:pStyle w:val="Level2"/>
        <w:widowControl w:val="0"/>
        <w:numPr>
          <w:ilvl w:val="1"/>
          <w:numId w:val="19"/>
        </w:numPr>
        <w:autoSpaceDE w:val="0"/>
        <w:autoSpaceDN w:val="0"/>
        <w:adjustRightInd w:val="0"/>
        <w:rPr>
          <w:b/>
          <w:i/>
          <w:color w:val="auto"/>
          <w:szCs w:val="20"/>
        </w:rPr>
      </w:pPr>
      <w:r>
        <w:rPr>
          <w:color w:val="auto"/>
          <w:szCs w:val="20"/>
        </w:rPr>
        <w:lastRenderedPageBreak/>
        <w:t>Sem prejuízo das demais obrigações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obrigam-se individualmente até o fiel cumprimento de todas as Obrigações Garantidas:</w:t>
      </w:r>
    </w:p>
    <w:p>
      <w:pPr>
        <w:pStyle w:val="Level4"/>
        <w:numPr>
          <w:ilvl w:val="3"/>
          <w:numId w:val="26"/>
        </w:numPr>
        <w:tabs>
          <w:tab w:val="clear" w:pos="2041"/>
          <w:tab w:val="num" w:pos="1418"/>
        </w:tabs>
        <w:autoSpaceDE w:val="0"/>
        <w:autoSpaceDN w:val="0"/>
        <w:adjustRightInd w:val="0"/>
        <w:ind w:left="1418" w:hanging="709"/>
        <w:rPr>
          <w:b/>
          <w:i/>
          <w:color w:val="auto"/>
          <w:szCs w:val="20"/>
        </w:rPr>
      </w:pPr>
      <w:proofErr w:type="gramStart"/>
      <w:r>
        <w:rPr>
          <w:color w:val="auto"/>
          <w:szCs w:val="20"/>
        </w:rPr>
        <w:t>não</w:t>
      </w:r>
      <w:proofErr w:type="gramEnd"/>
      <w:r>
        <w:rPr>
          <w:color w:val="auto"/>
          <w:szCs w:val="20"/>
        </w:rPr>
        <w:t xml:space="preserve"> ceder quaisquer de seus direitos e obrigações decorrentes deste Contrato a terceiros, sem a prévia e expressa anuência dos Debenturistas, representados pelo Agente</w:t>
      </w:r>
      <w:r>
        <w:rPr>
          <w:b/>
          <w:color w:val="auto"/>
          <w:szCs w:val="20"/>
        </w:rPr>
        <w:t xml:space="preserve"> </w:t>
      </w:r>
      <w:r>
        <w:rPr>
          <w:color w:val="auto"/>
          <w:szCs w:val="20"/>
        </w:rPr>
        <w:t xml:space="preserve">Fiduciário; </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23" w:name="_DV_M74"/>
      <w:bookmarkStart w:id="124" w:name="_DV_M75"/>
      <w:bookmarkStart w:id="125" w:name="_DV_M76"/>
      <w:bookmarkStart w:id="126" w:name="_DV_M77"/>
      <w:bookmarkStart w:id="127" w:name="Texto741"/>
      <w:bookmarkEnd w:id="123"/>
      <w:bookmarkEnd w:id="124"/>
      <w:bookmarkEnd w:id="125"/>
      <w:bookmarkEnd w:id="126"/>
      <w:proofErr w:type="gramStart"/>
      <w:r>
        <w:rPr>
          <w:color w:val="auto"/>
          <w:szCs w:val="20"/>
        </w:rPr>
        <w:t>elaborar</w:t>
      </w:r>
      <w:proofErr w:type="gramEnd"/>
      <w:r>
        <w:rPr>
          <w:color w:val="auto"/>
          <w:szCs w:val="20"/>
        </w:rPr>
        <w:t xml:space="preserve"> e encaminhar ao Agente Fiduciário, sempre que solicitado, em até 10 (dez) dias a contar do recebimento de solicitação nesse sentido, relatório contendo as informações sobre o fluxo de recursos nas</w:t>
      </w:r>
      <w:r>
        <w:rPr>
          <w:b/>
          <w:color w:val="auto"/>
          <w:szCs w:val="20"/>
        </w:rPr>
        <w:t xml:space="preserve"> </w:t>
      </w:r>
      <w:r>
        <w:rPr>
          <w:color w:val="auto"/>
          <w:szCs w:val="20"/>
        </w:rPr>
        <w:t xml:space="preserve">Contas Vinculadas; </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28" w:name="_DV_M78"/>
      <w:bookmarkEnd w:id="128"/>
      <w:proofErr w:type="gramStart"/>
      <w:r>
        <w:rPr>
          <w:color w:val="auto"/>
          <w:szCs w:val="20"/>
        </w:rPr>
        <w:t>não</w:t>
      </w:r>
      <w:proofErr w:type="gramEnd"/>
      <w:r>
        <w:rPr>
          <w:color w:val="auto"/>
          <w:szCs w:val="20"/>
        </w:rPr>
        <w:t xml:space="preserve">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29" w:name="_DV_M79"/>
      <w:bookmarkStart w:id="130" w:name="_DV_M80"/>
      <w:bookmarkStart w:id="131" w:name="_DV_M81"/>
      <w:bookmarkEnd w:id="127"/>
      <w:bookmarkEnd w:id="129"/>
      <w:bookmarkEnd w:id="130"/>
      <w:bookmarkEnd w:id="131"/>
    </w:p>
    <w:p>
      <w:pPr>
        <w:pStyle w:val="Level4"/>
        <w:numPr>
          <w:ilvl w:val="3"/>
          <w:numId w:val="26"/>
        </w:numPr>
        <w:tabs>
          <w:tab w:val="clear" w:pos="2041"/>
          <w:tab w:val="num" w:pos="1418"/>
        </w:tabs>
        <w:autoSpaceDE w:val="0"/>
        <w:autoSpaceDN w:val="0"/>
        <w:adjustRightInd w:val="0"/>
        <w:ind w:left="1418" w:hanging="709"/>
        <w:rPr>
          <w:color w:val="auto"/>
          <w:szCs w:val="20"/>
        </w:rPr>
      </w:pPr>
      <w:bookmarkStart w:id="132" w:name="_Ref34158917"/>
      <w:r>
        <w:rPr>
          <w:color w:val="auto"/>
          <w:szCs w:val="20"/>
        </w:rP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szCs w:val="20"/>
          <w:u w:val="none"/>
        </w:rPr>
        <w:t xml:space="preserve">caso em que o Agente Fiduciário fornecerá, no prazo de 2 (dois) Dias Úteis a partir da solicitação por escrito das </w:t>
      </w:r>
      <w:r>
        <w:rPr>
          <w:color w:val="auto"/>
          <w:szCs w:val="20"/>
        </w:rPr>
        <w:t>Cedentes Fiduciárias</w:t>
      </w:r>
      <w:r>
        <w:rPr>
          <w:rStyle w:val="DeltaViewInsertion"/>
          <w:color w:val="auto"/>
          <w:szCs w:val="20"/>
          <w:u w:val="none"/>
        </w:rPr>
        <w:t>, o termo de liberação e quitação, para que seja providenciado o cancelamento da Cessão Fiduciária sobre os respectivos Direitos Creditórios</w:t>
      </w:r>
      <w:r>
        <w:rPr>
          <w:color w:val="auto"/>
          <w:szCs w:val="20"/>
        </w:rPr>
        <w:t xml:space="preserve"> Cedidos Fiduciariamente e a totalidade do montante depositado nas Contas Vinculadas será transferido às Contas Movimento;</w:t>
      </w:r>
      <w:bookmarkEnd w:id="132"/>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b/>
          <w:color w:val="auto"/>
          <w:szCs w:val="20"/>
        </w:rPr>
      </w:pPr>
      <w:proofErr w:type="gramStart"/>
      <w:r>
        <w:rPr>
          <w:color w:val="auto"/>
          <w:szCs w:val="20"/>
        </w:rPr>
        <w:t>não</w:t>
      </w:r>
      <w:proofErr w:type="gramEnd"/>
      <w:r>
        <w:rPr>
          <w:color w:val="auto"/>
          <w:szCs w:val="20"/>
        </w:rPr>
        <w:t xml:space="preserve"> alterar ou encerrar as</w:t>
      </w:r>
      <w:r>
        <w:rPr>
          <w:b/>
          <w:color w:val="auto"/>
          <w:szCs w:val="20"/>
        </w:rPr>
        <w:t xml:space="preserve"> </w:t>
      </w:r>
      <w:r>
        <w:rPr>
          <w:color w:val="auto"/>
          <w:szCs w:val="20"/>
        </w:rPr>
        <w:t>Contas Vinculadas, nem praticar qualquer ato, ou abster-se de praticar qualquer ato que possa, de qualquer forma, resultar na alteração, encerramento ou oneração das</w:t>
      </w:r>
      <w:r>
        <w:rPr>
          <w:b/>
          <w:color w:val="auto"/>
          <w:szCs w:val="20"/>
        </w:rPr>
        <w:t xml:space="preserve"> </w:t>
      </w:r>
      <w:r>
        <w:rPr>
          <w:color w:val="auto"/>
          <w:szCs w:val="20"/>
        </w:rPr>
        <w:t xml:space="preserve">Contas Vinculadas; </w:t>
      </w:r>
      <w:bookmarkStart w:id="133" w:name="_DV_M82"/>
      <w:bookmarkStart w:id="134" w:name="_DV_M83"/>
      <w:bookmarkEnd w:id="133"/>
      <w:bookmarkEnd w:id="134"/>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não</w:t>
      </w:r>
      <w:proofErr w:type="gramEnd"/>
      <w:r>
        <w:rPr>
          <w:color w:val="auto"/>
          <w:szCs w:val="20"/>
        </w:rPr>
        <w:t xml:space="preserve">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szCs w:val="20"/>
        </w:rPr>
        <w:t>Contrato</w:t>
      </w:r>
      <w:r>
        <w:rPr>
          <w:color w:val="auto"/>
          <w:szCs w:val="20"/>
        </w:rPr>
        <w:t xml:space="preserve"> ou aos Direitos Creditórios Cedidos Fiduciariamente;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prontamente</w:t>
      </w:r>
      <w:proofErr w:type="gramEnd"/>
      <w:r>
        <w:rPr>
          <w:color w:val="auto"/>
          <w:szCs w:val="20"/>
        </w:rPr>
        <w:t xml:space="preserve"> oferecer ao Agente Fiduciário, ou qualquer terceiro indicado pelo Agente Fiduciário, qualquer informação material e/ou documentos relacionados aos Direitos Creditórios Cedidos Fiduciariamente;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manter</w:t>
      </w:r>
      <w:proofErr w:type="gramEnd"/>
      <w:r>
        <w:rPr>
          <w:color w:val="auto"/>
          <w:szCs w:val="20"/>
        </w:rPr>
        <w:t xml:space="preserve"> a presente Cessão Fiduciária sempre existente, válida, eficaz, em perfeita ordem e em pleno vigor, sem qualquer restrição ou condição e os Direitos Creditórios Cedidos Fiduciariamente</w:t>
      </w:r>
      <w:r>
        <w:rPr>
          <w:b/>
          <w:color w:val="auto"/>
          <w:szCs w:val="20"/>
        </w:rPr>
        <w:t xml:space="preserve"> </w:t>
      </w:r>
      <w:r>
        <w:rPr>
          <w:color w:val="auto"/>
          <w:szCs w:val="20"/>
        </w:rPr>
        <w:t xml:space="preserve">livres e desembaraçados de quaisquer ônus ou gravames;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color w:val="auto"/>
          <w:szCs w:val="20"/>
        </w:rPr>
        <w:t xml:space="preserve"> </w:t>
      </w:r>
      <w:r>
        <w:rPr>
          <w:color w:val="auto"/>
          <w:szCs w:val="20"/>
        </w:rPr>
        <w:t xml:space="preserve">Creditórios Cedidos Fiduciariamente e a preferência do referido direito de garantia ora criado contra </w:t>
      </w:r>
      <w:r>
        <w:rPr>
          <w:color w:val="auto"/>
          <w:szCs w:val="20"/>
        </w:rPr>
        <w:lastRenderedPageBreak/>
        <w:t>qualquer pessoa e contra a criação de quaisquer ônus ou gravames, viabilizando a participação do Agente Fiduciário em tais demandas e reivindicações;</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não</w:t>
      </w:r>
      <w:proofErr w:type="gramEnd"/>
      <w:r>
        <w:rPr>
          <w:color w:val="auto"/>
          <w:szCs w:val="20"/>
        </w:rPr>
        <w:t xml:space="preserve"> utilizar as</w:t>
      </w:r>
      <w:r>
        <w:rPr>
          <w:b/>
          <w:color w:val="auto"/>
          <w:szCs w:val="20"/>
        </w:rPr>
        <w:t xml:space="preserve"> </w:t>
      </w:r>
      <w:r>
        <w:rPr>
          <w:color w:val="auto"/>
          <w:szCs w:val="20"/>
        </w:rPr>
        <w:t xml:space="preserve">Contas Vinculadas para outra finalidade de outra forma que não as descritas neste </w:t>
      </w:r>
      <w:r>
        <w:rPr>
          <w:rStyle w:val="DeltaViewDeletion"/>
          <w:strike w:val="0"/>
          <w:color w:val="auto"/>
          <w:szCs w:val="20"/>
        </w:rPr>
        <w:t>Contrato</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cumprir</w:t>
      </w:r>
      <w:proofErr w:type="gramEnd"/>
      <w:r>
        <w:rPr>
          <w:color w:val="auto"/>
          <w:szCs w:val="20"/>
        </w:rPr>
        <w:t xml:space="preserve"> todas as instruções emanadas pelo Agente</w:t>
      </w:r>
      <w:r>
        <w:rPr>
          <w:b/>
          <w:color w:val="auto"/>
          <w:szCs w:val="20"/>
        </w:rPr>
        <w:t xml:space="preserve"> </w:t>
      </w:r>
      <w:r>
        <w:rPr>
          <w:color w:val="auto"/>
          <w:szCs w:val="20"/>
        </w:rPr>
        <w:t>Fiduciário e/ou pelos Debenturistas necessárias para a excussão da presente garantia, bem como prestar toda assistência e celebrarão eventuais documentos adicionais que venham a ser solicitados pelo Agente</w:t>
      </w:r>
      <w:r>
        <w:rPr>
          <w:b/>
          <w:color w:val="auto"/>
          <w:szCs w:val="20"/>
        </w:rPr>
        <w:t xml:space="preserve"> </w:t>
      </w:r>
      <w:r>
        <w:rPr>
          <w:color w:val="auto"/>
          <w:szCs w:val="20"/>
        </w:rPr>
        <w:t>Fiduciário e/ou pelos Debenturistas, necessários para a preservação e/ou excussão dos Direitos</w:t>
      </w:r>
      <w:r>
        <w:rPr>
          <w:b/>
          <w:color w:val="auto"/>
          <w:szCs w:val="20"/>
        </w:rPr>
        <w:t xml:space="preserve"> </w:t>
      </w:r>
      <w:r>
        <w:rPr>
          <w:color w:val="auto"/>
          <w:szCs w:val="20"/>
        </w:rPr>
        <w:t>Creditórios Cedidos Fiduciariamente; 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de</w:t>
      </w:r>
      <w:proofErr w:type="gramEnd"/>
      <w:r>
        <w:rPr>
          <w:color w:val="auto"/>
          <w:szCs w:val="20"/>
        </w:rPr>
        <w:t xml:space="preserve"> forma irrevogável e irretratável, até o cumprimento e liberação integral da Cessão Fiduciária: (a) renovar a procuração outorgada nos termos do </w:t>
      </w:r>
      <w:r>
        <w:rPr>
          <w:b/>
          <w:color w:val="auto"/>
          <w:szCs w:val="20"/>
        </w:rPr>
        <w:t>Anexo IV</w:t>
      </w:r>
      <w:r>
        <w:rPr>
          <w:color w:val="auto"/>
          <w:szCs w:val="20"/>
        </w:rPr>
        <w:t xml:space="preserve"> ao presente </w:t>
      </w:r>
      <w:r>
        <w:rPr>
          <w:rStyle w:val="DeltaViewDeletion"/>
          <w:strike w:val="0"/>
          <w:color w:val="auto"/>
          <w:szCs w:val="20"/>
        </w:rPr>
        <w:t>Contrato</w:t>
      </w:r>
      <w:r>
        <w:rPr>
          <w:color w:val="auto"/>
          <w:szCs w:val="20"/>
        </w:rP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pPr>
        <w:pStyle w:val="Level2"/>
        <w:widowControl w:val="0"/>
        <w:numPr>
          <w:ilvl w:val="1"/>
          <w:numId w:val="19"/>
        </w:numPr>
        <w:autoSpaceDE w:val="0"/>
        <w:autoSpaceDN w:val="0"/>
        <w:adjustRightInd w:val="0"/>
        <w:rPr>
          <w:color w:val="auto"/>
          <w:szCs w:val="20"/>
        </w:rPr>
      </w:pPr>
      <w:bookmarkStart w:id="135" w:name="_DV_M84"/>
      <w:bookmarkEnd w:id="135"/>
      <w:r>
        <w:rPr>
          <w:color w:val="auto"/>
          <w:szCs w:val="20"/>
        </w:rPr>
        <w:t xml:space="preserve">As Cedentes Fiduciárias assumem integral responsabilidade pela veracidade das informações e dados prestados neste </w:t>
      </w:r>
      <w:r>
        <w:rPr>
          <w:rStyle w:val="DeltaViewDeletion"/>
          <w:strike w:val="0"/>
          <w:color w:val="auto"/>
          <w:szCs w:val="20"/>
        </w:rPr>
        <w:t>Contrato</w:t>
      </w:r>
      <w:r>
        <w:rPr>
          <w:color w:val="auto"/>
          <w:szCs w:val="20"/>
        </w:rPr>
        <w:t>, ou em razão do mesmo, e nas Obrigações Garantidas. As Cedentes Fiduciárias assumem, ainda, a responsabilidade por qualquer eventual prejuízo que comprovadamente os Debenturistas e o Agente</w:t>
      </w:r>
      <w:r>
        <w:rPr>
          <w:b/>
          <w:color w:val="auto"/>
          <w:szCs w:val="20"/>
        </w:rPr>
        <w:t xml:space="preserve"> </w:t>
      </w:r>
      <w:r>
        <w:rPr>
          <w:color w:val="auto"/>
          <w:szCs w:val="20"/>
        </w:rPr>
        <w:t xml:space="preserve">Fiduciário venham </w:t>
      </w:r>
      <w:bookmarkStart w:id="136" w:name="_DV_M86"/>
      <w:bookmarkEnd w:id="136"/>
      <w:r>
        <w:rPr>
          <w:color w:val="auto"/>
          <w:szCs w:val="20"/>
        </w:rPr>
        <w:t xml:space="preserve">a sofrer em face de eventual falsidade, incorreção ou inconsistência de qualquer informação prestada. </w:t>
      </w:r>
    </w:p>
    <w:p>
      <w:pPr>
        <w:pStyle w:val="Level2"/>
        <w:widowControl w:val="0"/>
        <w:numPr>
          <w:ilvl w:val="1"/>
          <w:numId w:val="19"/>
        </w:numPr>
        <w:autoSpaceDE w:val="0"/>
        <w:autoSpaceDN w:val="0"/>
        <w:adjustRightInd w:val="0"/>
        <w:rPr>
          <w:color w:val="auto"/>
          <w:szCs w:val="20"/>
        </w:rPr>
      </w:pPr>
      <w:bookmarkStart w:id="137" w:name="_DV_M87"/>
      <w:bookmarkEnd w:id="137"/>
      <w:r>
        <w:rPr>
          <w:color w:val="auto"/>
          <w:szCs w:val="20"/>
        </w:rPr>
        <w:t>A</w:t>
      </w:r>
      <w:bookmarkStart w:id="138" w:name="_DV_M88"/>
      <w:bookmarkEnd w:id="138"/>
      <w:r>
        <w:rPr>
          <w:color w:val="auto"/>
          <w:szCs w:val="20"/>
        </w:rPr>
        <w:t>s</w:t>
      </w:r>
      <w:r>
        <w:rPr>
          <w:b/>
          <w:color w:val="auto"/>
          <w:szCs w:val="20"/>
        </w:rPr>
        <w:t xml:space="preserve"> </w:t>
      </w:r>
      <w:r>
        <w:rPr>
          <w:color w:val="auto"/>
          <w:szCs w:val="20"/>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szCs w:val="20"/>
          <w:u w:val="none"/>
        </w:rPr>
        <w:t xml:space="preserve">uma via autenticada </w:t>
      </w:r>
      <w:r>
        <w:rPr>
          <w:color w:val="auto"/>
          <w:szCs w:val="20"/>
        </w:rPr>
        <w:t>dos referidos documentos no prazo de 10 (dez) dias após a solicitação do Agente Fiduciário nesse sentido.</w:t>
      </w:r>
    </w:p>
    <w:p>
      <w:pPr>
        <w:pStyle w:val="Level3"/>
        <w:numPr>
          <w:ilvl w:val="2"/>
          <w:numId w:val="19"/>
        </w:numPr>
        <w:autoSpaceDE w:val="0"/>
        <w:autoSpaceDN w:val="0"/>
        <w:adjustRightInd w:val="0"/>
        <w:rPr>
          <w:rFonts w:ascii="Arial" w:hAnsi="Arial" w:cs="Arial"/>
          <w:color w:val="auto"/>
          <w:sz w:val="20"/>
          <w:szCs w:val="20"/>
        </w:rPr>
      </w:pPr>
      <w:bookmarkStart w:id="139" w:name="_DV_M89"/>
      <w:bookmarkStart w:id="140" w:name="_DV_M90"/>
      <w:bookmarkEnd w:id="139"/>
      <w:bookmarkEnd w:id="140"/>
      <w:r>
        <w:rPr>
          <w:rFonts w:ascii="Arial" w:hAnsi="Arial" w:cs="Arial"/>
          <w:color w:val="auto"/>
          <w:sz w:val="20"/>
          <w:szCs w:val="20"/>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Agente Fiduciário ou terceiros por eles contratados, terão amplo acesso aos documentos comprobatórios exclusivamente relativos aos Direitos Creditórios</w:t>
      </w:r>
      <w:r>
        <w:rPr>
          <w:rFonts w:ascii="Arial" w:hAnsi="Arial" w:cs="Arial"/>
          <w:b/>
          <w:color w:val="auto"/>
          <w:sz w:val="20"/>
          <w:szCs w:val="20"/>
        </w:rPr>
        <w:t xml:space="preserve"> </w:t>
      </w:r>
      <w:r>
        <w:rPr>
          <w:rFonts w:ascii="Arial" w:hAnsi="Arial" w:cs="Arial"/>
          <w:color w:val="auto"/>
          <w:sz w:val="20"/>
          <w:szCs w:val="20"/>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Arial" w:hAnsi="Arial" w:cs="Arial"/>
          <w:b/>
          <w:color w:val="auto"/>
          <w:sz w:val="20"/>
          <w:szCs w:val="20"/>
        </w:rPr>
        <w:t xml:space="preserve"> </w:t>
      </w:r>
      <w:r>
        <w:rPr>
          <w:rFonts w:ascii="Arial" w:hAnsi="Arial" w:cs="Arial"/>
          <w:color w:val="auto"/>
          <w:sz w:val="20"/>
          <w:szCs w:val="20"/>
        </w:rPr>
        <w:t xml:space="preserve">Fiduciárias, de suas respectivas obrigações nos termos deste Contrato, mediante envio de notificação por escrito, com antecedência mínima de 3 (três) Dias Úteis. </w:t>
      </w:r>
    </w:p>
    <w:p>
      <w:pPr>
        <w:pStyle w:val="Level3"/>
        <w:numPr>
          <w:ilvl w:val="2"/>
          <w:numId w:val="19"/>
        </w:numPr>
        <w:autoSpaceDE w:val="0"/>
        <w:autoSpaceDN w:val="0"/>
        <w:adjustRightInd w:val="0"/>
        <w:rPr>
          <w:rFonts w:ascii="Arial" w:hAnsi="Arial" w:cs="Arial"/>
          <w:b/>
          <w:color w:val="auto"/>
          <w:sz w:val="20"/>
          <w:szCs w:val="20"/>
        </w:rPr>
      </w:pPr>
      <w:r>
        <w:rPr>
          <w:rFonts w:ascii="Arial" w:hAnsi="Arial" w:cs="Arial"/>
          <w:color w:val="auto"/>
          <w:sz w:val="20"/>
          <w:szCs w:val="20"/>
        </w:rPr>
        <w:t>Em caso de pedido ou decretação de falência, recuperação judicial ou extrajudicial, dissolução, concurso de credores ou qualquer forma de extinção de qualquer das Cedentes</w:t>
      </w:r>
      <w:r>
        <w:rPr>
          <w:rFonts w:ascii="Arial" w:hAnsi="Arial" w:cs="Arial"/>
          <w:b/>
          <w:color w:val="auto"/>
          <w:sz w:val="20"/>
          <w:szCs w:val="20"/>
        </w:rPr>
        <w:t xml:space="preserve"> </w:t>
      </w:r>
      <w:r>
        <w:rPr>
          <w:rFonts w:ascii="Arial" w:hAnsi="Arial" w:cs="Arial"/>
          <w:color w:val="auto"/>
          <w:sz w:val="20"/>
          <w:szCs w:val="20"/>
        </w:rPr>
        <w:t>Fiduciárias, a respectiva Cedente</w:t>
      </w:r>
      <w:r>
        <w:rPr>
          <w:rFonts w:ascii="Arial" w:hAnsi="Arial" w:cs="Arial"/>
          <w:b/>
          <w:color w:val="auto"/>
          <w:sz w:val="20"/>
          <w:szCs w:val="20"/>
        </w:rPr>
        <w:t xml:space="preserve"> </w:t>
      </w:r>
      <w:r>
        <w:rPr>
          <w:rFonts w:ascii="Arial" w:hAnsi="Arial" w:cs="Arial"/>
          <w:color w:val="auto"/>
          <w:sz w:val="20"/>
          <w:szCs w:val="20"/>
        </w:rPr>
        <w:t>Fiduciária deverá entregar todos os documentos comprobatórios relativos exclusivamente aos Direitos</w:t>
      </w:r>
      <w:r>
        <w:rPr>
          <w:rFonts w:ascii="Arial" w:hAnsi="Arial" w:cs="Arial"/>
          <w:b/>
          <w:color w:val="auto"/>
          <w:sz w:val="20"/>
          <w:szCs w:val="20"/>
        </w:rPr>
        <w:t xml:space="preserve"> </w:t>
      </w:r>
      <w:r>
        <w:rPr>
          <w:rFonts w:ascii="Arial" w:hAnsi="Arial" w:cs="Arial"/>
          <w:color w:val="auto"/>
          <w:sz w:val="20"/>
          <w:szCs w:val="20"/>
        </w:rPr>
        <w:t>Creditórios</w:t>
      </w:r>
      <w:r>
        <w:rPr>
          <w:rFonts w:ascii="Arial" w:hAnsi="Arial" w:cs="Arial"/>
          <w:b/>
          <w:color w:val="auto"/>
          <w:sz w:val="20"/>
          <w:szCs w:val="20"/>
        </w:rPr>
        <w:t xml:space="preserve"> </w:t>
      </w:r>
      <w:r>
        <w:rPr>
          <w:rFonts w:ascii="Arial" w:hAnsi="Arial" w:cs="Arial"/>
          <w:color w:val="auto"/>
          <w:sz w:val="20"/>
          <w:szCs w:val="20"/>
        </w:rPr>
        <w:t>Cedidos</w:t>
      </w:r>
      <w:r>
        <w:rPr>
          <w:rFonts w:ascii="Arial" w:hAnsi="Arial" w:cs="Arial"/>
          <w:b/>
          <w:color w:val="auto"/>
          <w:sz w:val="20"/>
          <w:szCs w:val="20"/>
        </w:rPr>
        <w:t xml:space="preserve"> </w:t>
      </w:r>
      <w:r>
        <w:rPr>
          <w:rFonts w:ascii="Arial" w:hAnsi="Arial" w:cs="Arial"/>
          <w:color w:val="auto"/>
          <w:sz w:val="20"/>
          <w:szCs w:val="20"/>
        </w:rPr>
        <w:t>Fiduciariamente</w:t>
      </w:r>
      <w:r>
        <w:rPr>
          <w:rFonts w:ascii="Arial" w:hAnsi="Arial" w:cs="Arial"/>
          <w:b/>
          <w:color w:val="auto"/>
          <w:sz w:val="20"/>
          <w:szCs w:val="20"/>
        </w:rPr>
        <w:t xml:space="preserve"> </w:t>
      </w:r>
      <w:r>
        <w:rPr>
          <w:rFonts w:ascii="Arial" w:hAnsi="Arial" w:cs="Arial"/>
          <w:color w:val="auto"/>
          <w:sz w:val="20"/>
          <w:szCs w:val="20"/>
        </w:rPr>
        <w:t>ao Agente Fiduciário, na qualidade de representante dos Debenturistas, transferindo-lhe, em até 3 (três) Dias Úteis, a posse direta de todos os referidos documentos comprobatórios.</w:t>
      </w:r>
    </w:p>
    <w:p>
      <w:pPr>
        <w:pStyle w:val="Level2"/>
        <w:widowControl w:val="0"/>
        <w:numPr>
          <w:ilvl w:val="1"/>
          <w:numId w:val="19"/>
        </w:numPr>
        <w:autoSpaceDE w:val="0"/>
        <w:autoSpaceDN w:val="0"/>
        <w:adjustRightInd w:val="0"/>
        <w:rPr>
          <w:b/>
          <w:color w:val="auto"/>
          <w:szCs w:val="20"/>
        </w:rPr>
      </w:pPr>
      <w:r>
        <w:rPr>
          <w:color w:val="auto"/>
          <w:szCs w:val="20"/>
        </w:rPr>
        <w:t xml:space="preserve">As Cedentes Fiduciárias assumem total responsabilidade pela correta formalização e conservação dos </w:t>
      </w:r>
      <w:r>
        <w:rPr>
          <w:color w:val="auto"/>
          <w:szCs w:val="20"/>
        </w:rPr>
        <w:lastRenderedPageBreak/>
        <w:t>documentos comprobatórios dos Direitos Creditórios Cedidos Fiduciariamente, bem como pela existência, validade e plena eficácia dos referidos Direitos Creditórios Cedidos Fiduciariamente.</w:t>
      </w:r>
    </w:p>
    <w:p>
      <w:pPr>
        <w:pStyle w:val="Level1"/>
        <w:numPr>
          <w:ilvl w:val="0"/>
          <w:numId w:val="19"/>
        </w:numPr>
        <w:autoSpaceDE w:val="0"/>
        <w:autoSpaceDN w:val="0"/>
        <w:adjustRightInd w:val="0"/>
        <w:spacing w:before="0"/>
        <w:rPr>
          <w:color w:val="auto"/>
          <w:sz w:val="20"/>
          <w:szCs w:val="20"/>
        </w:rPr>
      </w:pPr>
      <w:r>
        <w:rPr>
          <w:color w:val="auto"/>
          <w:sz w:val="20"/>
          <w:szCs w:val="20"/>
        </w:rPr>
        <w:t>COMUNICAÇÕES</w:t>
      </w:r>
    </w:p>
    <w:p>
      <w:pPr>
        <w:pStyle w:val="Level2"/>
        <w:widowControl w:val="0"/>
        <w:numPr>
          <w:ilvl w:val="1"/>
          <w:numId w:val="19"/>
        </w:numPr>
        <w:autoSpaceDE w:val="0"/>
        <w:autoSpaceDN w:val="0"/>
        <w:adjustRightInd w:val="0"/>
        <w:rPr>
          <w:color w:val="auto"/>
          <w:szCs w:val="20"/>
        </w:rPr>
      </w:pPr>
      <w:r>
        <w:rPr>
          <w:color w:val="auto"/>
          <w:szCs w:val="20"/>
        </w:rPr>
        <w:t xml:space="preserve">Todas as comunicações a serem enviadas por qualquer das partes nos termos deste Contrato deverão </w:t>
      </w:r>
      <w:r>
        <w:rPr>
          <w:bCs/>
          <w:color w:val="auto"/>
          <w:szCs w:val="20"/>
        </w:rPr>
        <w:t xml:space="preserve">ser sempre realizadas por escrito e </w:t>
      </w:r>
      <w:r>
        <w:rPr>
          <w:color w:val="auto"/>
          <w:szCs w:val="20"/>
        </w:rPr>
        <w:t>ser encaminhadas para os seguintes endereços:</w:t>
      </w:r>
    </w:p>
    <w:p>
      <w:pPr>
        <w:pStyle w:val="Level2"/>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o Agente Fiduciário</w:t>
      </w:r>
      <w:r>
        <w:rPr>
          <w:color w:val="auto"/>
          <w:szCs w:val="20"/>
        </w:rPr>
        <w:t>:</w:t>
      </w:r>
    </w:p>
    <w:p>
      <w:pPr>
        <w:pStyle w:val="Level4"/>
        <w:numPr>
          <w:ilvl w:val="0"/>
          <w:numId w:val="0"/>
        </w:numPr>
        <w:ind w:left="1360"/>
        <w:rPr>
          <w:b/>
          <w:bCs/>
          <w:color w:val="auto"/>
          <w:szCs w:val="20"/>
        </w:rPr>
      </w:pPr>
      <w:r>
        <w:rPr>
          <w:b/>
          <w:bCs/>
          <w:color w:val="auto"/>
          <w:szCs w:val="20"/>
        </w:rPr>
        <w:t>SIMPLIFIC PAVARINI DISTRIBUIDORA DE TÍTULOS E VALORES MOBILIÁRIOS LTDA.</w:t>
      </w:r>
    </w:p>
    <w:p>
      <w:pPr>
        <w:pStyle w:val="Level4"/>
        <w:numPr>
          <w:ilvl w:val="0"/>
          <w:numId w:val="0"/>
        </w:numPr>
        <w:ind w:left="1360"/>
        <w:rPr>
          <w:color w:val="auto"/>
          <w:szCs w:val="20"/>
        </w:rPr>
      </w:pPr>
      <w:r>
        <w:rPr>
          <w:color w:val="auto"/>
          <w:szCs w:val="20"/>
        </w:rPr>
        <w:t>Rua Joaquim Floriano, nº 466, Bloco B, sala 1.401</w:t>
      </w:r>
    </w:p>
    <w:p>
      <w:pPr>
        <w:pStyle w:val="Level4"/>
        <w:numPr>
          <w:ilvl w:val="0"/>
          <w:numId w:val="0"/>
        </w:numPr>
        <w:ind w:left="1360"/>
        <w:rPr>
          <w:color w:val="auto"/>
          <w:szCs w:val="20"/>
        </w:rPr>
      </w:pPr>
      <w:r>
        <w:rPr>
          <w:color w:val="auto"/>
          <w:szCs w:val="20"/>
        </w:rPr>
        <w:t>CEP 04534-002, São Paulo - SP</w:t>
      </w:r>
    </w:p>
    <w:p>
      <w:pPr>
        <w:pStyle w:val="Level4"/>
        <w:numPr>
          <w:ilvl w:val="0"/>
          <w:numId w:val="0"/>
        </w:numPr>
        <w:ind w:left="1360"/>
        <w:rPr>
          <w:color w:val="auto"/>
          <w:szCs w:val="20"/>
        </w:rPr>
      </w:pPr>
      <w:proofErr w:type="gramStart"/>
      <w:r>
        <w:rPr>
          <w:color w:val="auto"/>
          <w:szCs w:val="20"/>
        </w:rPr>
        <w:t>At.:</w:t>
      </w:r>
      <w:proofErr w:type="gramEnd"/>
      <w:r>
        <w:rPr>
          <w:color w:val="auto"/>
          <w:szCs w:val="20"/>
        </w:rPr>
        <w:t xml:space="preserve"> Carlos Alberto Bacha / Matheus Gomes Faria / Rinaldo Rabello Ferreira</w:t>
      </w:r>
    </w:p>
    <w:p>
      <w:pPr>
        <w:pStyle w:val="Level4"/>
        <w:numPr>
          <w:ilvl w:val="0"/>
          <w:numId w:val="0"/>
        </w:numPr>
        <w:ind w:left="1360"/>
        <w:rPr>
          <w:color w:val="auto"/>
          <w:szCs w:val="20"/>
        </w:rPr>
      </w:pPr>
      <w:r>
        <w:rPr>
          <w:color w:val="auto"/>
          <w:szCs w:val="20"/>
        </w:rPr>
        <w:t>Telefone: (11) 3090-0447</w:t>
      </w:r>
    </w:p>
    <w:p>
      <w:pPr>
        <w:pStyle w:val="Level4"/>
        <w:numPr>
          <w:ilvl w:val="0"/>
          <w:numId w:val="0"/>
        </w:numPr>
        <w:ind w:left="1360"/>
        <w:rPr>
          <w:color w:val="auto"/>
          <w:szCs w:val="20"/>
        </w:rPr>
      </w:pPr>
      <w:r>
        <w:rPr>
          <w:color w:val="auto"/>
          <w:szCs w:val="20"/>
        </w:rPr>
        <w:t>E-mail: spestruturacao@simplificpavarini.com.br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 xml:space="preserve">Para a </w:t>
      </w:r>
      <w:proofErr w:type="spellStart"/>
      <w:r>
        <w:rPr>
          <w:color w:val="auto"/>
          <w:szCs w:val="20"/>
          <w:u w:val="single"/>
        </w:rPr>
        <w:t>Eletromidia</w:t>
      </w:r>
      <w:proofErr w:type="spellEnd"/>
      <w:r>
        <w:rPr>
          <w:color w:val="auto"/>
          <w:szCs w:val="20"/>
        </w:rPr>
        <w:t>:</w:t>
      </w:r>
    </w:p>
    <w:p>
      <w:pPr>
        <w:pStyle w:val="Level4"/>
        <w:numPr>
          <w:ilvl w:val="0"/>
          <w:numId w:val="0"/>
        </w:numPr>
        <w:ind w:left="1360"/>
        <w:rPr>
          <w:color w:val="auto"/>
          <w:szCs w:val="20"/>
        </w:rPr>
      </w:pPr>
      <w:r>
        <w:rPr>
          <w:b/>
          <w:color w:val="auto"/>
          <w:szCs w:val="20"/>
        </w:rPr>
        <w:t>ELETROMIDIA S.A.</w:t>
      </w:r>
    </w:p>
    <w:p>
      <w:pPr>
        <w:pStyle w:val="Level4"/>
        <w:numPr>
          <w:ilvl w:val="0"/>
          <w:numId w:val="0"/>
        </w:numPr>
        <w:ind w:left="1360"/>
        <w:rPr>
          <w:color w:val="auto"/>
          <w:szCs w:val="20"/>
        </w:rPr>
      </w:pPr>
      <w:r>
        <w:rPr>
          <w:color w:val="auto"/>
          <w:szCs w:val="20"/>
        </w:rPr>
        <w:t>Rua Leopoldo Couto de Magalhães Júnior, nº 758, 7º andar</w:t>
      </w:r>
    </w:p>
    <w:p>
      <w:pPr>
        <w:pStyle w:val="Level4"/>
        <w:numPr>
          <w:ilvl w:val="0"/>
          <w:numId w:val="0"/>
        </w:numPr>
        <w:ind w:left="1360"/>
        <w:rPr>
          <w:color w:val="auto"/>
          <w:szCs w:val="20"/>
        </w:rPr>
      </w:pPr>
      <w:r>
        <w:rPr>
          <w:color w:val="auto"/>
          <w:szCs w:val="20"/>
        </w:rPr>
        <w:t>CEP 04.542-000, São Paulo - SP</w:t>
      </w:r>
    </w:p>
    <w:p>
      <w:pPr>
        <w:pStyle w:val="Level4"/>
        <w:numPr>
          <w:ilvl w:val="0"/>
          <w:numId w:val="0"/>
        </w:numPr>
        <w:ind w:left="1360"/>
        <w:rPr>
          <w:color w:val="auto"/>
          <w:szCs w:val="20"/>
        </w:rPr>
      </w:pPr>
      <w:proofErr w:type="gramStart"/>
      <w:r>
        <w:rPr>
          <w:color w:val="auto"/>
          <w:szCs w:val="20"/>
        </w:rPr>
        <w:t>At.:</w:t>
      </w:r>
      <w:proofErr w:type="gramEnd"/>
      <w:r>
        <w:rPr>
          <w:color w:val="auto"/>
          <w:szCs w:val="20"/>
        </w:rPr>
        <w:t xml:space="preserve"> Marina Pereira Melemendjian </w:t>
      </w:r>
    </w:p>
    <w:p>
      <w:pPr>
        <w:pStyle w:val="Level4"/>
        <w:numPr>
          <w:ilvl w:val="0"/>
          <w:numId w:val="0"/>
        </w:numPr>
        <w:ind w:left="1360"/>
        <w:rPr>
          <w:color w:val="auto"/>
          <w:szCs w:val="20"/>
        </w:rPr>
      </w:pPr>
      <w:r>
        <w:rPr>
          <w:color w:val="auto"/>
          <w:szCs w:val="20"/>
        </w:rPr>
        <w:t>Tel.: (11) 3065-7522</w:t>
      </w:r>
    </w:p>
    <w:p>
      <w:pPr>
        <w:pStyle w:val="Level4"/>
        <w:numPr>
          <w:ilvl w:val="0"/>
          <w:numId w:val="0"/>
        </w:numPr>
        <w:ind w:left="1360"/>
        <w:rPr>
          <w:color w:val="auto"/>
          <w:szCs w:val="20"/>
        </w:rPr>
      </w:pPr>
      <w:r>
        <w:rPr>
          <w:color w:val="auto"/>
          <w:szCs w:val="20"/>
        </w:rPr>
        <w:t>E-mail: marina.melemendjian@eletromidia.com.br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TV Minuto</w:t>
      </w:r>
      <w:r>
        <w:rPr>
          <w:color w:val="auto"/>
          <w:szCs w:val="20"/>
        </w:rPr>
        <w:t>:</w:t>
      </w:r>
    </w:p>
    <w:p>
      <w:pPr>
        <w:pStyle w:val="Level4"/>
        <w:numPr>
          <w:ilvl w:val="0"/>
          <w:numId w:val="0"/>
        </w:numPr>
        <w:ind w:left="1360"/>
        <w:rPr>
          <w:b/>
          <w:color w:val="auto"/>
          <w:szCs w:val="20"/>
          <w:u w:val="single"/>
        </w:rPr>
      </w:pPr>
      <w:r>
        <w:rPr>
          <w:b/>
          <w:bCs/>
          <w:color w:val="auto"/>
          <w:szCs w:val="20"/>
        </w:rPr>
        <w:t>TV MINUTO S.A.</w:t>
      </w:r>
      <w:r>
        <w:rPr>
          <w:b/>
          <w:color w:val="auto"/>
          <w:szCs w:val="20"/>
        </w:rPr>
        <w:t xml:space="preserve"> </w:t>
      </w:r>
    </w:p>
    <w:p>
      <w:pPr>
        <w:pStyle w:val="Level4"/>
        <w:numPr>
          <w:ilvl w:val="0"/>
          <w:numId w:val="0"/>
        </w:numPr>
        <w:ind w:left="1360"/>
        <w:rPr>
          <w:color w:val="auto"/>
          <w:szCs w:val="20"/>
        </w:rPr>
      </w:pPr>
      <w:r>
        <w:rPr>
          <w:color w:val="auto"/>
          <w:szCs w:val="20"/>
        </w:rPr>
        <w:t>Rua Leopoldo Couto de Magalhães Júnior, nº 758, 7º andar</w:t>
      </w:r>
    </w:p>
    <w:p>
      <w:pPr>
        <w:pStyle w:val="Level4"/>
        <w:numPr>
          <w:ilvl w:val="0"/>
          <w:numId w:val="0"/>
        </w:numPr>
        <w:ind w:left="1360"/>
        <w:rPr>
          <w:color w:val="auto"/>
          <w:szCs w:val="20"/>
        </w:rPr>
      </w:pPr>
      <w:r>
        <w:rPr>
          <w:color w:val="auto"/>
          <w:szCs w:val="20"/>
        </w:rPr>
        <w:t>CEP 04542-000, São Paulo – SP</w:t>
      </w:r>
    </w:p>
    <w:p>
      <w:pPr>
        <w:pStyle w:val="Level4"/>
        <w:numPr>
          <w:ilvl w:val="0"/>
          <w:numId w:val="0"/>
        </w:numPr>
        <w:ind w:left="1360"/>
        <w:rPr>
          <w:bCs/>
          <w:color w:val="auto"/>
          <w:szCs w:val="20"/>
          <w:u w:val="single"/>
        </w:rPr>
      </w:pPr>
      <w:proofErr w:type="gramStart"/>
      <w:r>
        <w:rPr>
          <w:bCs/>
          <w:color w:val="auto"/>
          <w:szCs w:val="20"/>
        </w:rPr>
        <w:t>At.:</w:t>
      </w:r>
      <w:proofErr w:type="gramEnd"/>
      <w:r>
        <w:rPr>
          <w:bCs/>
          <w:color w:val="auto"/>
          <w:szCs w:val="20"/>
        </w:rPr>
        <w:t xml:space="preserve"> Marina Pereira Melemendjian</w:t>
      </w:r>
    </w:p>
    <w:p>
      <w:pPr>
        <w:pStyle w:val="Level4"/>
        <w:numPr>
          <w:ilvl w:val="0"/>
          <w:numId w:val="0"/>
        </w:numPr>
        <w:ind w:left="1360"/>
        <w:rPr>
          <w:color w:val="auto"/>
          <w:szCs w:val="20"/>
        </w:rPr>
      </w:pPr>
      <w:r>
        <w:rPr>
          <w:color w:val="auto"/>
          <w:szCs w:val="20"/>
        </w:rPr>
        <w:t>Tel.: (11) 3065-7522</w:t>
      </w:r>
    </w:p>
    <w:p>
      <w:pPr>
        <w:pStyle w:val="Level1"/>
        <w:keepNext w:val="0"/>
        <w:widowControl w:val="0"/>
        <w:numPr>
          <w:ilvl w:val="0"/>
          <w:numId w:val="0"/>
        </w:numPr>
        <w:spacing w:before="0"/>
        <w:ind w:left="1360"/>
        <w:jc w:val="left"/>
        <w:rPr>
          <w:rStyle w:val="Hyperlink"/>
          <w:rFonts w:ascii="Arial" w:hAnsi="Arial" w:cs="Arial"/>
          <w:b w:val="0"/>
          <w:color w:val="auto"/>
        </w:rPr>
      </w:pPr>
      <w:r>
        <w:rPr>
          <w:color w:val="auto"/>
          <w:sz w:val="20"/>
          <w:szCs w:val="20"/>
        </w:rPr>
        <w:t>E-mail: marina.melemendjian@eletromidia.com.br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 xml:space="preserve">Para a </w:t>
      </w:r>
      <w:proofErr w:type="spellStart"/>
      <w:r>
        <w:rPr>
          <w:color w:val="auto"/>
          <w:szCs w:val="20"/>
          <w:u w:val="single"/>
        </w:rPr>
        <w:t>Elemídia</w:t>
      </w:r>
      <w:proofErr w:type="spellEnd"/>
      <w:r>
        <w:rPr>
          <w:color w:val="auto"/>
          <w:szCs w:val="20"/>
        </w:rPr>
        <w:t>:</w:t>
      </w:r>
    </w:p>
    <w:p>
      <w:pPr>
        <w:pStyle w:val="Level4"/>
        <w:numPr>
          <w:ilvl w:val="0"/>
          <w:numId w:val="0"/>
        </w:numPr>
        <w:ind w:left="1360"/>
        <w:rPr>
          <w:b/>
          <w:bCs/>
          <w:color w:val="auto"/>
          <w:szCs w:val="20"/>
        </w:rPr>
      </w:pPr>
      <w:r>
        <w:rPr>
          <w:b/>
          <w:bCs/>
          <w:color w:val="auto"/>
          <w:szCs w:val="20"/>
        </w:rPr>
        <w:t>ELEMÍDIA CONSULTORIA E SERVIÇOS DE MARKETING S.A</w:t>
      </w:r>
    </w:p>
    <w:p>
      <w:pPr>
        <w:pStyle w:val="Level4"/>
        <w:numPr>
          <w:ilvl w:val="0"/>
          <w:numId w:val="0"/>
        </w:numPr>
        <w:ind w:left="1360"/>
        <w:rPr>
          <w:color w:val="auto"/>
          <w:szCs w:val="20"/>
        </w:rPr>
      </w:pPr>
      <w:r>
        <w:rPr>
          <w:color w:val="auto"/>
          <w:szCs w:val="20"/>
        </w:rPr>
        <w:t xml:space="preserve">Avenida Brigadeiro Faria Lima, 4300, 7º Andar </w:t>
      </w:r>
    </w:p>
    <w:p>
      <w:pPr>
        <w:pStyle w:val="Level4"/>
        <w:numPr>
          <w:ilvl w:val="0"/>
          <w:numId w:val="0"/>
        </w:numPr>
        <w:ind w:left="1360"/>
        <w:rPr>
          <w:color w:val="auto"/>
          <w:szCs w:val="20"/>
        </w:rPr>
      </w:pPr>
      <w:r>
        <w:rPr>
          <w:color w:val="auto"/>
          <w:szCs w:val="20"/>
        </w:rPr>
        <w:lastRenderedPageBreak/>
        <w:t>CEP 04.538-132, São Paulo - SP</w:t>
      </w:r>
    </w:p>
    <w:p>
      <w:pPr>
        <w:pStyle w:val="Level4"/>
        <w:numPr>
          <w:ilvl w:val="0"/>
          <w:numId w:val="0"/>
        </w:numPr>
        <w:ind w:left="1360"/>
        <w:rPr>
          <w:bCs/>
          <w:color w:val="auto"/>
          <w:szCs w:val="20"/>
          <w:lang w:val="en-US"/>
        </w:rPr>
      </w:pPr>
      <w:r>
        <w:rPr>
          <w:bCs/>
          <w:color w:val="auto"/>
          <w:szCs w:val="20"/>
          <w:lang w:val="en-US"/>
        </w:rPr>
        <w:t xml:space="preserve">At.: Ricardo Winandy </w:t>
      </w:r>
    </w:p>
    <w:p>
      <w:pPr>
        <w:pStyle w:val="Level4"/>
        <w:numPr>
          <w:ilvl w:val="0"/>
          <w:numId w:val="0"/>
        </w:numPr>
        <w:ind w:left="1360"/>
        <w:rPr>
          <w:bCs/>
          <w:color w:val="auto"/>
          <w:szCs w:val="20"/>
          <w:u w:val="single"/>
        </w:rPr>
      </w:pPr>
      <w:r>
        <w:rPr>
          <w:bCs/>
          <w:color w:val="auto"/>
          <w:szCs w:val="20"/>
        </w:rPr>
        <w:t>Tel.: (11) 4935-0000</w:t>
      </w:r>
    </w:p>
    <w:p>
      <w:pPr>
        <w:pStyle w:val="Level4"/>
        <w:numPr>
          <w:ilvl w:val="0"/>
          <w:numId w:val="0"/>
        </w:numPr>
        <w:ind w:left="1360"/>
        <w:rPr>
          <w:rStyle w:val="Hyperlink"/>
          <w:rFonts w:ascii="Arial" w:hAnsi="Arial" w:cs="Arial"/>
          <w:bCs/>
          <w:color w:val="auto"/>
        </w:rPr>
      </w:pPr>
      <w:r>
        <w:rPr>
          <w:bCs/>
          <w:color w:val="auto"/>
          <w:szCs w:val="20"/>
        </w:rPr>
        <w:t xml:space="preserve">E-mail: </w:t>
      </w:r>
      <w:r>
        <w:rPr>
          <w:rStyle w:val="Hyperlink"/>
          <w:rFonts w:ascii="Arial" w:hAnsi="Arial" w:cs="Arial"/>
          <w:bCs/>
          <w:color w:val="auto"/>
        </w:rPr>
        <w:t>ricardo.winandy@elemidia.com.br</w:t>
      </w:r>
    </w:p>
    <w:p>
      <w:pPr>
        <w:pStyle w:val="Level4"/>
        <w:numPr>
          <w:ilvl w:val="0"/>
          <w:numId w:val="0"/>
        </w:numPr>
        <w:rPr>
          <w:rStyle w:val="Hyperlink"/>
          <w:rFonts w:ascii="Arial" w:hAnsi="Arial" w:cs="Arial"/>
          <w:b/>
          <w:bCs/>
          <w:color w:val="auto"/>
        </w:rPr>
      </w:pPr>
    </w:p>
    <w:p>
      <w:pPr>
        <w:pStyle w:val="Level2"/>
        <w:widowControl w:val="0"/>
        <w:numPr>
          <w:ilvl w:val="1"/>
          <w:numId w:val="19"/>
        </w:numPr>
        <w:autoSpaceDE w:val="0"/>
        <w:autoSpaceDN w:val="0"/>
        <w:adjustRightInd w:val="0"/>
        <w:rPr>
          <w:color w:val="auto"/>
          <w:szCs w:val="20"/>
        </w:rPr>
      </w:pPr>
      <w:bookmarkStart w:id="141" w:name="_DV_M133"/>
      <w:bookmarkEnd w:id="141"/>
      <w:r>
        <w:rPr>
          <w:color w:val="auto"/>
          <w:szCs w:val="20"/>
        </w:rP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pPr>
        <w:pStyle w:val="Level2"/>
        <w:widowControl w:val="0"/>
        <w:numPr>
          <w:ilvl w:val="1"/>
          <w:numId w:val="19"/>
        </w:numPr>
        <w:autoSpaceDE w:val="0"/>
        <w:autoSpaceDN w:val="0"/>
        <w:adjustRightInd w:val="0"/>
        <w:rPr>
          <w:color w:val="auto"/>
          <w:szCs w:val="20"/>
        </w:rPr>
      </w:pPr>
      <w:bookmarkStart w:id="142" w:name="_Ref440279089"/>
      <w:r>
        <w:rPr>
          <w:color w:val="auto"/>
          <w:szCs w:val="20"/>
        </w:rPr>
        <w:t>A mudança de qualquer dos endereços acima deverá ser comunicada imediatamente pela parte que tiver seu endereço alterado.</w:t>
      </w:r>
      <w:bookmarkEnd w:id="142"/>
    </w:p>
    <w:p>
      <w:pPr>
        <w:pStyle w:val="Level2"/>
        <w:widowControl w:val="0"/>
        <w:numPr>
          <w:ilvl w:val="1"/>
          <w:numId w:val="19"/>
        </w:numPr>
        <w:autoSpaceDE w:val="0"/>
        <w:autoSpaceDN w:val="0"/>
        <w:adjustRightInd w:val="0"/>
        <w:rPr>
          <w:vanish/>
          <w:color w:val="auto"/>
          <w:szCs w:val="20"/>
        </w:rPr>
      </w:pPr>
      <w:r>
        <w:rPr>
          <w:color w:val="auto"/>
          <w:szCs w:val="20"/>
        </w:rPr>
        <w:t xml:space="preserve">Eventuais prejuízos decorrentes da não observância do disposto na Cláusula </w:t>
      </w:r>
      <w:r>
        <w:rPr>
          <w:color w:val="auto"/>
          <w:szCs w:val="20"/>
        </w:rPr>
        <w:fldChar w:fldCharType="begin"/>
      </w:r>
      <w:r>
        <w:rPr>
          <w:color w:val="auto"/>
          <w:szCs w:val="20"/>
        </w:rPr>
        <w:instrText xml:space="preserve"> REF _Ref440279089 \r \h  \* MERGEFORMAT </w:instrText>
      </w:r>
      <w:r>
        <w:rPr>
          <w:color w:val="auto"/>
          <w:szCs w:val="20"/>
        </w:rPr>
      </w:r>
      <w:r>
        <w:rPr>
          <w:color w:val="auto"/>
          <w:szCs w:val="20"/>
        </w:rPr>
        <w:fldChar w:fldCharType="separate"/>
      </w:r>
      <w:r>
        <w:rPr>
          <w:color w:val="auto"/>
          <w:szCs w:val="20"/>
        </w:rPr>
        <w:t>4.3</w:t>
      </w:r>
      <w:r>
        <w:rPr>
          <w:color w:val="auto"/>
          <w:szCs w:val="20"/>
        </w:rPr>
        <w:fldChar w:fldCharType="end"/>
      </w:r>
      <w:r>
        <w:rPr>
          <w:color w:val="auto"/>
          <w:szCs w:val="20"/>
        </w:rPr>
        <w:t xml:space="preserve"> acima serão arcados pela Parte inadimplente.</w:t>
      </w:r>
    </w:p>
    <w:p>
      <w:pPr>
        <w:pStyle w:val="Level1"/>
        <w:numPr>
          <w:ilvl w:val="0"/>
          <w:numId w:val="19"/>
        </w:numPr>
        <w:autoSpaceDE w:val="0"/>
        <w:autoSpaceDN w:val="0"/>
        <w:adjustRightInd w:val="0"/>
        <w:spacing w:before="0"/>
        <w:rPr>
          <w:vanish/>
          <w:color w:val="auto"/>
          <w:sz w:val="20"/>
          <w:szCs w:val="20"/>
        </w:rPr>
      </w:pPr>
      <w:bookmarkStart w:id="143" w:name="_DV_M91"/>
      <w:bookmarkStart w:id="144" w:name="_DV_M92"/>
      <w:bookmarkEnd w:id="143"/>
      <w:bookmarkEnd w:id="144"/>
      <w:r>
        <w:rPr>
          <w:color w:val="auto"/>
          <w:sz w:val="20"/>
          <w:szCs w:val="20"/>
        </w:rPr>
        <w:t xml:space="preserve"> </w:t>
      </w:r>
    </w:p>
    <w:p>
      <w:pPr>
        <w:pStyle w:val="Level2"/>
        <w:widowControl w:val="0"/>
        <w:numPr>
          <w:ilvl w:val="1"/>
          <w:numId w:val="19"/>
        </w:numPr>
        <w:autoSpaceDE w:val="0"/>
        <w:autoSpaceDN w:val="0"/>
        <w:adjustRightInd w:val="0"/>
        <w:rPr>
          <w:color w:val="auto"/>
          <w:szCs w:val="20"/>
        </w:rPr>
      </w:pPr>
      <w:r>
        <w:rPr>
          <w:color w:val="auto"/>
          <w:szCs w:val="20"/>
        </w:rPr>
        <w:t>O presente Contrato é celebrado em caráter irrevogável e irretratável, obrigando as Partes, bem como seus e sucessores a qualquer título.</w:t>
      </w:r>
    </w:p>
    <w:p>
      <w:pPr>
        <w:pStyle w:val="Level2"/>
        <w:widowControl w:val="0"/>
        <w:numPr>
          <w:ilvl w:val="1"/>
          <w:numId w:val="19"/>
        </w:numPr>
        <w:autoSpaceDE w:val="0"/>
        <w:autoSpaceDN w:val="0"/>
        <w:adjustRightInd w:val="0"/>
        <w:rPr>
          <w:color w:val="auto"/>
          <w:szCs w:val="20"/>
        </w:rPr>
      </w:pPr>
      <w:bookmarkStart w:id="145" w:name="_DV_M93"/>
      <w:bookmarkEnd w:id="145"/>
      <w:r>
        <w:rPr>
          <w:color w:val="auto"/>
          <w:szCs w:val="20"/>
        </w:rPr>
        <w:t xml:space="preserve">A abstenção do exercício de qualquer direito ou faculdade assegurada por este </w:t>
      </w:r>
      <w:r>
        <w:rPr>
          <w:rStyle w:val="DeltaViewDeletion"/>
          <w:strike w:val="0"/>
          <w:color w:val="auto"/>
          <w:szCs w:val="20"/>
        </w:rPr>
        <w:t>Contrato</w:t>
      </w:r>
      <w:r>
        <w:rPr>
          <w:color w:val="auto"/>
          <w:szCs w:val="20"/>
        </w:rPr>
        <w:t>, nas Obrigações Garantidas ou pela lei às Partes, bem como eventual tolerância para com eventuais atrasos no cumprimento de quaisquer das obrigações assumidas no presente ou nas Obrigações</w:t>
      </w:r>
      <w:r>
        <w:rPr>
          <w:b/>
          <w:color w:val="auto"/>
          <w:szCs w:val="20"/>
        </w:rPr>
        <w:t xml:space="preserve"> </w:t>
      </w:r>
      <w:r>
        <w:rPr>
          <w:color w:val="auto"/>
          <w:szCs w:val="20"/>
        </w:rPr>
        <w:t xml:space="preserve">Garantidas não significarão novação ou revogação de qualquer Cláusula deste </w:t>
      </w:r>
      <w:r>
        <w:rPr>
          <w:rStyle w:val="DeltaViewDeletion"/>
          <w:strike w:val="0"/>
          <w:color w:val="auto"/>
          <w:szCs w:val="20"/>
        </w:rPr>
        <w:t>Contrato</w:t>
      </w:r>
      <w:r>
        <w:rPr>
          <w:color w:val="auto"/>
          <w:szCs w:val="20"/>
        </w:rPr>
        <w:t>.</w:t>
      </w:r>
    </w:p>
    <w:p>
      <w:pPr>
        <w:pStyle w:val="Level2"/>
        <w:widowControl w:val="0"/>
        <w:numPr>
          <w:ilvl w:val="1"/>
          <w:numId w:val="19"/>
        </w:numPr>
        <w:autoSpaceDE w:val="0"/>
        <w:autoSpaceDN w:val="0"/>
        <w:adjustRightInd w:val="0"/>
        <w:rPr>
          <w:color w:val="auto"/>
          <w:szCs w:val="20"/>
        </w:rPr>
      </w:pPr>
      <w:bookmarkStart w:id="146" w:name="_DV_M94"/>
      <w:bookmarkEnd w:id="146"/>
      <w:r>
        <w:rPr>
          <w:color w:val="auto"/>
          <w:szCs w:val="20"/>
        </w:rPr>
        <w:t xml:space="preserve">Se qualquer item ou Cláusula deste </w:t>
      </w:r>
      <w:r>
        <w:rPr>
          <w:rStyle w:val="DeltaViewDeletion"/>
          <w:strike w:val="0"/>
          <w:color w:val="auto"/>
          <w:szCs w:val="20"/>
        </w:rPr>
        <w:t>Contrato</w:t>
      </w:r>
      <w:r>
        <w:rPr>
          <w:color w:val="auto"/>
          <w:szCs w:val="20"/>
        </w:rPr>
        <w:t xml:space="preserve"> vier a ser considerado ilegal, inexequível ou, por qualquer motivo, ineficaz, todos os demais itens e Cláusulas permanecerão plenamente válidos e eficazes.</w:t>
      </w:r>
    </w:p>
    <w:p>
      <w:pPr>
        <w:pStyle w:val="Level2"/>
        <w:widowControl w:val="0"/>
        <w:numPr>
          <w:ilvl w:val="1"/>
          <w:numId w:val="19"/>
        </w:numPr>
        <w:autoSpaceDE w:val="0"/>
        <w:autoSpaceDN w:val="0"/>
        <w:adjustRightInd w:val="0"/>
        <w:rPr>
          <w:color w:val="auto"/>
          <w:szCs w:val="20"/>
        </w:rPr>
      </w:pPr>
      <w:bookmarkStart w:id="147" w:name="_DV_M95"/>
      <w:bookmarkEnd w:id="147"/>
      <w:r>
        <w:rPr>
          <w:color w:val="auto"/>
          <w:szCs w:val="20"/>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szCs w:val="20"/>
        </w:rPr>
        <w:t>Contrato</w:t>
      </w:r>
      <w:r>
        <w:rPr>
          <w:color w:val="auto"/>
          <w:szCs w:val="20"/>
        </w:rPr>
        <w:t>, sem prejuízo de outras formas de comunicação convencionadas entre as Partes.</w:t>
      </w:r>
      <w:bookmarkStart w:id="148" w:name="OLE_LINK1"/>
      <w:bookmarkEnd w:id="34"/>
      <w:bookmarkEnd w:id="148"/>
    </w:p>
    <w:p>
      <w:pPr>
        <w:pStyle w:val="Level2"/>
        <w:widowControl w:val="0"/>
        <w:numPr>
          <w:ilvl w:val="1"/>
          <w:numId w:val="19"/>
        </w:numPr>
        <w:autoSpaceDE w:val="0"/>
        <w:autoSpaceDN w:val="0"/>
        <w:adjustRightInd w:val="0"/>
        <w:rPr>
          <w:color w:val="auto"/>
          <w:szCs w:val="20"/>
        </w:rPr>
      </w:pPr>
      <w:bookmarkStart w:id="149" w:name="_DV_M96"/>
      <w:bookmarkEnd w:id="149"/>
      <w:r>
        <w:rPr>
          <w:color w:val="auto"/>
          <w:szCs w:val="20"/>
        </w:rPr>
        <w:t>Fica assegurado ao Agente Fiduciário o amplo direito de verificar a integridade dos Direitos</w:t>
      </w:r>
      <w:r>
        <w:rPr>
          <w:b/>
          <w:color w:val="auto"/>
          <w:szCs w:val="20"/>
        </w:rPr>
        <w:t xml:space="preserve"> </w:t>
      </w:r>
      <w:r>
        <w:rPr>
          <w:color w:val="auto"/>
          <w:szCs w:val="20"/>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szCs w:val="20"/>
        </w:rPr>
        <w:t>Contrato</w:t>
      </w:r>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150" w:name="_DV_M97"/>
      <w:bookmarkEnd w:id="150"/>
      <w:r>
        <w:rPr>
          <w:color w:val="auto"/>
          <w:szCs w:val="20"/>
        </w:rPr>
        <w:t>As Partes concordam que:</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51" w:name="_DV_M98"/>
      <w:bookmarkEnd w:id="151"/>
      <w:proofErr w:type="gramStart"/>
      <w:r>
        <w:rPr>
          <w:color w:val="auto"/>
          <w:szCs w:val="20"/>
        </w:rPr>
        <w:t>qualquer</w:t>
      </w:r>
      <w:proofErr w:type="gramEnd"/>
      <w:r>
        <w:rPr>
          <w:color w:val="auto"/>
          <w:szCs w:val="20"/>
        </w:rPr>
        <w:t xml:space="preserve"> alteração a este </w:t>
      </w:r>
      <w:r>
        <w:rPr>
          <w:rStyle w:val="DeltaViewDeletion"/>
          <w:strike w:val="0"/>
          <w:color w:val="auto"/>
          <w:szCs w:val="20"/>
        </w:rPr>
        <w:t>Contrato</w:t>
      </w:r>
      <w:r>
        <w:rPr>
          <w:color w:val="auto"/>
          <w:szCs w:val="20"/>
        </w:rPr>
        <w:t xml:space="preserve"> somente poderá ser feita mediante instrumento escrito assinado por ambas as Partes, ressalvado o quanto mais acordado nesta Cláusula;</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52" w:name="_DV_M99"/>
      <w:bookmarkEnd w:id="152"/>
      <w:proofErr w:type="gramStart"/>
      <w:r>
        <w:rPr>
          <w:color w:val="auto"/>
          <w:szCs w:val="20"/>
        </w:rPr>
        <w:t>as</w:t>
      </w:r>
      <w:proofErr w:type="gramEnd"/>
      <w:r>
        <w:rPr>
          <w:color w:val="auto"/>
          <w:szCs w:val="20"/>
        </w:rPr>
        <w:t xml:space="preserve"> alterações ao </w:t>
      </w:r>
      <w:r>
        <w:rPr>
          <w:b/>
          <w:color w:val="auto"/>
          <w:szCs w:val="20"/>
        </w:rPr>
        <w:t>Anexo I</w:t>
      </w:r>
      <w:r>
        <w:rPr>
          <w:color w:val="auto"/>
          <w:szCs w:val="20"/>
        </w:rPr>
        <w:t xml:space="preserve">, o que inclui alterações na qualificação das Obrigações Garantidas, a inserção de nova obrigação a ser garantida, ou a exclusão de qualquer das obrigações listados no </w:t>
      </w:r>
      <w:r>
        <w:rPr>
          <w:b/>
          <w:color w:val="auto"/>
          <w:szCs w:val="20"/>
        </w:rPr>
        <w:t>Anexo I</w:t>
      </w:r>
      <w:r>
        <w:rPr>
          <w:color w:val="auto"/>
          <w:szCs w:val="20"/>
        </w:rPr>
        <w:t xml:space="preserve">, poderão ser feitas mediante termo complementar ao </w:t>
      </w:r>
      <w:r>
        <w:rPr>
          <w:b/>
          <w:color w:val="auto"/>
          <w:szCs w:val="20"/>
        </w:rPr>
        <w:t>Anexo I</w:t>
      </w:r>
      <w:r>
        <w:rPr>
          <w:color w:val="auto"/>
          <w:szCs w:val="20"/>
        </w:rPr>
        <w:t xml:space="preserve">, ou substituição do </w:t>
      </w:r>
      <w:r>
        <w:rPr>
          <w:b/>
          <w:color w:val="auto"/>
          <w:szCs w:val="20"/>
        </w:rPr>
        <w:t>Anexo I</w:t>
      </w:r>
      <w:r>
        <w:rPr>
          <w:color w:val="auto"/>
          <w:szCs w:val="20"/>
        </w:rPr>
        <w:t xml:space="preserve"> por outro;</w:t>
      </w:r>
    </w:p>
    <w:p>
      <w:pPr>
        <w:pStyle w:val="Level4"/>
        <w:numPr>
          <w:ilvl w:val="3"/>
          <w:numId w:val="26"/>
        </w:numPr>
        <w:tabs>
          <w:tab w:val="clear" w:pos="2041"/>
          <w:tab w:val="num" w:pos="1418"/>
        </w:tabs>
        <w:autoSpaceDE w:val="0"/>
        <w:autoSpaceDN w:val="0"/>
        <w:adjustRightInd w:val="0"/>
        <w:ind w:left="1418" w:hanging="709"/>
        <w:rPr>
          <w:b/>
          <w:color w:val="auto"/>
          <w:szCs w:val="20"/>
        </w:rPr>
      </w:pPr>
      <w:bookmarkStart w:id="153" w:name="_DV_M100"/>
      <w:bookmarkStart w:id="154" w:name="_DV_M101"/>
      <w:bookmarkEnd w:id="153"/>
      <w:bookmarkEnd w:id="154"/>
      <w:proofErr w:type="gramStart"/>
      <w:r>
        <w:rPr>
          <w:color w:val="auto"/>
          <w:szCs w:val="20"/>
        </w:rPr>
        <w:t>o</w:t>
      </w:r>
      <w:proofErr w:type="gramEnd"/>
      <w:r>
        <w:rPr>
          <w:color w:val="auto"/>
          <w:szCs w:val="20"/>
        </w:rPr>
        <w:t xml:space="preserve"> presente Contrato somente poderá ser alterado por acordo escrito, devidamente assinado pelas partes identificadas no preâmbulo deste Contrato. </w:t>
      </w:r>
    </w:p>
    <w:p>
      <w:pPr>
        <w:pStyle w:val="Level2"/>
        <w:widowControl w:val="0"/>
        <w:numPr>
          <w:ilvl w:val="1"/>
          <w:numId w:val="19"/>
        </w:numPr>
        <w:autoSpaceDE w:val="0"/>
        <w:autoSpaceDN w:val="0"/>
        <w:adjustRightInd w:val="0"/>
        <w:rPr>
          <w:color w:val="auto"/>
          <w:szCs w:val="20"/>
        </w:rPr>
      </w:pPr>
      <w:r>
        <w:rPr>
          <w:color w:val="auto"/>
          <w:szCs w:val="20"/>
        </w:rPr>
        <w:t>As Cedentes Fiduciárias</w:t>
      </w:r>
      <w:r>
        <w:rPr>
          <w:b/>
          <w:color w:val="auto"/>
          <w:szCs w:val="20"/>
        </w:rPr>
        <w:t xml:space="preserve"> </w:t>
      </w:r>
      <w:r>
        <w:rPr>
          <w:color w:val="auto"/>
          <w:szCs w:val="20"/>
        </w:rPr>
        <w:t xml:space="preserve">obrigam-se a cumprir e fazer com que seus administradores (antigos ou novos) </w:t>
      </w:r>
      <w:r>
        <w:rPr>
          <w:color w:val="auto"/>
          <w:szCs w:val="20"/>
        </w:rPr>
        <w:lastRenderedPageBreak/>
        <w:t>e funcionários (antigos ou novos) agindo em seu nome (“</w:t>
      </w:r>
      <w:r>
        <w:rPr>
          <w:b/>
          <w:color w:val="auto"/>
          <w:szCs w:val="20"/>
        </w:rPr>
        <w:t>Representantes</w:t>
      </w:r>
      <w:r>
        <w:rPr>
          <w:color w:val="auto"/>
          <w:szCs w:val="20"/>
        </w:rPr>
        <w:t xml:space="preserve">”) bem como suas Controladas ou Coligadas cumpram, </w:t>
      </w:r>
      <w:r>
        <w:rPr>
          <w:rFonts w:eastAsia="Arial Unicode MS"/>
          <w:color w:val="auto"/>
          <w:w w:val="0"/>
          <w:szCs w:val="20"/>
        </w:rPr>
        <w:t>envidando esforços para o cumprimento por suas Controladoras,</w:t>
      </w:r>
      <w:r>
        <w:rPr>
          <w:color w:val="auto"/>
          <w:szCs w:val="20"/>
        </w:rPr>
        <w:t xml:space="preserve"> a Lei nº 12.846, de 1º de agosto de 2013, conforme alterada, o Decreto nº 8.420, de 18 de março de 2015 e, desde que aplicável, a </w:t>
      </w:r>
      <w:r>
        <w:rPr>
          <w:i/>
          <w:color w:val="auto"/>
          <w:szCs w:val="20"/>
        </w:rPr>
        <w:t xml:space="preserve">U.S. </w:t>
      </w:r>
      <w:proofErr w:type="spellStart"/>
      <w:r>
        <w:rPr>
          <w:i/>
          <w:color w:val="auto"/>
          <w:szCs w:val="20"/>
        </w:rPr>
        <w:t>Foreign</w:t>
      </w:r>
      <w:proofErr w:type="spellEnd"/>
      <w:r>
        <w:rPr>
          <w:i/>
          <w:color w:val="auto"/>
          <w:szCs w:val="20"/>
        </w:rPr>
        <w:t xml:space="preserve"> </w:t>
      </w:r>
      <w:proofErr w:type="spellStart"/>
      <w:r>
        <w:rPr>
          <w:i/>
          <w:color w:val="auto"/>
          <w:szCs w:val="20"/>
        </w:rPr>
        <w:t>Corrupt</w:t>
      </w:r>
      <w:proofErr w:type="spellEnd"/>
      <w:r>
        <w:rPr>
          <w:i/>
          <w:color w:val="auto"/>
          <w:szCs w:val="20"/>
        </w:rPr>
        <w:t xml:space="preserve"> </w:t>
      </w:r>
      <w:proofErr w:type="spellStart"/>
      <w:r>
        <w:rPr>
          <w:i/>
          <w:color w:val="auto"/>
          <w:szCs w:val="20"/>
        </w:rPr>
        <w:t>Practices</w:t>
      </w:r>
      <w:proofErr w:type="spellEnd"/>
      <w:r>
        <w:rPr>
          <w:i/>
          <w:color w:val="auto"/>
          <w:szCs w:val="20"/>
        </w:rPr>
        <w:t xml:space="preserve"> </w:t>
      </w:r>
      <w:proofErr w:type="spellStart"/>
      <w:r>
        <w:rPr>
          <w:i/>
          <w:color w:val="auto"/>
          <w:szCs w:val="20"/>
        </w:rPr>
        <w:t>Act</w:t>
      </w:r>
      <w:proofErr w:type="spellEnd"/>
      <w:r>
        <w:rPr>
          <w:i/>
          <w:color w:val="auto"/>
          <w:szCs w:val="20"/>
        </w:rPr>
        <w:t xml:space="preserve"> of 1997</w:t>
      </w:r>
      <w:r>
        <w:rPr>
          <w:color w:val="auto"/>
          <w:szCs w:val="20"/>
        </w:rPr>
        <w:t xml:space="preserve"> e o </w:t>
      </w:r>
      <w:r>
        <w:rPr>
          <w:i/>
          <w:color w:val="auto"/>
          <w:szCs w:val="20"/>
        </w:rPr>
        <w:t xml:space="preserve">UK </w:t>
      </w:r>
      <w:proofErr w:type="spellStart"/>
      <w:r>
        <w:rPr>
          <w:i/>
          <w:color w:val="auto"/>
          <w:szCs w:val="20"/>
        </w:rPr>
        <w:t>Bribery</w:t>
      </w:r>
      <w:proofErr w:type="spellEnd"/>
      <w:r>
        <w:rPr>
          <w:i/>
          <w:color w:val="auto"/>
          <w:szCs w:val="20"/>
        </w:rPr>
        <w:t xml:space="preserve"> </w:t>
      </w:r>
      <w:proofErr w:type="spellStart"/>
      <w:r>
        <w:rPr>
          <w:i/>
          <w:color w:val="auto"/>
          <w:szCs w:val="20"/>
        </w:rPr>
        <w:t>Act</w:t>
      </w:r>
      <w:proofErr w:type="spellEnd"/>
      <w:r>
        <w:rPr>
          <w:color w:val="auto"/>
          <w:szCs w:val="20"/>
        </w:rPr>
        <w:t xml:space="preserve"> (em conjunto “</w:t>
      </w:r>
      <w:r>
        <w:rPr>
          <w:b/>
          <w:color w:val="auto"/>
          <w:szCs w:val="20"/>
        </w:rPr>
        <w:t>Leis Anticorrupção</w:t>
      </w:r>
      <w:r>
        <w:rPr>
          <w:color w:val="auto"/>
          <w:szCs w:val="20"/>
        </w:rPr>
        <w:t>”), devendo (i) manter políticas e procedimentos internos que assegurem integral cumprimento das Leis Anticorrupção; (</w:t>
      </w:r>
      <w:proofErr w:type="spellStart"/>
      <w:r>
        <w:rPr>
          <w:color w:val="auto"/>
          <w:szCs w:val="20"/>
        </w:rPr>
        <w:t>ii</w:t>
      </w:r>
      <w:proofErr w:type="spellEnd"/>
      <w:r>
        <w:rPr>
          <w:color w:val="auto"/>
          <w:szCs w:val="20"/>
        </w:rPr>
        <w:t>) dar pleno conhecimento de tais normas a todos os profissionais que venham a se relacionar com as Cedentes Fiduciárias, previamente ao início de sua atuação; (</w:t>
      </w:r>
      <w:proofErr w:type="spellStart"/>
      <w:r>
        <w:rPr>
          <w:color w:val="auto"/>
          <w:szCs w:val="20"/>
        </w:rPr>
        <w:t>iii</w:t>
      </w:r>
      <w:proofErr w:type="spellEnd"/>
      <w:r>
        <w:rPr>
          <w:color w:val="auto"/>
          <w:szCs w:val="20"/>
        </w:rPr>
        <w:t>) abster-se de praticar atos de corrupção e de agir de forma lesiva à administração pública, nacional e estrangeiras, conforme aplicável, no interesse ou para benefício, exclusivo ou não, das Cedentes</w:t>
      </w:r>
      <w:r>
        <w:rPr>
          <w:b/>
          <w:color w:val="auto"/>
          <w:szCs w:val="20"/>
        </w:rPr>
        <w:t xml:space="preserve"> </w:t>
      </w:r>
      <w:r>
        <w:rPr>
          <w:color w:val="auto"/>
          <w:szCs w:val="20"/>
        </w:rPr>
        <w:t>Fiduciárias ou da Emissora; (</w:t>
      </w:r>
      <w:proofErr w:type="spellStart"/>
      <w:r>
        <w:rPr>
          <w:color w:val="auto"/>
          <w:szCs w:val="20"/>
        </w:rPr>
        <w:t>iv</w:t>
      </w:r>
      <w:proofErr w:type="spellEnd"/>
      <w:r>
        <w:rPr>
          <w:color w:val="auto"/>
          <w:szCs w:val="20"/>
        </w:rPr>
        <w:t>)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widowControl w:val="0"/>
        <w:numPr>
          <w:ilvl w:val="1"/>
          <w:numId w:val="19"/>
        </w:numPr>
        <w:autoSpaceDE w:val="0"/>
        <w:autoSpaceDN w:val="0"/>
        <w:adjustRightInd w:val="0"/>
        <w:rPr>
          <w:color w:val="auto"/>
          <w:szCs w:val="20"/>
        </w:rPr>
      </w:pPr>
      <w:r>
        <w:rPr>
          <w:color w:val="auto"/>
          <w:szCs w:val="20"/>
        </w:rPr>
        <w:t>O Agente Fiduciário será responsável por acompanhar o cumprimento, por parte das Cedentes Fiduciárias, das obrigações previstas neste Contrato, devendo o Agente</w:t>
      </w:r>
      <w:r>
        <w:rPr>
          <w:b/>
          <w:color w:val="auto"/>
          <w:szCs w:val="20"/>
        </w:rPr>
        <w:t xml:space="preserve"> </w:t>
      </w:r>
      <w:r>
        <w:rPr>
          <w:color w:val="auto"/>
          <w:szCs w:val="20"/>
        </w:rPr>
        <w:t>Fiduciário, no caso de identificação de qualquer descumprimento, tomar todas as providências estabelecidas neste Contrato e na Escritura de Emissão.</w:t>
      </w:r>
    </w:p>
    <w:p>
      <w:pPr>
        <w:pStyle w:val="Level2"/>
        <w:widowControl w:val="0"/>
        <w:numPr>
          <w:ilvl w:val="1"/>
          <w:numId w:val="19"/>
        </w:numPr>
        <w:autoSpaceDE w:val="0"/>
        <w:autoSpaceDN w:val="0"/>
        <w:adjustRightInd w:val="0"/>
        <w:rPr>
          <w:color w:val="auto"/>
          <w:szCs w:val="20"/>
        </w:rPr>
      </w:pPr>
      <w:r>
        <w:rPr>
          <w:color w:val="auto"/>
          <w:szCs w:val="20"/>
        </w:rP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pPr>
        <w:pStyle w:val="Level2"/>
        <w:widowControl w:val="0"/>
        <w:numPr>
          <w:ilvl w:val="1"/>
          <w:numId w:val="19"/>
        </w:numPr>
        <w:autoSpaceDE w:val="0"/>
        <w:autoSpaceDN w:val="0"/>
        <w:adjustRightInd w:val="0"/>
        <w:rPr>
          <w:color w:val="auto"/>
          <w:szCs w:val="20"/>
        </w:rPr>
      </w:pPr>
      <w:r>
        <w:rPr>
          <w:color w:val="auto"/>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pPr>
        <w:pStyle w:val="Level2"/>
        <w:widowControl w:val="0"/>
        <w:numPr>
          <w:ilvl w:val="1"/>
          <w:numId w:val="19"/>
        </w:numPr>
        <w:autoSpaceDE w:val="0"/>
        <w:autoSpaceDN w:val="0"/>
        <w:adjustRightInd w:val="0"/>
        <w:rPr>
          <w:color w:val="auto"/>
          <w:szCs w:val="20"/>
        </w:rPr>
      </w:pPr>
      <w:r>
        <w:rPr>
          <w:color w:val="auto"/>
          <w:szCs w:val="20"/>
        </w:rPr>
        <w:t>Nenhuma</w:t>
      </w:r>
      <w:r>
        <w:rPr>
          <w:color w:val="auto"/>
          <w:szCs w:val="20"/>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pPr>
        <w:pStyle w:val="Level2"/>
        <w:widowControl w:val="0"/>
        <w:numPr>
          <w:ilvl w:val="1"/>
          <w:numId w:val="19"/>
        </w:numPr>
        <w:autoSpaceDE w:val="0"/>
        <w:autoSpaceDN w:val="0"/>
        <w:adjustRightInd w:val="0"/>
        <w:rPr>
          <w:color w:val="auto"/>
          <w:szCs w:val="20"/>
        </w:rPr>
      </w:pPr>
      <w:bookmarkStart w:id="155" w:name="_DV_M111"/>
      <w:bookmarkEnd w:id="155"/>
      <w:r>
        <w:rPr>
          <w:color w:val="auto"/>
          <w:szCs w:val="20"/>
        </w:rPr>
        <w:t xml:space="preserve">Com renúncia aos demais, por mais privilegiados que sejam, as partes elegem o Foro da Comarca da Capital do Estado de São Paulo, para dirimir quaisquer questões oriundas deste </w:t>
      </w:r>
      <w:r>
        <w:rPr>
          <w:rStyle w:val="DeltaViewDeletion"/>
          <w:color w:val="auto"/>
          <w:szCs w:val="20"/>
        </w:rPr>
        <w:t>Contrato</w:t>
      </w:r>
      <w:r>
        <w:rPr>
          <w:color w:val="auto"/>
          <w:szCs w:val="20"/>
        </w:rPr>
        <w:t>, ficando reservado aos Debenturistas, representados pelo Agente Fiduciário, o direito de escolher o foro da situação dos Direitos Creditórios Cedidos Fiduciariamente ou do domicílio das Cedentes Fiduciárias</w:t>
      </w:r>
      <w:r>
        <w:rPr>
          <w:b/>
          <w:color w:val="auto"/>
          <w:szCs w:val="20"/>
        </w:rPr>
        <w:t xml:space="preserve"> </w:t>
      </w:r>
      <w:r>
        <w:rPr>
          <w:color w:val="auto"/>
          <w:szCs w:val="20"/>
        </w:rPr>
        <w:t>ou da</w:t>
      </w:r>
      <w:r>
        <w:rPr>
          <w:b/>
          <w:color w:val="auto"/>
          <w:szCs w:val="20"/>
        </w:rPr>
        <w:t xml:space="preserve"> </w:t>
      </w:r>
      <w:r>
        <w:rPr>
          <w:color w:val="auto"/>
          <w:szCs w:val="20"/>
        </w:rPr>
        <w:t>Emissora.</w:t>
      </w:r>
    </w:p>
    <w:p>
      <w:pPr>
        <w:pStyle w:val="Level2"/>
        <w:widowControl w:val="0"/>
        <w:numPr>
          <w:ilvl w:val="1"/>
          <w:numId w:val="19"/>
        </w:numPr>
        <w:autoSpaceDE w:val="0"/>
        <w:autoSpaceDN w:val="0"/>
        <w:adjustRightInd w:val="0"/>
        <w:rPr>
          <w:color w:val="auto"/>
          <w:szCs w:val="20"/>
        </w:rPr>
      </w:pPr>
      <w:r>
        <w:rPr>
          <w:color w:val="auto"/>
          <w:szCs w:val="20"/>
        </w:rPr>
        <w:t>Este Contrato constitui obrigação legal, válida, legítima, eficaz, vinculante e contra ela exequível, de acordo com os seus termos e condições, não impactando o fato de versar sobre Direitos</w:t>
      </w:r>
      <w:r>
        <w:rPr>
          <w:b/>
          <w:color w:val="auto"/>
          <w:szCs w:val="20"/>
        </w:rPr>
        <w:t xml:space="preserve"> </w:t>
      </w:r>
      <w:r>
        <w:rPr>
          <w:color w:val="auto"/>
          <w:szCs w:val="20"/>
        </w:rPr>
        <w:t>Creditórios Cedidos Fiduciariamente de Cedentes Fiduciárias distintos.</w:t>
      </w:r>
    </w:p>
    <w:p>
      <w:pPr>
        <w:spacing w:after="140" w:line="290" w:lineRule="auto"/>
        <w:jc w:val="both"/>
        <w:rPr>
          <w:rFonts w:ascii="Arial" w:hAnsi="Arial" w:cs="Arial"/>
          <w:lang w:val="pt-BR"/>
        </w:rPr>
      </w:pPr>
      <w:bookmarkStart w:id="156" w:name="_DV_M112"/>
      <w:bookmarkEnd w:id="156"/>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pPr>
        <w:spacing w:after="140" w:line="290" w:lineRule="auto"/>
        <w:jc w:val="center"/>
        <w:rPr>
          <w:rFonts w:ascii="Arial" w:hAnsi="Arial" w:cs="Arial"/>
          <w:lang w:val="pt-BR"/>
        </w:rPr>
      </w:pPr>
      <w:bookmarkStart w:id="157" w:name="_DV_M113"/>
      <w:bookmarkStart w:id="158" w:name="_DV_M114"/>
      <w:bookmarkEnd w:id="157"/>
      <w:bookmarkEnd w:id="158"/>
      <w:r>
        <w:rPr>
          <w:rFonts w:ascii="Arial" w:hAnsi="Arial" w:cs="Arial"/>
          <w:lang w:val="pt-BR"/>
        </w:rPr>
        <w:t xml:space="preserve">São Paulo, </w:t>
      </w:r>
      <w:bookmarkStart w:id="159" w:name="_DV_M115"/>
      <w:bookmarkEnd w:id="159"/>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w:t>
      </w:r>
      <w:r>
        <w:rPr>
          <w:rFonts w:ascii="Arial" w:hAnsi="Arial" w:cs="Arial"/>
          <w:lang w:val="pt-BR"/>
        </w:rPr>
        <w:t>.</w:t>
      </w:r>
    </w:p>
    <w:p>
      <w:pPr>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pPr>
        <w:autoSpaceDE/>
        <w:autoSpaceDN/>
        <w:adjustRightInd/>
        <w:spacing w:after="140" w:line="290" w:lineRule="auto"/>
        <w:rPr>
          <w:rFonts w:ascii="Arial" w:hAnsi="Arial" w:cs="Arial"/>
          <w:i/>
          <w:lang w:val="pt-BR"/>
        </w:rPr>
      </w:pPr>
      <w:r>
        <w:rPr>
          <w:rFonts w:ascii="Arial" w:hAnsi="Arial" w:cs="Arial"/>
          <w:i/>
          <w:lang w:val="pt-BR"/>
        </w:rPr>
        <w:br w:type="page"/>
      </w:r>
    </w:p>
    <w:p>
      <w:pPr>
        <w:spacing w:after="140" w:line="290" w:lineRule="auto"/>
        <w:jc w:val="center"/>
        <w:rPr>
          <w:rFonts w:ascii="Arial" w:hAnsi="Arial" w:cs="Arial"/>
          <w:b/>
          <w:lang w:val="pt-BR"/>
        </w:rPr>
      </w:pPr>
      <w:bookmarkStart w:id="160" w:name="_DV_M125"/>
      <w:bookmarkStart w:id="161" w:name="_DV_M128"/>
      <w:bookmarkStart w:id="162" w:name="_DV_M130"/>
      <w:bookmarkStart w:id="163" w:name="_DV_M131"/>
      <w:bookmarkStart w:id="164" w:name="_DV_M132"/>
      <w:bookmarkStart w:id="165" w:name="_DV_M134"/>
      <w:bookmarkStart w:id="166" w:name="_DV_M135"/>
      <w:bookmarkStart w:id="167" w:name="_DV_M146"/>
      <w:bookmarkStart w:id="168" w:name="_DV_M129"/>
      <w:bookmarkEnd w:id="35"/>
      <w:bookmarkEnd w:id="36"/>
      <w:bookmarkEnd w:id="37"/>
      <w:bookmarkEnd w:id="38"/>
      <w:bookmarkEnd w:id="160"/>
      <w:bookmarkEnd w:id="161"/>
      <w:bookmarkEnd w:id="162"/>
      <w:bookmarkEnd w:id="163"/>
      <w:bookmarkEnd w:id="164"/>
      <w:bookmarkEnd w:id="165"/>
      <w:bookmarkEnd w:id="166"/>
      <w:bookmarkEnd w:id="167"/>
      <w:bookmarkEnd w:id="168"/>
      <w:r>
        <w:rPr>
          <w:rFonts w:ascii="Arial" w:hAnsi="Arial" w:cs="Arial"/>
          <w:b/>
          <w:lang w:val="pt-BR"/>
        </w:rPr>
        <w:lastRenderedPageBreak/>
        <w:t>ANEXO I AO INSTRUMENTO PARTICULAR DE CONTRATO DE CESSÃO FIDUCIÁRIA DE CONTAS VINCULADAS E OUTRAS AVENÇAS</w:t>
      </w:r>
    </w:p>
    <w:p>
      <w:pPr>
        <w:spacing w:after="140" w:line="290" w:lineRule="auto"/>
        <w:rPr>
          <w:rFonts w:ascii="Arial" w:hAnsi="Arial" w:cs="Arial"/>
          <w:b/>
          <w:lang w:val="pt-BR"/>
        </w:rPr>
      </w:pPr>
      <w:bookmarkStart w:id="169" w:name="_DV_M150"/>
      <w:bookmarkStart w:id="170" w:name="_DV_M151"/>
      <w:bookmarkStart w:id="171" w:name="Texto792"/>
      <w:bookmarkEnd w:id="169"/>
      <w:bookmarkEnd w:id="170"/>
    </w:p>
    <w:p>
      <w:pPr>
        <w:pStyle w:val="Level1"/>
        <w:numPr>
          <w:ilvl w:val="0"/>
          <w:numId w:val="25"/>
        </w:numPr>
        <w:autoSpaceDE w:val="0"/>
        <w:autoSpaceDN w:val="0"/>
        <w:adjustRightInd w:val="0"/>
        <w:spacing w:before="0"/>
        <w:rPr>
          <w:color w:val="auto"/>
          <w:sz w:val="20"/>
          <w:szCs w:val="20"/>
        </w:rPr>
      </w:pPr>
      <w:r>
        <w:rPr>
          <w:b w:val="0"/>
          <w:color w:val="auto"/>
          <w:sz w:val="20"/>
          <w:szCs w:val="20"/>
        </w:rPr>
        <w:t>Para fins do artigo 1.362 do Código Civil e do art. 18 da Lei 9.514, as Obrigações Garantidas possuem as seguintes características:</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Valor Total da Emissão</w:t>
      </w:r>
      <w:r>
        <w:rPr>
          <w:color w:val="auto"/>
          <w:szCs w:val="20"/>
        </w:rPr>
        <w:t>: R$660.000.000,00 (seiscentos e sessenta milhões de reais), em 20 de março de 2020 (“</w:t>
      </w:r>
      <w:r>
        <w:rPr>
          <w:b/>
          <w:color w:val="auto"/>
          <w:szCs w:val="20"/>
        </w:rPr>
        <w:t>Valor Total da Emissão</w:t>
      </w:r>
      <w:r>
        <w:rPr>
          <w:color w:val="auto"/>
          <w:szCs w:val="20"/>
        </w:rPr>
        <w:t>” e “</w:t>
      </w:r>
      <w:r>
        <w:rPr>
          <w:b/>
          <w:color w:val="auto"/>
          <w:szCs w:val="20"/>
        </w:rPr>
        <w:t>Data de Emissão</w:t>
      </w:r>
      <w:r>
        <w:rPr>
          <w:color w:val="auto"/>
          <w:szCs w:val="20"/>
        </w:rPr>
        <w:t>”, respectivamente).</w:t>
      </w:r>
    </w:p>
    <w:p>
      <w:pPr>
        <w:pStyle w:val="Level4"/>
        <w:numPr>
          <w:ilvl w:val="3"/>
          <w:numId w:val="25"/>
        </w:numPr>
        <w:tabs>
          <w:tab w:val="clear" w:pos="2041"/>
          <w:tab w:val="num" w:pos="1418"/>
        </w:tabs>
        <w:autoSpaceDE w:val="0"/>
        <w:autoSpaceDN w:val="0"/>
        <w:adjustRightInd w:val="0"/>
        <w:ind w:left="1418" w:hanging="709"/>
        <w:rPr>
          <w:bCs/>
          <w:color w:val="auto"/>
          <w:szCs w:val="20"/>
        </w:rPr>
      </w:pPr>
      <w:r>
        <w:rPr>
          <w:b/>
          <w:bCs/>
          <w:color w:val="auto"/>
          <w:szCs w:val="20"/>
        </w:rPr>
        <w:t>Valor Nominal Unitário</w:t>
      </w:r>
      <w:r>
        <w:rPr>
          <w:bCs/>
          <w:color w:val="auto"/>
          <w:szCs w:val="20"/>
        </w:rPr>
        <w:t xml:space="preserve">: </w:t>
      </w:r>
      <w:r>
        <w:rPr>
          <w:color w:val="auto"/>
          <w:szCs w:val="20"/>
        </w:rPr>
        <w:t>o valor nominal unitário das Debêntures será de R$1.000,00 (mil reais), na Data de Emissão (“</w:t>
      </w:r>
      <w:r>
        <w:rPr>
          <w:b/>
          <w:color w:val="auto"/>
          <w:szCs w:val="20"/>
        </w:rPr>
        <w:t>Valor Nominal Unitário</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Quantidade de Debêntures</w:t>
      </w:r>
      <w:r>
        <w:rPr>
          <w:color w:val="auto"/>
          <w:szCs w:val="20"/>
        </w:rPr>
        <w:t xml:space="preserve">: serão emitidas 660.000 (seiscentas e sessenta mil) Debêntures. </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Prazo e</w:t>
      </w:r>
      <w:r>
        <w:rPr>
          <w:color w:val="auto"/>
          <w:szCs w:val="20"/>
        </w:rPr>
        <w:t xml:space="preserve"> </w:t>
      </w:r>
      <w:r>
        <w:rPr>
          <w:b/>
          <w:color w:val="auto"/>
          <w:szCs w:val="20"/>
        </w:rPr>
        <w:t>Data de Vencimento</w:t>
      </w:r>
      <w:r>
        <w:rPr>
          <w:color w:val="auto"/>
          <w:szCs w:val="20"/>
        </w:rPr>
        <w:t>: as Debêntures terão prazo de 6 (seis) anos contados da Data de Emissão, vencendo, portanto, em 20 de março de 2026 (“</w:t>
      </w:r>
      <w:r>
        <w:rPr>
          <w:b/>
          <w:color w:val="auto"/>
          <w:szCs w:val="20"/>
        </w:rPr>
        <w:t>Data de Vencimento</w:t>
      </w:r>
      <w:r>
        <w:rPr>
          <w:color w:val="auto"/>
          <w:szCs w:val="20"/>
        </w:rPr>
        <w:t xml:space="preserve">”), ressalvadas as hipóteses de resgate antecipado das Debêntures ou de vencimento antecipado das obrigações decorrentes das Debêntures, nos termos previstos na Escritura de Emissão. </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Atualização Monetária</w:t>
      </w:r>
      <w:r>
        <w:rPr>
          <w:color w:val="auto"/>
          <w:szCs w:val="20"/>
        </w:rPr>
        <w:t>: o Valor Nominal Unitário das Debêntures não será atualizado monetariamente.</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Remuneração</w:t>
      </w:r>
      <w:r>
        <w:rPr>
          <w:color w:val="auto"/>
          <w:szCs w:val="20"/>
        </w:rPr>
        <w:t xml:space="preserve">: sobre o Valor Nominal Unitário ou saldo do Valor Nominal Unitário das Debêntures, conforme o caso, incidirão juros remuneratórios </w:t>
      </w:r>
      <w:r>
        <w:rPr>
          <w:iCs/>
          <w:color w:val="auto"/>
          <w:szCs w:val="20"/>
        </w:rPr>
        <w:t xml:space="preserve">correspondentes a 100,00% (cem por cento) da variação acumulada das taxas médias diárias dos DI – Depósitos Interfinanceiros de um dia, </w:t>
      </w:r>
      <w:r>
        <w:rPr>
          <w:i/>
          <w:iCs/>
          <w:color w:val="auto"/>
          <w:szCs w:val="20"/>
        </w:rPr>
        <w:t>over extra grupo</w:t>
      </w:r>
      <w:r>
        <w:rPr>
          <w:iCs/>
          <w:color w:val="auto"/>
          <w:szCs w:val="20"/>
        </w:rPr>
        <w:t xml:space="preserve">, expressa na forma percentual ao ano, </w:t>
      </w:r>
      <w:r>
        <w:rPr>
          <w:color w:val="auto"/>
          <w:szCs w:val="20"/>
        </w:rPr>
        <w:t>base 252 (duzentos e cinquenta e dois) Dias Úteis, calculada e divulgada diariamente pela B3 S.A. – Brasil, Bolsa, Balcão – Segmento CETIP UTVM (“</w:t>
      </w:r>
      <w:r>
        <w:rPr>
          <w:b/>
          <w:color w:val="auto"/>
          <w:szCs w:val="20"/>
        </w:rPr>
        <w:t>B3</w:t>
      </w:r>
      <w:r>
        <w:rPr>
          <w:color w:val="auto"/>
          <w:szCs w:val="20"/>
        </w:rPr>
        <w:t>”) no informativo diário disponível em sua página na internet (http://www.b3.com.br) (“</w:t>
      </w:r>
      <w:r>
        <w:rPr>
          <w:b/>
          <w:color w:val="auto"/>
          <w:szCs w:val="20"/>
        </w:rPr>
        <w:t>Taxa DI</w:t>
      </w:r>
      <w:r>
        <w:rPr>
          <w:color w:val="auto"/>
          <w:szCs w:val="20"/>
        </w:rPr>
        <w:t>”), acrescida de uma sobretaxa de 2,70% (dois inteiros e setenta centésimos por cento) ao ano, base 252 (duzentos e cinquenta e dois) Dias Úteis (“</w:t>
      </w:r>
      <w:r>
        <w:rPr>
          <w:b/>
          <w:color w:val="auto"/>
          <w:szCs w:val="20"/>
        </w:rPr>
        <w:t>Remuneração</w:t>
      </w:r>
      <w:r>
        <w:rPr>
          <w:color w:val="auto"/>
          <w:szCs w:val="20"/>
        </w:rPr>
        <w:t xml:space="preserve">”), calculados de forma exponencial e cumulativa </w:t>
      </w:r>
      <w:r>
        <w:rPr>
          <w:i/>
          <w:color w:val="auto"/>
          <w:szCs w:val="20"/>
        </w:rPr>
        <w:t xml:space="preserve">pro rata </w:t>
      </w:r>
      <w:proofErr w:type="spellStart"/>
      <w:r>
        <w:rPr>
          <w:i/>
          <w:color w:val="auto"/>
          <w:szCs w:val="20"/>
        </w:rPr>
        <w:t>temporis</w:t>
      </w:r>
      <w:proofErr w:type="spellEnd"/>
      <w:r>
        <w:rPr>
          <w:color w:val="auto"/>
          <w:szCs w:val="20"/>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25"/>
        </w:numPr>
        <w:tabs>
          <w:tab w:val="clear" w:pos="2041"/>
          <w:tab w:val="num" w:pos="1418"/>
        </w:tabs>
        <w:autoSpaceDE w:val="0"/>
        <w:autoSpaceDN w:val="0"/>
        <w:adjustRightInd w:val="0"/>
        <w:ind w:left="1418" w:hanging="709"/>
        <w:rPr>
          <w:b/>
          <w:color w:val="auto"/>
          <w:szCs w:val="20"/>
        </w:rPr>
      </w:pPr>
      <w:bookmarkStart w:id="172" w:name="_Ref527030182"/>
      <w:r>
        <w:rPr>
          <w:b/>
          <w:color w:val="auto"/>
          <w:szCs w:val="20"/>
        </w:rPr>
        <w:t>Pagamento da Remuneração das Debêntures</w:t>
      </w:r>
      <w:bookmarkEnd w:id="172"/>
      <w:r>
        <w:rPr>
          <w:b/>
          <w:color w:val="auto"/>
          <w:szCs w:val="20"/>
        </w:rPr>
        <w:t xml:space="preserve">: </w:t>
      </w:r>
      <w:r>
        <w:rPr>
          <w:color w:val="auto"/>
          <w:szCs w:val="20"/>
        </w:rPr>
        <w:t>sem prejuízo dos pagamentos em decorrência do vencimento antecipado e resgate antecipado das Debêntures, nos termos da Escritura de Emissão, a Remuneração será paga</w:t>
      </w:r>
      <w:r>
        <w:rPr>
          <w:bCs/>
          <w:color w:val="auto"/>
          <w:szCs w:val="20"/>
        </w:rPr>
        <w:t>, semestralmente,</w:t>
      </w:r>
      <w:r>
        <w:rPr>
          <w:b/>
          <w:color w:val="auto"/>
          <w:szCs w:val="20"/>
        </w:rPr>
        <w:t xml:space="preserve"> </w:t>
      </w:r>
      <w:r>
        <w:rPr>
          <w:color w:val="auto"/>
          <w:szCs w:val="20"/>
        </w:rPr>
        <w:t>a partir da Data de Emissão, sempre no dia 20 dos meses de março e setembro de cada ano, sendo o primeiro pagamento devido em 20 de setembro de 2020 e o último na Data de Vencimento, conforme cronograma previsto na Escritura de Emissão (cada data, uma “</w:t>
      </w:r>
      <w:r>
        <w:rPr>
          <w:b/>
          <w:color w:val="auto"/>
          <w:szCs w:val="20"/>
        </w:rPr>
        <w:t>Data de Pagamento da Remuneração</w:t>
      </w:r>
      <w:r>
        <w:rPr>
          <w:color w:val="auto"/>
          <w:szCs w:val="20"/>
        </w:rPr>
        <w:t>”).</w:t>
      </w:r>
      <w:r>
        <w:rPr>
          <w:b/>
          <w:color w:val="auto"/>
          <w:szCs w:val="20"/>
        </w:rPr>
        <w:t xml:space="preserve"> </w:t>
      </w:r>
    </w:p>
    <w:p>
      <w:pPr>
        <w:pStyle w:val="Level4"/>
        <w:numPr>
          <w:ilvl w:val="3"/>
          <w:numId w:val="25"/>
        </w:numPr>
        <w:tabs>
          <w:tab w:val="clear" w:pos="2041"/>
          <w:tab w:val="num" w:pos="1418"/>
        </w:tabs>
        <w:autoSpaceDE w:val="0"/>
        <w:autoSpaceDN w:val="0"/>
        <w:adjustRightInd w:val="0"/>
        <w:ind w:left="1418" w:hanging="709"/>
        <w:rPr>
          <w:color w:val="auto"/>
          <w:szCs w:val="20"/>
        </w:rPr>
      </w:pPr>
      <w:bookmarkStart w:id="173" w:name="_Ref440552532"/>
      <w:r>
        <w:rPr>
          <w:b/>
          <w:color w:val="auto"/>
          <w:szCs w:val="20"/>
        </w:rPr>
        <w:t>Pagamento do Valor Nominal Unitário</w:t>
      </w:r>
      <w:bookmarkEnd w:id="173"/>
      <w:r>
        <w:rPr>
          <w:b/>
          <w:color w:val="auto"/>
          <w:szCs w:val="20"/>
        </w:rPr>
        <w:t xml:space="preserve">: </w:t>
      </w:r>
      <w:r>
        <w:rPr>
          <w:color w:val="auto"/>
          <w:szCs w:val="20"/>
        </w:rP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color w:val="auto"/>
          <w:szCs w:val="20"/>
        </w:rPr>
        <w:t>.</w:t>
      </w:r>
      <w:r>
        <w:rPr>
          <w:color w:val="auto"/>
          <w:szCs w:val="20"/>
        </w:rPr>
        <w:t xml:space="preserve"> </w:t>
      </w:r>
    </w:p>
    <w:p>
      <w:pPr>
        <w:pStyle w:val="Level4"/>
        <w:numPr>
          <w:ilvl w:val="3"/>
          <w:numId w:val="25"/>
        </w:numPr>
        <w:tabs>
          <w:tab w:val="clear" w:pos="2041"/>
          <w:tab w:val="num" w:pos="1418"/>
        </w:tabs>
        <w:autoSpaceDE w:val="0"/>
        <w:autoSpaceDN w:val="0"/>
        <w:adjustRightInd w:val="0"/>
        <w:ind w:left="1418" w:hanging="709"/>
        <w:rPr>
          <w:color w:val="auto"/>
          <w:szCs w:val="20"/>
        </w:rPr>
      </w:pPr>
      <w:bookmarkStart w:id="174" w:name="_Ref509243874"/>
      <w:r>
        <w:rPr>
          <w:b/>
          <w:color w:val="auto"/>
          <w:szCs w:val="20"/>
        </w:rPr>
        <w:lastRenderedPageBreak/>
        <w:t>Local de Pagamento</w:t>
      </w:r>
      <w:bookmarkEnd w:id="174"/>
      <w:r>
        <w:rPr>
          <w:b/>
          <w:color w:val="auto"/>
          <w:szCs w:val="20"/>
        </w:rPr>
        <w:t xml:space="preserve">: </w:t>
      </w:r>
      <w:r>
        <w:rPr>
          <w:color w:val="auto"/>
          <w:szCs w:val="20"/>
        </w:rPr>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w:t>
      </w:r>
      <w:proofErr w:type="spellStart"/>
      <w:r>
        <w:rPr>
          <w:color w:val="auto"/>
          <w:szCs w:val="20"/>
        </w:rPr>
        <w:t>ii</w:t>
      </w:r>
      <w:proofErr w:type="spellEnd"/>
      <w:r>
        <w:rPr>
          <w:color w:val="auto"/>
          <w:szCs w:val="20"/>
        </w:rPr>
        <w:t xml:space="preserve">) pela Emissora, nos demais casos em que as Debêntures não estejam custodiadas eletronicamente na B3, por meio do </w:t>
      </w:r>
      <w:proofErr w:type="spellStart"/>
      <w:r>
        <w:rPr>
          <w:color w:val="auto"/>
          <w:szCs w:val="20"/>
        </w:rPr>
        <w:t>Escriturador</w:t>
      </w:r>
      <w:proofErr w:type="spellEnd"/>
      <w:r>
        <w:rPr>
          <w:color w:val="auto"/>
          <w:szCs w:val="20"/>
        </w:rPr>
        <w:t xml:space="preserve"> ou na sede da Emissora, conforme o caso.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Encargos Moratórios</w:t>
      </w:r>
      <w:r>
        <w:rPr>
          <w:color w:val="auto"/>
          <w:szCs w:val="20"/>
        </w:rPr>
        <w:t xml:space="preserve">: </w:t>
      </w:r>
      <w:r>
        <w:rPr>
          <w:bCs/>
          <w:color w:val="auto"/>
          <w:szCs w:val="20"/>
        </w:rPr>
        <w:t>em caso de impontualidade no pagamento de qualquer quantia devida sob as Debêntures</w:t>
      </w:r>
      <w:r>
        <w:rPr>
          <w:color w:val="auto"/>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color w:val="auto"/>
          <w:szCs w:val="20"/>
        </w:rPr>
        <w:t>ii</w:t>
      </w:r>
      <w:proofErr w:type="spellEnd"/>
      <w:r>
        <w:rPr>
          <w:color w:val="auto"/>
          <w:szCs w:val="20"/>
        </w:rPr>
        <w:t xml:space="preserve">) aos juros de mora não compensatórios calculados desde a data do inadimplemento até a data do efetivo pagamento, à taxa de 1% (um por cento) ao mês, calculados </w:t>
      </w:r>
      <w:r>
        <w:rPr>
          <w:i/>
          <w:color w:val="auto"/>
          <w:szCs w:val="20"/>
        </w:rPr>
        <w:t xml:space="preserve">pro rata </w:t>
      </w:r>
      <w:proofErr w:type="spellStart"/>
      <w:r>
        <w:rPr>
          <w:i/>
          <w:color w:val="auto"/>
          <w:szCs w:val="20"/>
        </w:rPr>
        <w:t>temporis</w:t>
      </w:r>
      <w:proofErr w:type="spellEnd"/>
      <w:r>
        <w:rPr>
          <w:color w:val="auto"/>
          <w:szCs w:val="20"/>
        </w:rPr>
        <w:t>, sobre o montante devido e não pago, independentemente de aviso, notificação ou interpelação judicial ou extrajudicial (“</w:t>
      </w:r>
      <w:r>
        <w:rPr>
          <w:b/>
          <w:color w:val="auto"/>
          <w:szCs w:val="20"/>
        </w:rPr>
        <w:t>Encargos Moratórios</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Resgate Antecipado Facultativo Total</w:t>
      </w:r>
      <w:r>
        <w:rPr>
          <w:color w:val="auto"/>
          <w:szCs w:val="20"/>
        </w:rPr>
        <w:t>: a Emissora poderá, a seu exclusivo critério, a qualquer tempo a partir da Primeira Data de Integralização, realizar o resgate antecipado da totalidade das Debêntures, sendo vedado o resgate parcial, com o consequente cancelamento de tais Debêntures (“</w:t>
      </w:r>
      <w:r>
        <w:rPr>
          <w:b/>
          <w:color w:val="auto"/>
          <w:szCs w:val="20"/>
        </w:rPr>
        <w:t>Resgate Antecipado Facultativo Total</w:t>
      </w:r>
      <w:r>
        <w:rPr>
          <w:color w:val="auto"/>
          <w:szCs w:val="20"/>
        </w:rP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desde a Primeira Data de Integralização ou da Data de Pagamento da Remuneração imediatamente anterior, conforme o caso, até a data do efetivo pagamento do Resgate Antecipado Facultativo Total; (</w:t>
      </w:r>
      <w:proofErr w:type="spellStart"/>
      <w:r>
        <w:rPr>
          <w:color w:val="auto"/>
          <w:szCs w:val="20"/>
        </w:rPr>
        <w:t>ii</w:t>
      </w:r>
      <w:proofErr w:type="spellEnd"/>
      <w:r>
        <w:rPr>
          <w:color w:val="auto"/>
          <w:szCs w:val="20"/>
        </w:rPr>
        <w:t xml:space="preserve">) dos Encargos Moratórios devidos e não pagos até a data do referido resgate, se for o caso, e do prêmio </w:t>
      </w:r>
      <w:r>
        <w:rPr>
          <w:i/>
          <w:color w:val="auto"/>
          <w:szCs w:val="20"/>
        </w:rPr>
        <w:t>flat</w:t>
      </w:r>
      <w:r>
        <w:rPr>
          <w:color w:val="auto"/>
          <w:szCs w:val="20"/>
        </w:rPr>
        <w:t>, incidente sobre o Valor Nominal Unitário, ou saldo do Valor Nominal Unitário, conforme o caso, conforme tabela a ser na Escritura de Emissão. Os demais termos do Resgate Antecipado Facultativo Total estão previstos na Escritura de Emissão.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 xml:space="preserve">Amortização Extraordinária Facultativa: </w:t>
      </w:r>
      <w:r>
        <w:rPr>
          <w:color w:val="auto"/>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color w:val="auto"/>
          <w:szCs w:val="20"/>
        </w:rPr>
        <w:t>Amortização Extraordinária Facultativa</w:t>
      </w:r>
      <w:r>
        <w:rPr>
          <w:color w:val="auto"/>
          <w:szCs w:val="20"/>
        </w:rPr>
        <w:t xml:space="preserve">”), mediante notificação prévia aos Debenturistas com cópia para o Agente Fiduciário, Agente de Liquidação, </w:t>
      </w:r>
      <w:proofErr w:type="spellStart"/>
      <w:r>
        <w:rPr>
          <w:color w:val="auto"/>
          <w:szCs w:val="20"/>
        </w:rPr>
        <w:t>Escriturador</w:t>
      </w:r>
      <w:proofErr w:type="spellEnd"/>
      <w:r>
        <w:rPr>
          <w:color w:val="auto"/>
          <w:szCs w:val="20"/>
        </w:rPr>
        <w:t xml:space="preserve">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nos termos previstos na Escritura e demais encargos devidos e não pagos até a data da efetiva Amortização Extraordinária Facultativa, acrescida (</w:t>
      </w:r>
      <w:proofErr w:type="spellStart"/>
      <w:r>
        <w:rPr>
          <w:color w:val="auto"/>
          <w:szCs w:val="20"/>
        </w:rPr>
        <w:t>ii</w:t>
      </w:r>
      <w:proofErr w:type="spellEnd"/>
      <w:r>
        <w:rPr>
          <w:color w:val="auto"/>
          <w:szCs w:val="20"/>
        </w:rPr>
        <w:t xml:space="preserve">) de prêmio </w:t>
      </w:r>
      <w:r>
        <w:rPr>
          <w:i/>
          <w:color w:val="auto"/>
          <w:szCs w:val="20"/>
        </w:rPr>
        <w:t>flat</w:t>
      </w:r>
      <w:r>
        <w:rPr>
          <w:color w:val="auto"/>
          <w:szCs w:val="20"/>
        </w:rPr>
        <w:t xml:space="preserve"> incidente sobre o Valor Nominal Unitário ou saldo do Valor Nominal Unitário a ser resgatado, conforme o caso, acrescido da Remuneração, calculada </w:t>
      </w:r>
      <w:r>
        <w:rPr>
          <w:i/>
          <w:color w:val="auto"/>
          <w:szCs w:val="20"/>
        </w:rPr>
        <w:t>pro</w:t>
      </w:r>
      <w:r>
        <w:rPr>
          <w:color w:val="auto"/>
          <w:szCs w:val="20"/>
        </w:rPr>
        <w:t xml:space="preserve"> </w:t>
      </w:r>
      <w:r>
        <w:rPr>
          <w:i/>
          <w:color w:val="auto"/>
          <w:szCs w:val="20"/>
        </w:rPr>
        <w:t xml:space="preserve">rata </w:t>
      </w:r>
      <w:proofErr w:type="spellStart"/>
      <w:r>
        <w:rPr>
          <w:i/>
          <w:color w:val="auto"/>
          <w:szCs w:val="20"/>
        </w:rPr>
        <w:t>temporis</w:t>
      </w:r>
      <w:proofErr w:type="spellEnd"/>
      <w:r>
        <w:rPr>
          <w:color w:val="auto"/>
          <w:szCs w:val="20"/>
        </w:rPr>
        <w:t xml:space="preserve"> desde a Primeira Data de Integralização ou a data de pagamento de Remuneração imediatamente anterior, conforme o caso, até a data do efetivo pagamento, conforme tabela a prevista na Escritura de Emissão.</w:t>
      </w:r>
      <w:r>
        <w:rPr>
          <w:i/>
          <w:color w:val="auto"/>
          <w:szCs w:val="20"/>
        </w:rPr>
        <w:t xml:space="preserve"> </w:t>
      </w:r>
      <w:r>
        <w:rPr>
          <w:color w:val="auto"/>
          <w:szCs w:val="20"/>
        </w:rPr>
        <w:lastRenderedPageBreak/>
        <w:t>Os demais termos da Amortização Extraordinária Facultativa estão previstos na Escritura de Emissão.</w:t>
      </w:r>
    </w:p>
    <w:p>
      <w:pPr>
        <w:pStyle w:val="Level4"/>
        <w:numPr>
          <w:ilvl w:val="3"/>
          <w:numId w:val="25"/>
        </w:numPr>
        <w:tabs>
          <w:tab w:val="clear" w:pos="2041"/>
          <w:tab w:val="num" w:pos="1418"/>
        </w:tabs>
        <w:autoSpaceDE w:val="0"/>
        <w:autoSpaceDN w:val="0"/>
        <w:adjustRightInd w:val="0"/>
        <w:ind w:left="1418" w:hanging="709"/>
        <w:rPr>
          <w:b/>
          <w:color w:val="auto"/>
          <w:szCs w:val="20"/>
        </w:rPr>
      </w:pPr>
      <w:r>
        <w:rPr>
          <w:b/>
          <w:color w:val="auto"/>
          <w:szCs w:val="20"/>
        </w:rPr>
        <w:t>Oferta de Resgate Antecipado da Totalidade das Debêntures</w:t>
      </w:r>
      <w:r>
        <w:rPr>
          <w:bCs/>
          <w:color w:val="auto"/>
          <w:szCs w:val="20"/>
        </w:rPr>
        <w:t xml:space="preserve">: </w:t>
      </w:r>
      <w:r>
        <w:rPr>
          <w:color w:val="auto"/>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Pr>
          <w:b/>
          <w:bCs/>
          <w:color w:val="auto"/>
          <w:szCs w:val="20"/>
        </w:rPr>
        <w:t>Oferta de Resgate Antecipado</w:t>
      </w:r>
      <w:r>
        <w:rPr>
          <w:color w:val="auto"/>
          <w:szCs w:val="20"/>
        </w:rPr>
        <w:t xml:space="preserve">”). </w:t>
      </w:r>
      <w:r>
        <w:rPr>
          <w:bCs/>
          <w:color w:val="auto"/>
          <w:szCs w:val="20"/>
        </w:rPr>
        <w:t>O</w:t>
      </w:r>
      <w:r>
        <w:rPr>
          <w:color w:val="auto"/>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color w:val="auto"/>
          <w:szCs w:val="20"/>
        </w:rPr>
        <w:t xml:space="preserve">pro rata </w:t>
      </w:r>
      <w:proofErr w:type="spellStart"/>
      <w:r>
        <w:rPr>
          <w:i/>
          <w:color w:val="auto"/>
          <w:szCs w:val="20"/>
        </w:rPr>
        <w:t>temporis</w:t>
      </w:r>
      <w:proofErr w:type="spellEnd"/>
      <w:r>
        <w:rPr>
          <w:color w:val="auto"/>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color w:val="auto"/>
          <w:szCs w:val="20"/>
        </w:rPr>
        <w:t xml:space="preserve">Valor da </w:t>
      </w:r>
      <w:r>
        <w:rPr>
          <w:b/>
          <w:bCs/>
          <w:color w:val="auto"/>
          <w:szCs w:val="20"/>
        </w:rPr>
        <w:t>Oferta de Resgate</w:t>
      </w:r>
      <w:r>
        <w:rPr>
          <w:b/>
          <w:bCs/>
          <w:color w:val="auto"/>
          <w:spacing w:val="-1"/>
          <w:szCs w:val="20"/>
        </w:rPr>
        <w:t xml:space="preserve"> </w:t>
      </w:r>
      <w:r>
        <w:rPr>
          <w:b/>
          <w:bCs/>
          <w:color w:val="auto"/>
          <w:szCs w:val="20"/>
        </w:rPr>
        <w:t>Antecipado</w:t>
      </w:r>
      <w:r>
        <w:rPr>
          <w:color w:val="auto"/>
          <w:szCs w:val="20"/>
        </w:rPr>
        <w:t>”) e (b) se for o caso, de prêmio de resgate antecipado a ser oferecido aos Debenturistas, a exclusivo critério da Emissora, o qual não poderá ser negativo. Os demais termos da Oferta de Resgate Antecipado estão previstos na Escritura de Emissão.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Vencimento Antecipado</w:t>
      </w:r>
      <w:r>
        <w:rPr>
          <w:color w:val="auto"/>
          <w:szCs w:val="20"/>
        </w:rPr>
        <w:t xml:space="preserve">: </w:t>
      </w:r>
      <w:r>
        <w:rPr>
          <w:rFonts w:eastAsia="Arial Unicode MS"/>
          <w:color w:val="auto"/>
          <w:w w:val="0"/>
          <w:szCs w:val="20"/>
        </w:rPr>
        <w:t>o Agente Fiduciário deverá, observado o disposto na Escritura de Emissão</w:t>
      </w:r>
      <w:r>
        <w:rPr>
          <w:color w:val="auto"/>
          <w:w w:val="0"/>
          <w:szCs w:val="20"/>
        </w:rPr>
        <w:t xml:space="preserve">, </w:t>
      </w:r>
      <w:r>
        <w:rPr>
          <w:rFonts w:eastAsia="Arial Unicode MS"/>
          <w:color w:val="auto"/>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color w:val="auto"/>
          <w:w w:val="0"/>
          <w:szCs w:val="20"/>
        </w:rPr>
        <w:t xml:space="preserve">pro rata </w:t>
      </w:r>
      <w:proofErr w:type="spellStart"/>
      <w:r>
        <w:rPr>
          <w:rFonts w:eastAsia="Arial Unicode MS"/>
          <w:i/>
          <w:color w:val="auto"/>
          <w:w w:val="0"/>
          <w:szCs w:val="20"/>
        </w:rPr>
        <w:t>temporis</w:t>
      </w:r>
      <w:proofErr w:type="spellEnd"/>
      <w:r>
        <w:rPr>
          <w:rFonts w:eastAsia="Arial Unicode MS"/>
          <w:color w:val="auto"/>
          <w:w w:val="0"/>
          <w:szCs w:val="20"/>
        </w:rPr>
        <w:t xml:space="preserve"> </w:t>
      </w:r>
      <w:r>
        <w:rPr>
          <w:color w:val="auto"/>
          <w:szCs w:val="20"/>
        </w:rPr>
        <w:t>desde a Primeira Data de Integralização ou a Data de Pagamento de Remuneração imediatamente anterior, conforme o caso</w:t>
      </w:r>
      <w:r>
        <w:rPr>
          <w:rFonts w:eastAsia="Arial Unicode MS"/>
          <w:color w:val="auto"/>
          <w:w w:val="0"/>
          <w:szCs w:val="2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Demais Características: o</w:t>
      </w:r>
      <w:r>
        <w:rPr>
          <w:color w:val="auto"/>
          <w:szCs w:val="20"/>
        </w:rPr>
        <w:t>s demais termos e condições estão previstos na Escritura de Emissão.</w:t>
      </w:r>
    </w:p>
    <w:bookmarkEnd w:id="39"/>
    <w:bookmarkEnd w:id="171"/>
    <w:p>
      <w:pPr>
        <w:spacing w:after="140" w:line="290" w:lineRule="auto"/>
        <w:jc w:val="center"/>
        <w:rPr>
          <w:rFonts w:ascii="Arial" w:hAnsi="Arial" w:cs="Arial"/>
          <w:b/>
          <w:lang w:val="pt-BR"/>
        </w:rPr>
      </w:pPr>
      <w:r>
        <w:rPr>
          <w:rFonts w:ascii="Arial" w:hAnsi="Arial" w:cs="Arial"/>
          <w:b/>
          <w:lang w:val="pt-BR"/>
        </w:rPr>
        <w:br w:type="page"/>
      </w:r>
      <w:bookmarkStart w:id="175" w:name="_DV_M188"/>
      <w:bookmarkStart w:id="176" w:name="_DV_M189"/>
      <w:bookmarkStart w:id="177" w:name="_DV_M190"/>
      <w:bookmarkStart w:id="178" w:name="_DV_M191"/>
      <w:bookmarkStart w:id="179" w:name="_DV_M192"/>
      <w:bookmarkStart w:id="180" w:name="_DV_M193"/>
      <w:bookmarkStart w:id="181" w:name="_DV_M194"/>
      <w:bookmarkStart w:id="182" w:name="_DV_M195"/>
      <w:bookmarkStart w:id="183" w:name="_DV_M196"/>
      <w:bookmarkStart w:id="184" w:name="_DV_M197"/>
      <w:bookmarkStart w:id="185" w:name="_DV_M202"/>
      <w:bookmarkStart w:id="186" w:name="_DV_M203"/>
      <w:bookmarkStart w:id="187" w:name="_DV_M204"/>
      <w:bookmarkStart w:id="188" w:name="_DV_M205"/>
      <w:bookmarkStart w:id="189" w:name="_DV_M206"/>
      <w:bookmarkStart w:id="190" w:name="_DV_M209"/>
      <w:bookmarkStart w:id="191" w:name="_DV_M210"/>
      <w:bookmarkStart w:id="192" w:name="_DV_M211"/>
      <w:bookmarkStart w:id="193" w:name="_DV_M214"/>
      <w:bookmarkStart w:id="194" w:name="_DV_M215"/>
      <w:bookmarkStart w:id="195" w:name="_DV_M216"/>
      <w:bookmarkEnd w:id="40"/>
      <w:bookmarkEnd w:id="41"/>
      <w:bookmarkEnd w:id="42"/>
      <w:bookmarkEnd w:id="43"/>
      <w:bookmarkEnd w:id="44"/>
      <w:bookmarkEnd w:id="45"/>
      <w:bookmarkEnd w:id="46"/>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290" w:lineRule="auto"/>
        <w:ind w:left="709"/>
        <w:jc w:val="center"/>
        <w:rPr>
          <w:rFonts w:ascii="Arial" w:hAnsi="Arial" w:cs="Arial"/>
          <w:b/>
          <w:lang w:val="pt-BR"/>
        </w:rPr>
      </w:pPr>
      <w:r>
        <w:rPr>
          <w:rFonts w:ascii="Arial" w:hAnsi="Arial" w:cs="Arial"/>
          <w:b/>
          <w:lang w:val="pt-BR"/>
        </w:rPr>
        <w:lastRenderedPageBreak/>
        <w:t>ANEXO II AO INSTRUMENTO PARTICULAR DE CONTRATO DE CESSÃO FIDUCIÁRIA DE CONTAS VINCULADAS E OUTRAS AVENÇAS</w:t>
      </w:r>
    </w:p>
    <w:p>
      <w:pPr>
        <w:spacing w:line="290" w:lineRule="auto"/>
        <w:ind w:left="709"/>
        <w:jc w:val="center"/>
        <w:rPr>
          <w:rFonts w:ascii="Arial" w:hAnsi="Arial" w:cs="Arial"/>
          <w:b/>
          <w:lang w:val="pt-BR"/>
        </w:rPr>
      </w:pPr>
    </w:p>
    <w:p>
      <w:pPr>
        <w:spacing w:line="290" w:lineRule="auto"/>
        <w:ind w:left="709"/>
        <w:jc w:val="center"/>
        <w:rPr>
          <w:rFonts w:ascii="Arial" w:hAnsi="Arial" w:cs="Arial"/>
          <w:b/>
          <w:lang w:val="pt-BR"/>
        </w:rPr>
      </w:pPr>
    </w:p>
    <w:p>
      <w:pPr>
        <w:spacing w:line="290" w:lineRule="auto"/>
        <w:ind w:left="709"/>
        <w:jc w:val="center"/>
        <w:rPr>
          <w:rFonts w:ascii="Arial" w:hAnsi="Arial" w:cs="Arial"/>
          <w:b/>
          <w:lang w:val="pt-BR"/>
        </w:rPr>
      </w:pPr>
      <w:r>
        <w:rPr>
          <w:rFonts w:ascii="Arial" w:hAnsi="Arial" w:cs="Arial"/>
          <w:b/>
          <w:lang w:val="pt-BR"/>
        </w:rPr>
        <w:t>MODELO DE NOTIFICAÇÃO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right"/>
        <w:rPr>
          <w:rFonts w:ascii="Arial" w:eastAsia="Calibri" w:hAnsi="Arial" w:cs="Arial"/>
          <w:lang w:val="pt-BR" w:eastAsia="en-US"/>
        </w:rPr>
      </w:pPr>
      <w:r>
        <w:rPr>
          <w:rFonts w:ascii="Arial" w:eastAsia="Calibri" w:hAnsi="Arial" w:cs="Arial"/>
          <w:highlight w:val="lightGray"/>
          <w:lang w:val="pt-BR" w:eastAsia="en-US"/>
        </w:rPr>
        <w:t>[</w:t>
      </w:r>
      <w:r>
        <w:rPr>
          <w:rFonts w:ascii="Arial" w:eastAsia="Calibri" w:hAnsi="Arial" w:cs="Arial"/>
          <w:i/>
          <w:iCs/>
          <w:highlight w:val="lightGray"/>
          <w:lang w:val="pt-BR" w:eastAsia="en-US"/>
        </w:rPr>
        <w:t>Local e Data</w:t>
      </w:r>
      <w:r>
        <w:rPr>
          <w:rFonts w:ascii="Arial" w:eastAsia="Calibri" w:hAnsi="Arial" w:cs="Arial"/>
          <w:highlight w:val="lightGray"/>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Ao</w:t>
      </w:r>
    </w:p>
    <w:p>
      <w:pPr>
        <w:autoSpaceDE/>
        <w:autoSpaceDN/>
        <w:adjustRightInd/>
        <w:spacing w:line="290" w:lineRule="auto"/>
        <w:ind w:left="709"/>
        <w:jc w:val="both"/>
        <w:rPr>
          <w:rFonts w:ascii="Arial" w:eastAsia="Calibri" w:hAnsi="Arial" w:cs="Arial"/>
          <w:b/>
          <w:bCs/>
          <w:lang w:val="pt-BR" w:eastAsia="en-US"/>
        </w:rPr>
      </w:pPr>
    </w:p>
    <w:p>
      <w:pPr>
        <w:autoSpaceDE/>
        <w:autoSpaceDN/>
        <w:adjustRightInd/>
        <w:spacing w:line="290" w:lineRule="auto"/>
        <w:ind w:left="709"/>
        <w:jc w:val="both"/>
        <w:rPr>
          <w:rFonts w:ascii="Arial" w:eastAsia="Calibri" w:hAnsi="Arial" w:cs="Arial"/>
          <w:b/>
          <w:bCs/>
          <w:i/>
          <w:lang w:val="pt-BR" w:eastAsia="en-US"/>
        </w:rPr>
      </w:pPr>
      <w:r>
        <w:rPr>
          <w:rFonts w:ascii="Arial" w:eastAsia="Calibri" w:hAnsi="Arial" w:cs="Arial"/>
          <w:b/>
          <w:bCs/>
          <w:lang w:val="pt-BR" w:eastAsia="en-US"/>
        </w:rPr>
        <w:t>[</w:t>
      </w:r>
      <w:r>
        <w:rPr>
          <w:rFonts w:ascii="Arial" w:eastAsia="Calibri" w:hAnsi="Arial" w:cs="Arial"/>
          <w:b/>
          <w:bCs/>
          <w:i/>
          <w:lang w:val="pt-BR" w:eastAsia="en-US"/>
        </w:rPr>
        <w:t>BANCO SANTANDER (BRASIL) S.A.</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Serviços Fiduciários (Célula </w:t>
      </w:r>
      <w:proofErr w:type="spellStart"/>
      <w:r>
        <w:rPr>
          <w:rFonts w:ascii="Arial" w:eastAsia="Calibri" w:hAnsi="Arial" w:cs="Arial"/>
          <w:i/>
          <w:lang w:val="pt-BR" w:eastAsia="en-US"/>
        </w:rPr>
        <w:t>Escrow</w:t>
      </w:r>
      <w:proofErr w:type="spellEnd"/>
      <w:r>
        <w:rPr>
          <w:rFonts w:ascii="Arial" w:eastAsia="Calibri" w:hAnsi="Arial" w:cs="Arial"/>
          <w:i/>
          <w:lang w:val="pt-BR" w:eastAsia="en-US"/>
        </w:rPr>
        <w:t xml:space="preserve">)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Endereço: Rua Amador Bueno, 474 – Setor Vermelho - 2º andar - Estação 177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Santo Amaro - São Paulo, SP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Telefone: (11) 5538-8408 ou (11) 5538-6171</w:t>
      </w:r>
    </w:p>
    <w:p>
      <w:pPr>
        <w:autoSpaceDE/>
        <w:autoSpaceDN/>
        <w:adjustRightInd/>
        <w:spacing w:line="290" w:lineRule="auto"/>
        <w:ind w:left="709"/>
        <w:jc w:val="both"/>
        <w:rPr>
          <w:rFonts w:eastAsia="Calibri"/>
          <w:i/>
        </w:rPr>
      </w:pPr>
      <w:r>
        <w:rPr>
          <w:rFonts w:ascii="Arial" w:eastAsia="Calibri" w:hAnsi="Arial" w:cs="Arial"/>
          <w:i/>
          <w:lang w:val="pt-BR" w:eastAsia="en-US"/>
        </w:rPr>
        <w:t xml:space="preserve">E-mail: </w:t>
      </w:r>
      <w:r>
        <w:rPr>
          <w:rFonts w:ascii="Arial" w:eastAsia="Calibri" w:hAnsi="Arial" w:cs="Arial"/>
          <w:i/>
          <w:lang w:val="pt-BR" w:eastAsia="en-US"/>
        </w:rPr>
        <w:fldChar w:fldCharType="begin"/>
      </w:r>
      <w:r>
        <w:rPr>
          <w:rFonts w:ascii="Arial" w:eastAsia="Calibri" w:hAnsi="Arial" w:cs="Arial"/>
          <w:i/>
          <w:lang w:val="pt-BR" w:eastAsia="en-US"/>
        </w:rPr>
        <w:instrText xml:space="preserve"> HYPERLINK "mailto:</w:instrText>
      </w:r>
      <w:r>
        <w:rPr>
          <w:rFonts w:eastAsia="Calibri"/>
          <w:i/>
        </w:rPr>
        <w:instrText>custodiaescrow@santander.com.br  ]</w:instrText>
      </w: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i/>
          <w:lang w:val="pt-BR" w:eastAsia="en-US"/>
        </w:rPr>
        <w:instrText xml:space="preserve">" </w:instrText>
      </w:r>
      <w:r>
        <w:rPr>
          <w:rFonts w:ascii="Arial" w:eastAsia="Calibri" w:hAnsi="Arial" w:cs="Arial"/>
          <w:i/>
          <w:lang w:val="pt-BR" w:eastAsia="en-US"/>
        </w:rPr>
        <w:fldChar w:fldCharType="separate"/>
      </w:r>
      <w:r>
        <w:rPr>
          <w:rStyle w:val="Hyperlink"/>
          <w:rFonts w:ascii="Arial" w:eastAsia="Calibri" w:hAnsi="Arial" w:cs="Arial"/>
          <w:i/>
          <w:lang w:val="pt-BR" w:eastAsia="en-US"/>
        </w:rPr>
        <w:t>custodiaescrow@santander.com.br</w:t>
      </w:r>
      <w:r>
        <w:rPr>
          <w:rFonts w:ascii="Arial" w:eastAsia="Calibri" w:hAnsi="Arial" w:cs="Arial"/>
          <w:i/>
          <w:lang w:val="pt-BR" w:eastAsia="en-US"/>
        </w:rPr>
        <w:fldChar w:fldCharType="end"/>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highlight w:val="lightGray"/>
          <w:lang w:val="pt-BR" w:eastAsia="en-US"/>
        </w:rPr>
        <w:t>{OU}</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b/>
          <w:i/>
          <w:lang w:val="pt-BR" w:eastAsia="en-US"/>
        </w:rPr>
      </w:pPr>
      <w:r>
        <w:rPr>
          <w:rFonts w:ascii="Arial" w:eastAsia="Calibri" w:hAnsi="Arial" w:cs="Arial"/>
          <w:b/>
          <w:lang w:val="pt-BR" w:eastAsia="en-US"/>
        </w:rPr>
        <w:t>[</w:t>
      </w:r>
      <w:r>
        <w:rPr>
          <w:rFonts w:ascii="Arial" w:eastAsia="Calibri" w:hAnsi="Arial" w:cs="Arial"/>
          <w:b/>
          <w:i/>
          <w:lang w:val="pt-BR" w:eastAsia="en-US"/>
        </w:rPr>
        <w:t>BANCO BRADESCO S.A.</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Marcelo </w:t>
      </w:r>
      <w:proofErr w:type="spellStart"/>
      <w:r>
        <w:rPr>
          <w:rFonts w:ascii="Arial" w:eastAsia="Calibri" w:hAnsi="Arial" w:cs="Arial"/>
          <w:i/>
          <w:lang w:val="pt-BR" w:eastAsia="en-US"/>
        </w:rPr>
        <w:t>Tanouye</w:t>
      </w:r>
      <w:proofErr w:type="spellEnd"/>
      <w:r>
        <w:rPr>
          <w:rFonts w:ascii="Arial" w:eastAsia="Calibri" w:hAnsi="Arial" w:cs="Arial"/>
          <w:i/>
          <w:lang w:val="pt-BR" w:eastAsia="en-US"/>
        </w:rPr>
        <w:t xml:space="preserve"> </w:t>
      </w:r>
      <w:proofErr w:type="spellStart"/>
      <w:r>
        <w:rPr>
          <w:rFonts w:ascii="Arial" w:eastAsia="Calibri" w:hAnsi="Arial" w:cs="Arial"/>
          <w:i/>
          <w:lang w:val="pt-BR" w:eastAsia="en-US"/>
        </w:rPr>
        <w:t>Nurchis</w:t>
      </w:r>
      <w:proofErr w:type="spellEnd"/>
      <w:r>
        <w:rPr>
          <w:rFonts w:ascii="Arial" w:eastAsia="Calibri" w:hAnsi="Arial" w:cs="Arial"/>
          <w:i/>
          <w:lang w:val="pt-BR" w:eastAsia="en-US"/>
        </w:rPr>
        <w:t xml:space="preserve"> e </w:t>
      </w:r>
      <w:proofErr w:type="spellStart"/>
      <w:r>
        <w:rPr>
          <w:rFonts w:ascii="Arial" w:eastAsia="Calibri" w:hAnsi="Arial" w:cs="Arial"/>
          <w:i/>
          <w:lang w:val="pt-BR" w:eastAsia="en-US"/>
        </w:rPr>
        <w:t>Yoiti</w:t>
      </w:r>
      <w:proofErr w:type="spellEnd"/>
      <w:r>
        <w:rPr>
          <w:rFonts w:ascii="Arial" w:eastAsia="Calibri" w:hAnsi="Arial" w:cs="Arial"/>
          <w:i/>
          <w:lang w:val="pt-BR" w:eastAsia="en-US"/>
        </w:rPr>
        <w:t xml:space="preserve"> Watanabe</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Endereço: Núcleo Cidade de Deus, Vila Yara, Prédio Amarelo.</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Osasco – São Paulo, SP</w:t>
      </w: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i/>
          <w:lang w:val="pt-BR" w:eastAsia="en-US"/>
        </w:rPr>
        <w:t xml:space="preserve">E-mail: marcelo.nurchis@bradesco.com.br / </w:t>
      </w:r>
      <w:hyperlink r:id="rId12" w:history="1">
        <w:r>
          <w:rPr>
            <w:rStyle w:val="Hyperlink"/>
            <w:rFonts w:ascii="Arial" w:eastAsia="Calibri" w:hAnsi="Arial" w:cs="Arial"/>
            <w:i/>
            <w:lang w:val="pt-BR" w:eastAsia="en-US"/>
          </w:rPr>
          <w:t>dac.agente@bradesco.com.br</w:t>
        </w:r>
      </w:hyperlink>
      <w:r>
        <w:rPr>
          <w:rFonts w:ascii="Arial" w:eastAsia="Calibri" w:hAnsi="Arial" w:cs="Arial"/>
          <w:i/>
          <w:lang w:val="pt-BR" w:eastAsia="en-US"/>
        </w:rPr>
        <w:t xml:space="preserve"> / yoiti.watanabe@bradesco.com.br</w:t>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Prezados Senhores,</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Fazemos referência ao [</w:t>
      </w:r>
      <w:r>
        <w:rPr>
          <w:rFonts w:ascii="Arial" w:eastAsia="Calibri" w:hAnsi="Arial" w:cs="Arial"/>
          <w:i/>
          <w:lang w:val="pt-BR" w:eastAsia="en-US"/>
        </w:rPr>
        <w:t xml:space="preserve">Contrato de Depósito celebrado em 20  de março  de 2020, entre a </w:t>
      </w:r>
      <w:proofErr w:type="spellStart"/>
      <w:r>
        <w:rPr>
          <w:rFonts w:ascii="Arial" w:eastAsia="Calibri" w:hAnsi="Arial" w:cs="Arial"/>
          <w:i/>
          <w:lang w:val="pt-BR" w:eastAsia="en-US"/>
        </w:rPr>
        <w:t>Eletromidia</w:t>
      </w:r>
      <w:proofErr w:type="spellEnd"/>
      <w:r>
        <w:rPr>
          <w:rFonts w:ascii="Arial" w:eastAsia="Calibri" w:hAnsi="Arial" w:cs="Arial"/>
          <w:i/>
          <w:lang w:val="pt-BR" w:eastAsia="en-US"/>
        </w:rPr>
        <w:t xml:space="preserve">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Santander (Brasil) S.A.</w:t>
      </w:r>
      <w:r>
        <w:rPr>
          <w:rFonts w:ascii="Arial" w:eastAsia="Calibri" w:hAnsi="Arial" w:cs="Arial"/>
          <w:lang w:val="pt-BR" w:eastAsia="en-US"/>
        </w:rPr>
        <w:t xml:space="preserve">] </w:t>
      </w:r>
      <w:r>
        <w:rPr>
          <w:rFonts w:ascii="Arial" w:eastAsia="Calibri" w:hAnsi="Arial" w:cs="Arial"/>
          <w:highlight w:val="lightGray"/>
          <w:lang w:val="pt-BR" w:eastAsia="en-US"/>
        </w:rPr>
        <w:t>{OU}</w:t>
      </w:r>
      <w:r>
        <w:rPr>
          <w:rFonts w:ascii="Arial" w:eastAsia="Calibri" w:hAnsi="Arial" w:cs="Arial"/>
          <w:lang w:val="pt-BR" w:eastAsia="en-US"/>
        </w:rPr>
        <w:t xml:space="preserve"> [</w:t>
      </w:r>
      <w:r>
        <w:rPr>
          <w:rFonts w:ascii="Arial" w:hAnsi="Arial" w:cs="Arial"/>
          <w:i/>
          <w:iCs/>
        </w:rPr>
        <w:t>Contrato de Prestação de Serviços de Depositário</w:t>
      </w:r>
      <w:r>
        <w:rPr>
          <w:rFonts w:ascii="Arial" w:hAnsi="Arial" w:cs="Arial"/>
          <w:i/>
        </w:rPr>
        <w:t xml:space="preserve">”, celebrado em [●] de [●] de 2021 entre </w:t>
      </w:r>
      <w:r>
        <w:rPr>
          <w:rFonts w:ascii="Arial" w:eastAsia="Calibri" w:hAnsi="Arial" w:cs="Arial"/>
          <w:i/>
          <w:lang w:val="pt-BR" w:eastAsia="en-US"/>
        </w:rPr>
        <w:t xml:space="preserve">a </w:t>
      </w:r>
      <w:proofErr w:type="spellStart"/>
      <w:r>
        <w:rPr>
          <w:rFonts w:ascii="Arial" w:eastAsia="Calibri" w:hAnsi="Arial" w:cs="Arial"/>
          <w:i/>
          <w:lang w:val="pt-BR" w:eastAsia="en-US"/>
        </w:rPr>
        <w:t>Eletromidia</w:t>
      </w:r>
      <w:proofErr w:type="spellEnd"/>
      <w:r>
        <w:rPr>
          <w:rFonts w:ascii="Arial" w:eastAsia="Calibri" w:hAnsi="Arial" w:cs="Arial"/>
          <w:i/>
          <w:lang w:val="pt-BR" w:eastAsia="en-US"/>
        </w:rPr>
        <w:t xml:space="preserve">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Bradesco S.A.</w:t>
      </w:r>
      <w:r>
        <w:rPr>
          <w:rFonts w:ascii="Arial" w:eastAsia="Calibri" w:hAnsi="Arial" w:cs="Arial"/>
          <w:lang w:val="pt-BR" w:eastAsia="en-US"/>
        </w:rPr>
        <w:t>] (“</w:t>
      </w:r>
      <w:r>
        <w:rPr>
          <w:rFonts w:ascii="Arial" w:eastAsia="Calibri" w:hAnsi="Arial" w:cs="Arial"/>
          <w:b/>
          <w:bCs/>
          <w:lang w:val="pt-BR" w:eastAsia="en-US"/>
        </w:rPr>
        <w:t>Contrato de Depósito</w:t>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Nos termos da Cláusula [●] do Contrato de Depósito, viemos, por meio desta, de forma irrevogável, manifestar nosso interesse em rescindir o Contrato de Depósito, com efeito após 30 (trinta) dias contados desta data, ou seja</w:t>
      </w:r>
      <w:r>
        <w:rPr>
          <w:rFonts w:ascii="Arial" w:eastAsia="Calibri" w:hAnsi="Arial" w:cs="Arial"/>
          <w:highlight w:val="lightGray"/>
          <w:lang w:val="pt-BR" w:eastAsia="en-US"/>
        </w:rPr>
        <w:t>,</w:t>
      </w:r>
      <w:r>
        <w:rPr>
          <w:rFonts w:ascii="Arial" w:eastAsia="Calibri" w:hAnsi="Arial" w:cs="Arial"/>
          <w:lang w:val="pt-BR" w:eastAsia="en-US"/>
        </w:rPr>
        <w:t xml:space="preserve"> em [●] de [●] de [</w:t>
      </w:r>
      <w:r>
        <w:rPr>
          <w:rFonts w:ascii="Arial" w:eastAsia="Calibri" w:hAnsi="Arial" w:cs="Arial"/>
          <w:lang w:val="pt-BR" w:eastAsia="en-US"/>
        </w:rPr>
        <w:sym w:font="Symbol" w:char="F0B7"/>
      </w:r>
      <w:r>
        <w:rPr>
          <w:rFonts w:ascii="Arial" w:eastAsia="Calibri" w:hAnsi="Arial" w:cs="Arial"/>
          <w:lang w:val="pt-BR" w:eastAsia="en-US"/>
        </w:rPr>
        <w:t xml:space="preserve">]. </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Nesse sentido, solicitamos a V.Sa. </w:t>
      </w:r>
      <w:proofErr w:type="gramStart"/>
      <w:r>
        <w:rPr>
          <w:rFonts w:ascii="Arial" w:eastAsia="Calibri" w:hAnsi="Arial" w:cs="Arial"/>
          <w:lang w:val="pt-BR" w:eastAsia="en-US"/>
        </w:rPr>
        <w:t>que</w:t>
      </w:r>
      <w:proofErr w:type="gramEnd"/>
      <w:r>
        <w:rPr>
          <w:rFonts w:ascii="Arial" w:eastAsia="Calibri" w:hAnsi="Arial" w:cs="Arial"/>
          <w:lang w:val="pt-BR" w:eastAsia="en-US"/>
        </w:rPr>
        <w:t>, nos termos da Cláusula [●] do Contrato de Depósito, em [●] de [●] de 2021, (i) eventual saldo existente nas Contas de Depósito seja integralmente transferido para as respectivas Contas Movimento indicadas na Cláusula [●] do Contrato de Depósito; (</w:t>
      </w:r>
      <w:proofErr w:type="spellStart"/>
      <w:r>
        <w:rPr>
          <w:rFonts w:ascii="Arial" w:eastAsia="Calibri" w:hAnsi="Arial" w:cs="Arial"/>
          <w:lang w:val="pt-BR" w:eastAsia="en-US"/>
        </w:rPr>
        <w:t>ii</w:t>
      </w:r>
      <w:proofErr w:type="spellEnd"/>
      <w:r>
        <w:rPr>
          <w:rFonts w:ascii="Arial" w:eastAsia="Calibri" w:hAnsi="Arial" w:cs="Arial"/>
          <w:lang w:val="pt-BR" w:eastAsia="en-US"/>
        </w:rPr>
        <w:t>) após a realização da transferência descrita no item (i), que todas as Contas de Depósito sejam imediatamente encerradas; e (</w:t>
      </w:r>
      <w:proofErr w:type="spellStart"/>
      <w:r>
        <w:rPr>
          <w:rFonts w:ascii="Arial" w:eastAsia="Calibri" w:hAnsi="Arial" w:cs="Arial"/>
          <w:lang w:val="pt-BR" w:eastAsia="en-US"/>
        </w:rPr>
        <w:t>iii</w:t>
      </w:r>
      <w:proofErr w:type="spellEnd"/>
      <w:r>
        <w:rPr>
          <w:rFonts w:ascii="Arial" w:eastAsia="Calibri" w:hAnsi="Arial" w:cs="Arial"/>
          <w:lang w:val="pt-BR" w:eastAsia="en-US"/>
        </w:rPr>
        <w:t xml:space="preserve">) após o encerramento das Contas de Depósito, que V.Sa. </w:t>
      </w:r>
      <w:proofErr w:type="gramStart"/>
      <w:r>
        <w:rPr>
          <w:rFonts w:ascii="Arial" w:eastAsia="Calibri" w:hAnsi="Arial" w:cs="Arial"/>
          <w:lang w:val="pt-BR" w:eastAsia="en-US"/>
        </w:rPr>
        <w:t>nos</w:t>
      </w:r>
      <w:proofErr w:type="gramEnd"/>
      <w:r>
        <w:rPr>
          <w:rFonts w:ascii="Arial" w:eastAsia="Calibri" w:hAnsi="Arial" w:cs="Arial"/>
          <w:lang w:val="pt-BR" w:eastAsia="en-US"/>
        </w:rPr>
        <w:t xml:space="preserve"> envie uma cópia do respectivo comprovante de encerramento.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Por fim, fica desde já acordado que, a partir de [●] de [●] de 2021 e após o encerramento das Contas </w:t>
      </w:r>
      <w:r>
        <w:rPr>
          <w:rFonts w:ascii="Arial" w:eastAsia="Calibri" w:hAnsi="Arial" w:cs="Arial"/>
          <w:lang w:val="pt-BR" w:eastAsia="en-US"/>
        </w:rPr>
        <w:lastRenderedPageBreak/>
        <w:t xml:space="preserve">de Depósito, tanto o V.Sa. </w:t>
      </w:r>
      <w:proofErr w:type="gramStart"/>
      <w:r>
        <w:rPr>
          <w:rFonts w:ascii="Arial" w:eastAsia="Calibri" w:hAnsi="Arial" w:cs="Arial"/>
          <w:lang w:val="pt-BR" w:eastAsia="en-US"/>
        </w:rPr>
        <w:t>quanto</w:t>
      </w:r>
      <w:proofErr w:type="gramEnd"/>
      <w:r>
        <w:rPr>
          <w:rFonts w:ascii="Arial" w:eastAsia="Calibri" w:hAnsi="Arial" w:cs="Arial"/>
          <w:lang w:val="pt-BR" w:eastAsia="en-US"/>
        </w:rPr>
        <w:t xml:space="preserve"> a </w:t>
      </w:r>
      <w:proofErr w:type="spellStart"/>
      <w:r>
        <w:rPr>
          <w:rFonts w:ascii="Arial" w:eastAsia="Calibri" w:hAnsi="Arial" w:cs="Arial"/>
          <w:lang w:val="pt-BR" w:eastAsia="en-US"/>
        </w:rPr>
        <w:t>Eletromídia</w:t>
      </w:r>
      <w:proofErr w:type="spellEnd"/>
      <w:r>
        <w:rPr>
          <w:rFonts w:ascii="Arial" w:eastAsia="Calibri" w:hAnsi="Arial" w:cs="Arial"/>
          <w:lang w:val="pt-BR" w:eastAsia="en-US"/>
        </w:rPr>
        <w:t xml:space="preserve"> S.A., a TV Minuto S.A., a </w:t>
      </w:r>
      <w:proofErr w:type="spellStart"/>
      <w:r>
        <w:rPr>
          <w:rFonts w:ascii="Arial" w:eastAsia="Calibri" w:hAnsi="Arial" w:cs="Arial"/>
          <w:lang w:val="pt-BR" w:eastAsia="en-US"/>
        </w:rPr>
        <w:t>Elemídia</w:t>
      </w:r>
      <w:proofErr w:type="spellEnd"/>
      <w:r>
        <w:rPr>
          <w:rFonts w:ascii="Arial" w:eastAsia="Calibri" w:hAnsi="Arial" w:cs="Arial"/>
          <w:lang w:val="pt-BR" w:eastAsia="en-US"/>
        </w:rPr>
        <w:t xml:space="preserve"> Consultoria e Serviços de Marketing S.A. e a Simplific Pavarini Distribuidora de Títulos e Valores Mobiliários Ltda. estarão automaticamente liberados de todas as suas obrigações no âmbito do Contrato de Depósito.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Todos os termos em maiúsculas não expressamente definidos neste documento terão o significado que lhes é atribuído no Contrato de Depósito.</w:t>
      </w:r>
    </w:p>
    <w:p>
      <w:pPr>
        <w:autoSpaceDE/>
        <w:autoSpaceDN/>
        <w:adjustRightInd/>
        <w:spacing w:line="290" w:lineRule="auto"/>
        <w:ind w:left="709"/>
        <w:jc w:val="both"/>
        <w:rPr>
          <w:rFonts w:ascii="Arial" w:eastAsia="Calibri" w:hAnsi="Arial" w:cs="Arial"/>
          <w:lang w:val="pt-BR" w:eastAsia="en-US"/>
        </w:rPr>
      </w:pPr>
    </w:p>
    <w:p>
      <w:pPr>
        <w:keepNext/>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Atenciosamente,</w:t>
      </w:r>
    </w:p>
    <w:p>
      <w:pPr>
        <w:keepNext/>
        <w:autoSpaceDE/>
        <w:autoSpaceDN/>
        <w:adjustRightInd/>
        <w:spacing w:line="290" w:lineRule="auto"/>
        <w:ind w:left="709"/>
        <w:jc w:val="both"/>
        <w:rPr>
          <w:rFonts w:ascii="Arial" w:eastAsia="Calibri" w:hAnsi="Arial" w:cs="Arial"/>
          <w:lang w:val="pt-BR" w:eastAsia="en-US"/>
        </w:rPr>
      </w:pPr>
    </w:p>
    <w:p>
      <w:pPr>
        <w:keepNext/>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ELETROMÍDIA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36"/>
        <w:gridCol w:w="235"/>
        <w:gridCol w:w="4283"/>
      </w:tblGrid>
      <w:tr>
        <w:tc>
          <w:tcPr>
            <w:tcW w:w="4284"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235" w:type="dxa"/>
          </w:tcPr>
          <w:p>
            <w:pPr>
              <w:autoSpaceDE/>
              <w:autoSpaceDN/>
              <w:adjustRightInd/>
              <w:spacing w:line="290" w:lineRule="auto"/>
              <w:jc w:val="both"/>
              <w:rPr>
                <w:rFonts w:ascii="Arial" w:eastAsia="Calibri" w:hAnsi="Arial" w:cs="Arial"/>
                <w:u w:val="single"/>
                <w:lang w:val="pt-BR" w:eastAsia="en-US"/>
              </w:rPr>
            </w:pPr>
          </w:p>
        </w:tc>
        <w:tc>
          <w:tcPr>
            <w:tcW w:w="428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jc w:val="both"/>
        <w:rPr>
          <w:rFonts w:ascii="Arial" w:eastAsia="Calibri" w:hAnsi="Arial" w:cs="Arial"/>
          <w:b/>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TV MINUTO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rPr>
          <w:rFonts w:ascii="Arial" w:eastAsia="Calibri" w:hAnsi="Arial" w:cs="Arial"/>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ELEMÍDIA CONSULTORIA E SERVIÇOS DE MARKETING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rPr>
          <w:rFonts w:ascii="Arial" w:eastAsia="Calibri" w:hAnsi="Arial" w:cs="Arial"/>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SIMPLIFIC PAVARINI DISTRIBUIDORA DE TÍTULOS E VALORES MOBILIÁRIOS LTDA.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jc w:val="both"/>
        <w:rPr>
          <w:rFonts w:ascii="Arial" w:eastAsia="Calibri" w:hAnsi="Arial" w:cs="Arial"/>
          <w:b/>
          <w:lang w:val="pt-BR" w:eastAsia="en-US"/>
        </w:rPr>
      </w:pPr>
    </w:p>
    <w:p>
      <w:pPr>
        <w:autoSpaceDE/>
        <w:autoSpaceDN/>
        <w:adjustRightInd/>
        <w:spacing w:line="290" w:lineRule="auto"/>
        <w:ind w:left="709"/>
        <w:rPr>
          <w:rFonts w:ascii="Arial" w:hAnsi="Arial" w:cs="Arial"/>
          <w:b/>
          <w:lang w:val="pt-BR"/>
        </w:rPr>
      </w:pPr>
    </w:p>
    <w:p>
      <w:pPr>
        <w:autoSpaceDE/>
        <w:autoSpaceDN/>
        <w:adjustRightInd/>
        <w:spacing w:afterLines="140" w:after="336" w:line="290" w:lineRule="auto"/>
        <w:ind w:left="709"/>
        <w:rPr>
          <w:rFonts w:ascii="Arial" w:hAnsi="Arial" w:cs="Arial"/>
          <w:b/>
          <w:lang w:val="pt-BR"/>
        </w:rPr>
      </w:pPr>
      <w:r>
        <w:rPr>
          <w:rFonts w:ascii="Arial" w:hAnsi="Arial" w:cs="Arial"/>
          <w:b/>
          <w:lang w:val="pt-BR"/>
        </w:rPr>
        <w:br w:type="page"/>
      </w:r>
    </w:p>
    <w:p>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09.347.516/0001-81</w:t>
      </w:r>
    </w:p>
    <w:p>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pPr>
        <w:spacing w:after="140" w:line="290" w:lineRule="auto"/>
        <w:jc w:val="both"/>
        <w:rPr>
          <w:rFonts w:ascii="Arial" w:hAnsi="Arial" w:cs="Arial"/>
          <w:noProof/>
          <w:lang w:val="pt-BR"/>
        </w:rPr>
      </w:pPr>
      <w:r>
        <w:rPr>
          <w:rFonts w:ascii="Arial" w:hAnsi="Arial" w:cs="Arial"/>
          <w:noProof/>
          <w:lang w:val="pt-BR"/>
        </w:rPr>
        <w:t>São Paulo/SP - CEP 04542-000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09.347.516/0003-43</w:t>
      </w:r>
    </w:p>
    <w:p>
      <w:pPr>
        <w:spacing w:after="140" w:line="290" w:lineRule="auto"/>
        <w:jc w:val="both"/>
        <w:rPr>
          <w:rFonts w:ascii="Arial" w:hAnsi="Arial" w:cs="Arial"/>
          <w:noProof/>
          <w:lang w:val="pt-BR"/>
        </w:rPr>
      </w:pPr>
      <w:r>
        <w:rPr>
          <w:rFonts w:ascii="Arial" w:hAnsi="Arial" w:cs="Arial"/>
          <w:noProof/>
          <w:lang w:val="pt-BR"/>
        </w:rPr>
        <w:t>Rua Voluntários da Pátria, nº 89, sala 803, Botafogo,</w:t>
      </w:r>
    </w:p>
    <w:p>
      <w:pPr>
        <w:spacing w:after="140" w:line="290" w:lineRule="auto"/>
        <w:jc w:val="both"/>
        <w:rPr>
          <w:rFonts w:ascii="Arial" w:hAnsi="Arial" w:cs="Arial"/>
          <w:noProof/>
          <w:lang w:val="pt-BR"/>
        </w:rPr>
      </w:pPr>
      <w:r>
        <w:rPr>
          <w:rFonts w:ascii="Arial" w:hAnsi="Arial" w:cs="Arial"/>
          <w:noProof/>
          <w:lang w:val="pt-BR"/>
        </w:rPr>
        <w:t>Rio de Janeiro/RJ - CEP 22270-000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09.347.516/0004-24</w:t>
      </w:r>
    </w:p>
    <w:p>
      <w:pPr>
        <w:spacing w:after="140" w:line="290" w:lineRule="auto"/>
        <w:jc w:val="both"/>
        <w:rPr>
          <w:rFonts w:ascii="Arial" w:hAnsi="Arial" w:cs="Arial"/>
          <w:noProof/>
          <w:lang w:val="pt-BR"/>
        </w:rPr>
      </w:pPr>
      <w:r>
        <w:rPr>
          <w:rFonts w:ascii="Arial" w:hAnsi="Arial" w:cs="Arial"/>
          <w:noProof/>
          <w:lang w:val="pt-BR"/>
        </w:rPr>
        <w:t>Rua Emílio Goeldi, nº 625, Armazém 04, Lapa de Baixo,</w:t>
      </w:r>
    </w:p>
    <w:p>
      <w:pPr>
        <w:spacing w:after="140" w:line="290" w:lineRule="auto"/>
        <w:jc w:val="both"/>
        <w:rPr>
          <w:rFonts w:ascii="Arial" w:hAnsi="Arial" w:cs="Arial"/>
          <w:noProof/>
          <w:lang w:val="pt-BR"/>
        </w:rPr>
      </w:pPr>
      <w:r>
        <w:rPr>
          <w:rFonts w:ascii="Arial" w:hAnsi="Arial" w:cs="Arial"/>
          <w:noProof/>
          <w:lang w:val="pt-BR"/>
        </w:rPr>
        <w:t>São Paulo/SP.</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09.347.516/0005-05</w:t>
      </w:r>
    </w:p>
    <w:p>
      <w:pPr>
        <w:spacing w:after="140" w:line="290" w:lineRule="auto"/>
        <w:jc w:val="both"/>
        <w:rPr>
          <w:rFonts w:ascii="Arial" w:hAnsi="Arial" w:cs="Arial"/>
          <w:noProof/>
          <w:lang w:val="pt-BR"/>
        </w:rPr>
      </w:pPr>
      <w:r>
        <w:rPr>
          <w:rFonts w:ascii="Arial" w:hAnsi="Arial" w:cs="Arial"/>
          <w:noProof/>
          <w:lang w:val="pt-BR"/>
        </w:rPr>
        <w:t>Av. Dom Luis, nº 807, SL PV21, SL PV20, Meireles, Fortaleza/CE</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CNPJ:09.347.516/0006-96</w:t>
      </w:r>
    </w:p>
    <w:p>
      <w:pPr>
        <w:spacing w:after="140" w:line="290" w:lineRule="auto"/>
        <w:jc w:val="both"/>
        <w:rPr>
          <w:rFonts w:ascii="Arial" w:hAnsi="Arial" w:cs="Arial"/>
          <w:noProof/>
          <w:lang w:val="pt-BR"/>
        </w:rPr>
      </w:pPr>
      <w:r>
        <w:rPr>
          <w:rFonts w:ascii="Arial" w:hAnsi="Arial" w:cs="Arial"/>
          <w:noProof/>
          <w:lang w:val="pt-BR"/>
        </w:rPr>
        <w:t>Av. Dolores Alcaraz Caldas, nº 90, 8º andar, Praia de Belas,</w:t>
      </w:r>
    </w:p>
    <w:p>
      <w:pPr>
        <w:spacing w:after="140" w:line="290" w:lineRule="auto"/>
        <w:jc w:val="both"/>
        <w:rPr>
          <w:rFonts w:ascii="Arial" w:hAnsi="Arial" w:cs="Arial"/>
          <w:noProof/>
          <w:lang w:val="pt-BR"/>
        </w:rPr>
      </w:pPr>
      <w:r>
        <w:rPr>
          <w:rFonts w:ascii="Arial" w:hAnsi="Arial" w:cs="Arial"/>
          <w:noProof/>
          <w:lang w:val="pt-BR"/>
        </w:rPr>
        <w:t xml:space="preserve">Porto Alegre/RS </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CNPJ:09.347.516/0007-77</w:t>
      </w:r>
    </w:p>
    <w:p>
      <w:pPr>
        <w:spacing w:after="140" w:line="290" w:lineRule="auto"/>
        <w:jc w:val="both"/>
        <w:rPr>
          <w:rFonts w:ascii="Arial" w:hAnsi="Arial" w:cs="Arial"/>
          <w:noProof/>
          <w:lang w:val="pt-BR"/>
        </w:rPr>
      </w:pPr>
      <w:r>
        <w:rPr>
          <w:rFonts w:ascii="Arial" w:hAnsi="Arial" w:cs="Arial"/>
          <w:noProof/>
          <w:lang w:val="pt-BR"/>
        </w:rPr>
        <w:t>Rua Alceu Amoroso Lima, nº 668, Sala 1304, Caminho das Árvores</w:t>
      </w:r>
    </w:p>
    <w:p>
      <w:pPr>
        <w:spacing w:after="140" w:line="290" w:lineRule="auto"/>
        <w:jc w:val="both"/>
        <w:rPr>
          <w:rFonts w:ascii="Arial" w:hAnsi="Arial" w:cs="Arial"/>
          <w:noProof/>
          <w:lang w:val="pt-BR"/>
        </w:rPr>
      </w:pPr>
      <w:r>
        <w:rPr>
          <w:rFonts w:ascii="Arial" w:hAnsi="Arial" w:cs="Arial"/>
          <w:noProof/>
          <w:lang w:val="pt-BR"/>
        </w:rPr>
        <w:t xml:space="preserve">Salvador/BA </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lastRenderedPageBreak/>
        <w:t>ELETROMIDIA S.A.</w:t>
      </w:r>
    </w:p>
    <w:p>
      <w:pPr>
        <w:spacing w:after="140" w:line="290" w:lineRule="auto"/>
        <w:jc w:val="both"/>
        <w:rPr>
          <w:rFonts w:ascii="Arial" w:hAnsi="Arial" w:cs="Arial"/>
          <w:noProof/>
          <w:lang w:val="pt-BR"/>
        </w:rPr>
      </w:pPr>
      <w:r>
        <w:rPr>
          <w:rFonts w:ascii="Arial" w:hAnsi="Arial" w:cs="Arial"/>
          <w:noProof/>
          <w:lang w:val="pt-BR"/>
        </w:rPr>
        <w:t>CNPJ:09.347.516/0008-58</w:t>
      </w:r>
    </w:p>
    <w:p>
      <w:pPr>
        <w:spacing w:after="140" w:line="290" w:lineRule="auto"/>
        <w:jc w:val="both"/>
        <w:rPr>
          <w:rFonts w:ascii="Arial" w:hAnsi="Arial" w:cs="Arial"/>
          <w:noProof/>
          <w:lang w:val="pt-BR"/>
        </w:rPr>
      </w:pPr>
      <w:r>
        <w:rPr>
          <w:rFonts w:ascii="Arial" w:hAnsi="Arial" w:cs="Arial"/>
          <w:noProof/>
          <w:lang w:val="pt-BR"/>
        </w:rPr>
        <w:t>Rua Benedito Otoni, nº71, São Cristóvão</w:t>
      </w:r>
    </w:p>
    <w:p>
      <w:pPr>
        <w:spacing w:after="140" w:line="290" w:lineRule="auto"/>
        <w:jc w:val="both"/>
        <w:rPr>
          <w:rFonts w:ascii="Arial" w:hAnsi="Arial" w:cs="Arial"/>
          <w:noProof/>
          <w:lang w:val="pt-BR"/>
        </w:rPr>
      </w:pPr>
      <w:r>
        <w:rPr>
          <w:rFonts w:ascii="Arial" w:hAnsi="Arial" w:cs="Arial"/>
          <w:noProof/>
          <w:lang w:val="pt-BR"/>
        </w:rPr>
        <w:t>Rio de Janeiro/RJ</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05.881.258/0001-68</w:t>
      </w:r>
    </w:p>
    <w:p>
      <w:pPr>
        <w:spacing w:after="140" w:line="290" w:lineRule="auto"/>
        <w:jc w:val="both"/>
        <w:rPr>
          <w:rFonts w:ascii="Arial" w:hAnsi="Arial" w:cs="Arial"/>
          <w:noProof/>
          <w:lang w:val="pt-BR"/>
        </w:rPr>
      </w:pPr>
      <w:r>
        <w:rPr>
          <w:rFonts w:ascii="Arial" w:hAnsi="Arial" w:cs="Arial"/>
          <w:noProof/>
          <w:lang w:val="pt-BR"/>
        </w:rPr>
        <w:t xml:space="preserve">Avenida Brigadeiro Faria Lima, 4300, 7º Andar, Itaim Bibi, CEP </w:t>
      </w:r>
    </w:p>
    <w:p>
      <w:pPr>
        <w:spacing w:after="140" w:line="290" w:lineRule="auto"/>
        <w:jc w:val="both"/>
        <w:rPr>
          <w:rFonts w:ascii="Arial" w:hAnsi="Arial" w:cs="Arial"/>
          <w:noProof/>
          <w:lang w:val="pt-BR"/>
        </w:rPr>
      </w:pPr>
      <w:r>
        <w:rPr>
          <w:rFonts w:ascii="Arial" w:hAnsi="Arial" w:cs="Arial"/>
          <w:noProof/>
          <w:lang w:val="pt-BR"/>
        </w:rPr>
        <w:t>São Paulo/SP - CEP 04.538-132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05.881.258/0003-20</w:t>
      </w:r>
    </w:p>
    <w:p>
      <w:pPr>
        <w:spacing w:after="140" w:line="290" w:lineRule="auto"/>
        <w:jc w:val="both"/>
        <w:rPr>
          <w:rFonts w:ascii="Arial" w:hAnsi="Arial" w:cs="Arial"/>
          <w:noProof/>
          <w:lang w:val="pt-BR"/>
        </w:rPr>
      </w:pPr>
      <w:r>
        <w:rPr>
          <w:rFonts w:ascii="Arial" w:hAnsi="Arial" w:cs="Arial"/>
          <w:noProof/>
          <w:lang w:val="pt-BR"/>
        </w:rPr>
        <w:t>Rua Padre Anchieta, nº2020, Champagnat, salas 2302 e 2303</w:t>
      </w:r>
    </w:p>
    <w:p>
      <w:pPr>
        <w:spacing w:after="140" w:line="290" w:lineRule="auto"/>
        <w:jc w:val="both"/>
        <w:rPr>
          <w:rFonts w:ascii="Arial" w:hAnsi="Arial" w:cs="Arial"/>
          <w:noProof/>
          <w:lang w:val="pt-BR"/>
        </w:rPr>
      </w:pPr>
      <w:r>
        <w:rPr>
          <w:rFonts w:ascii="Arial" w:hAnsi="Arial" w:cs="Arial"/>
          <w:noProof/>
          <w:lang w:val="pt-BR"/>
        </w:rPr>
        <w:t>Curitiba/PR – CEP 80730-000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05.881.258/0004-00</w:t>
      </w:r>
    </w:p>
    <w:p>
      <w:pPr>
        <w:spacing w:after="140" w:line="290" w:lineRule="auto"/>
        <w:jc w:val="both"/>
        <w:rPr>
          <w:rFonts w:ascii="Arial" w:hAnsi="Arial" w:cs="Arial"/>
          <w:noProof/>
          <w:lang w:val="pt-BR"/>
        </w:rPr>
      </w:pPr>
      <w:r>
        <w:rPr>
          <w:rFonts w:ascii="Arial" w:hAnsi="Arial" w:cs="Arial"/>
          <w:noProof/>
          <w:lang w:val="pt-BR"/>
        </w:rPr>
        <w:t>Praia de Botafogo, nº228, sala 1103, Botafogo</w:t>
      </w:r>
    </w:p>
    <w:p>
      <w:pPr>
        <w:spacing w:after="140" w:line="290" w:lineRule="auto"/>
        <w:jc w:val="both"/>
        <w:rPr>
          <w:rFonts w:ascii="Arial" w:hAnsi="Arial" w:cs="Arial"/>
          <w:noProof/>
          <w:lang w:val="pt-BR"/>
        </w:rPr>
      </w:pPr>
      <w:r>
        <w:rPr>
          <w:rFonts w:ascii="Arial" w:hAnsi="Arial" w:cs="Arial"/>
          <w:noProof/>
          <w:lang w:val="pt-BR"/>
        </w:rPr>
        <w:t>Rio de Janeiro/ RJ – CEP 22250-906</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05.881.258/0005-91</w:t>
      </w:r>
    </w:p>
    <w:p>
      <w:pPr>
        <w:spacing w:after="140" w:line="290" w:lineRule="auto"/>
        <w:jc w:val="both"/>
        <w:rPr>
          <w:rFonts w:ascii="Arial" w:hAnsi="Arial" w:cs="Arial"/>
          <w:noProof/>
          <w:lang w:val="pt-BR"/>
        </w:rPr>
      </w:pPr>
      <w:r>
        <w:rPr>
          <w:rFonts w:ascii="Arial" w:hAnsi="Arial" w:cs="Arial"/>
          <w:noProof/>
          <w:lang w:val="pt-BR"/>
        </w:rPr>
        <w:t>Rua Fernandes Tourinho, 235, sala 1105, Edifício Fernandes Tourinho, Savassi</w:t>
      </w:r>
    </w:p>
    <w:p>
      <w:pPr>
        <w:spacing w:after="140" w:line="290" w:lineRule="auto"/>
        <w:jc w:val="both"/>
        <w:rPr>
          <w:rFonts w:ascii="Arial" w:hAnsi="Arial" w:cs="Arial"/>
          <w:noProof/>
          <w:lang w:val="pt-BR"/>
        </w:rPr>
      </w:pPr>
      <w:r>
        <w:rPr>
          <w:rFonts w:ascii="Arial" w:hAnsi="Arial" w:cs="Arial"/>
          <w:noProof/>
          <w:lang w:val="pt-BR"/>
        </w:rPr>
        <w:t>Belo Horizonte/MG – CEP 30112-000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05.881.258/0006-72</w:t>
      </w:r>
    </w:p>
    <w:p>
      <w:pPr>
        <w:spacing w:after="140" w:line="290" w:lineRule="auto"/>
        <w:jc w:val="both"/>
        <w:rPr>
          <w:rFonts w:ascii="Arial" w:hAnsi="Arial" w:cs="Arial"/>
          <w:noProof/>
          <w:lang w:val="pt-BR"/>
        </w:rPr>
      </w:pPr>
      <w:r>
        <w:rPr>
          <w:rFonts w:ascii="Arial" w:hAnsi="Arial" w:cs="Arial"/>
          <w:noProof/>
          <w:lang w:val="pt-BR"/>
        </w:rPr>
        <w:t>Rua Dom Pedro II, nº 891, 6º andar, sala 602, Higienópolis</w:t>
      </w:r>
    </w:p>
    <w:p>
      <w:pPr>
        <w:spacing w:after="140" w:line="290" w:lineRule="auto"/>
        <w:jc w:val="both"/>
        <w:rPr>
          <w:rFonts w:ascii="Arial" w:hAnsi="Arial" w:cs="Arial"/>
          <w:noProof/>
          <w:lang w:val="pt-BR"/>
        </w:rPr>
      </w:pPr>
      <w:r>
        <w:rPr>
          <w:rFonts w:ascii="Arial" w:hAnsi="Arial" w:cs="Arial"/>
          <w:noProof/>
          <w:lang w:val="pt-BR"/>
        </w:rPr>
        <w:t>Porto Alegre/RS – CEP 90550-142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05.881.258/0007-53</w:t>
      </w:r>
    </w:p>
    <w:p>
      <w:pPr>
        <w:spacing w:after="140" w:line="290" w:lineRule="auto"/>
        <w:jc w:val="both"/>
        <w:rPr>
          <w:rFonts w:ascii="Arial" w:hAnsi="Arial" w:cs="Arial"/>
          <w:noProof/>
          <w:lang w:val="pt-BR"/>
        </w:rPr>
      </w:pPr>
      <w:r>
        <w:rPr>
          <w:rFonts w:ascii="Arial" w:hAnsi="Arial" w:cs="Arial"/>
          <w:noProof/>
          <w:lang w:val="pt-BR"/>
        </w:rPr>
        <w:lastRenderedPageBreak/>
        <w:t>SHN, Quadra 02, Bloco F, Edifício Executive Office Tower, 9º andar, sala 919, Asa Norte</w:t>
      </w:r>
    </w:p>
    <w:p>
      <w:pPr>
        <w:spacing w:after="140" w:line="290" w:lineRule="auto"/>
        <w:jc w:val="both"/>
        <w:rPr>
          <w:rFonts w:ascii="Arial" w:hAnsi="Arial" w:cs="Arial"/>
          <w:noProof/>
          <w:lang w:val="pt-BR"/>
        </w:rPr>
      </w:pPr>
      <w:r>
        <w:rPr>
          <w:rFonts w:ascii="Arial" w:hAnsi="Arial" w:cs="Arial"/>
          <w:noProof/>
          <w:lang w:val="pt-BR"/>
        </w:rPr>
        <w:t>Brasília/DF, CEP 70702-906</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AKI MIDIA CONSULTORIA E SERVIÇOS LTDA.</w:t>
      </w:r>
    </w:p>
    <w:p>
      <w:pPr>
        <w:spacing w:after="140" w:line="290" w:lineRule="auto"/>
        <w:jc w:val="both"/>
        <w:rPr>
          <w:rFonts w:ascii="Arial" w:hAnsi="Arial" w:cs="Arial"/>
          <w:noProof/>
          <w:lang w:val="pt-BR"/>
        </w:rPr>
      </w:pPr>
      <w:r>
        <w:rPr>
          <w:rFonts w:ascii="Arial" w:hAnsi="Arial" w:cs="Arial"/>
          <w:noProof/>
          <w:lang w:val="pt-BR"/>
        </w:rPr>
        <w:t>CNPJ: 09.276.567/0001-60</w:t>
      </w:r>
    </w:p>
    <w:p>
      <w:pPr>
        <w:spacing w:after="140" w:line="290" w:lineRule="auto"/>
        <w:jc w:val="both"/>
        <w:rPr>
          <w:rFonts w:ascii="Arial" w:hAnsi="Arial" w:cs="Arial"/>
          <w:noProof/>
          <w:lang w:val="pt-BR"/>
        </w:rPr>
      </w:pPr>
      <w:r>
        <w:rPr>
          <w:rFonts w:ascii="Arial" w:hAnsi="Arial" w:cs="Arial"/>
          <w:noProof/>
          <w:lang w:val="pt-BR"/>
        </w:rPr>
        <w:t>SHN, Quadra 02, Bloco F, Edifício Executive Office Tower, 9º andar, sala 919, Asa Norte</w:t>
      </w:r>
    </w:p>
    <w:p>
      <w:pPr>
        <w:spacing w:after="140" w:line="290" w:lineRule="auto"/>
        <w:jc w:val="both"/>
        <w:rPr>
          <w:rFonts w:ascii="Arial" w:hAnsi="Arial" w:cs="Arial"/>
          <w:noProof/>
          <w:lang w:val="pt-BR"/>
        </w:rPr>
      </w:pPr>
      <w:r>
        <w:rPr>
          <w:rFonts w:ascii="Arial" w:hAnsi="Arial" w:cs="Arial"/>
          <w:noProof/>
          <w:lang w:val="pt-BR"/>
        </w:rPr>
        <w:t>Brasília/DF, CEP 70702-906</w:t>
      </w:r>
    </w:p>
    <w:p>
      <w:pPr>
        <w:spacing w:after="140" w:line="290" w:lineRule="auto"/>
        <w:jc w:val="both"/>
        <w:rPr>
          <w:rFonts w:ascii="Arial" w:hAnsi="Arial" w:cs="Arial"/>
          <w:noProof/>
          <w:lang w:val="pt-BR"/>
        </w:rPr>
      </w:pPr>
      <w:r>
        <w:rPr>
          <w:rFonts w:ascii="Arial" w:hAnsi="Arial" w:cs="Arial"/>
          <w:noProof/>
          <w:lang w:val="pt-BR"/>
        </w:rPr>
        <w:t>TV MINUTO S.A.</w:t>
      </w:r>
    </w:p>
    <w:p>
      <w:pPr>
        <w:spacing w:after="140" w:line="290" w:lineRule="auto"/>
        <w:jc w:val="both"/>
        <w:rPr>
          <w:rFonts w:ascii="Arial" w:hAnsi="Arial" w:cs="Arial"/>
          <w:noProof/>
          <w:lang w:val="pt-BR"/>
        </w:rPr>
      </w:pPr>
      <w:r>
        <w:rPr>
          <w:rFonts w:ascii="Arial" w:hAnsi="Arial" w:cs="Arial"/>
          <w:noProof/>
          <w:lang w:val="pt-BR"/>
        </w:rPr>
        <w:t>CNPJ: 14.369.047/0001-31</w:t>
      </w:r>
    </w:p>
    <w:p>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pPr>
        <w:spacing w:after="140" w:line="290" w:lineRule="auto"/>
        <w:jc w:val="both"/>
        <w:rPr>
          <w:rFonts w:ascii="Arial" w:hAnsi="Arial" w:cs="Arial"/>
          <w:noProof/>
          <w:lang w:val="pt-BR"/>
        </w:rPr>
      </w:pPr>
      <w:r>
        <w:rPr>
          <w:rFonts w:ascii="Arial" w:hAnsi="Arial" w:cs="Arial"/>
          <w:noProof/>
          <w:lang w:val="pt-BR"/>
        </w:rPr>
        <w:t>São Paulo/SP - CEP 04542-000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TV MINUTO S.A.</w:t>
      </w:r>
    </w:p>
    <w:p>
      <w:pPr>
        <w:spacing w:after="140" w:line="290" w:lineRule="auto"/>
        <w:jc w:val="both"/>
        <w:rPr>
          <w:rFonts w:ascii="Arial" w:hAnsi="Arial" w:cs="Arial"/>
          <w:noProof/>
          <w:lang w:val="pt-BR"/>
        </w:rPr>
      </w:pPr>
      <w:r>
        <w:rPr>
          <w:rFonts w:ascii="Arial" w:hAnsi="Arial" w:cs="Arial"/>
          <w:noProof/>
          <w:lang w:val="pt-BR"/>
        </w:rPr>
        <w:t>CNPJ: 14.369.047/0002-12</w:t>
      </w:r>
    </w:p>
    <w:p>
      <w:pPr>
        <w:spacing w:after="140" w:line="290" w:lineRule="auto"/>
        <w:jc w:val="both"/>
        <w:rPr>
          <w:rFonts w:ascii="Arial" w:hAnsi="Arial" w:cs="Arial"/>
          <w:noProof/>
          <w:lang w:val="pt-BR"/>
        </w:rPr>
      </w:pPr>
      <w:r>
        <w:rPr>
          <w:rFonts w:ascii="Arial" w:hAnsi="Arial" w:cs="Arial"/>
          <w:noProof/>
          <w:lang w:val="pt-BR"/>
        </w:rPr>
        <w:t>Rua Emilio Goeldi, nº625, Armazém 4, Lapa de Baixo</w:t>
      </w:r>
    </w:p>
    <w:p>
      <w:pPr>
        <w:spacing w:after="140" w:line="290" w:lineRule="auto"/>
        <w:jc w:val="both"/>
        <w:rPr>
          <w:rFonts w:ascii="Arial" w:hAnsi="Arial" w:cs="Arial"/>
          <w:noProof/>
          <w:lang w:val="pt-BR"/>
        </w:rPr>
      </w:pPr>
      <w:r>
        <w:rPr>
          <w:rFonts w:ascii="Arial" w:hAnsi="Arial" w:cs="Arial"/>
          <w:noProof/>
          <w:lang w:val="pt-BR"/>
        </w:rPr>
        <w:t>São Paulo/SP</w:t>
      </w:r>
    </w:p>
    <w:p>
      <w:pPr>
        <w:spacing w:after="140" w:line="290" w:lineRule="auto"/>
        <w:jc w:val="both"/>
        <w:rPr>
          <w:rFonts w:ascii="Arial" w:hAnsi="Arial" w:cs="Arial"/>
          <w:noProof/>
          <w:lang w:val="pt-BR"/>
        </w:rPr>
      </w:pPr>
    </w:p>
    <w:p>
      <w:pPr>
        <w:spacing w:after="140" w:line="290" w:lineRule="auto"/>
        <w:jc w:val="center"/>
        <w:rPr>
          <w:rFonts w:ascii="Arial" w:hAnsi="Arial" w:cs="Arial"/>
          <w:b/>
          <w:noProof/>
          <w:lang w:val="pt-BR"/>
        </w:rPr>
      </w:pPr>
    </w:p>
    <w:p>
      <w:pPr>
        <w:autoSpaceDE/>
        <w:autoSpaceDN/>
        <w:adjustRightInd/>
        <w:rPr>
          <w:rFonts w:ascii="Arial" w:hAnsi="Arial" w:cs="Arial"/>
          <w:b/>
          <w:lang w:val="pt-BR"/>
        </w:rPr>
      </w:pPr>
      <w:r>
        <w:rPr>
          <w:rFonts w:ascii="Arial" w:hAnsi="Arial" w:cs="Arial"/>
          <w:b/>
          <w:lang w:val="pt-BR"/>
        </w:rPr>
        <w:br w:type="page"/>
      </w:r>
    </w:p>
    <w:p>
      <w:pPr>
        <w:spacing w:after="140" w:line="290" w:lineRule="auto"/>
        <w:jc w:val="center"/>
        <w:rPr>
          <w:rFonts w:ascii="Arial" w:hAnsi="Arial" w:cs="Arial"/>
          <w:b/>
          <w:lang w:val="pt-BR"/>
        </w:rPr>
      </w:pPr>
      <w:r>
        <w:rPr>
          <w:rFonts w:ascii="Arial" w:hAnsi="Arial" w:cs="Arial"/>
          <w:b/>
          <w:lang w:val="pt-BR"/>
        </w:rPr>
        <w:lastRenderedPageBreak/>
        <w:t>ANEXO IV AO INSTRUMENTO PARTICULAR DE CONTRATO DE CESSÃO FIDUCIÁRIA DE CONTAS VINCULADAS E OUTRAS AVENÇAS</w:t>
      </w:r>
    </w:p>
    <w:p>
      <w:pPr>
        <w:spacing w:after="140" w:line="290" w:lineRule="auto"/>
        <w:jc w:val="center"/>
        <w:rPr>
          <w:rFonts w:ascii="Arial" w:hAnsi="Arial" w:cs="Arial"/>
          <w:b/>
          <w:lang w:val="pt-BR"/>
        </w:rPr>
      </w:pPr>
      <w:r>
        <w:rPr>
          <w:rFonts w:ascii="Arial" w:hAnsi="Arial" w:cs="Arial"/>
          <w:b/>
          <w:lang w:val="pt-BR"/>
        </w:rPr>
        <w:t>MODELO DE PROCURAÇÃO AO AGENTE FIDUCIÁRIO</w:t>
      </w:r>
    </w:p>
    <w:p>
      <w:pPr>
        <w:spacing w:after="140" w:line="290" w:lineRule="auto"/>
        <w:jc w:val="both"/>
        <w:rPr>
          <w:rFonts w:ascii="Arial" w:hAnsi="Arial" w:cs="Arial"/>
          <w:b/>
          <w:lang w:val="pt-BR"/>
        </w:rPr>
      </w:pPr>
      <w:bookmarkStart w:id="196" w:name="_DV_M274"/>
      <w:bookmarkEnd w:id="196"/>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proofErr w:type="spellStart"/>
      <w:r>
        <w:rPr>
          <w:rFonts w:ascii="Arial" w:hAnsi="Arial" w:cs="Arial"/>
          <w:b/>
          <w:lang w:val="pt-BR"/>
        </w:rPr>
        <w:t>Eletromidia</w:t>
      </w:r>
      <w:proofErr w:type="spellEnd"/>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proofErr w:type="spellStart"/>
      <w:r>
        <w:rPr>
          <w:rFonts w:ascii="Arial" w:hAnsi="Arial" w:cs="Arial"/>
          <w:b/>
          <w:lang w:val="pt-BR"/>
        </w:rPr>
        <w:t>Eletromidia</w:t>
      </w:r>
      <w:proofErr w:type="spellEnd"/>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excutir os Direitos Creditórios Cedidos Fiduciariamente, na mais ampla medida permitida pelas leis aplicáveis, tudo em relação ao “</w:t>
      </w:r>
      <w:r>
        <w:rPr>
          <w:i/>
          <w:color w:val="auto"/>
          <w:szCs w:val="20"/>
        </w:rPr>
        <w:t>Instrumento Particular de Contrato de Cessão Fiduciária de Direitos Creditórios e Outras Avença</w:t>
      </w:r>
      <w:r>
        <w:rPr>
          <w:color w:val="auto"/>
          <w:szCs w:val="20"/>
        </w:rPr>
        <w:t xml:space="preserve">s”, celebrado entre o Agente Fiduciário e as Outorgantes, em </w:t>
      </w:r>
      <w:r>
        <w:rPr>
          <w:bCs/>
          <w:color w:val="auto"/>
          <w:szCs w:val="20"/>
        </w:rPr>
        <w:t>20</w:t>
      </w:r>
      <w:r>
        <w:rPr>
          <w:color w:val="auto"/>
          <w:szCs w:val="20"/>
        </w:rPr>
        <w:t xml:space="preserve"> de março de 2020, conforme aditado (“</w:t>
      </w:r>
      <w:r>
        <w:rPr>
          <w:b/>
          <w:color w:val="auto"/>
          <w:szCs w:val="20"/>
        </w:rPr>
        <w:t>Contrato</w:t>
      </w:r>
      <w:r>
        <w:rPr>
          <w:color w:val="auto"/>
          <w:szCs w:val="20"/>
        </w:rPr>
        <w:t xml:space="preserve">”), caso ocorra o vencimento ordinário sem o devido pagamento ou o vencimento antecipado das Debêntures da 3ª (terceira) emissão de debêntures simples, não conversíveis em ações, da espécie com garantia real, com garantia fidejussória adicional, em série única, da </w:t>
      </w:r>
      <w:proofErr w:type="spellStart"/>
      <w:r>
        <w:rPr>
          <w:color w:val="auto"/>
          <w:szCs w:val="20"/>
        </w:rPr>
        <w:t>Eletromidia</w:t>
      </w:r>
      <w:proofErr w:type="spellEnd"/>
      <w:r>
        <w:rPr>
          <w:color w:val="auto"/>
          <w:szCs w:val="20"/>
        </w:rPr>
        <w:t>, nos termos previstos no “</w:t>
      </w:r>
      <w:r>
        <w:rPr>
          <w:i/>
          <w:color w:val="auto"/>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color w:val="auto"/>
          <w:szCs w:val="20"/>
        </w:rPr>
        <w:t>Eletromidia</w:t>
      </w:r>
      <w:proofErr w:type="spellEnd"/>
      <w:r>
        <w:rPr>
          <w:i/>
          <w:color w:val="auto"/>
          <w:szCs w:val="20"/>
        </w:rPr>
        <w:t xml:space="preserve"> S.A.</w:t>
      </w:r>
      <w:r>
        <w:rPr>
          <w:color w:val="auto"/>
          <w:szCs w:val="20"/>
        </w:rPr>
        <w:t xml:space="preserve">”, celebrado em </w:t>
      </w:r>
      <w:r>
        <w:rPr>
          <w:bCs/>
          <w:color w:val="auto"/>
          <w:szCs w:val="20"/>
        </w:rPr>
        <w:t>16</w:t>
      </w:r>
      <w:r>
        <w:rPr>
          <w:color w:val="auto"/>
          <w:szCs w:val="20"/>
        </w:rPr>
        <w:t xml:space="preserve"> de março de 2020 entre a </w:t>
      </w:r>
      <w:proofErr w:type="spellStart"/>
      <w:r>
        <w:rPr>
          <w:color w:val="auto"/>
          <w:szCs w:val="20"/>
        </w:rPr>
        <w:t>Eletromidia</w:t>
      </w:r>
      <w:proofErr w:type="spellEnd"/>
      <w:r>
        <w:rPr>
          <w:color w:val="auto"/>
          <w:szCs w:val="20"/>
        </w:rPr>
        <w:t xml:space="preserve">, o Agente Fiduciário, a TV Minuto e a </w:t>
      </w:r>
      <w:r>
        <w:rPr>
          <w:bCs/>
          <w:color w:val="auto"/>
          <w:szCs w:val="20"/>
        </w:rPr>
        <w:t>ELEMÍDIA</w:t>
      </w:r>
      <w:r>
        <w:rPr>
          <w:color w:val="auto"/>
          <w:szCs w:val="20"/>
        </w:rPr>
        <w:t>, utilizando o produto assim obtido para a amortização</w:t>
      </w:r>
      <w:bookmarkStart w:id="197" w:name="_DV_M276"/>
      <w:bookmarkEnd w:id="197"/>
      <w:r>
        <w:rPr>
          <w:color w:val="auto"/>
          <w:szCs w:val="20"/>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8" w:name="_DV_C116"/>
      <w:r>
        <w:rPr>
          <w:color w:val="auto"/>
          <w:szCs w:val="20"/>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lastRenderedPageBreak/>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assinar</w:t>
      </w:r>
      <w:proofErr w:type="gramEnd"/>
      <w:r>
        <w:rPr>
          <w:color w:val="auto"/>
          <w:szCs w:val="20"/>
        </w:rPr>
        <w:t xml:space="preserve"> quaisquer documentos ou termos, por mais especiais que sejam, necessários à referida excussão; 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requerer</w:t>
      </w:r>
      <w:proofErr w:type="gramEnd"/>
      <w:r>
        <w:rPr>
          <w:color w:val="auto"/>
          <w:szCs w:val="20"/>
        </w:rPr>
        <w:t xml:space="preserve"> os recursos, até o valor dos Direitos Creditórios Cedidos Fiduciariamente, na liquidação das Obrigações Garantidas.</w:t>
      </w:r>
    </w:p>
    <w:p>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8"/>
    <w:p>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199" w:name="_DV_M281"/>
      <w:bookmarkEnd w:id="199"/>
    </w:p>
    <w:p>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200" w:name="_DV_M282"/>
      <w:bookmarkEnd w:id="200"/>
    </w:p>
    <w:p>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pPr>
        <w:spacing w:after="140" w:line="290" w:lineRule="auto"/>
        <w:jc w:val="center"/>
        <w:rPr>
          <w:rFonts w:ascii="Arial" w:hAnsi="Arial" w:cs="Arial"/>
          <w:lang w:val="pt-BR"/>
        </w:rPr>
      </w:pPr>
      <w:bookmarkStart w:id="201" w:name="_DV_M284"/>
      <w:bookmarkEnd w:id="201"/>
      <w:r>
        <w:rPr>
          <w:rFonts w:ascii="Arial" w:hAnsi="Arial" w:cs="Arial"/>
          <w:lang w:val="pt-BR"/>
        </w:rPr>
        <w:t>São Paulo, 20 de março de 2020.</w:t>
      </w:r>
    </w:p>
    <w:p>
      <w:pPr>
        <w:spacing w:after="140" w:line="290" w:lineRule="auto"/>
        <w:jc w:val="both"/>
        <w:rPr>
          <w:rFonts w:ascii="Arial" w:hAnsi="Arial" w:cs="Arial"/>
          <w:b/>
          <w:lang w:val="pt-BR"/>
        </w:rPr>
      </w:pPr>
      <w:bookmarkStart w:id="202" w:name="_DV_M286"/>
      <w:bookmarkEnd w:id="202"/>
      <w:r>
        <w:rPr>
          <w:rFonts w:ascii="Arial" w:hAnsi="Arial" w:cs="Arial"/>
          <w:b/>
          <w:lang w:val="pt-BR"/>
        </w:rPr>
        <w:t xml:space="preserve">OUTORGANTES: </w:t>
      </w:r>
    </w:p>
    <w:p>
      <w:pPr>
        <w:spacing w:after="140" w:line="290" w:lineRule="auto"/>
        <w:jc w:val="both"/>
        <w:rPr>
          <w:rFonts w:ascii="Arial" w:hAnsi="Arial" w:cs="Arial"/>
          <w:b/>
          <w:lang w:val="pt-BR"/>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spacing w:after="140" w:line="290" w:lineRule="auto"/>
        <w:jc w:val="both"/>
        <w:rPr>
          <w:rFonts w:ascii="Arial" w:hAnsi="Arial" w:cs="Arial"/>
          <w:b/>
          <w:lang w:val="pt-BR"/>
        </w:rPr>
      </w:pPr>
      <w:r>
        <w:rPr>
          <w:rFonts w:ascii="Arial" w:hAnsi="Arial" w:cs="Arial"/>
          <w:b/>
          <w:lang w:val="pt-BR"/>
        </w:rPr>
        <w:t>ELETROMIDIA S.A.</w:t>
      </w:r>
    </w:p>
    <w:p>
      <w:pPr>
        <w:spacing w:after="140" w:line="290" w:lineRule="auto"/>
        <w:jc w:val="both"/>
        <w:rPr>
          <w:rFonts w:ascii="Arial" w:hAnsi="Arial" w:cs="Arial"/>
          <w:lang w:val="pt-BR"/>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spacing w:after="140" w:line="290" w:lineRule="auto"/>
        <w:rPr>
          <w:rFonts w:ascii="Arial" w:hAnsi="Arial" w:cs="Arial"/>
          <w:b/>
        </w:rPr>
      </w:pPr>
      <w:r>
        <w:rPr>
          <w:rFonts w:ascii="Arial" w:hAnsi="Arial" w:cs="Arial"/>
          <w:b/>
        </w:rPr>
        <w:lastRenderedPageBreak/>
        <w:t>TV MINUTO S.A.</w:t>
      </w:r>
    </w:p>
    <w:p>
      <w:pPr>
        <w:pStyle w:val="TextosemFormatao"/>
        <w:spacing w:after="140" w:line="290" w:lineRule="auto"/>
        <w:rPr>
          <w:rFonts w:ascii="Arial" w:hAnsi="Arial" w:cs="Arial"/>
          <w:b/>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spacing w:after="140" w:line="290" w:lineRule="auto"/>
        <w:rPr>
          <w:rFonts w:ascii="Arial" w:hAnsi="Arial" w:cs="Arial"/>
        </w:rPr>
      </w:pPr>
      <w:r>
        <w:rPr>
          <w:rFonts w:ascii="Arial" w:hAnsi="Arial" w:cs="Arial"/>
          <w:b/>
        </w:rPr>
        <w:t>ELEMÍDIA CONSULTORIA E SERVIÇOS DE MARKETING S.A.</w:t>
      </w:r>
    </w:p>
    <w:p>
      <w:pPr>
        <w:autoSpaceDE/>
        <w:autoSpaceDN/>
        <w:adjustRightInd/>
        <w:spacing w:after="140" w:line="290" w:lineRule="auto"/>
        <w:jc w:val="both"/>
        <w:rPr>
          <w:rFonts w:ascii="Arial" w:hAnsi="Arial" w:cs="Arial"/>
          <w:lang w:val="pt-BR"/>
        </w:rPr>
      </w:pPr>
    </w:p>
    <w:sectPr>
      <w:footerReference w:type="first" r:id="rId13"/>
      <w:type w:val="continuous"/>
      <w:pgSz w:w="11907" w:h="16840"/>
      <w:pgMar w:top="1702" w:right="1080" w:bottom="1701" w:left="1080" w:header="567" w:footer="851"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widowControl/>
      </w:pPr>
      <w:r>
        <w:separator/>
      </w:r>
    </w:p>
  </w:endnote>
  <w:endnote w:type="continuationSeparator" w:id="0">
    <w:p>
      <w:pPr>
        <w:widowControl/>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9754"/>
      <w:docPartObj>
        <w:docPartGallery w:val="Page Numbers (Bottom of Page)"/>
        <w:docPartUnique/>
      </w:docPartObj>
    </w:sdtPr>
    <w:sdtContent>
      <w:p>
        <w:pPr>
          <w:pStyle w:val="Rodap"/>
          <w:jc w:val="center"/>
        </w:pPr>
        <w:r>
          <w:fldChar w:fldCharType="begin"/>
        </w:r>
        <w:r>
          <w:instrText>PAGE   \* MERGEFORMAT</w:instrText>
        </w:r>
        <w:r>
          <w:fldChar w:fldCharType="separate"/>
        </w:r>
        <w:r>
          <w:rPr>
            <w:noProof/>
            <w:lang w:val="pt-BR"/>
          </w:rPr>
          <w:t>20</w:t>
        </w:r>
        <w:r>
          <w:fldChar w:fldCharType="end"/>
        </w:r>
      </w:p>
    </w:sdtContent>
  </w:sdt>
  <w:p>
    <w:pPr>
      <w:pStyle w:val="Rodap"/>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ind w:left="283" w:hanging="283"/>
      <w:jc w:val="both"/>
      <w:rPr>
        <w:rFonts w:ascii="Arial" w:hAnsi="Arial" w:cs="Arial"/>
        <w:color w:val="FFFFFF" w:themeColor="background1"/>
        <w:sz w:val="16"/>
      </w:rPr>
    </w:pPr>
    <w:r>
      <w:rPr>
        <w:rFonts w:ascii="Arial" w:hAnsi="Arial" w:cs="Arial"/>
        <w:color w:val="FFFFFF" w:themeColor="background1"/>
        <w:sz w:val="16"/>
      </w:rPr>
      <w:fldChar w:fldCharType="begin"/>
    </w:r>
    <w:r>
      <w:rPr>
        <w:rFonts w:ascii="Arial" w:hAnsi="Arial" w:cs="Arial"/>
        <w:color w:val="FFFFFF" w:themeColor="background1"/>
        <w:sz w:val="16"/>
      </w:rPr>
      <w:instrText xml:space="preserve"> DOCPROPERTY iManageFooter \* MERGEFORMAT </w:instrText>
    </w:r>
    <w:r>
      <w:rPr>
        <w:rFonts w:ascii="Arial" w:hAnsi="Arial" w:cs="Arial"/>
        <w:color w:val="FFFFFF" w:themeColor="background1"/>
        <w:sz w:val="16"/>
      </w:rPr>
      <w:fldChar w:fldCharType="separate"/>
    </w:r>
    <w:r>
      <w:rPr>
        <w:rFonts w:ascii="Arial" w:hAnsi="Arial" w:cs="Arial"/>
        <w:color w:val="FFFFFF" w:themeColor="background1"/>
        <w:sz w:val="16"/>
      </w:rPr>
      <w:t>JUR_SP - 39875259v5 - 5243018.470159</w:t>
    </w:r>
    <w:r>
      <w:rPr>
        <w:rFonts w:ascii="Arial" w:hAnsi="Arial" w:cs="Arial"/>
        <w:color w:val="FFFFFF" w:themeColor="background1"/>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widowControl/>
      </w:pPr>
      <w:r>
        <w:separator/>
      </w:r>
    </w:p>
  </w:footnote>
  <w:footnote w:type="continuationSeparator" w:id="0">
    <w:p>
      <w:pPr>
        <w:widowControl/>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lang w:val="pt-BR"/>
      </w:rPr>
    </w:pPr>
    <w:r>
      <w:rPr>
        <w:rFonts w:ascii="Arial" w:hAnsi="Arial" w:cs="Arial"/>
        <w:b/>
        <w:sz w:val="22"/>
        <w:szCs w:val="22"/>
        <w:lang w:val="pt-BR"/>
      </w:rPr>
      <w:t>MINUTA REVISADA</w:t>
    </w:r>
  </w:p>
  <w:p>
    <w:pPr>
      <w:pStyle w:val="Cabealho"/>
      <w:jc w:val="right"/>
      <w:rPr>
        <w:rFonts w:ascii="Arial" w:hAnsi="Arial" w:cs="Arial"/>
        <w:sz w:val="22"/>
        <w:szCs w:val="22"/>
        <w:lang w:val="pt-BR"/>
      </w:rPr>
    </w:pPr>
    <w:r>
      <w:rPr>
        <w:rFonts w:ascii="Arial" w:hAnsi="Arial" w:cs="Arial"/>
        <w:sz w:val="22"/>
        <w:szCs w:val="22"/>
        <w:lang w:val="pt-BR"/>
      </w:rPr>
      <w:t>(6.4.2021)</w:t>
    </w:r>
  </w:p>
  <w:p>
    <w:pPr>
      <w:pStyle w:val="Cabealho"/>
      <w:jc w:val="right"/>
      <w:rPr>
        <w:rFonts w:ascii="Arial" w:hAnsi="Arial" w:cs="Arial"/>
        <w:sz w:val="22"/>
        <w:szCs w:val="22"/>
        <w:lang w:val="pt-BR"/>
      </w:rPr>
    </w:pPr>
  </w:p>
  <w:p>
    <w:pPr>
      <w:pStyle w:val="Cabealho"/>
      <w:jc w:val="center"/>
      <w:rPr>
        <w:rFonts w:ascii="Arial" w:hAnsi="Arial" w:cs="Arial"/>
        <w:b/>
        <w:sz w:val="22"/>
        <w:szCs w:val="22"/>
        <w:lang w:val="pt-BR"/>
      </w:rPr>
    </w:pPr>
    <w:r>
      <w:rPr>
        <w:rFonts w:ascii="Arial" w:hAnsi="Arial" w:cs="Arial"/>
        <w:b/>
        <w:sz w:val="22"/>
        <w:szCs w:val="22"/>
        <w:lang w:val="pt-BR"/>
      </w:rPr>
      <w:t>Minuta final</w:t>
    </w:r>
  </w:p>
  <w:p>
    <w:pPr>
      <w:pStyle w:val="Cabealho"/>
      <w:jc w:val="center"/>
      <w:rPr>
        <w:rFonts w:ascii="Arial" w:hAnsi="Arial" w:cs="Arial"/>
        <w:b/>
        <w:sz w:val="22"/>
        <w:szCs w:val="22"/>
        <w:lang w:val="pt-BR"/>
      </w:rPr>
    </w:pPr>
    <w:proofErr w:type="gramStart"/>
    <w:r>
      <w:rPr>
        <w:rFonts w:ascii="Arial" w:hAnsi="Arial" w:cs="Arial"/>
        <w:b/>
        <w:sz w:val="22"/>
        <w:szCs w:val="22"/>
        <w:lang w:val="pt-BR"/>
      </w:rPr>
      <w:t>encaminhada</w:t>
    </w:r>
    <w:proofErr w:type="gramEnd"/>
    <w:r>
      <w:rPr>
        <w:rFonts w:ascii="Arial" w:hAnsi="Arial" w:cs="Arial"/>
        <w:b/>
        <w:sz w:val="22"/>
        <w:szCs w:val="22"/>
        <w:lang w:val="pt-BR"/>
      </w:rPr>
      <w:t xml:space="preserve"> aos Debenturistas em preparação para a AGD a ser realizada em [</w:t>
    </w:r>
    <w:r>
      <w:rPr>
        <w:rFonts w:ascii="Arial" w:hAnsi="Arial" w:cs="Arial"/>
        <w:b/>
        <w:sz w:val="22"/>
        <w:szCs w:val="22"/>
        <w:lang w:val="pt-BR"/>
      </w:rPr>
      <w:sym w:font="Symbol" w:char="F0B7"/>
    </w:r>
    <w:r>
      <w:rPr>
        <w:rFonts w:ascii="Arial" w:hAnsi="Arial" w:cs="Arial"/>
        <w:b/>
        <w:sz w:val="22"/>
        <w:szCs w:val="22"/>
        <w:lang w:val="pt-BR"/>
      </w:rPr>
      <w:t>] de abril de 2021 (item (</w:t>
    </w:r>
    <w:proofErr w:type="spellStart"/>
    <w:r>
      <w:rPr>
        <w:rFonts w:ascii="Arial" w:hAnsi="Arial" w:cs="Arial"/>
        <w:b/>
        <w:sz w:val="22"/>
        <w:szCs w:val="22"/>
        <w:lang w:val="pt-BR"/>
      </w:rPr>
      <w:t>ii</w:t>
    </w:r>
    <w:proofErr w:type="spellEnd"/>
    <w:r>
      <w:rPr>
        <w:rFonts w:ascii="Arial" w:hAnsi="Arial" w:cs="Arial"/>
        <w:b/>
        <w:sz w:val="22"/>
        <w:szCs w:val="22"/>
        <w:lang w:val="pt-BR"/>
      </w:rPr>
      <w:t>) da Ordem do Dia)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4" w15:restartNumberingAfterBreak="0">
    <w:nsid w:val="1E415F12"/>
    <w:multiLevelType w:val="multilevel"/>
    <w:tmpl w:val="BC520578"/>
    <w:styleLink w:val="Style5"/>
    <w:lvl w:ilvl="0">
      <w:start w:val="6"/>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41A93"/>
    <w:multiLevelType w:val="multilevel"/>
    <w:tmpl w:val="BC520578"/>
    <w:name w:val="House_Style232222"/>
    <w:numStyleLink w:val="Style5"/>
  </w:abstractNum>
  <w:abstractNum w:abstractNumId="8"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9" w15:restartNumberingAfterBreak="0">
    <w:nsid w:val="4B415309"/>
    <w:multiLevelType w:val="multilevel"/>
    <w:tmpl w:val="C3866A8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FA09EB"/>
    <w:multiLevelType w:val="multilevel"/>
    <w:tmpl w:val="9A5AEA7A"/>
    <w:styleLink w:val="Style2"/>
    <w:lvl w:ilvl="0">
      <w:start w:val="3"/>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54101C"/>
    <w:multiLevelType w:val="multilevel"/>
    <w:tmpl w:val="BC520578"/>
    <w:styleLink w:val="Style4"/>
    <w:lvl w:ilvl="0">
      <w:start w:val="5"/>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163B49"/>
    <w:multiLevelType w:val="multilevel"/>
    <w:tmpl w:val="62B8BF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rFonts w:hint="default"/>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2755F6D"/>
    <w:multiLevelType w:val="multilevel"/>
    <w:tmpl w:val="3A7652E8"/>
    <w:styleLink w:val="Style3"/>
    <w:lvl w:ilvl="0">
      <w:start w:val="4"/>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1D1232"/>
    <w:multiLevelType w:val="multilevel"/>
    <w:tmpl w:val="0E44AA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985F32"/>
    <w:multiLevelType w:val="multilevel"/>
    <w:tmpl w:val="20908182"/>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8D7093"/>
    <w:multiLevelType w:val="multilevel"/>
    <w:tmpl w:val="5986DF44"/>
    <w:styleLink w:val="Style1"/>
    <w:lvl w:ilvl="0">
      <w:start w:val="2"/>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2"/>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9"/>
  </w:num>
  <w:num w:numId="20">
    <w:abstractNumId w:val="17"/>
  </w:num>
  <w:num w:numId="21">
    <w:abstractNumId w:val="10"/>
  </w:num>
  <w:num w:numId="22">
    <w:abstractNumId w:val="13"/>
  </w:num>
  <w:num w:numId="23">
    <w:abstractNumId w:val="11"/>
  </w:num>
  <w:num w:numId="24">
    <w:abstractNumId w:val="4"/>
  </w:num>
  <w:num w:numId="25">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6" w:nlCheck="1" w:checkStyle="0"/>
  <w:activeWritingStyle w:appName="MSWord" w:lang="pt-PT"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81EA3FF1-15CF-40C2-A3D3-19313F83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lang w:val="pt-PT"/>
    </w:rPr>
  </w:style>
  <w:style w:type="paragraph" w:styleId="Ttulo1">
    <w:name w:val="heading 1"/>
    <w:aliases w:val="h1"/>
    <w:basedOn w:val="Normal"/>
    <w:next w:val="Normal"/>
    <w:link w:val="Ttulo1Char"/>
    <w:uiPriority w:val="9"/>
    <w:qFormat/>
    <w:pPr>
      <w:keepNext/>
      <w:jc w:val="center"/>
      <w:outlineLvl w:val="0"/>
    </w:pPr>
    <w:rPr>
      <w:b/>
      <w:bCs/>
      <w:lang w:eastAsia="x-none"/>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lang w:val="pt-BR"/>
    </w:rPr>
  </w:style>
  <w:style w:type="paragraph" w:styleId="Ttulo6">
    <w:name w:val="heading 6"/>
    <w:basedOn w:val="Normal"/>
    <w:next w:val="Normal"/>
    <w:link w:val="Ttulo6Char"/>
    <w:uiPriority w:val="9"/>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uiPriority w:val="9"/>
    <w:semiHidden/>
    <w:unhideWhenUsed/>
    <w:qFormat/>
    <w:pPr>
      <w:widowControl/>
      <w:autoSpaceDE/>
      <w:autoSpaceDN/>
      <w:adjustRightInd/>
      <w:spacing w:before="240" w:after="60"/>
      <w:outlineLvl w:val="6"/>
    </w:pPr>
    <w:rPr>
      <w:rFonts w:ascii="Calibri" w:hAnsi="Calibri"/>
      <w:sz w:val="24"/>
      <w:szCs w:val="24"/>
      <w:lang w:val="pt-BR"/>
    </w:rPr>
  </w:style>
  <w:style w:type="paragraph" w:styleId="Ttulo8">
    <w:name w:val="heading 8"/>
    <w:basedOn w:val="Normal"/>
    <w:next w:val="Normal"/>
    <w:link w:val="Ttulo8Char"/>
    <w:uiPriority w:val="9"/>
    <w:unhideWhenUsed/>
    <w:qFormat/>
    <w:pPr>
      <w:widowControl/>
      <w:autoSpaceDE/>
      <w:autoSpaceDN/>
      <w:adjustRightInd/>
      <w:spacing w:before="240" w:after="60"/>
      <w:outlineLvl w:val="7"/>
    </w:pPr>
    <w:rPr>
      <w:rFonts w:ascii="Calibri" w:hAnsi="Calibri"/>
      <w:i/>
      <w:iCs/>
      <w:sz w:val="24"/>
      <w:szCs w:val="24"/>
      <w:lang w:val="pt-BR"/>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rPr>
      <w:lang w:eastAsia="x-none"/>
    </w:rPr>
  </w:style>
  <w:style w:type="character" w:customStyle="1" w:styleId="CabealhoChar">
    <w:name w:val="Cabeçalho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22"/>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PT"/>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uiPriority w:val="99"/>
    <w:pPr>
      <w:jc w:val="both"/>
    </w:pPr>
    <w:rPr>
      <w:rFonts w:ascii="Univers (W1)" w:hAnsi="Univers (W1)" w:cs="Univers (W1)"/>
      <w:sz w:val="24"/>
      <w:szCs w:val="24"/>
      <w:lang w:val="pt-BR"/>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uiPriority w:val="99"/>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basedOn w:val="Normal"/>
    <w:link w:val="PargrafodaListaChar"/>
    <w:uiPriority w:val="34"/>
    <w:qFormat/>
    <w:pPr>
      <w:ind w:left="720"/>
    </w:pPr>
  </w:style>
  <w:style w:type="paragraph" w:styleId="Subttulo">
    <w:name w:val="Subtitle"/>
    <w:basedOn w:val="Normal"/>
    <w:link w:val="SubttuloChar"/>
    <w:uiPriority w:val="11"/>
    <w:qFormat/>
    <w:pPr>
      <w:jc w:val="both"/>
    </w:pPr>
    <w:rPr>
      <w:rFonts w:ascii="Cambria" w:hAnsi="Cambria"/>
      <w:sz w:val="24"/>
      <w:szCs w:val="24"/>
      <w:lang w:val="x-none" w:eastAsia="x-none"/>
    </w:rPr>
  </w:style>
  <w:style w:type="character" w:customStyle="1" w:styleId="SubttuloChar">
    <w:name w:val="Subtítulo Char"/>
    <w:link w:val="Subttulo"/>
    <w:uiPriority w:val="11"/>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styleId="Textodenotaderodap">
    <w:name w:val="footnote text"/>
    <w:aliases w:val="Car"/>
    <w:basedOn w:val="Normal"/>
    <w:link w:val="TextodenotaderodapChar"/>
    <w:uiPriority w:val="99"/>
    <w:pPr>
      <w:widowControl/>
      <w:autoSpaceDE/>
      <w:autoSpaceDN/>
      <w:adjustRightInd/>
    </w:pPr>
    <w:rPr>
      <w:lang w:val="pt-BR"/>
    </w:rPr>
  </w:style>
  <w:style w:type="character" w:customStyle="1" w:styleId="TextodenotaderodapChar">
    <w:name w:val="Texto de nota de rodapé Char"/>
    <w:aliases w:val="Car Char"/>
    <w:link w:val="Textodenotaderodap"/>
    <w:uiPriority w:val="99"/>
    <w:rPr>
      <w:rFonts w:ascii="Times New Roman" w:hAnsi="Times New Roman"/>
    </w:rPr>
  </w:style>
  <w:style w:type="character" w:styleId="Refdenotaderodap">
    <w:name w:val="footnote reference"/>
    <w:uiPriority w:val="99"/>
    <w:rPr>
      <w:vertAlign w:val="superscript"/>
    </w:rPr>
  </w:style>
  <w:style w:type="paragraph" w:styleId="Assuntodocomentrio">
    <w:name w:val="annotation subject"/>
    <w:basedOn w:val="Textodecomentrio"/>
    <w:next w:val="Textodecomentrio"/>
    <w:link w:val="AssuntodocomentrioChar1"/>
    <w:uiPriority w:val="99"/>
    <w:semiHidden/>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customStyle="1" w:styleId="Level1">
    <w:name w:val="Level 1"/>
    <w:basedOn w:val="Normal"/>
    <w:pPr>
      <w:keepNext/>
      <w:widowControl/>
      <w:numPr>
        <w:numId w:val="2"/>
      </w:numPr>
      <w:autoSpaceDE/>
      <w:autoSpaceDN/>
      <w:adjustRightInd/>
      <w:spacing w:before="280" w:after="140" w:line="290" w:lineRule="auto"/>
      <w:jc w:val="both"/>
      <w:outlineLvl w:val="0"/>
    </w:pPr>
    <w:rPr>
      <w:rFonts w:ascii="Arial" w:hAnsi="Arial" w:cs="Arial"/>
      <w:b/>
      <w:bCs/>
      <w:color w:val="000000"/>
      <w:sz w:val="22"/>
      <w:szCs w:val="32"/>
      <w:lang w:val="pt-BR"/>
    </w:rPr>
  </w:style>
  <w:style w:type="paragraph" w:customStyle="1" w:styleId="Level2">
    <w:name w:val="Level 2"/>
    <w:basedOn w:val="Normal"/>
    <w:link w:val="Level2Char"/>
    <w:qFormat/>
    <w:pPr>
      <w:widowControl/>
      <w:numPr>
        <w:ilvl w:val="1"/>
        <w:numId w:val="2"/>
      </w:numPr>
      <w:autoSpaceDE/>
      <w:autoSpaceDN/>
      <w:adjustRightInd/>
      <w:spacing w:after="140" w:line="290" w:lineRule="auto"/>
      <w:jc w:val="both"/>
      <w:outlineLvl w:val="1"/>
    </w:pPr>
    <w:rPr>
      <w:rFonts w:ascii="Arial" w:hAnsi="Arial" w:cs="Arial"/>
      <w:color w:val="000000"/>
      <w:szCs w:val="28"/>
      <w:lang w:val="pt-BR"/>
    </w:rPr>
  </w:style>
  <w:style w:type="paragraph" w:customStyle="1" w:styleId="Level3">
    <w:name w:val="Level 3"/>
    <w:basedOn w:val="Normal"/>
    <w:link w:val="Level3Char"/>
    <w:pPr>
      <w:widowControl/>
      <w:numPr>
        <w:ilvl w:val="2"/>
        <w:numId w:val="2"/>
      </w:numPr>
      <w:autoSpaceDE/>
      <w:autoSpaceDN/>
      <w:adjustRightInd/>
      <w:spacing w:after="140" w:line="290" w:lineRule="auto"/>
      <w:jc w:val="both"/>
      <w:outlineLvl w:val="2"/>
    </w:pPr>
    <w:rPr>
      <w:rFonts w:ascii="Tahoma" w:hAnsi="Tahoma" w:cs="Tahoma"/>
      <w:color w:val="000000"/>
      <w:kern w:val="20"/>
      <w:sz w:val="22"/>
      <w:szCs w:val="28"/>
      <w:lang w:val="pt-BR"/>
    </w:rPr>
  </w:style>
  <w:style w:type="paragraph" w:customStyle="1" w:styleId="Level4">
    <w:name w:val="Level 4"/>
    <w:basedOn w:val="Normal"/>
    <w:pPr>
      <w:widowControl/>
      <w:numPr>
        <w:ilvl w:val="3"/>
        <w:numId w:val="2"/>
      </w:numPr>
      <w:autoSpaceDE/>
      <w:autoSpaceDN/>
      <w:adjustRightInd/>
      <w:spacing w:after="140" w:line="290" w:lineRule="auto"/>
      <w:jc w:val="both"/>
      <w:outlineLvl w:val="3"/>
    </w:pPr>
    <w:rPr>
      <w:rFonts w:ascii="Arial" w:hAnsi="Arial" w:cs="Arial"/>
      <w:color w:val="000000"/>
      <w:szCs w:val="22"/>
      <w:lang w:val="pt-BR"/>
    </w:rPr>
  </w:style>
  <w:style w:type="paragraph" w:customStyle="1" w:styleId="Level5">
    <w:name w:val="Level 5"/>
    <w:basedOn w:val="Normal"/>
    <w:pPr>
      <w:widowControl/>
      <w:numPr>
        <w:ilvl w:val="4"/>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6">
    <w:name w:val="Level 6"/>
    <w:basedOn w:val="Normal"/>
    <w:pPr>
      <w:widowControl/>
      <w:numPr>
        <w:ilvl w:val="5"/>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7">
    <w:name w:val="Level 7"/>
    <w:basedOn w:val="Normal"/>
    <w:pPr>
      <w:widowControl/>
      <w:autoSpaceDE/>
      <w:autoSpaceDN/>
      <w:adjustRightInd/>
      <w:spacing w:after="140" w:line="290" w:lineRule="auto"/>
      <w:jc w:val="both"/>
      <w:outlineLvl w:val="6"/>
    </w:pPr>
    <w:rPr>
      <w:rFonts w:ascii="Tahoma" w:hAnsi="Tahoma" w:cs="Tahoma"/>
      <w:color w:val="000000"/>
      <w:kern w:val="20"/>
      <w:sz w:val="22"/>
      <w:szCs w:val="22"/>
      <w:lang w:val="pt-BR"/>
    </w:rPr>
  </w:style>
  <w:style w:type="paragraph" w:customStyle="1" w:styleId="Level8">
    <w:name w:val="Level 8"/>
    <w:basedOn w:val="Normal"/>
    <w:pPr>
      <w:widowControl/>
      <w:autoSpaceDE/>
      <w:autoSpaceDN/>
      <w:adjustRightInd/>
      <w:spacing w:after="140" w:line="290" w:lineRule="auto"/>
      <w:jc w:val="both"/>
      <w:outlineLvl w:val="7"/>
    </w:pPr>
    <w:rPr>
      <w:rFonts w:ascii="Tahoma" w:hAnsi="Tahoma" w:cs="Tahoma"/>
      <w:color w:val="000000"/>
      <w:kern w:val="20"/>
      <w:sz w:val="22"/>
      <w:szCs w:val="22"/>
      <w:lang w:val="pt-BR"/>
    </w:rPr>
  </w:style>
  <w:style w:type="paragraph" w:customStyle="1" w:styleId="Level9">
    <w:name w:val="Level 9"/>
    <w:basedOn w:val="Normal"/>
    <w:pPr>
      <w:widowControl/>
      <w:autoSpaceDE/>
      <w:autoSpaceDN/>
      <w:adjustRightInd/>
      <w:spacing w:after="140" w:line="290" w:lineRule="auto"/>
      <w:jc w:val="both"/>
      <w:outlineLvl w:val="8"/>
    </w:pPr>
    <w:rPr>
      <w:rFonts w:ascii="Tahoma" w:hAnsi="Tahoma" w:cs="Tahoma"/>
      <w:color w:val="000000"/>
      <w:kern w:val="20"/>
      <w:sz w:val="22"/>
      <w:szCs w:val="22"/>
      <w:lang w:val="pt-BR"/>
    </w:rPr>
  </w:style>
  <w:style w:type="paragraph" w:customStyle="1" w:styleId="CM17">
    <w:name w:val="CM17"/>
    <w:basedOn w:val="Normal"/>
    <w:next w:val="Normal"/>
    <w:uiPriority w:val="99"/>
    <w:rPr>
      <w:rFonts w:ascii="Times" w:hAnsi="Times" w:cs="Times"/>
      <w:sz w:val="24"/>
      <w:szCs w:val="24"/>
      <w:lang w:val="pt-BR"/>
    </w:rPr>
  </w:style>
  <w:style w:type="character" w:customStyle="1" w:styleId="Ttulo6Char">
    <w:name w:val="Título 6 Char"/>
    <w:link w:val="Ttulo6"/>
    <w:uiPriority w:val="9"/>
    <w:semiHidden/>
    <w:rPr>
      <w:rFonts w:ascii="Calibri" w:eastAsia="Times New Roman" w:hAnsi="Calibri" w:cs="Times New Roman"/>
      <w:b/>
      <w:bCs/>
      <w:sz w:val="22"/>
      <w:szCs w:val="22"/>
      <w:lang w:val="pt-PT" w:eastAsia="pt-BR"/>
    </w:rPr>
  </w:style>
  <w:style w:type="paragraph" w:styleId="TextosemFormatao">
    <w:name w:val="Plain Text"/>
    <w:basedOn w:val="Normal"/>
    <w:link w:val="TextosemFormataoChar"/>
    <w:uiPriority w:val="99"/>
    <w:pPr>
      <w:autoSpaceDE/>
      <w:autoSpaceDN/>
      <w:adjustRightInd/>
      <w:spacing w:line="340" w:lineRule="exact"/>
      <w:jc w:val="both"/>
    </w:pPr>
    <w:rPr>
      <w:rFonts w:ascii="Courier New" w:hAnsi="Courier New" w:cs="Courier New"/>
      <w:lang w:val="pt-BR"/>
    </w:rPr>
  </w:style>
  <w:style w:type="character" w:customStyle="1" w:styleId="TextosemFormataoChar">
    <w:name w:val="Texto sem Formatação Char"/>
    <w:link w:val="TextosemFormatao"/>
    <w:uiPriority w:val="99"/>
    <w:rPr>
      <w:rFonts w:ascii="Courier New" w:hAnsi="Courier New" w:cs="Courier New"/>
      <w:lang w:val="pt-BR" w:eastAsia="pt-BR"/>
    </w:rPr>
  </w:style>
  <w:style w:type="paragraph" w:customStyle="1" w:styleId="Schedule1">
    <w:name w:val="Schedule 1"/>
    <w:basedOn w:val="Normal"/>
    <w:pPr>
      <w:widowControl/>
      <w:numPr>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2">
    <w:name w:val="Schedule 2"/>
    <w:basedOn w:val="Normal"/>
    <w:pPr>
      <w:widowControl/>
      <w:numPr>
        <w:ilvl w:val="1"/>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3">
    <w:name w:val="Schedule 3"/>
    <w:basedOn w:val="Normal"/>
    <w:pPr>
      <w:widowControl/>
      <w:numPr>
        <w:ilvl w:val="2"/>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4">
    <w:name w:val="Schedule 4"/>
    <w:basedOn w:val="Normal"/>
    <w:pPr>
      <w:widowControl/>
      <w:numPr>
        <w:ilvl w:val="3"/>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5">
    <w:name w:val="Schedule 5"/>
    <w:basedOn w:val="Normal"/>
    <w:pPr>
      <w:widowControl/>
      <w:numPr>
        <w:ilvl w:val="4"/>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6">
    <w:name w:val="Schedule 6"/>
    <w:basedOn w:val="Normal"/>
    <w:pPr>
      <w:widowControl/>
      <w:numPr>
        <w:ilvl w:val="5"/>
        <w:numId w:val="3"/>
      </w:numPr>
      <w:autoSpaceDE/>
      <w:autoSpaceDN/>
      <w:adjustRightInd/>
      <w:spacing w:after="140" w:line="288" w:lineRule="auto"/>
      <w:jc w:val="both"/>
    </w:pPr>
    <w:rPr>
      <w:rFonts w:ascii="Tahoma" w:hAnsi="Tahoma" w:cs="Tahoma"/>
      <w:color w:val="000000"/>
      <w:kern w:val="20"/>
      <w:sz w:val="22"/>
      <w:szCs w:val="22"/>
      <w:lang w:val="pt-BR"/>
    </w:rPr>
  </w:style>
  <w:style w:type="paragraph" w:styleId="Reviso">
    <w:name w:val="Revision"/>
    <w:hidden/>
    <w:uiPriority w:val="99"/>
    <w:semiHidden/>
    <w:rPr>
      <w:rFonts w:ascii="Times New Roman" w:hAnsi="Times New Roman"/>
      <w:lang w:val="pt-PT"/>
    </w:rPr>
  </w:style>
  <w:style w:type="character" w:customStyle="1" w:styleId="PargrafodaListaChar">
    <w:name w:val="Parágrafo da Lista Char"/>
    <w:link w:val="PargrafodaLista"/>
    <w:uiPriority w:val="34"/>
    <w:locked/>
    <w:rPr>
      <w:rFonts w:ascii="Times New Roman" w:hAnsi="Times New Roman"/>
      <w:lang w:val="pt-PT" w:eastAsia="pt-BR"/>
    </w:rPr>
  </w:style>
  <w:style w:type="character" w:customStyle="1" w:styleId="Level3Char">
    <w:name w:val="Level 3 Char"/>
    <w:link w:val="Level3"/>
    <w:locked/>
    <w:rPr>
      <w:rFonts w:ascii="Tahoma" w:hAnsi="Tahoma" w:cs="Tahoma"/>
      <w:color w:val="000000"/>
      <w:kern w:val="20"/>
      <w:sz w:val="22"/>
      <w:szCs w:val="28"/>
    </w:rPr>
  </w:style>
  <w:style w:type="character" w:customStyle="1" w:styleId="Level2Char">
    <w:name w:val="Level 2 Char"/>
    <w:link w:val="Level2"/>
    <w:rPr>
      <w:rFonts w:ascii="Arial" w:hAnsi="Arial" w:cs="Arial"/>
      <w:color w:val="000000"/>
      <w:szCs w:val="28"/>
    </w:rPr>
  </w:style>
  <w:style w:type="paragraph" w:customStyle="1" w:styleId="Body">
    <w:name w:val="Body"/>
    <w:basedOn w:val="Normal"/>
    <w:link w:val="BodyChar1"/>
    <w:qFormat/>
    <w:pPr>
      <w:widowControl/>
      <w:autoSpaceDE/>
      <w:autoSpaceDN/>
      <w:adjustRightInd/>
      <w:spacing w:after="140" w:line="290" w:lineRule="auto"/>
      <w:jc w:val="both"/>
    </w:pPr>
    <w:rPr>
      <w:rFonts w:ascii="Arial" w:hAnsi="Arial" w:cs="Arial"/>
      <w:lang w:val="en-GB" w:eastAsia="en-GB"/>
    </w:rPr>
  </w:style>
  <w:style w:type="paragraph" w:customStyle="1" w:styleId="Heading">
    <w:name w:val="Heading"/>
    <w:basedOn w:val="Normal"/>
    <w:pPr>
      <w:widowControl/>
      <w:autoSpaceDE/>
      <w:autoSpaceDN/>
      <w:adjustRightInd/>
      <w:spacing w:after="140" w:line="290" w:lineRule="auto"/>
      <w:jc w:val="both"/>
    </w:pPr>
    <w:rPr>
      <w:rFonts w:ascii="Arial" w:eastAsia="Calibri" w:hAnsi="Arial" w:cs="Arial"/>
      <w:b/>
      <w:sz w:val="22"/>
      <w:szCs w:val="26"/>
      <w:lang w:val="pt-BR" w:eastAsia="en-GB"/>
    </w:rPr>
  </w:style>
  <w:style w:type="character" w:customStyle="1" w:styleId="BodyChar1">
    <w:name w:val="Body Char1"/>
    <w:aliases w:val="by Char"/>
    <w:link w:val="Body"/>
    <w:rPr>
      <w:rFonts w:ascii="Arial" w:hAnsi="Arial" w:cs="Arial"/>
      <w:lang w:val="en-GB" w:eastAsia="en-GB"/>
    </w:rPr>
  </w:style>
  <w:style w:type="paragraph" w:customStyle="1" w:styleId="Parties">
    <w:name w:val="Parties"/>
    <w:basedOn w:val="Normal"/>
    <w:pPr>
      <w:widowControl/>
      <w:numPr>
        <w:numId w:val="5"/>
      </w:numPr>
      <w:spacing w:after="140" w:line="290" w:lineRule="auto"/>
      <w:jc w:val="both"/>
    </w:pPr>
    <w:rPr>
      <w:rFonts w:ascii="Arial" w:hAnsi="Arial" w:cs="Arial"/>
      <w:bCs/>
      <w:szCs w:val="24"/>
      <w:lang w:val="pt-BR"/>
    </w:rPr>
  </w:style>
  <w:style w:type="paragraph" w:customStyle="1" w:styleId="Recitals">
    <w:name w:val="Recitals"/>
    <w:basedOn w:val="Normal"/>
    <w:pPr>
      <w:widowControl/>
      <w:numPr>
        <w:ilvl w:val="1"/>
        <w:numId w:val="5"/>
      </w:numPr>
      <w:spacing w:after="140" w:line="290" w:lineRule="auto"/>
      <w:jc w:val="both"/>
    </w:pPr>
    <w:rPr>
      <w:rFonts w:ascii="Arial" w:hAnsi="Arial"/>
      <w:szCs w:val="24"/>
      <w:lang w:val="pt-BR"/>
    </w:rPr>
  </w:style>
  <w:style w:type="paragraph" w:customStyle="1" w:styleId="Parties2">
    <w:name w:val="Parties 2"/>
    <w:basedOn w:val="Normal"/>
    <w:pPr>
      <w:widowControl/>
      <w:numPr>
        <w:ilvl w:val="2"/>
        <w:numId w:val="5"/>
      </w:numPr>
      <w:jc w:val="both"/>
    </w:pPr>
    <w:rPr>
      <w:rFonts w:ascii="Arial" w:hAnsi="Arial"/>
      <w:szCs w:val="24"/>
      <w:lang w:val="pt-BR"/>
    </w:rPr>
  </w:style>
  <w:style w:type="paragraph" w:customStyle="1" w:styleId="Recitals2">
    <w:name w:val="Recitals 2"/>
    <w:basedOn w:val="Normal"/>
    <w:pPr>
      <w:widowControl/>
      <w:numPr>
        <w:ilvl w:val="3"/>
        <w:numId w:val="5"/>
      </w:numPr>
      <w:jc w:val="both"/>
    </w:pPr>
    <w:rPr>
      <w:rFonts w:ascii="Arial" w:hAnsi="Arial"/>
      <w:szCs w:val="24"/>
      <w:lang w:val="pt-BR"/>
    </w:rPr>
  </w:style>
  <w:style w:type="paragraph" w:customStyle="1" w:styleId="ExhibitApps">
    <w:name w:val="Exhibit/Apps"/>
    <w:basedOn w:val="Normal"/>
    <w:pPr>
      <w:widowControl/>
      <w:spacing w:after="140" w:line="290" w:lineRule="auto"/>
      <w:jc w:val="center"/>
    </w:pPr>
    <w:rPr>
      <w:rFonts w:ascii="Arial" w:hAnsi="Arial" w:cs="Arial"/>
      <w:b/>
      <w:sz w:val="23"/>
      <w:szCs w:val="24"/>
      <w:u w:val="single"/>
      <w:lang w:val="pt-BR"/>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Cs w:val="24"/>
      <w:lang w:val="pt-BR"/>
    </w:rPr>
  </w:style>
  <w:style w:type="paragraph" w:customStyle="1" w:styleId="Exhibit2">
    <w:name w:val="Exhibit 2"/>
    <w:basedOn w:val="Normal"/>
    <w:pPr>
      <w:widowControl/>
      <w:numPr>
        <w:ilvl w:val="1"/>
        <w:numId w:val="4"/>
      </w:numPr>
    </w:pPr>
    <w:rPr>
      <w:rFonts w:ascii="Arial" w:hAnsi="Arial"/>
      <w:szCs w:val="24"/>
      <w:lang w:val="pt-BR"/>
    </w:rPr>
  </w:style>
  <w:style w:type="paragraph" w:customStyle="1" w:styleId="Exhibit3">
    <w:name w:val="Exhibit 3"/>
    <w:basedOn w:val="Normal"/>
    <w:pPr>
      <w:widowControl/>
      <w:numPr>
        <w:ilvl w:val="2"/>
        <w:numId w:val="4"/>
      </w:numPr>
    </w:pPr>
    <w:rPr>
      <w:rFonts w:ascii="Arial" w:hAnsi="Arial"/>
      <w:szCs w:val="24"/>
      <w:lang w:val="pt-BR"/>
    </w:rPr>
  </w:style>
  <w:style w:type="paragraph" w:customStyle="1" w:styleId="Exhibit4">
    <w:name w:val="Exhibit 4"/>
    <w:basedOn w:val="Normal"/>
    <w:pPr>
      <w:widowControl/>
      <w:numPr>
        <w:ilvl w:val="3"/>
        <w:numId w:val="4"/>
      </w:numPr>
    </w:pPr>
    <w:rPr>
      <w:rFonts w:ascii="Arial" w:hAnsi="Arial"/>
      <w:szCs w:val="24"/>
      <w:lang w:val="pt-BR"/>
    </w:rPr>
  </w:style>
  <w:style w:type="paragraph" w:customStyle="1" w:styleId="Exhibit5">
    <w:name w:val="Exhibit 5"/>
    <w:basedOn w:val="Normal"/>
    <w:pPr>
      <w:widowControl/>
      <w:numPr>
        <w:ilvl w:val="4"/>
        <w:numId w:val="4"/>
      </w:numPr>
    </w:pPr>
    <w:rPr>
      <w:rFonts w:ascii="Arial" w:hAnsi="Arial"/>
      <w:szCs w:val="24"/>
      <w:lang w:val="pt-BR"/>
    </w:rPr>
  </w:style>
  <w:style w:type="paragraph" w:customStyle="1" w:styleId="Exhibit6">
    <w:name w:val="Exhibit 6"/>
    <w:basedOn w:val="Normal"/>
    <w:pPr>
      <w:widowControl/>
      <w:numPr>
        <w:ilvl w:val="5"/>
        <w:numId w:val="4"/>
      </w:numPr>
    </w:pPr>
    <w:rPr>
      <w:rFonts w:ascii="Arial" w:hAnsi="Arial"/>
      <w:szCs w:val="24"/>
      <w:lang w:val="pt-BR"/>
    </w:rPr>
  </w:style>
  <w:style w:type="paragraph" w:customStyle="1" w:styleId="Citao1">
    <w:name w:val="Citação1"/>
    <w:basedOn w:val="Normal"/>
    <w:pPr>
      <w:widowControl/>
      <w:spacing w:after="140" w:line="290" w:lineRule="auto"/>
      <w:jc w:val="both"/>
    </w:pPr>
    <w:rPr>
      <w:rFonts w:ascii="Arial" w:hAnsi="Arial" w:cs="Arial"/>
      <w:i/>
      <w:sz w:val="18"/>
      <w:szCs w:val="24"/>
      <w:lang w:val="pt-BR"/>
    </w:rPr>
  </w:style>
  <w:style w:type="character" w:customStyle="1" w:styleId="Ttulo5Char">
    <w:name w:val="Título 5 Char"/>
    <w:basedOn w:val="Fontepargpadro"/>
    <w:link w:val="Ttulo5"/>
    <w:uiPriority w:val="9"/>
    <w:semiHidden/>
    <w:rPr>
      <w:b/>
      <w:bCs/>
      <w:i/>
      <w:iCs/>
      <w:sz w:val="26"/>
      <w:szCs w:val="26"/>
    </w:rPr>
  </w:style>
  <w:style w:type="character" w:customStyle="1" w:styleId="Ttulo7Char">
    <w:name w:val="Título 7 Char"/>
    <w:basedOn w:val="Fontepargpadro"/>
    <w:link w:val="Ttulo7"/>
    <w:uiPriority w:val="9"/>
    <w:semiHidden/>
    <w:rPr>
      <w:sz w:val="24"/>
      <w:szCs w:val="24"/>
    </w:rPr>
  </w:style>
  <w:style w:type="character" w:customStyle="1" w:styleId="Ttulo8Char">
    <w:name w:val="Título 8 Char"/>
    <w:basedOn w:val="Fontepargpadro"/>
    <w:link w:val="Ttulo8"/>
    <w:uiPriority w:val="9"/>
    <w:semiHidden/>
    <w:rPr>
      <w:i/>
      <w:iCs/>
      <w:sz w:val="24"/>
      <w:szCs w:val="24"/>
    </w:rPr>
  </w:style>
  <w:style w:type="paragraph" w:customStyle="1" w:styleId="Citao2">
    <w:name w:val="Citação2"/>
    <w:basedOn w:val="Normal"/>
    <w:pPr>
      <w:spacing w:after="140" w:line="290" w:lineRule="auto"/>
      <w:jc w:val="both"/>
    </w:pPr>
    <w:rPr>
      <w:rFonts w:ascii="Arial" w:hAnsi="Arial" w:cs="Arial"/>
      <w:sz w:val="18"/>
      <w:szCs w:val="22"/>
      <w:u w:val="single"/>
      <w:lang w:val="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F5496" w:themeColor="accent1" w:themeShade="BF"/>
      <w:lang w:val="pt-PT"/>
    </w:rPr>
  </w:style>
  <w:style w:type="paragraph" w:customStyle="1" w:styleId="Citao3">
    <w:name w:val="Citação3"/>
    <w:basedOn w:val="Normal"/>
    <w:pPr>
      <w:spacing w:after="140" w:line="290" w:lineRule="auto"/>
      <w:jc w:val="both"/>
    </w:pPr>
    <w:rPr>
      <w:rFonts w:ascii="Arial" w:hAnsi="Arial" w:cs="Arial"/>
      <w:sz w:val="18"/>
      <w:szCs w:val="22"/>
      <w:u w:val="single"/>
      <w:lang w:val="pt-BR"/>
    </w:rPr>
  </w:style>
  <w:style w:type="paragraph" w:customStyle="1" w:styleId="Citao4">
    <w:name w:val="Citação4"/>
    <w:basedOn w:val="Normal"/>
    <w:pPr>
      <w:spacing w:after="140" w:line="290" w:lineRule="auto"/>
      <w:jc w:val="both"/>
    </w:pPr>
    <w:rPr>
      <w:rFonts w:ascii="Arial" w:hAnsi="Arial" w:cs="Arial"/>
      <w:sz w:val="18"/>
      <w:szCs w:val="22"/>
      <w:u w:val="single"/>
      <w:lang w:val="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Nivel1">
    <w:name w:val="Nivel 1"/>
    <w:basedOn w:val="Normal"/>
    <w:qFormat/>
    <w:pPr>
      <w:numPr>
        <w:numId w:val="7"/>
      </w:numPr>
      <w:spacing w:line="300" w:lineRule="atLeast"/>
    </w:pPr>
    <w:rPr>
      <w:b/>
      <w:bCs/>
      <w:color w:val="000000"/>
      <w:sz w:val="22"/>
      <w:szCs w:val="22"/>
      <w:lang w:val="pt-BR"/>
    </w:rPr>
  </w:style>
  <w:style w:type="paragraph" w:customStyle="1" w:styleId="Nivel2">
    <w:name w:val="Nivel 2"/>
    <w:basedOn w:val="Normal"/>
    <w:qFormat/>
    <w:pPr>
      <w:numPr>
        <w:ilvl w:val="1"/>
        <w:numId w:val="7"/>
      </w:numPr>
      <w:spacing w:line="300" w:lineRule="atLeast"/>
    </w:pPr>
    <w:rPr>
      <w:bCs/>
      <w:color w:val="000000"/>
      <w:sz w:val="22"/>
      <w:szCs w:val="22"/>
      <w:lang w:val="pt-BR"/>
    </w:rPr>
  </w:style>
  <w:style w:type="paragraph" w:customStyle="1" w:styleId="Nivel3">
    <w:name w:val="Nivel 3"/>
    <w:basedOn w:val="Corpodetexto"/>
    <w:qFormat/>
    <w:pPr>
      <w:widowControl/>
      <w:numPr>
        <w:ilvl w:val="2"/>
        <w:numId w:val="7"/>
      </w:numPr>
      <w:autoSpaceDE/>
      <w:autoSpaceDN/>
      <w:adjustRightInd/>
      <w:spacing w:after="0" w:line="320" w:lineRule="exact"/>
      <w:jc w:val="both"/>
    </w:pPr>
    <w:rPr>
      <w:rFonts w:eastAsia="MS Mincho"/>
      <w:color w:val="000000"/>
      <w:sz w:val="22"/>
      <w:szCs w:val="22"/>
      <w:lang w:val="pt-BR" w:eastAsia="pt-BR"/>
    </w:rPr>
  </w:style>
  <w:style w:type="paragraph" w:customStyle="1" w:styleId="Nivel4">
    <w:name w:val="Nivel 4"/>
    <w:basedOn w:val="Default"/>
    <w:qFormat/>
    <w:pPr>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qFormat/>
    <w:pPr>
      <w:numPr>
        <w:ilvl w:val="5"/>
        <w:numId w:val="7"/>
      </w:numPr>
      <w:spacing w:line="300" w:lineRule="atLeast"/>
      <w:jc w:val="both"/>
    </w:pPr>
    <w:rPr>
      <w:rFonts w:eastAsia="TT108t00"/>
      <w:sz w:val="22"/>
      <w:szCs w:val="22"/>
      <w:lang w:val="pt-BR"/>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lang w:val="pt-BR" w:eastAsia="en-US"/>
    </w:rPr>
  </w:style>
  <w:style w:type="character" w:styleId="TextodoEspaoReservado">
    <w:name w:val="Placeholder Text"/>
    <w:basedOn w:val="Fontepargpadro"/>
    <w:uiPriority w:val="99"/>
    <w:semiHidden/>
    <w:rPr>
      <w:color w:val="808080"/>
    </w:rPr>
  </w:style>
  <w:style w:type="numbering" w:customStyle="1" w:styleId="Semlista1">
    <w:name w:val="Sem lista1"/>
    <w:next w:val="Semlista"/>
    <w:uiPriority w:val="99"/>
    <w:semiHidden/>
    <w:unhideWhenUsed/>
  </w:style>
  <w:style w:type="paragraph" w:customStyle="1" w:styleId="Textodebalo2">
    <w:name w:val="Texto de balão2"/>
    <w:basedOn w:val="Normal"/>
    <w:pPr>
      <w:widowControl/>
    </w:pPr>
    <w:rPr>
      <w:rFonts w:ascii="Tahoma" w:hAnsi="Tahoma" w:cs="Tahoma"/>
      <w:sz w:val="16"/>
      <w:szCs w:val="16"/>
    </w:rPr>
  </w:style>
  <w:style w:type="paragraph" w:customStyle="1" w:styleId="Rodolpho1">
    <w:name w:val="Rodolpho1"/>
    <w:basedOn w:val="Normal"/>
    <w:pPr>
      <w:widowControl/>
      <w:jc w:val="both"/>
    </w:pPr>
    <w:rPr>
      <w:rFonts w:ascii="Arial" w:hAnsi="Arial" w:cs="Arial"/>
      <w:sz w:val="24"/>
      <w:szCs w:val="24"/>
      <w:lang w:val="pt-BR"/>
    </w:rPr>
  </w:style>
  <w:style w:type="paragraph" w:customStyle="1" w:styleId="Textodebalo1">
    <w:name w:val="Texto de balão1"/>
    <w:basedOn w:val="Normal"/>
    <w:pPr>
      <w:widowControl/>
    </w:pPr>
    <w:rPr>
      <w:rFonts w:ascii="Tahoma" w:hAnsi="Tahoma" w:cs="Tahoma"/>
      <w:sz w:val="16"/>
      <w:szCs w:val="16"/>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rPr>
  </w:style>
  <w:style w:type="paragraph" w:styleId="Recuodecorpodetexto2">
    <w:name w:val="Body Text Indent 2"/>
    <w:basedOn w:val="Normal"/>
    <w:link w:val="Recuodecorpodetexto2Char"/>
    <w:uiPriority w:val="99"/>
    <w:pPr>
      <w:widowControl/>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hAnsi="Times New Roman"/>
      <w:lang w:val="pt-PT"/>
    </w:rPr>
  </w:style>
  <w:style w:type="paragraph" w:customStyle="1" w:styleId="CharCharCharCharCharCharCharChar1CharCharCharChar">
    <w:name w:val="Char Char Char Char Char Char Char Char1 Char Char Char Char"/>
    <w:basedOn w:val="Normal"/>
    <w:pPr>
      <w:widowControl/>
      <w:spacing w:after="160" w:line="240" w:lineRule="exact"/>
    </w:pPr>
    <w:rPr>
      <w:rFonts w:ascii="Verdana" w:hAnsi="Verdana" w:cs="Verdana"/>
      <w:lang w:val="en-US"/>
    </w:rPr>
  </w:style>
  <w:style w:type="paragraph" w:customStyle="1" w:styleId="1">
    <w:name w:val="1"/>
    <w:basedOn w:val="Normal"/>
    <w:pPr>
      <w:widowControl/>
      <w:spacing w:after="160" w:line="240" w:lineRule="exact"/>
    </w:pPr>
    <w:rPr>
      <w:rFonts w:ascii="Verdana" w:hAnsi="Verdana"/>
      <w:lang w:val="en-US"/>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widowControl/>
      <w:spacing w:after="160" w:line="240" w:lineRule="exact"/>
    </w:pPr>
    <w:rPr>
      <w:rFonts w:ascii="Verdana" w:eastAsia="MS Mincho" w:hAnsi="Verdana" w:cs="Verdana"/>
      <w:lang w:val="en-US"/>
    </w:rPr>
  </w:style>
  <w:style w:type="paragraph" w:customStyle="1" w:styleId="Societrio">
    <w:name w:val="Societário"/>
    <w:basedOn w:val="Normal"/>
    <w:pPr>
      <w:widowControl/>
      <w:jc w:val="both"/>
    </w:pPr>
    <w:rPr>
      <w:rFonts w:ascii="Courier" w:hAnsi="Courier"/>
      <w:sz w:val="24"/>
      <w:lang w:val="pt-BR"/>
    </w:rPr>
  </w:style>
  <w:style w:type="paragraph" w:customStyle="1" w:styleId="CharCharCharChar">
    <w:name w:val="Char Char Char Char"/>
    <w:basedOn w:val="Normal"/>
    <w:pPr>
      <w:widowControl/>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widowControl/>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lang w:val="pt-PT"/>
    </w:rPr>
  </w:style>
  <w:style w:type="paragraph" w:customStyle="1" w:styleId="CharCharCharCharCharChar">
    <w:name w:val="Char Char Char Char Char Char"/>
    <w:basedOn w:val="Normal"/>
    <w:pPr>
      <w:widowControl/>
      <w:spacing w:after="160" w:line="240" w:lineRule="exact"/>
    </w:pPr>
    <w:rPr>
      <w:rFonts w:ascii="Verdana" w:hAnsi="Verdana" w:cs="Verdana"/>
      <w:lang w:val="en-US"/>
    </w:rPr>
  </w:style>
  <w:style w:type="paragraph" w:customStyle="1" w:styleId="axxx">
    <w:name w:val="a.x.x.x)"/>
    <w:basedOn w:val="Normal"/>
    <w:pPr>
      <w:widowControl/>
      <w:tabs>
        <w:tab w:val="right" w:pos="9072"/>
      </w:tabs>
      <w:spacing w:before="120" w:after="120"/>
      <w:ind w:left="3260" w:hanging="992"/>
      <w:jc w:val="both"/>
    </w:pPr>
    <w:rPr>
      <w:rFonts w:ascii="Arial" w:hAnsi="Arial"/>
      <w:sz w:val="24"/>
      <w:lang w:val="pt-BR"/>
    </w:rPr>
  </w:style>
  <w:style w:type="paragraph" w:customStyle="1" w:styleId="axx">
    <w:name w:val="a.x.x)"/>
    <w:basedOn w:val="Normal"/>
    <w:pPr>
      <w:widowControl/>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widowControl/>
      <w:tabs>
        <w:tab w:val="left" w:pos="709"/>
      </w:tabs>
      <w:ind w:left="709" w:hanging="425"/>
    </w:pPr>
    <w:rPr>
      <w:rFonts w:ascii="Arial" w:hAnsi="Arial" w:cs="Arial"/>
      <w:sz w:val="17"/>
      <w:szCs w:val="17"/>
      <w:lang w:val="pt-BR"/>
    </w:rPr>
  </w:style>
  <w:style w:type="paragraph" w:customStyle="1" w:styleId="Corpodetexto31">
    <w:name w:val="Corpo de texto 31"/>
    <w:basedOn w:val="Normal"/>
    <w:pPr>
      <w:widowControl/>
      <w:suppressAutoHyphens/>
      <w:jc w:val="both"/>
    </w:pPr>
    <w:rPr>
      <w:sz w:val="22"/>
      <w:lang w:val="pt-BR"/>
    </w:rPr>
  </w:style>
  <w:style w:type="paragraph" w:customStyle="1" w:styleId="Corpodetexto21">
    <w:name w:val="Corpo de texto 21"/>
    <w:basedOn w:val="Normal"/>
    <w:pPr>
      <w:widowControl/>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customStyle="1" w:styleId="BodyText21">
    <w:name w:val="Body Text 21"/>
    <w:basedOn w:val="Normal"/>
    <w:pPr>
      <w:widowControl/>
      <w:tabs>
        <w:tab w:val="left" w:pos="851"/>
      </w:tabs>
      <w:ind w:left="851" w:hanging="399"/>
      <w:jc w:val="both"/>
    </w:pPr>
    <w:rPr>
      <w:sz w:val="22"/>
      <w:lang w:val="pt-BR"/>
    </w:rPr>
  </w:style>
  <w:style w:type="character" w:customStyle="1" w:styleId="EstiloDeEmail441">
    <w:name w:val="EstiloDeEmail441"/>
    <w:basedOn w:val="Fontepargpadro"/>
    <w:rPr>
      <w:rFonts w:ascii="Arial" w:hAnsi="Arial" w:cs="Arial"/>
      <w:color w:val="auto"/>
      <w:sz w:val="24"/>
      <w:szCs w:val="24"/>
      <w:u w:val="none"/>
    </w:rPr>
  </w:style>
  <w:style w:type="table" w:customStyle="1" w:styleId="Tabelacomgrade1">
    <w:name w:val="Tabela com grade1"/>
    <w:basedOn w:val="Tabelanormal"/>
    <w:next w:val="Tabelacomgrade"/>
    <w:uiPriority w:val="5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numbering" w:customStyle="1" w:styleId="Style5">
    <w:name w:val="Style5"/>
    <w:uiPriority w:val="99"/>
    <w:pPr>
      <w:numPr>
        <w:numId w:val="24"/>
      </w:numPr>
    </w:pPr>
  </w:style>
  <w:style w:type="character" w:customStyle="1" w:styleId="MenoPendente1">
    <w:name w:val="Menção Pendente1"/>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9806">
      <w:bodyDiv w:val="1"/>
      <w:marLeft w:val="0"/>
      <w:marRight w:val="0"/>
      <w:marTop w:val="0"/>
      <w:marBottom w:val="0"/>
      <w:divBdr>
        <w:top w:val="none" w:sz="0" w:space="0" w:color="auto"/>
        <w:left w:val="none" w:sz="0" w:space="0" w:color="auto"/>
        <w:bottom w:val="none" w:sz="0" w:space="0" w:color="auto"/>
        <w:right w:val="none" w:sz="0" w:space="0" w:color="auto"/>
      </w:divBdr>
    </w:div>
    <w:div w:id="99959618">
      <w:bodyDiv w:val="1"/>
      <w:marLeft w:val="0"/>
      <w:marRight w:val="0"/>
      <w:marTop w:val="0"/>
      <w:marBottom w:val="0"/>
      <w:divBdr>
        <w:top w:val="none" w:sz="0" w:space="0" w:color="auto"/>
        <w:left w:val="none" w:sz="0" w:space="0" w:color="auto"/>
        <w:bottom w:val="none" w:sz="0" w:space="0" w:color="auto"/>
        <w:right w:val="none" w:sz="0" w:space="0" w:color="auto"/>
      </w:divBdr>
    </w:div>
    <w:div w:id="372384823">
      <w:bodyDiv w:val="1"/>
      <w:marLeft w:val="0"/>
      <w:marRight w:val="0"/>
      <w:marTop w:val="0"/>
      <w:marBottom w:val="0"/>
      <w:divBdr>
        <w:top w:val="none" w:sz="0" w:space="0" w:color="auto"/>
        <w:left w:val="none" w:sz="0" w:space="0" w:color="auto"/>
        <w:bottom w:val="none" w:sz="0" w:space="0" w:color="auto"/>
        <w:right w:val="none" w:sz="0" w:space="0" w:color="auto"/>
      </w:divBdr>
    </w:div>
    <w:div w:id="730467819">
      <w:bodyDiv w:val="1"/>
      <w:marLeft w:val="0"/>
      <w:marRight w:val="0"/>
      <w:marTop w:val="0"/>
      <w:marBottom w:val="0"/>
      <w:divBdr>
        <w:top w:val="none" w:sz="0" w:space="0" w:color="auto"/>
        <w:left w:val="none" w:sz="0" w:space="0" w:color="auto"/>
        <w:bottom w:val="none" w:sz="0" w:space="0" w:color="auto"/>
        <w:right w:val="none" w:sz="0" w:space="0" w:color="auto"/>
      </w:divBdr>
    </w:div>
    <w:div w:id="1177229050">
      <w:bodyDiv w:val="1"/>
      <w:marLeft w:val="0"/>
      <w:marRight w:val="0"/>
      <w:marTop w:val="0"/>
      <w:marBottom w:val="0"/>
      <w:divBdr>
        <w:top w:val="none" w:sz="0" w:space="0" w:color="auto"/>
        <w:left w:val="none" w:sz="0" w:space="0" w:color="auto"/>
        <w:bottom w:val="none" w:sz="0" w:space="0" w:color="auto"/>
        <w:right w:val="none" w:sz="0" w:space="0" w:color="auto"/>
      </w:divBdr>
    </w:div>
    <w:div w:id="1254238523">
      <w:bodyDiv w:val="1"/>
      <w:marLeft w:val="0"/>
      <w:marRight w:val="0"/>
      <w:marTop w:val="0"/>
      <w:marBottom w:val="0"/>
      <w:divBdr>
        <w:top w:val="none" w:sz="0" w:space="0" w:color="auto"/>
        <w:left w:val="none" w:sz="0" w:space="0" w:color="auto"/>
        <w:bottom w:val="none" w:sz="0" w:space="0" w:color="auto"/>
        <w:right w:val="none" w:sz="0" w:space="0" w:color="auto"/>
      </w:divBdr>
    </w:div>
    <w:div w:id="1409422550">
      <w:bodyDiv w:val="1"/>
      <w:marLeft w:val="0"/>
      <w:marRight w:val="0"/>
      <w:marTop w:val="0"/>
      <w:marBottom w:val="0"/>
      <w:divBdr>
        <w:top w:val="none" w:sz="0" w:space="0" w:color="auto"/>
        <w:left w:val="none" w:sz="0" w:space="0" w:color="auto"/>
        <w:bottom w:val="none" w:sz="0" w:space="0" w:color="auto"/>
        <w:right w:val="none" w:sz="0" w:space="0" w:color="auto"/>
      </w:divBdr>
    </w:div>
    <w:div w:id="1429082952">
      <w:bodyDiv w:val="1"/>
      <w:marLeft w:val="0"/>
      <w:marRight w:val="0"/>
      <w:marTop w:val="0"/>
      <w:marBottom w:val="0"/>
      <w:divBdr>
        <w:top w:val="none" w:sz="0" w:space="0" w:color="auto"/>
        <w:left w:val="none" w:sz="0" w:space="0" w:color="auto"/>
        <w:bottom w:val="none" w:sz="0" w:space="0" w:color="auto"/>
        <w:right w:val="none" w:sz="0" w:space="0" w:color="auto"/>
      </w:divBdr>
    </w:div>
    <w:div w:id="1586524690">
      <w:bodyDiv w:val="1"/>
      <w:marLeft w:val="0"/>
      <w:marRight w:val="0"/>
      <w:marTop w:val="0"/>
      <w:marBottom w:val="0"/>
      <w:divBdr>
        <w:top w:val="none" w:sz="0" w:space="0" w:color="auto"/>
        <w:left w:val="none" w:sz="0" w:space="0" w:color="auto"/>
        <w:bottom w:val="none" w:sz="0" w:space="0" w:color="auto"/>
        <w:right w:val="none" w:sz="0" w:space="0" w:color="auto"/>
      </w:divBdr>
    </w:div>
    <w:div w:id="1689061311">
      <w:bodyDiv w:val="1"/>
      <w:marLeft w:val="0"/>
      <w:marRight w:val="0"/>
      <w:marTop w:val="0"/>
      <w:marBottom w:val="0"/>
      <w:divBdr>
        <w:top w:val="none" w:sz="0" w:space="0" w:color="auto"/>
        <w:left w:val="none" w:sz="0" w:space="0" w:color="auto"/>
        <w:bottom w:val="none" w:sz="0" w:space="0" w:color="auto"/>
        <w:right w:val="none" w:sz="0" w:space="0" w:color="auto"/>
      </w:divBdr>
    </w:div>
    <w:div w:id="1690597876">
      <w:bodyDiv w:val="1"/>
      <w:marLeft w:val="0"/>
      <w:marRight w:val="0"/>
      <w:marTop w:val="0"/>
      <w:marBottom w:val="0"/>
      <w:divBdr>
        <w:top w:val="none" w:sz="0" w:space="0" w:color="auto"/>
        <w:left w:val="none" w:sz="0" w:space="0" w:color="auto"/>
        <w:bottom w:val="none" w:sz="0" w:space="0" w:color="auto"/>
        <w:right w:val="none" w:sz="0" w:space="0" w:color="auto"/>
      </w:divBdr>
    </w:div>
    <w:div w:id="1730574441">
      <w:bodyDiv w:val="1"/>
      <w:marLeft w:val="0"/>
      <w:marRight w:val="0"/>
      <w:marTop w:val="0"/>
      <w:marBottom w:val="0"/>
      <w:divBdr>
        <w:top w:val="none" w:sz="0" w:space="0" w:color="auto"/>
        <w:left w:val="none" w:sz="0" w:space="0" w:color="auto"/>
        <w:bottom w:val="none" w:sz="0" w:space="0" w:color="auto"/>
        <w:right w:val="none" w:sz="0" w:space="0" w:color="auto"/>
      </w:divBdr>
    </w:div>
    <w:div w:id="1805198593">
      <w:bodyDiv w:val="1"/>
      <w:marLeft w:val="0"/>
      <w:marRight w:val="0"/>
      <w:marTop w:val="0"/>
      <w:marBottom w:val="0"/>
      <w:divBdr>
        <w:top w:val="none" w:sz="0" w:space="0" w:color="auto"/>
        <w:left w:val="none" w:sz="0" w:space="0" w:color="auto"/>
        <w:bottom w:val="none" w:sz="0" w:space="0" w:color="auto"/>
        <w:right w:val="none" w:sz="0" w:space="0" w:color="auto"/>
      </w:divBdr>
    </w:div>
    <w:div w:id="19396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dac.agente@bradesco.com.br"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 J U R _ S P ! 3 9 8 7 5 2 5 9 . 5 < / d o c u m e n t i d >  
     < s e n d e r i d > G A C < / s e n d e r i d >  
     < s e n d e r e m a i l > R M A R T I N S @ P N . C O M . B R < / s e n d e r e m a i l >  
     < l a s t m o d i f i e d > 2 0 2 1 - 0 4 - 0 6 T 0 6 : 2 1 : 0 0 . 0 0 0 0 0 0 0 - 0 3 : 0 0 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4E0DB-AB96-4D8E-B68D-27C6A871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14078</Words>
  <Characters>82979</Characters>
  <Application>Microsoft Office Word</Application>
  <DocSecurity>0</DocSecurity>
  <Lines>691</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96864</CharactersWithSpaces>
  <SharedDoc>false</SharedDoc>
  <HLinks>
    <vt:vector size="6" baseType="variant">
      <vt:variant>
        <vt:i4>1114159</vt:i4>
      </vt:variant>
      <vt:variant>
        <vt:i4>54</vt:i4>
      </vt:variant>
      <vt:variant>
        <vt:i4>0</vt:i4>
      </vt:variant>
      <vt:variant>
        <vt:i4>5</vt:i4>
      </vt:variant>
      <vt:variant>
        <vt:lpwstr>mailto:antonio.amaro@oliveiratrust.com.br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Henrique Noronha</dc:creator>
  <cp:keywords> </cp:keywords>
  <dc:description/>
  <cp:lastModifiedBy>Pinheiro Neto Advogados</cp:lastModifiedBy>
  <cp:revision>11</cp:revision>
  <cp:lastPrinted>2021-03-11T18:14:00Z</cp:lastPrinted>
  <dcterms:created xsi:type="dcterms:W3CDTF">2021-04-01T19:30:00Z</dcterms:created>
  <dcterms:modified xsi:type="dcterms:W3CDTF">2021-04-06T09:21:00Z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iManageFooter">
    <vt:lpwstr>JUR_SP - 39875259v5 - 5243018.470159</vt:lpwstr>
  </property>
  <property fmtid="{D5CDD505-2E9C-101B-9397-08002B2CF9AE}" pid="7" name="MSIP_Label_40881dc9-f7f2-41de-a334-ceff3dc15b31_Enabled">
    <vt:lpwstr>true</vt:lpwstr>
  </property>
  <property fmtid="{D5CDD505-2E9C-101B-9397-08002B2CF9AE}" pid="8" name="MSIP_Label_40881dc9-f7f2-41de-a334-ceff3dc15b31_SetDate">
    <vt:lpwstr>2021-04-06T15:50:13Z</vt:lpwstr>
  </property>
  <property fmtid="{D5CDD505-2E9C-101B-9397-08002B2CF9AE}" pid="9" name="MSIP_Label_40881dc9-f7f2-41de-a334-ceff3dc15b31_Method">
    <vt:lpwstr>Standard</vt:lpwstr>
  </property>
  <property fmtid="{D5CDD505-2E9C-101B-9397-08002B2CF9AE}" pid="10" name="MSIP_Label_40881dc9-f7f2-41de-a334-ceff3dc15b31_Name">
    <vt:lpwstr>40881dc9-f7f2-41de-a334-ceff3dc15b31</vt:lpwstr>
  </property>
  <property fmtid="{D5CDD505-2E9C-101B-9397-08002B2CF9AE}" pid="11" name="MSIP_Label_40881dc9-f7f2-41de-a334-ceff3dc15b31_SiteId">
    <vt:lpwstr>ea0c2907-38d2-4181-8750-b0b190b60443</vt:lpwstr>
  </property>
  <property fmtid="{D5CDD505-2E9C-101B-9397-08002B2CF9AE}" pid="12" name="MSIP_Label_40881dc9-f7f2-41de-a334-ceff3dc15b31_ActionId">
    <vt:lpwstr>e9e1b5d9-0bdc-45e7-8c98-2f8decf298fb</vt:lpwstr>
  </property>
  <property fmtid="{D5CDD505-2E9C-101B-9397-08002B2CF9AE}" pid="13" name="MSIP_Label_40881dc9-f7f2-41de-a334-ceff3dc15b31_ContentBits">
    <vt:lpwstr>0</vt:lpwstr>
  </property>
</Properties>
</file>