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5B1B4" w14:textId="77777777" w:rsidR="00257610" w:rsidRPr="00257610" w:rsidRDefault="00257610" w:rsidP="00257610">
      <w:pPr>
        <w:rPr>
          <w:rFonts w:eastAsia="Times New Roman" w:cs="Arial"/>
          <w:b/>
          <w:smallCaps/>
          <w:sz w:val="22"/>
          <w:lang w:val="pt-BR" w:eastAsia="pt-BR"/>
        </w:rPr>
      </w:pPr>
      <w:r w:rsidRPr="00257610">
        <w:rPr>
          <w:rFonts w:eastAsia="Times New Roman" w:cs="Arial"/>
          <w:b/>
          <w:smallCaps/>
          <w:sz w:val="22"/>
          <w:lang w:val="pt-BR" w:eastAsia="pt-BR"/>
        </w:rPr>
        <w:t xml:space="preserve">SEGUNDO ADITAMENTO AO </w:t>
      </w:r>
      <w:bookmarkStart w:id="0" w:name="_Hlk32856457"/>
      <w:r w:rsidRPr="00257610">
        <w:rPr>
          <w:rFonts w:eastAsia="Times New Roman" w:cs="Arial"/>
          <w:b/>
          <w:smallCaps/>
          <w:sz w:val="22"/>
          <w:lang w:val="pt-BR" w:eastAsia="pt-BR"/>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bookmarkEnd w:id="0"/>
      <w:r w:rsidRPr="00257610">
        <w:rPr>
          <w:rFonts w:eastAsia="Times New Roman" w:cs="Arial"/>
          <w:b/>
          <w:smallCaps/>
          <w:sz w:val="22"/>
          <w:lang w:val="pt-BR" w:eastAsia="pt-BR"/>
        </w:rPr>
        <w:t xml:space="preserve"> </w:t>
      </w:r>
    </w:p>
    <w:p w14:paraId="0F3F2999" w14:textId="77777777" w:rsidR="00257610" w:rsidRPr="00257610" w:rsidRDefault="00257610" w:rsidP="00257610">
      <w:pPr>
        <w:autoSpaceDE w:val="0"/>
        <w:autoSpaceDN w:val="0"/>
        <w:adjustRightInd w:val="0"/>
        <w:rPr>
          <w:rFonts w:eastAsia="Times New Roman" w:cs="Arial"/>
          <w:szCs w:val="24"/>
          <w:lang w:val="pt-BR" w:eastAsia="pt-BR"/>
        </w:rPr>
      </w:pPr>
      <w:r w:rsidRPr="00257610">
        <w:rPr>
          <w:rFonts w:eastAsia="Times New Roman" w:cs="Arial"/>
          <w:szCs w:val="24"/>
          <w:lang w:val="pt-BR" w:eastAsia="pt-BR"/>
        </w:rPr>
        <w:t>Pelo presente “</w:t>
      </w:r>
      <w:r w:rsidRPr="00257610">
        <w:rPr>
          <w:rFonts w:eastAsia="Times New Roman" w:cs="Arial"/>
          <w:i/>
          <w:szCs w:val="24"/>
          <w:lang w:val="pt-BR" w:eastAsia="pt-BR"/>
        </w:rPr>
        <w:t>Segundo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rsidRPr="00257610">
        <w:rPr>
          <w:rFonts w:eastAsia="Times New Roman" w:cs="Arial"/>
          <w:szCs w:val="24"/>
          <w:lang w:val="pt-BR" w:eastAsia="pt-BR"/>
        </w:rPr>
        <w:t>” (“</w:t>
      </w:r>
      <w:r w:rsidRPr="00257610">
        <w:rPr>
          <w:rFonts w:eastAsia="Times New Roman" w:cs="Arial"/>
          <w:b/>
          <w:szCs w:val="24"/>
          <w:lang w:val="pt-BR" w:eastAsia="pt-BR"/>
        </w:rPr>
        <w:t>Aditamento</w:t>
      </w:r>
      <w:r w:rsidRPr="00257610">
        <w:rPr>
          <w:rFonts w:eastAsia="Times New Roman" w:cs="Arial"/>
          <w:szCs w:val="24"/>
          <w:lang w:val="pt-BR" w:eastAsia="pt-BR"/>
        </w:rPr>
        <w:t>”):</w:t>
      </w:r>
    </w:p>
    <w:p w14:paraId="052B98F2" w14:textId="0A88DA23" w:rsidR="00257610" w:rsidRPr="00257610" w:rsidRDefault="003A0AD5" w:rsidP="003A0AD5">
      <w:pPr>
        <w:autoSpaceDE w:val="0"/>
        <w:autoSpaceDN w:val="0"/>
        <w:adjustRightInd w:val="0"/>
        <w:spacing w:after="0" w:line="240" w:lineRule="auto"/>
        <w:jc w:val="left"/>
        <w:rPr>
          <w:rFonts w:eastAsia="MS Mincho" w:cs="Arial"/>
          <w:color w:val="000000"/>
          <w:lang w:val="pt-BR" w:eastAsia="pt-BR"/>
        </w:rPr>
      </w:pPr>
      <w:r>
        <w:rPr>
          <w:rFonts w:eastAsia="MS Mincho" w:cs="Arial"/>
          <w:color w:val="000000"/>
          <w:lang w:val="pt-BR" w:eastAsia="pt-BR"/>
        </w:rPr>
        <w:t>N</w:t>
      </w:r>
      <w:r w:rsidR="00257610" w:rsidRPr="00257610">
        <w:rPr>
          <w:rFonts w:eastAsia="MS Mincho" w:cs="Arial"/>
          <w:color w:val="000000"/>
          <w:lang w:val="pt-BR" w:eastAsia="pt-BR"/>
        </w:rPr>
        <w:t>a qualidade de Emissora (conforme definidas abaixo):</w:t>
      </w:r>
    </w:p>
    <w:p w14:paraId="6E261280" w14:textId="77777777" w:rsidR="003A0AD5" w:rsidRPr="003A0AD5" w:rsidRDefault="003A0AD5" w:rsidP="003A0AD5">
      <w:pPr>
        <w:pStyle w:val="Parties"/>
        <w:numPr>
          <w:ilvl w:val="0"/>
          <w:numId w:val="0"/>
        </w:numPr>
        <w:ind w:left="680"/>
        <w:rPr>
          <w:rFonts w:eastAsia="MS Mincho"/>
          <w:b/>
          <w:smallCaps/>
          <w:lang w:val="pt-BR"/>
        </w:rPr>
      </w:pPr>
    </w:p>
    <w:p w14:paraId="74971E87" w14:textId="27BF3A23" w:rsidR="00257610" w:rsidRPr="00257610" w:rsidRDefault="00257610" w:rsidP="003A0AD5">
      <w:pPr>
        <w:pStyle w:val="Parties"/>
        <w:tabs>
          <w:tab w:val="num" w:pos="680"/>
        </w:tabs>
        <w:rPr>
          <w:rFonts w:eastAsia="MS Mincho"/>
          <w:b/>
          <w:smallCaps/>
          <w:lang w:val="pt-BR"/>
        </w:rPr>
      </w:pPr>
      <w:r w:rsidRPr="00257610">
        <w:rPr>
          <w:rFonts w:eastAsia="MS Mincho"/>
          <w:b/>
          <w:bCs/>
          <w:lang w:val="pt-BR"/>
        </w:rPr>
        <w:t>EMPREENDIMENTOS PAGUE MENOS S.A.</w:t>
      </w:r>
      <w:r w:rsidRPr="00257610">
        <w:rPr>
          <w:rFonts w:eastAsia="MS Mincho"/>
          <w:smallCaps/>
          <w:lang w:val="pt-BR"/>
        </w:rPr>
        <w:t>,</w:t>
      </w:r>
      <w:r w:rsidRPr="00257610">
        <w:rPr>
          <w:rFonts w:eastAsia="MS Mincho"/>
          <w:b/>
          <w:bCs/>
          <w:smallCaps/>
          <w:lang w:val="pt-BR"/>
        </w:rPr>
        <w:t xml:space="preserve"> </w:t>
      </w:r>
      <w:r w:rsidRPr="00257610">
        <w:rPr>
          <w:rFonts w:eastAsia="MS Mincho"/>
          <w:lang w:val="pt-BR"/>
        </w:rPr>
        <w:t>sociedade por ações, com registro de emissora de valores mobiliários categoria “A” perante a Comissão de Valores Mobiliários (“</w:t>
      </w:r>
      <w:r w:rsidRPr="00257610">
        <w:rPr>
          <w:rFonts w:eastAsia="MS Mincho"/>
          <w:b/>
          <w:lang w:val="pt-BR"/>
        </w:rPr>
        <w:t>CVM</w:t>
      </w:r>
      <w:r w:rsidRPr="00257610">
        <w:rPr>
          <w:rFonts w:eastAsia="MS Mincho"/>
          <w:lang w:val="pt-BR"/>
        </w:rPr>
        <w:t>”), com sede na Cidade de Fortaleza, Estado do Ceará, na Rua Senador Pompeu, nº 1.520, Centro, CEP 60025-902, inscrita no Cadastro de Pessoa Jurídica do Ministério da Economia (“</w:t>
      </w:r>
      <w:r w:rsidRPr="00257610">
        <w:rPr>
          <w:rFonts w:eastAsia="MS Mincho"/>
          <w:b/>
          <w:bCs/>
          <w:lang w:val="pt-BR"/>
        </w:rPr>
        <w:t>CNPJ/ME</w:t>
      </w:r>
      <w:r w:rsidRPr="00257610">
        <w:rPr>
          <w:rFonts w:eastAsia="MS Mincho"/>
          <w:bCs/>
          <w:lang w:val="pt-BR"/>
        </w:rPr>
        <w:t>”)</w:t>
      </w:r>
      <w:r w:rsidRPr="00257610">
        <w:rPr>
          <w:rFonts w:eastAsia="MS Mincho"/>
          <w:lang w:val="pt-BR"/>
        </w:rPr>
        <w:t xml:space="preserve"> sob o nº 06.626.253/0001-51, neste ato representada nos termos de seu estatuto social (</w:t>
      </w:r>
      <w:r w:rsidRPr="00257610">
        <w:rPr>
          <w:rFonts w:eastAsia="MS Mincho"/>
          <w:lang w:val="pt-PT"/>
        </w:rPr>
        <w:t>“</w:t>
      </w:r>
      <w:r w:rsidRPr="00257610">
        <w:rPr>
          <w:rFonts w:eastAsia="MS Mincho"/>
          <w:b/>
          <w:lang w:val="pt-PT"/>
        </w:rPr>
        <w:t>Emissora</w:t>
      </w:r>
      <w:r w:rsidRPr="00257610">
        <w:rPr>
          <w:rFonts w:eastAsia="MS Mincho"/>
          <w:lang w:val="pt-PT"/>
        </w:rPr>
        <w:t>”);</w:t>
      </w:r>
    </w:p>
    <w:p w14:paraId="647B1E19" w14:textId="3EDE058A" w:rsidR="00257610" w:rsidRPr="00257610" w:rsidRDefault="003A0AD5" w:rsidP="003A0AD5">
      <w:pPr>
        <w:autoSpaceDE w:val="0"/>
        <w:autoSpaceDN w:val="0"/>
        <w:adjustRightInd w:val="0"/>
        <w:spacing w:after="0" w:line="240" w:lineRule="auto"/>
        <w:jc w:val="left"/>
        <w:rPr>
          <w:rFonts w:eastAsia="MS Mincho" w:cs="Arial"/>
          <w:color w:val="000000"/>
          <w:lang w:val="pt-BR" w:eastAsia="pt-BR"/>
        </w:rPr>
      </w:pPr>
      <w:r>
        <w:rPr>
          <w:rFonts w:eastAsia="MS Mincho" w:cs="Arial"/>
          <w:color w:val="000000"/>
          <w:lang w:val="pt-BR" w:eastAsia="pt-BR"/>
        </w:rPr>
        <w:t>N</w:t>
      </w:r>
      <w:r w:rsidR="00257610" w:rsidRPr="00257610">
        <w:rPr>
          <w:rFonts w:eastAsia="MS Mincho" w:cs="Arial"/>
          <w:color w:val="000000"/>
          <w:lang w:val="pt-BR" w:eastAsia="pt-BR"/>
        </w:rPr>
        <w:t>a qualidade de Agente Fiduciário (conforme definido abaixo):</w:t>
      </w:r>
    </w:p>
    <w:p w14:paraId="3076C690" w14:textId="77777777" w:rsidR="003A0AD5" w:rsidRDefault="003A0AD5" w:rsidP="003A0AD5">
      <w:pPr>
        <w:pStyle w:val="Parties"/>
        <w:numPr>
          <w:ilvl w:val="0"/>
          <w:numId w:val="0"/>
        </w:numPr>
        <w:ind w:left="680"/>
        <w:rPr>
          <w:rFonts w:eastAsia="MS Mincho"/>
          <w:b/>
          <w:bCs/>
          <w:lang w:val="pt-BR"/>
        </w:rPr>
      </w:pPr>
    </w:p>
    <w:p w14:paraId="623E8510" w14:textId="58F7AB62" w:rsidR="00257610" w:rsidRPr="00257610" w:rsidRDefault="00257610" w:rsidP="003A0AD5">
      <w:pPr>
        <w:pStyle w:val="Parties"/>
        <w:tabs>
          <w:tab w:val="num" w:pos="680"/>
        </w:tabs>
        <w:rPr>
          <w:rFonts w:eastAsia="MS Mincho"/>
          <w:b/>
          <w:bCs/>
          <w:lang w:val="pt-BR"/>
        </w:rPr>
      </w:pPr>
      <w:r w:rsidRPr="00257610">
        <w:rPr>
          <w:rFonts w:eastAsia="MS Mincho"/>
          <w:b/>
          <w:bCs/>
          <w:lang w:val="pt-BR"/>
        </w:rPr>
        <w:t>SIMPLIFIC PAVARINI DISTRIBUIDORA DE TÍTULOS E VALORES MOBILIÁRIOS LTDA.</w:t>
      </w:r>
      <w:r w:rsidRPr="00257610">
        <w:rPr>
          <w:rFonts w:eastAsia="MS Mincho"/>
          <w:bCs/>
          <w:smallCaps/>
          <w:lang w:val="pt-BR"/>
        </w:rPr>
        <w:t>,</w:t>
      </w:r>
      <w:r w:rsidRPr="00257610">
        <w:rPr>
          <w:rFonts w:eastAsia="MS Mincho"/>
          <w:b/>
          <w:bCs/>
          <w:smallCaps/>
          <w:lang w:val="pt-BR"/>
        </w:rPr>
        <w:t xml:space="preserve"> </w:t>
      </w:r>
      <w:r w:rsidRPr="00257610">
        <w:rPr>
          <w:rFonts w:eastAsia="MS Mincho"/>
          <w:lang w:val="pt-BR"/>
        </w:rPr>
        <w:t>sociedade limitada, atuando por sua filial, localizada na Cidade de São Paulo, Estado de São Paulo, na Rua Joaquim Floriano, nº 466, bloco B, sala 1.401, Itaim Bibi, CEP 04534-002, inscrita no CNPJ/ME sob o nº 15.227.994/0004-01, neste ato representada na forma de seu contrato social, (“</w:t>
      </w:r>
      <w:r w:rsidRPr="00257610">
        <w:rPr>
          <w:rFonts w:eastAsia="MS Mincho"/>
          <w:b/>
          <w:lang w:val="pt-BR"/>
        </w:rPr>
        <w:t>Agente Fiduciário</w:t>
      </w:r>
      <w:r w:rsidRPr="00257610">
        <w:rPr>
          <w:rFonts w:eastAsia="MS Mincho"/>
          <w:lang w:val="pt-BR"/>
        </w:rPr>
        <w:t>”); e</w:t>
      </w:r>
    </w:p>
    <w:p w14:paraId="1383AACE" w14:textId="6582760D" w:rsidR="00257610" w:rsidRPr="00257610" w:rsidRDefault="003A0AD5" w:rsidP="003A0AD5">
      <w:pPr>
        <w:autoSpaceDE w:val="0"/>
        <w:autoSpaceDN w:val="0"/>
        <w:adjustRightInd w:val="0"/>
        <w:spacing w:after="0" w:line="240" w:lineRule="auto"/>
        <w:jc w:val="left"/>
        <w:rPr>
          <w:rFonts w:eastAsia="MS Mincho" w:cs="Arial"/>
          <w:color w:val="000000"/>
          <w:lang w:val="pt-BR" w:eastAsia="pt-BR"/>
        </w:rPr>
      </w:pPr>
      <w:r>
        <w:rPr>
          <w:rFonts w:eastAsia="MS Mincho" w:cs="Arial"/>
          <w:color w:val="000000"/>
          <w:lang w:val="pt-BR" w:eastAsia="pt-BR"/>
        </w:rPr>
        <w:t>N</w:t>
      </w:r>
      <w:r w:rsidR="00257610" w:rsidRPr="00257610">
        <w:rPr>
          <w:rFonts w:eastAsia="MS Mincho" w:cs="Arial"/>
          <w:color w:val="000000"/>
          <w:lang w:val="pt-BR" w:eastAsia="pt-BR"/>
        </w:rPr>
        <w:t xml:space="preserve">a qualidade de Fiadora (conforme definido abaixo): </w:t>
      </w:r>
    </w:p>
    <w:p w14:paraId="362B7C4A" w14:textId="77777777" w:rsidR="003A0AD5" w:rsidRPr="003A0AD5" w:rsidRDefault="003A0AD5" w:rsidP="003A0AD5">
      <w:pPr>
        <w:pStyle w:val="Parties"/>
        <w:numPr>
          <w:ilvl w:val="0"/>
          <w:numId w:val="0"/>
        </w:numPr>
        <w:ind w:left="680"/>
        <w:rPr>
          <w:rFonts w:eastAsia="MS Mincho"/>
          <w:lang w:val="pt-BR"/>
        </w:rPr>
      </w:pPr>
    </w:p>
    <w:p w14:paraId="3D3C5B35" w14:textId="4B0FBF52" w:rsidR="00257610" w:rsidRPr="00257610" w:rsidRDefault="00257610" w:rsidP="003A0AD5">
      <w:pPr>
        <w:pStyle w:val="Parties"/>
        <w:tabs>
          <w:tab w:val="num" w:pos="680"/>
        </w:tabs>
        <w:rPr>
          <w:rFonts w:eastAsia="MS Mincho"/>
          <w:lang w:val="pt-BR"/>
        </w:rPr>
      </w:pPr>
      <w:r w:rsidRPr="00257610">
        <w:rPr>
          <w:rFonts w:eastAsia="MS Mincho"/>
          <w:b/>
          <w:lang w:val="pt-BR"/>
        </w:rPr>
        <w:t>DUPAR PARTICIPAÇÕES S.A.,</w:t>
      </w:r>
      <w:r w:rsidRPr="00257610">
        <w:rPr>
          <w:rFonts w:eastAsia="MS Mincho"/>
          <w:lang w:val="pt-BR"/>
        </w:rPr>
        <w:t xml:space="preserve"> sociedade anônima com sede na Cidade de Fortaleza, Estado do Ceará, na Avenida Dom Manuel, nº 1.020, Sala 18, Centro, CEP 60025-902, inscrita no CNPJ/ME sob o n° 10.264.948/0001-08, neste ato representada na forma de seu estatuto social (“</w:t>
      </w:r>
      <w:r w:rsidRPr="00257610">
        <w:rPr>
          <w:rFonts w:eastAsia="MS Mincho"/>
          <w:b/>
          <w:lang w:val="pt-BR"/>
        </w:rPr>
        <w:t>Fiadora</w:t>
      </w:r>
      <w:r w:rsidRPr="00257610">
        <w:rPr>
          <w:rFonts w:eastAsia="MS Mincho"/>
          <w:lang w:val="pt-BR"/>
        </w:rPr>
        <w:t>”, sendo a Emissora, o Agente Fiduciário e a Fiadora doravante designados, em conjunto, como “</w:t>
      </w:r>
      <w:r w:rsidRPr="00257610">
        <w:rPr>
          <w:rFonts w:eastAsia="MS Mincho"/>
          <w:b/>
          <w:lang w:val="pt-BR"/>
        </w:rPr>
        <w:t>Partes</w:t>
      </w:r>
      <w:r w:rsidRPr="00257610">
        <w:rPr>
          <w:rFonts w:eastAsia="MS Mincho"/>
          <w:lang w:val="pt-BR"/>
        </w:rPr>
        <w:t>” e, individual e indistintamente, como “</w:t>
      </w:r>
      <w:r w:rsidRPr="00257610">
        <w:rPr>
          <w:rFonts w:eastAsia="MS Mincho"/>
          <w:b/>
          <w:lang w:val="pt-BR"/>
        </w:rPr>
        <w:t>Parte</w:t>
      </w:r>
      <w:r w:rsidRPr="00257610">
        <w:rPr>
          <w:rFonts w:eastAsia="MS Mincho"/>
          <w:lang w:val="pt-BR"/>
        </w:rPr>
        <w:t>”).</w:t>
      </w:r>
    </w:p>
    <w:p w14:paraId="4F83C6D6" w14:textId="77777777" w:rsidR="00257610" w:rsidRPr="00257610" w:rsidRDefault="00257610" w:rsidP="00257610">
      <w:pPr>
        <w:autoSpaceDE w:val="0"/>
        <w:autoSpaceDN w:val="0"/>
        <w:adjustRightInd w:val="0"/>
        <w:ind w:left="680"/>
        <w:rPr>
          <w:rFonts w:eastAsia="MS Mincho" w:cs="Arial"/>
          <w:b/>
          <w:smallCaps/>
          <w:color w:val="000000"/>
          <w:lang w:val="pt-BR" w:eastAsia="pt-BR"/>
        </w:rPr>
      </w:pPr>
    </w:p>
    <w:p w14:paraId="0D6FDDA1" w14:textId="77777777" w:rsidR="00257610" w:rsidRPr="00257610" w:rsidRDefault="00257610" w:rsidP="003A0AD5">
      <w:pPr>
        <w:autoSpaceDE w:val="0"/>
        <w:autoSpaceDN w:val="0"/>
        <w:adjustRightInd w:val="0"/>
        <w:rPr>
          <w:rFonts w:eastAsia="Times New Roman" w:cs="Arial"/>
          <w:b/>
          <w:szCs w:val="24"/>
          <w:lang w:val="pt-BR" w:eastAsia="pt-BR"/>
        </w:rPr>
      </w:pPr>
      <w:bookmarkStart w:id="1" w:name="_GoBack"/>
      <w:bookmarkEnd w:id="1"/>
      <w:r w:rsidRPr="00257610">
        <w:rPr>
          <w:rFonts w:eastAsia="Times New Roman" w:cs="Arial"/>
          <w:b/>
          <w:szCs w:val="24"/>
          <w:lang w:val="pt-BR" w:eastAsia="pt-BR"/>
        </w:rPr>
        <w:t>CONSIDERANDO QUE:</w:t>
      </w:r>
    </w:p>
    <w:p w14:paraId="179633D2" w14:textId="77777777" w:rsidR="00257610" w:rsidRPr="00257610" w:rsidRDefault="00257610" w:rsidP="00257610">
      <w:pPr>
        <w:pStyle w:val="Recitals"/>
        <w:rPr>
          <w:lang w:val="pt-BR"/>
        </w:rPr>
      </w:pPr>
      <w:r w:rsidRPr="00257610">
        <w:rPr>
          <w:lang w:val="pt-BR"/>
        </w:rPr>
        <w:t>as Partes celebraram, em 11 de janeiro de 2019, o “Instrumento Particular da 4°(Quarta) Emissão de Debêntures Simples, Não Conversíveis em Ações, da Espécie Quirografária, com Garantia Adicional Fidejussória, em Série Única, para Distribuição Pública, com Esforços Restritos de Distribuição, da Empreendimentos Pague Menos S.A.” (“</w:t>
      </w:r>
      <w:r w:rsidRPr="00257610">
        <w:rPr>
          <w:b/>
          <w:lang w:val="pt-BR"/>
        </w:rPr>
        <w:t>Escritura de Emissão</w:t>
      </w:r>
      <w:r w:rsidRPr="00257610">
        <w:rPr>
          <w:lang w:val="pt-BR"/>
        </w:rPr>
        <w:t xml:space="preserve">”), conforme aditada por meio do Primeiro Aditamento à Escritura de Emissão, celebrado entre as Partes em 18 de fevereiro de 2019 (“Primeiro Aditamento”), estabelecendo a emissão de  200.000 (duzentas mil) debêntures simples, não conversíveis em ações, em série única, com garantia adicional fidejussória, para distribuição pública, com esforços restritos, da 4° (quarta) emissão da Emissora, com valor nominal unitário de R$ 1.000,00 (mil reais), perfazendo o montante total de emissão de  </w:t>
      </w:r>
      <w:r w:rsidRPr="00257610">
        <w:rPr>
          <w:lang w:val="pt-BR"/>
        </w:rPr>
        <w:lastRenderedPageBreak/>
        <w:t>R$ 200.000.000,00 (duzentos e milhões de reais) (“</w:t>
      </w:r>
      <w:r w:rsidRPr="00257610">
        <w:rPr>
          <w:b/>
          <w:lang w:val="pt-BR"/>
        </w:rPr>
        <w:t>Emissão</w:t>
      </w:r>
      <w:r w:rsidRPr="00257610">
        <w:rPr>
          <w:lang w:val="pt-BR"/>
        </w:rPr>
        <w:t>” e “</w:t>
      </w:r>
      <w:r w:rsidRPr="00257610">
        <w:rPr>
          <w:b/>
          <w:lang w:val="pt-BR"/>
        </w:rPr>
        <w:t>Debêntures</w:t>
      </w:r>
      <w:r w:rsidRPr="00257610">
        <w:rPr>
          <w:lang w:val="pt-BR"/>
        </w:rPr>
        <w:t>”, respectivamente), com base nas deliberações tomadas pelo Conselho de Administração da Emissora, em reunião realizada em 11 de janeiro de 2019 (“</w:t>
      </w:r>
      <w:r w:rsidRPr="00257610">
        <w:rPr>
          <w:b/>
          <w:lang w:val="pt-BR"/>
        </w:rPr>
        <w:t>RCA de Emissão</w:t>
      </w:r>
      <w:r w:rsidRPr="00257610">
        <w:rPr>
          <w:lang w:val="pt-BR"/>
        </w:rPr>
        <w:t>”); e</w:t>
      </w:r>
    </w:p>
    <w:p w14:paraId="784EB9F4" w14:textId="77777777" w:rsidR="00257610" w:rsidRPr="00257610" w:rsidRDefault="00257610" w:rsidP="00257610">
      <w:pPr>
        <w:pStyle w:val="Recitals"/>
        <w:rPr>
          <w:rFonts w:eastAsia="MS Mincho"/>
          <w:lang w:val="pt-BR"/>
        </w:rPr>
      </w:pPr>
      <w:r w:rsidRPr="00257610">
        <w:rPr>
          <w:rFonts w:eastAsia="MS Mincho"/>
          <w:lang w:val="pt-BR"/>
        </w:rPr>
        <w:t xml:space="preserve">os Debenturistas, por meio de Assembleia Geral de Debenturistas realizada em </w:t>
      </w:r>
      <w:r w:rsidRPr="00257610">
        <w:rPr>
          <w:lang w:val="pt-BR"/>
        </w:rPr>
        <w:t>30 de dezembro de 2019 (“</w:t>
      </w:r>
      <w:r w:rsidRPr="00257610">
        <w:rPr>
          <w:b/>
          <w:lang w:val="pt-BR"/>
        </w:rPr>
        <w:t>AGD de 30.12.19</w:t>
      </w:r>
      <w:r w:rsidRPr="00257610">
        <w:rPr>
          <w:lang w:val="pt-BR"/>
        </w:rPr>
        <w:t>”), autorizaram o Agente Fiduciário a não declarar o vencimento antecipado da 4ª (quarta) Emissão de Debêntures em razão da realização da 5ª (quinta) Emissão de Debêntures e de novas assunções de dívidas, ocorridas desde a Data de Emissão (conforme definido na Escritura de Emissão) até a data de realização da AGD de 30.12.19;</w:t>
      </w:r>
    </w:p>
    <w:p w14:paraId="7F40CE75" w14:textId="77777777" w:rsidR="00257610" w:rsidRPr="00257610" w:rsidRDefault="00257610" w:rsidP="00257610">
      <w:pPr>
        <w:pStyle w:val="Recitals"/>
        <w:rPr>
          <w:rFonts w:eastAsia="MS Mincho"/>
          <w:lang w:val="pt-BR"/>
        </w:rPr>
      </w:pPr>
      <w:r w:rsidRPr="00257610">
        <w:rPr>
          <w:rFonts w:eastAsia="MS Mincho"/>
          <w:lang w:val="pt-BR"/>
        </w:rPr>
        <w:t xml:space="preserve">os Debenturistas, por meio de Assembleia Geral de Debenturistas realizada em </w:t>
      </w:r>
      <w:r w:rsidRPr="00257610">
        <w:rPr>
          <w:lang w:val="pt-BR"/>
        </w:rPr>
        <w:t>21 de fevereiro de 2020 (“</w:t>
      </w:r>
      <w:r w:rsidRPr="00257610">
        <w:rPr>
          <w:b/>
          <w:lang w:val="pt-BR"/>
        </w:rPr>
        <w:t>AGD do Aditamento</w:t>
      </w:r>
      <w:r w:rsidRPr="00257610">
        <w:rPr>
          <w:lang w:val="pt-BR"/>
        </w:rPr>
        <w:t xml:space="preserve">”), autorizaram </w:t>
      </w:r>
      <w:r w:rsidRPr="00257610">
        <w:rPr>
          <w:b/>
          <w:lang w:val="pt-BR"/>
        </w:rPr>
        <w:t xml:space="preserve">(i) </w:t>
      </w:r>
      <w:r w:rsidRPr="00257610">
        <w:rPr>
          <w:lang w:val="pt-BR"/>
        </w:rPr>
        <w:t xml:space="preserve">o Agente Fiduciário a não declarar o vencimento antecipado da 4ª (quarta) Emissão de Debêntures em razão da realização da 5ª (quinta) Emissão de Debêntures e de novas assunções de dívidas, ocorridas desde a data de realização da AGD de 30.12.19 até 21 de fevereiro de 2020, data de realização da AGD do Aditamento, para gestão ordinária da Companhia e alongamento de suas dívidas, </w:t>
      </w:r>
      <w:r w:rsidRPr="00257610">
        <w:rPr>
          <w:b/>
          <w:lang w:val="pt-BR"/>
        </w:rPr>
        <w:t>(ii)</w:t>
      </w:r>
      <w:r w:rsidRPr="00257610">
        <w:rPr>
          <w:lang w:val="pt-BR"/>
        </w:rPr>
        <w:t xml:space="preserve"> a alteração de determinados termos e condições da Escritura de Emissão; e </w:t>
      </w:r>
      <w:r w:rsidRPr="00257610">
        <w:rPr>
          <w:b/>
          <w:lang w:val="pt-BR"/>
        </w:rPr>
        <w:t>(iii)</w:t>
      </w:r>
      <w:r w:rsidRPr="00257610">
        <w:rPr>
          <w:lang w:val="pt-BR"/>
        </w:rPr>
        <w:t xml:space="preserve"> o Agente Fiduciário a celebrar o presente Aditamento à Escritura de Emissão, para refletir as deliberações da AGD do Aditamento.</w:t>
      </w:r>
    </w:p>
    <w:p w14:paraId="743D526A" w14:textId="77777777" w:rsidR="00257610" w:rsidRPr="00257610" w:rsidRDefault="00257610" w:rsidP="00257610">
      <w:pPr>
        <w:autoSpaceDE w:val="0"/>
        <w:autoSpaceDN w:val="0"/>
        <w:adjustRightInd w:val="0"/>
        <w:rPr>
          <w:rFonts w:eastAsia="Times New Roman" w:cs="Arial"/>
          <w:szCs w:val="24"/>
          <w:lang w:val="pt-BR" w:eastAsia="pt-BR"/>
        </w:rPr>
      </w:pPr>
      <w:r w:rsidRPr="00257610">
        <w:rPr>
          <w:rFonts w:eastAsia="Times New Roman" w:cs="Arial"/>
          <w:szCs w:val="24"/>
          <w:lang w:val="pt-BR" w:eastAsia="pt-BR"/>
        </w:rPr>
        <w:t>Vêm por esta e na melhor forma de direito, aditar a Escritura de Emissão por meio do presente Aditamento, mediante as cláusulas e condições a seguir.</w:t>
      </w:r>
    </w:p>
    <w:p w14:paraId="6F8FACB5" w14:textId="77777777" w:rsidR="00257610" w:rsidRPr="00257610" w:rsidRDefault="00257610" w:rsidP="00257610">
      <w:pPr>
        <w:autoSpaceDE w:val="0"/>
        <w:autoSpaceDN w:val="0"/>
        <w:adjustRightInd w:val="0"/>
        <w:rPr>
          <w:rFonts w:eastAsia="Times New Roman" w:cs="Arial"/>
          <w:lang w:val="pt-BR" w:eastAsia="pt-BR"/>
        </w:rPr>
      </w:pPr>
      <w:r w:rsidRPr="00257610">
        <w:rPr>
          <w:rFonts w:eastAsia="Times New Roman" w:cs="Arial"/>
          <w:lang w:val="pt-BR" w:eastAsia="pt-BR"/>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75E193DC" w14:textId="77777777" w:rsidR="00257610" w:rsidRPr="00257610" w:rsidRDefault="00257610" w:rsidP="00257610">
      <w:pPr>
        <w:pStyle w:val="Level1"/>
        <w:rPr>
          <w:lang w:val="pt-BR" w:eastAsia="pt-BR"/>
        </w:rPr>
      </w:pPr>
      <w:r w:rsidRPr="00257610">
        <w:rPr>
          <w:lang w:val="pt-BR" w:eastAsia="pt-BR"/>
        </w:rPr>
        <w:t>ALTERAÇÕES</w:t>
      </w:r>
    </w:p>
    <w:p w14:paraId="69F265B7" w14:textId="77777777" w:rsidR="00257610" w:rsidRPr="00257610" w:rsidRDefault="00257610" w:rsidP="00257610">
      <w:pPr>
        <w:pStyle w:val="Level2"/>
        <w:rPr>
          <w:lang w:val="pt-BR" w:eastAsia="pt-BR"/>
        </w:rPr>
      </w:pPr>
      <w:r w:rsidRPr="00257610">
        <w:rPr>
          <w:lang w:val="pt-BR" w:eastAsia="pt-BR"/>
        </w:rPr>
        <w:t>Nos termos do item “7.b.” da AGD do Aditamento, as Partes resolvem alterar as Cláusulas 5.19.1 e 5.19.4 da Escritura de Emissão, que passarão a vigorar com a seguinte redação:</w:t>
      </w:r>
    </w:p>
    <w:p w14:paraId="133514FF" w14:textId="77777777" w:rsidR="00257610" w:rsidRPr="00257610" w:rsidRDefault="00257610" w:rsidP="00257610">
      <w:pPr>
        <w:keepNext/>
        <w:keepLines/>
        <w:spacing w:before="280"/>
        <w:ind w:left="680"/>
        <w:outlineLvl w:val="0"/>
        <w:rPr>
          <w:rFonts w:eastAsia="MS Mincho" w:cs="Arial"/>
          <w:bCs/>
          <w:i/>
          <w:iCs/>
          <w:color w:val="000000"/>
          <w:shd w:val="clear" w:color="auto" w:fill="FFFFFF"/>
          <w:lang w:val="pt-BR" w:eastAsia="pt-BR"/>
        </w:rPr>
      </w:pPr>
      <w:r w:rsidRPr="00257610">
        <w:rPr>
          <w:rFonts w:eastAsia="MS Mincho" w:cs="Arial"/>
          <w:bCs/>
          <w:i/>
          <w:iCs/>
          <w:color w:val="000000"/>
          <w:shd w:val="clear" w:color="auto" w:fill="FFFFFF"/>
          <w:lang w:val="pt-BR" w:eastAsia="pt-BR"/>
        </w:rPr>
        <w:t>“5.19.1. A Emissora poderá, a qualquer momento, após 1º de junho de 2020 (inclusive), a seu exclusive critério, resgatar antecipadamente a totalidade das Debentures, sem necessidade de anuência prévia dos Debenturistas, desde que a totalidade das Debentures seja resgatada antecipadamente em única data (</w:t>
      </w:r>
      <w:r w:rsidRPr="00257610">
        <w:rPr>
          <w:rFonts w:eastAsia="MS Mincho" w:cs="Arial"/>
          <w:b/>
          <w:i/>
          <w:iCs/>
          <w:color w:val="000000"/>
          <w:shd w:val="clear" w:color="auto" w:fill="FFFFFF"/>
          <w:lang w:val="pt-BR" w:eastAsia="pt-BR"/>
        </w:rPr>
        <w:t>''Resgate Antecipado Facultativo''</w:t>
      </w:r>
      <w:r w:rsidRPr="00257610">
        <w:rPr>
          <w:rFonts w:eastAsia="MS Mincho" w:cs="Arial"/>
          <w:bCs/>
          <w:i/>
          <w:iCs/>
          <w:color w:val="000000"/>
          <w:shd w:val="clear" w:color="auto" w:fill="FFFFFF"/>
          <w:lang w:val="pt-BR" w:eastAsia="pt-BR"/>
        </w:rPr>
        <w:t>). Fica certo e ajustado que não será permitido o resgate parcial das Debentures. ”</w:t>
      </w:r>
    </w:p>
    <w:p w14:paraId="7673233F" w14:textId="77777777" w:rsidR="00257610" w:rsidRPr="00257610" w:rsidRDefault="00257610" w:rsidP="00257610">
      <w:pPr>
        <w:keepNext/>
        <w:keepLines/>
        <w:spacing w:before="280"/>
        <w:ind w:left="680"/>
        <w:outlineLvl w:val="0"/>
        <w:rPr>
          <w:rFonts w:eastAsia="MS Mincho" w:cs="Arial"/>
          <w:bCs/>
          <w:i/>
          <w:iCs/>
          <w:color w:val="000000"/>
          <w:shd w:val="clear" w:color="auto" w:fill="FFFFFF"/>
          <w:lang w:val="pt-BR" w:eastAsia="pt-BR"/>
        </w:rPr>
      </w:pPr>
      <w:r w:rsidRPr="00257610">
        <w:rPr>
          <w:rFonts w:eastAsia="MS Mincho" w:cs="Arial"/>
          <w:bCs/>
          <w:i/>
          <w:iCs/>
          <w:color w:val="000000"/>
          <w:shd w:val="clear" w:color="auto" w:fill="FFFFFF"/>
          <w:lang w:val="pt-BR" w:eastAsia="pt-BR"/>
        </w:rPr>
        <w:t>(...)</w:t>
      </w:r>
    </w:p>
    <w:p w14:paraId="3A1C12F6" w14:textId="77777777" w:rsidR="00257610" w:rsidRPr="00257610" w:rsidRDefault="00257610" w:rsidP="00257610">
      <w:pPr>
        <w:keepNext/>
        <w:keepLines/>
        <w:spacing w:before="280"/>
        <w:ind w:left="680"/>
        <w:outlineLvl w:val="0"/>
        <w:rPr>
          <w:rFonts w:eastAsia="MS Mincho" w:cs="Arial"/>
          <w:bCs/>
          <w:i/>
          <w:iCs/>
          <w:color w:val="000000"/>
          <w:shd w:val="clear" w:color="auto" w:fill="FFFFFF"/>
          <w:lang w:val="pt-BR" w:eastAsia="pt-BR"/>
        </w:rPr>
      </w:pPr>
      <w:r w:rsidRPr="00257610">
        <w:rPr>
          <w:rFonts w:eastAsia="MS Mincho" w:cs="Arial"/>
          <w:bCs/>
          <w:i/>
          <w:iCs/>
          <w:color w:val="000000"/>
          <w:shd w:val="clear" w:color="auto" w:fill="FFFFFF"/>
          <w:lang w:val="pt-BR" w:eastAsia="pt-BR"/>
        </w:rPr>
        <w:t xml:space="preserve">“5.19.4. </w:t>
      </w:r>
    </w:p>
    <w:p w14:paraId="62103092" w14:textId="77777777" w:rsidR="00257610" w:rsidRPr="00257610" w:rsidRDefault="00257610" w:rsidP="00257610">
      <w:pPr>
        <w:keepNext/>
        <w:keepLines/>
        <w:spacing w:before="280"/>
        <w:ind w:left="680"/>
        <w:jc w:val="left"/>
        <w:outlineLvl w:val="0"/>
        <w:rPr>
          <w:rFonts w:eastAsia="MS Mincho" w:cs="Arial"/>
          <w:bCs/>
          <w:i/>
          <w:iCs/>
          <w:color w:val="000000"/>
          <w:shd w:val="clear" w:color="auto" w:fill="FFFFFF"/>
          <w:lang w:val="pt-BR" w:eastAsia="pt-BR"/>
        </w:rPr>
      </w:pPr>
      <w:r w:rsidRPr="00257610">
        <w:rPr>
          <w:rFonts w:eastAsia="MS Mincho" w:cs="Arial"/>
          <w:bCs/>
          <w:i/>
          <w:iCs/>
          <w:color w:val="000000"/>
          <w:shd w:val="clear" w:color="auto" w:fill="FFFFFF"/>
          <w:lang w:val="pt-BR" w:eastAsia="pt-BR"/>
        </w:rPr>
        <w:t>(...)</w:t>
      </w:r>
    </w:p>
    <w:tbl>
      <w:tblPr>
        <w:tblStyle w:val="TableGrid"/>
        <w:tblW w:w="0" w:type="auto"/>
        <w:jc w:val="center"/>
        <w:tblLook w:val="04A0" w:firstRow="1" w:lastRow="0" w:firstColumn="1" w:lastColumn="0" w:noHBand="0" w:noVBand="1"/>
      </w:tblPr>
      <w:tblGrid>
        <w:gridCol w:w="1796"/>
        <w:gridCol w:w="2056"/>
        <w:gridCol w:w="1799"/>
        <w:gridCol w:w="1856"/>
      </w:tblGrid>
      <w:tr w:rsidR="00257610" w:rsidRPr="00257610" w14:paraId="14A339D8" w14:textId="77777777" w:rsidTr="005F792A">
        <w:trPr>
          <w:trHeight w:val="437"/>
          <w:jc w:val="center"/>
        </w:trPr>
        <w:tc>
          <w:tcPr>
            <w:tcW w:w="1796" w:type="dxa"/>
          </w:tcPr>
          <w:p w14:paraId="22243CA3"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Prazo</w:t>
            </w:r>
          </w:p>
        </w:tc>
        <w:tc>
          <w:tcPr>
            <w:tcW w:w="2056" w:type="dxa"/>
          </w:tcPr>
          <w:p w14:paraId="63370CC2"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 xml:space="preserve">Duration Remanescente </w:t>
            </w:r>
            <w:r w:rsidRPr="00257610">
              <w:rPr>
                <w:rFonts w:eastAsia="Times New Roman" w:cs="Arial"/>
                <w:bCs/>
                <w:i/>
                <w:iCs/>
                <w:sz w:val="18"/>
                <w:szCs w:val="18"/>
                <w:shd w:val="clear" w:color="auto" w:fill="FFFFFF"/>
                <w:vertAlign w:val="superscript"/>
                <w:lang w:val="pt-BR" w:eastAsia="pt-BR"/>
              </w:rPr>
              <w:t>(1)</w:t>
            </w:r>
          </w:p>
        </w:tc>
        <w:tc>
          <w:tcPr>
            <w:tcW w:w="1799" w:type="dxa"/>
          </w:tcPr>
          <w:p w14:paraId="51F15C9F"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 xml:space="preserve">Prêmio ao Ano </w:t>
            </w:r>
            <w:r w:rsidRPr="00257610">
              <w:rPr>
                <w:rFonts w:eastAsia="Times New Roman" w:cs="Arial"/>
                <w:bCs/>
                <w:i/>
                <w:iCs/>
                <w:sz w:val="18"/>
                <w:szCs w:val="18"/>
                <w:shd w:val="clear" w:color="auto" w:fill="FFFFFF"/>
                <w:vertAlign w:val="superscript"/>
                <w:lang w:val="pt-BR" w:eastAsia="pt-BR"/>
              </w:rPr>
              <w:t>(1)</w:t>
            </w:r>
          </w:p>
        </w:tc>
        <w:tc>
          <w:tcPr>
            <w:tcW w:w="1856" w:type="dxa"/>
          </w:tcPr>
          <w:p w14:paraId="337B1A0D"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Prêmio Flat</w:t>
            </w:r>
          </w:p>
        </w:tc>
      </w:tr>
      <w:tr w:rsidR="00257610" w:rsidRPr="00257610" w14:paraId="1F242937" w14:textId="77777777" w:rsidTr="005F792A">
        <w:trPr>
          <w:jc w:val="center"/>
        </w:trPr>
        <w:tc>
          <w:tcPr>
            <w:tcW w:w="1796" w:type="dxa"/>
          </w:tcPr>
          <w:p w14:paraId="54EED422"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Entre 1º de junho de 2020 (inclusive) e 10 de março de 2021 (inclusive)</w:t>
            </w:r>
          </w:p>
        </w:tc>
        <w:tc>
          <w:tcPr>
            <w:tcW w:w="2056" w:type="dxa"/>
          </w:tcPr>
          <w:p w14:paraId="694CECD3"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2,57</w:t>
            </w:r>
          </w:p>
        </w:tc>
        <w:tc>
          <w:tcPr>
            <w:tcW w:w="1799" w:type="dxa"/>
          </w:tcPr>
          <w:p w14:paraId="472637A3"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1,5%</w:t>
            </w:r>
          </w:p>
        </w:tc>
        <w:tc>
          <w:tcPr>
            <w:tcW w:w="1856" w:type="dxa"/>
          </w:tcPr>
          <w:p w14:paraId="20315204"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3,86%</w:t>
            </w:r>
          </w:p>
        </w:tc>
      </w:tr>
      <w:tr w:rsidR="00257610" w:rsidRPr="00257610" w14:paraId="37D7BC83" w14:textId="77777777" w:rsidTr="005F792A">
        <w:trPr>
          <w:jc w:val="center"/>
        </w:trPr>
        <w:tc>
          <w:tcPr>
            <w:tcW w:w="1796" w:type="dxa"/>
          </w:tcPr>
          <w:p w14:paraId="494DDA94"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Entre 11 de março de 2021 (inclusive) e 10 de março de 2022 (inclusive)</w:t>
            </w:r>
          </w:p>
        </w:tc>
        <w:tc>
          <w:tcPr>
            <w:tcW w:w="2056" w:type="dxa"/>
          </w:tcPr>
          <w:p w14:paraId="4AC73110"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2,09</w:t>
            </w:r>
          </w:p>
        </w:tc>
        <w:tc>
          <w:tcPr>
            <w:tcW w:w="1799" w:type="dxa"/>
          </w:tcPr>
          <w:p w14:paraId="56B20FB9"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1,5%</w:t>
            </w:r>
          </w:p>
        </w:tc>
        <w:tc>
          <w:tcPr>
            <w:tcW w:w="1856" w:type="dxa"/>
          </w:tcPr>
          <w:p w14:paraId="08120F0B"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3,13%</w:t>
            </w:r>
          </w:p>
        </w:tc>
      </w:tr>
      <w:tr w:rsidR="00257610" w:rsidRPr="00257610" w14:paraId="0075721B" w14:textId="77777777" w:rsidTr="005F792A">
        <w:trPr>
          <w:jc w:val="center"/>
        </w:trPr>
        <w:tc>
          <w:tcPr>
            <w:tcW w:w="1796" w:type="dxa"/>
          </w:tcPr>
          <w:p w14:paraId="6A67CB2C"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Entre 11 de março de 2022 (inclusive) e 10 de março de 2023 (inclusive)</w:t>
            </w:r>
          </w:p>
        </w:tc>
        <w:tc>
          <w:tcPr>
            <w:tcW w:w="2056" w:type="dxa"/>
          </w:tcPr>
          <w:p w14:paraId="2AEA522B"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1,15</w:t>
            </w:r>
          </w:p>
        </w:tc>
        <w:tc>
          <w:tcPr>
            <w:tcW w:w="1799" w:type="dxa"/>
          </w:tcPr>
          <w:p w14:paraId="7A5F06C5"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1,5%</w:t>
            </w:r>
          </w:p>
        </w:tc>
        <w:tc>
          <w:tcPr>
            <w:tcW w:w="1856" w:type="dxa"/>
          </w:tcPr>
          <w:p w14:paraId="2A93BAE3"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1,73%</w:t>
            </w:r>
          </w:p>
        </w:tc>
      </w:tr>
      <w:tr w:rsidR="00257610" w:rsidRPr="00257610" w14:paraId="1460F931" w14:textId="77777777" w:rsidTr="005F792A">
        <w:trPr>
          <w:jc w:val="center"/>
        </w:trPr>
        <w:tc>
          <w:tcPr>
            <w:tcW w:w="1796" w:type="dxa"/>
          </w:tcPr>
          <w:p w14:paraId="34A72EE8"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Entre 11 de março de 2023 (inclusive) e a Data de Vencimento (inclusive)</w:t>
            </w:r>
          </w:p>
        </w:tc>
        <w:tc>
          <w:tcPr>
            <w:tcW w:w="2056" w:type="dxa"/>
          </w:tcPr>
          <w:p w14:paraId="0CBF3D7F"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0,48</w:t>
            </w:r>
          </w:p>
        </w:tc>
        <w:tc>
          <w:tcPr>
            <w:tcW w:w="1799" w:type="dxa"/>
          </w:tcPr>
          <w:p w14:paraId="1FA6ED7E"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1,5%</w:t>
            </w:r>
          </w:p>
        </w:tc>
        <w:tc>
          <w:tcPr>
            <w:tcW w:w="1856" w:type="dxa"/>
          </w:tcPr>
          <w:p w14:paraId="61F1CD61" w14:textId="77777777" w:rsidR="00257610" w:rsidRPr="00257610" w:rsidRDefault="00257610" w:rsidP="00257610">
            <w:pPr>
              <w:widowControl w:val="0"/>
              <w:autoSpaceDE w:val="0"/>
              <w:autoSpaceDN w:val="0"/>
              <w:adjustRightInd w:val="0"/>
              <w:spacing w:after="0"/>
              <w:jc w:val="center"/>
              <w:rPr>
                <w:rFonts w:eastAsia="Times New Roman" w:cs="Arial"/>
                <w:bCs/>
                <w:i/>
                <w:iCs/>
                <w:sz w:val="18"/>
                <w:szCs w:val="18"/>
                <w:shd w:val="clear" w:color="auto" w:fill="FFFFFF"/>
                <w:lang w:val="pt-BR" w:eastAsia="pt-BR"/>
              </w:rPr>
            </w:pPr>
            <w:r w:rsidRPr="00257610">
              <w:rPr>
                <w:rFonts w:eastAsia="Times New Roman" w:cs="Arial"/>
                <w:bCs/>
                <w:i/>
                <w:iCs/>
                <w:sz w:val="18"/>
                <w:szCs w:val="18"/>
                <w:shd w:val="clear" w:color="auto" w:fill="FFFFFF"/>
                <w:lang w:val="pt-BR" w:eastAsia="pt-BR"/>
              </w:rPr>
              <w:t>0,72%</w:t>
            </w:r>
          </w:p>
        </w:tc>
      </w:tr>
    </w:tbl>
    <w:p w14:paraId="67447AA8" w14:textId="77777777" w:rsidR="00257610" w:rsidRPr="00257610" w:rsidRDefault="00257610" w:rsidP="00257610">
      <w:pPr>
        <w:keepNext/>
        <w:keepLines/>
        <w:spacing w:before="280"/>
        <w:ind w:left="993" w:right="992"/>
        <w:outlineLvl w:val="0"/>
        <w:rPr>
          <w:rFonts w:eastAsia="MS Mincho" w:cs="Arial"/>
          <w:bCs/>
          <w:i/>
          <w:iCs/>
          <w:color w:val="000000"/>
          <w:shd w:val="clear" w:color="auto" w:fill="FFFFFF"/>
          <w:lang w:val="pt-BR" w:eastAsia="pt-BR"/>
        </w:rPr>
      </w:pPr>
      <w:r w:rsidRPr="00257610">
        <w:rPr>
          <w:rFonts w:eastAsia="MS Mincho" w:cs="Arial"/>
          <w:bCs/>
          <w:i/>
          <w:iCs/>
          <w:color w:val="000000"/>
          <w:shd w:val="clear" w:color="auto" w:fill="FFFFFF"/>
          <w:vertAlign w:val="superscript"/>
          <w:lang w:val="pt-BR" w:eastAsia="pt-BR"/>
        </w:rPr>
        <w:t xml:space="preserve">(1) </w:t>
      </w:r>
      <w:r w:rsidRPr="00257610">
        <w:rPr>
          <w:rFonts w:eastAsia="MS Mincho" w:cs="Arial"/>
          <w:bCs/>
          <w:i/>
          <w:iCs/>
          <w:color w:val="000000"/>
          <w:shd w:val="clear" w:color="auto" w:fill="FFFFFF"/>
          <w:lang w:val="pt-BR" w:eastAsia="pt-BR"/>
        </w:rPr>
        <w:t>As informações incluídas nas colunas “Duration Remanescente” e “Prêmio ao Ano” são meramente indicativas e estão sujeitas a alterações.</w:t>
      </w:r>
    </w:p>
    <w:p w14:paraId="49225F2A" w14:textId="77777777" w:rsidR="00257610" w:rsidRPr="00257610" w:rsidRDefault="00257610" w:rsidP="00257610">
      <w:pPr>
        <w:keepNext/>
        <w:keepLines/>
        <w:spacing w:before="280"/>
        <w:ind w:left="680"/>
        <w:outlineLvl w:val="0"/>
        <w:rPr>
          <w:rFonts w:eastAsia="MS Mincho" w:cs="Arial"/>
          <w:bCs/>
          <w:i/>
          <w:iCs/>
          <w:color w:val="000000"/>
          <w:shd w:val="clear" w:color="auto" w:fill="FFFFFF"/>
          <w:lang w:val="pt-BR" w:eastAsia="pt-BR"/>
        </w:rPr>
      </w:pPr>
      <w:r w:rsidRPr="00257610">
        <w:rPr>
          <w:rFonts w:eastAsia="MS Mincho" w:cs="Arial"/>
          <w:bCs/>
          <w:i/>
          <w:iCs/>
          <w:color w:val="000000"/>
          <w:shd w:val="clear" w:color="auto" w:fill="FFFFFF"/>
          <w:lang w:val="pt-BR" w:eastAsia="pt-BR"/>
        </w:rPr>
        <w:t>(...)”</w:t>
      </w:r>
    </w:p>
    <w:p w14:paraId="75E4B5C7" w14:textId="77777777" w:rsidR="00257610" w:rsidRPr="00257610" w:rsidRDefault="00257610" w:rsidP="00257610">
      <w:pPr>
        <w:pStyle w:val="Level2"/>
        <w:rPr>
          <w:lang w:val="pt-BR" w:eastAsia="pt-BR"/>
        </w:rPr>
      </w:pPr>
      <w:r w:rsidRPr="00257610">
        <w:rPr>
          <w:lang w:val="pt-BR" w:eastAsia="pt-BR"/>
        </w:rPr>
        <w:t>Nos termos do item “7.b.” da AGD do Aditamento, as Partes resolvem alterar o conteúdo dos itens (viii), (xi) e (xii) da Cláusula 7.1.2 da Escritura de Emissão, os quais passarão a vigorar com as seguintes novas redações:</w:t>
      </w:r>
    </w:p>
    <w:p w14:paraId="621E80FC" w14:textId="77777777" w:rsidR="00257610" w:rsidRPr="00257610" w:rsidRDefault="00257610" w:rsidP="00257610">
      <w:pPr>
        <w:ind w:left="680"/>
        <w:outlineLvl w:val="1"/>
        <w:rPr>
          <w:rFonts w:ascii="Tahoma" w:eastAsia="MS Mincho" w:hAnsi="Tahoma" w:cs="Tahoma"/>
          <w:i/>
          <w:sz w:val="22"/>
          <w:szCs w:val="22"/>
          <w:shd w:val="clear" w:color="auto" w:fill="FFFFFF"/>
          <w:lang w:val="pt-BR" w:eastAsia="pt-BR"/>
        </w:rPr>
      </w:pPr>
      <w:r w:rsidRPr="00257610">
        <w:rPr>
          <w:rFonts w:ascii="Tahoma" w:eastAsia="MS Mincho" w:hAnsi="Tahoma" w:cs="Tahoma"/>
          <w:i/>
          <w:sz w:val="22"/>
          <w:szCs w:val="22"/>
          <w:shd w:val="clear" w:color="auto" w:fill="FFFFFF"/>
          <w:lang w:val="pt-BR" w:eastAsia="pt-BR"/>
        </w:rPr>
        <w:t>“</w:t>
      </w:r>
      <w:r w:rsidRPr="00257610">
        <w:rPr>
          <w:rFonts w:eastAsia="MS Mincho" w:cs="Arial"/>
          <w:b/>
          <w:i/>
          <w:shd w:val="clear" w:color="auto" w:fill="FFFFFF"/>
          <w:lang w:val="pt-BR" w:eastAsia="pt-BR"/>
        </w:rPr>
        <w:t>7.1.2.</w:t>
      </w:r>
    </w:p>
    <w:p w14:paraId="474740C0"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p>
    <w:p w14:paraId="138BF399" w14:textId="77777777" w:rsidR="00257610" w:rsidRPr="00257610" w:rsidRDefault="00257610" w:rsidP="00257610">
      <w:pPr>
        <w:ind w:left="680"/>
        <w:outlineLvl w:val="1"/>
        <w:rPr>
          <w:rFonts w:eastAsia="MS Mincho"/>
          <w:i/>
          <w:iCs/>
          <w:szCs w:val="24"/>
          <w:lang w:val="pt-BR" w:eastAsia="pt-BR"/>
        </w:rPr>
      </w:pPr>
      <w:r w:rsidRPr="00257610">
        <w:rPr>
          <w:rFonts w:eastAsia="MS Mincho"/>
          <w:b/>
          <w:i/>
          <w:iCs/>
          <w:szCs w:val="24"/>
          <w:lang w:val="pt-BR" w:eastAsia="pt-BR"/>
        </w:rPr>
        <w:t>(viii)</w:t>
      </w:r>
      <w:r w:rsidRPr="00257610">
        <w:rPr>
          <w:rFonts w:eastAsia="MS Mincho"/>
          <w:i/>
          <w:iCs/>
          <w:szCs w:val="24"/>
          <w:lang w:val="pt-BR" w:eastAsia="pt-BR"/>
        </w:rPr>
        <w:t xml:space="preserve"> não observância, pela Fiadora, no final de cada exercício social, do seguinte índice financeiro (“</w:t>
      </w:r>
      <w:r w:rsidRPr="00257610">
        <w:rPr>
          <w:rFonts w:eastAsia="MS Mincho"/>
          <w:b/>
          <w:bCs/>
          <w:i/>
          <w:iCs/>
          <w:szCs w:val="24"/>
          <w:lang w:val="pt-BR" w:eastAsia="pt-BR"/>
        </w:rPr>
        <w:t>Dívida Bruta / Patrimônio Líquido</w:t>
      </w:r>
      <w:r w:rsidRPr="00257610">
        <w:rPr>
          <w:rFonts w:eastAsia="MS Mincho"/>
          <w:i/>
          <w:iCs/>
          <w:szCs w:val="24"/>
          <w:lang w:val="pt-BR" w:eastAsia="pt-BR"/>
        </w:rPr>
        <w:t>”), a ser verificado pelo Agente Fiduciário, com base nas demonstrações financeiras individuais da Fiadora, até o dia 30 (trinta) do mês de abril do ano subsequente ao exercício encerrado, até o pagamento integral dos valores devidos em virtude das Debêntures:</w:t>
      </w:r>
    </w:p>
    <w:tbl>
      <w:tblPr>
        <w:tblpPr w:leftFromText="141" w:rightFromText="141"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3408"/>
      </w:tblGrid>
      <w:tr w:rsidR="00257610" w:rsidRPr="003A0AD5" w14:paraId="4CA337B0" w14:textId="77777777" w:rsidTr="005F792A">
        <w:trPr>
          <w:trHeight w:val="274"/>
        </w:trPr>
        <w:tc>
          <w:tcPr>
            <w:tcW w:w="4106" w:type="dxa"/>
          </w:tcPr>
          <w:p w14:paraId="7B0CF2FE" w14:textId="77777777" w:rsidR="00257610" w:rsidRPr="00257610" w:rsidRDefault="00257610" w:rsidP="00257610">
            <w:pPr>
              <w:autoSpaceDE w:val="0"/>
              <w:autoSpaceDN w:val="0"/>
              <w:adjustRightInd w:val="0"/>
              <w:spacing w:after="0" w:line="240" w:lineRule="auto"/>
              <w:jc w:val="left"/>
              <w:rPr>
                <w:rFonts w:eastAsia="Calibri" w:cs="Arial"/>
                <w:i/>
                <w:iCs/>
                <w:color w:val="000000"/>
                <w:sz w:val="18"/>
                <w:szCs w:val="18"/>
                <w:lang w:val="pt-BR" w:eastAsia="pt-BR"/>
              </w:rPr>
            </w:pPr>
            <w:r w:rsidRPr="00257610">
              <w:rPr>
                <w:rFonts w:eastAsia="Calibri" w:cs="Arial"/>
                <w:b/>
                <w:bCs/>
                <w:i/>
                <w:iCs/>
                <w:color w:val="000000"/>
                <w:sz w:val="18"/>
                <w:szCs w:val="18"/>
                <w:lang w:val="pt-BR" w:eastAsia="pt-BR"/>
              </w:rPr>
              <w:t xml:space="preserve">Dívida Bruta / Patrimônio Líquido </w:t>
            </w:r>
          </w:p>
        </w:tc>
        <w:tc>
          <w:tcPr>
            <w:tcW w:w="3408" w:type="dxa"/>
          </w:tcPr>
          <w:p w14:paraId="3AD3063D" w14:textId="77777777" w:rsidR="00257610" w:rsidRPr="00257610" w:rsidRDefault="00257610" w:rsidP="00257610">
            <w:pPr>
              <w:autoSpaceDE w:val="0"/>
              <w:autoSpaceDN w:val="0"/>
              <w:adjustRightInd w:val="0"/>
              <w:spacing w:after="0" w:line="240" w:lineRule="auto"/>
              <w:jc w:val="left"/>
              <w:rPr>
                <w:rFonts w:eastAsia="Calibri" w:cs="Arial"/>
                <w:i/>
                <w:iCs/>
                <w:color w:val="000000"/>
                <w:sz w:val="18"/>
                <w:szCs w:val="18"/>
                <w:lang w:val="pt-BR" w:eastAsia="pt-BR"/>
              </w:rPr>
            </w:pPr>
            <w:r w:rsidRPr="00257610">
              <w:rPr>
                <w:rFonts w:eastAsia="Calibri" w:cs="Arial"/>
                <w:i/>
                <w:iCs/>
                <w:color w:val="000000"/>
                <w:sz w:val="18"/>
                <w:szCs w:val="18"/>
                <w:lang w:val="pt-BR" w:eastAsia="pt-BR"/>
              </w:rPr>
              <w:t xml:space="preserve">Igual ou Inferior a 0,15 vezes </w:t>
            </w:r>
          </w:p>
        </w:tc>
      </w:tr>
    </w:tbl>
    <w:p w14:paraId="2C9C3980" w14:textId="77777777" w:rsidR="00257610" w:rsidRPr="00257610" w:rsidRDefault="00257610" w:rsidP="00257610">
      <w:pPr>
        <w:ind w:left="680"/>
        <w:outlineLvl w:val="1"/>
        <w:rPr>
          <w:rFonts w:eastAsia="MS Mincho"/>
          <w:i/>
          <w:iCs/>
          <w:szCs w:val="24"/>
          <w:lang w:val="pt-BR" w:eastAsia="pt-BR"/>
        </w:rPr>
      </w:pPr>
    </w:p>
    <w:p w14:paraId="00569FD2" w14:textId="77777777" w:rsidR="00257610" w:rsidRPr="00257610" w:rsidRDefault="00257610" w:rsidP="00257610">
      <w:pPr>
        <w:outlineLvl w:val="1"/>
        <w:rPr>
          <w:rFonts w:eastAsia="MS Mincho"/>
          <w:i/>
          <w:iCs/>
          <w:szCs w:val="24"/>
          <w:lang w:val="pt-BR" w:eastAsia="pt-BR"/>
        </w:rPr>
      </w:pPr>
    </w:p>
    <w:p w14:paraId="163DF73C"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Sendo:</w:t>
      </w:r>
    </w:p>
    <w:p w14:paraId="62427843"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r w:rsidRPr="00257610">
        <w:rPr>
          <w:rFonts w:eastAsia="MS Mincho"/>
          <w:b/>
          <w:bCs/>
          <w:i/>
          <w:iCs/>
          <w:szCs w:val="24"/>
          <w:lang w:val="pt-BR" w:eastAsia="pt-BR"/>
        </w:rPr>
        <w:t>Dívida Bruta</w:t>
      </w:r>
      <w:r w:rsidRPr="00257610">
        <w:rPr>
          <w:rFonts w:eastAsia="MS Mincho"/>
          <w:i/>
          <w:iCs/>
          <w:szCs w:val="24"/>
          <w:lang w:val="pt-BR" w:eastAsia="pt-BR"/>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p>
    <w:p w14:paraId="2B0C84C7"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r w:rsidRPr="00257610">
        <w:rPr>
          <w:rFonts w:eastAsia="MS Mincho"/>
          <w:b/>
          <w:bCs/>
          <w:i/>
          <w:iCs/>
          <w:szCs w:val="24"/>
          <w:lang w:val="pt-BR" w:eastAsia="pt-BR"/>
        </w:rPr>
        <w:t>Patrimônio Líquido</w:t>
      </w:r>
      <w:r w:rsidRPr="00257610">
        <w:rPr>
          <w:rFonts w:eastAsia="MS Mincho"/>
          <w:i/>
          <w:iCs/>
          <w:szCs w:val="24"/>
          <w:lang w:val="pt-BR" w:eastAsia="pt-BR"/>
        </w:rPr>
        <w:t>”: resultado da diferença entre os valores do ativo e do passivo da Fiadora.”</w:t>
      </w:r>
    </w:p>
    <w:p w14:paraId="1A4E9B90"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p>
    <w:p w14:paraId="54B2B1E9" w14:textId="77777777" w:rsidR="00257610" w:rsidRPr="00257610" w:rsidRDefault="00257610" w:rsidP="00257610">
      <w:pPr>
        <w:ind w:left="680"/>
        <w:outlineLvl w:val="1"/>
        <w:rPr>
          <w:rFonts w:eastAsia="MS Mincho"/>
          <w:i/>
          <w:iCs/>
          <w:szCs w:val="24"/>
          <w:lang w:val="pt-BR" w:eastAsia="pt-BR"/>
        </w:rPr>
      </w:pPr>
      <w:r w:rsidRPr="00257610">
        <w:rPr>
          <w:rFonts w:eastAsia="MS Mincho"/>
          <w:b/>
          <w:i/>
          <w:iCs/>
          <w:szCs w:val="24"/>
          <w:lang w:val="pt-BR" w:eastAsia="pt-BR"/>
        </w:rPr>
        <w:t>(xi)</w:t>
      </w:r>
      <w:r w:rsidRPr="00257610">
        <w:rPr>
          <w:rFonts w:eastAsia="MS Mincho"/>
          <w:i/>
          <w:iCs/>
          <w:szCs w:val="24"/>
          <w:lang w:val="pt-BR" w:eastAsia="pt-BR"/>
        </w:rPr>
        <w:t xml:space="preserve"> exceto se realizada uma Capitalização (conforme definido abaixo), não observância, pela Emissora, </w:t>
      </w:r>
      <w:r w:rsidRPr="00257610">
        <w:rPr>
          <w:rFonts w:eastAsia="MS Mincho"/>
          <w:b/>
          <w:i/>
          <w:iCs/>
          <w:szCs w:val="24"/>
          <w:lang w:val="pt-BR" w:eastAsia="pt-BR"/>
        </w:rPr>
        <w:t>(a)</w:t>
      </w:r>
      <w:r w:rsidRPr="00257610">
        <w:rPr>
          <w:rFonts w:eastAsia="MS Mincho"/>
          <w:i/>
          <w:iCs/>
          <w:szCs w:val="24"/>
          <w:lang w:val="pt-BR" w:eastAsia="pt-BR"/>
        </w:rPr>
        <w:t xml:space="preserve"> em dois trimestres consecutivos; ou </w:t>
      </w:r>
      <w:r w:rsidRPr="00257610">
        <w:rPr>
          <w:rFonts w:eastAsia="MS Mincho"/>
          <w:b/>
          <w:i/>
          <w:iCs/>
          <w:szCs w:val="24"/>
          <w:lang w:val="pt-BR" w:eastAsia="pt-BR"/>
        </w:rPr>
        <w:t>(b)</w:t>
      </w:r>
      <w:r w:rsidRPr="00257610">
        <w:rPr>
          <w:rFonts w:eastAsia="MS Mincho"/>
          <w:i/>
          <w:iCs/>
          <w:szCs w:val="24"/>
          <w:lang w:val="pt-BR" w:eastAsia="pt-BR"/>
        </w:rPr>
        <w:t xml:space="preserve"> em três trimestres alternados dentro de um período de 12 (doze) meses, dos seguintes índices e limites financeiros (“</w:t>
      </w:r>
      <w:r w:rsidRPr="00257610">
        <w:rPr>
          <w:rFonts w:eastAsia="MS Mincho"/>
          <w:b/>
          <w:i/>
          <w:iCs/>
          <w:szCs w:val="24"/>
          <w:lang w:val="pt-BR" w:eastAsia="pt-BR"/>
        </w:rPr>
        <w:t>Dívida Líquida / EBITDA</w:t>
      </w:r>
      <w:r w:rsidRPr="00257610">
        <w:rPr>
          <w:rFonts w:eastAsia="MS Mincho"/>
          <w:i/>
          <w:iCs/>
          <w:szCs w:val="24"/>
          <w:lang w:val="pt-BR" w:eastAsia="pt-BR"/>
        </w:rPr>
        <w:t>” e “</w:t>
      </w:r>
      <w:r w:rsidRPr="00257610">
        <w:rPr>
          <w:rFonts w:eastAsia="MS Mincho"/>
          <w:b/>
          <w:i/>
          <w:iCs/>
          <w:szCs w:val="24"/>
          <w:lang w:val="pt-BR" w:eastAsia="pt-BR"/>
        </w:rPr>
        <w:t>Índice de Liquidez</w:t>
      </w:r>
      <w:r w:rsidRPr="00257610">
        <w:rPr>
          <w:rFonts w:eastAsia="MS Mincho"/>
          <w:i/>
          <w:iCs/>
          <w:szCs w:val="24"/>
          <w:lang w:val="pt-BR" w:eastAsia="pt-BR"/>
        </w:rPr>
        <w:t>”, respectivamente), verificado trimestralmente pelo Agente Fiduciário, com base nas demonstrações financeiras consolidadas da Emissora e na memória de cálculo elaborada pela Emissora contendo todas as rubricas necessárias que demonstrem o cumprimento do Índice de Liquidez evidenciando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em virtude das Debêntures:</w:t>
      </w:r>
    </w:p>
    <w:tbl>
      <w:tblPr>
        <w:tblStyle w:val="TableGrid"/>
        <w:tblW w:w="0" w:type="auto"/>
        <w:tblInd w:w="680" w:type="dxa"/>
        <w:tblLook w:val="04A0" w:firstRow="1" w:lastRow="0" w:firstColumn="1" w:lastColumn="0" w:noHBand="0" w:noVBand="1"/>
      </w:tblPr>
      <w:tblGrid>
        <w:gridCol w:w="4333"/>
        <w:gridCol w:w="4333"/>
      </w:tblGrid>
      <w:tr w:rsidR="00257610" w:rsidRPr="00257610" w14:paraId="6DDF66F2" w14:textId="77777777" w:rsidTr="005F792A">
        <w:tc>
          <w:tcPr>
            <w:tcW w:w="4333" w:type="dxa"/>
            <w:shd w:val="clear" w:color="auto" w:fill="002060"/>
          </w:tcPr>
          <w:p w14:paraId="6660263D" w14:textId="77777777" w:rsidR="00257610" w:rsidRPr="00257610" w:rsidRDefault="00257610" w:rsidP="00257610">
            <w:pPr>
              <w:spacing w:after="0"/>
              <w:jc w:val="center"/>
              <w:outlineLvl w:val="1"/>
              <w:rPr>
                <w:rFonts w:eastAsia="MS Mincho"/>
                <w:i/>
                <w:iCs/>
                <w:szCs w:val="24"/>
                <w:lang w:val="pt-BR" w:eastAsia="pt-BR"/>
              </w:rPr>
            </w:pPr>
            <w:r w:rsidRPr="00257610">
              <w:rPr>
                <w:rFonts w:eastAsia="MS Mincho"/>
                <w:i/>
                <w:iCs/>
                <w:szCs w:val="24"/>
                <w:lang w:val="pt-BR" w:eastAsia="pt-BR"/>
              </w:rPr>
              <w:t>Período</w:t>
            </w:r>
          </w:p>
        </w:tc>
        <w:tc>
          <w:tcPr>
            <w:tcW w:w="4333" w:type="dxa"/>
            <w:shd w:val="clear" w:color="auto" w:fill="002060"/>
          </w:tcPr>
          <w:p w14:paraId="11A7CFE6" w14:textId="77777777" w:rsidR="00257610" w:rsidRPr="00257610" w:rsidRDefault="00257610" w:rsidP="00257610">
            <w:pPr>
              <w:spacing w:after="0"/>
              <w:jc w:val="center"/>
              <w:outlineLvl w:val="1"/>
              <w:rPr>
                <w:rFonts w:eastAsia="MS Mincho"/>
                <w:i/>
                <w:iCs/>
                <w:szCs w:val="24"/>
                <w:lang w:val="pt-BR" w:eastAsia="pt-BR"/>
              </w:rPr>
            </w:pPr>
            <w:r w:rsidRPr="00257610">
              <w:rPr>
                <w:rFonts w:eastAsia="MS Mincho"/>
                <w:i/>
                <w:iCs/>
                <w:szCs w:val="24"/>
                <w:lang w:val="pt-BR" w:eastAsia="pt-BR"/>
              </w:rPr>
              <w:t>Índice</w:t>
            </w:r>
          </w:p>
        </w:tc>
      </w:tr>
      <w:tr w:rsidR="00257610" w:rsidRPr="003A0AD5" w14:paraId="661479C1" w14:textId="77777777" w:rsidTr="005F792A">
        <w:tc>
          <w:tcPr>
            <w:tcW w:w="4333" w:type="dxa"/>
            <w:vMerge w:val="restart"/>
          </w:tcPr>
          <w:p w14:paraId="2E7D3B31" w14:textId="77777777" w:rsidR="00257610" w:rsidRPr="00257610" w:rsidRDefault="00257610" w:rsidP="00257610">
            <w:pPr>
              <w:numPr>
                <w:ilvl w:val="1"/>
                <w:numId w:val="0"/>
              </w:numPr>
              <w:tabs>
                <w:tab w:val="num" w:pos="680"/>
              </w:tabs>
              <w:spacing w:after="0"/>
              <w:ind w:hanging="680"/>
              <w:outlineLvl w:val="1"/>
              <w:rPr>
                <w:rFonts w:eastAsia="MS Mincho"/>
                <w:i/>
                <w:iCs/>
                <w:szCs w:val="24"/>
                <w:lang w:val="pt-BR" w:eastAsia="pt-BR"/>
              </w:rPr>
            </w:pPr>
            <w:r w:rsidRPr="00257610">
              <w:rPr>
                <w:rFonts w:eastAsia="MS Mincho"/>
                <w:i/>
                <w:iCs/>
                <w:szCs w:val="24"/>
                <w:lang w:val="pt-BR" w:eastAsia="pt-BR"/>
              </w:rPr>
              <w:t>Trimestres findos em 31 de março de 2020 e em 30 de junho de 2020</w:t>
            </w:r>
          </w:p>
        </w:tc>
        <w:tc>
          <w:tcPr>
            <w:tcW w:w="4333" w:type="dxa"/>
          </w:tcPr>
          <w:p w14:paraId="15548239"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Dívida Líquida/EBITDA igual ou inferior a 4,0 vezes</w:t>
            </w:r>
          </w:p>
        </w:tc>
      </w:tr>
      <w:tr w:rsidR="00257610" w:rsidRPr="003A0AD5" w14:paraId="5A77E0C6" w14:textId="77777777" w:rsidTr="005F792A">
        <w:tc>
          <w:tcPr>
            <w:tcW w:w="4333" w:type="dxa"/>
            <w:vMerge/>
          </w:tcPr>
          <w:p w14:paraId="3A8FD208" w14:textId="77777777" w:rsidR="00257610" w:rsidRPr="00257610" w:rsidRDefault="00257610" w:rsidP="00257610">
            <w:pPr>
              <w:spacing w:after="0"/>
              <w:outlineLvl w:val="1"/>
              <w:rPr>
                <w:rFonts w:eastAsia="MS Mincho"/>
                <w:i/>
                <w:iCs/>
                <w:szCs w:val="24"/>
                <w:lang w:val="pt-BR" w:eastAsia="pt-BR"/>
              </w:rPr>
            </w:pPr>
          </w:p>
        </w:tc>
        <w:tc>
          <w:tcPr>
            <w:tcW w:w="4333" w:type="dxa"/>
          </w:tcPr>
          <w:p w14:paraId="3A794C7B"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Índice de Liquidez igual ou superior a 1,25 vezes</w:t>
            </w:r>
          </w:p>
        </w:tc>
      </w:tr>
      <w:tr w:rsidR="00257610" w:rsidRPr="003A0AD5" w14:paraId="4297B814" w14:textId="77777777" w:rsidTr="005F792A">
        <w:tc>
          <w:tcPr>
            <w:tcW w:w="4333" w:type="dxa"/>
            <w:vMerge w:val="restart"/>
          </w:tcPr>
          <w:p w14:paraId="43F700D1"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Trimestres findos em 30 de setembro de 2020 e em 31 de dezembro de 2020</w:t>
            </w:r>
          </w:p>
        </w:tc>
        <w:tc>
          <w:tcPr>
            <w:tcW w:w="4333" w:type="dxa"/>
          </w:tcPr>
          <w:p w14:paraId="75E7398C"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Dívida Líquida/EBITDA igual ou inferior a 3,0 vezes</w:t>
            </w:r>
          </w:p>
        </w:tc>
      </w:tr>
      <w:tr w:rsidR="00257610" w:rsidRPr="003A0AD5" w14:paraId="3F528564" w14:textId="77777777" w:rsidTr="005F792A">
        <w:tc>
          <w:tcPr>
            <w:tcW w:w="4333" w:type="dxa"/>
            <w:vMerge/>
          </w:tcPr>
          <w:p w14:paraId="517DB9CC" w14:textId="77777777" w:rsidR="00257610" w:rsidRPr="00257610" w:rsidRDefault="00257610" w:rsidP="00257610">
            <w:pPr>
              <w:spacing w:after="0"/>
              <w:outlineLvl w:val="1"/>
              <w:rPr>
                <w:rFonts w:eastAsia="MS Mincho"/>
                <w:i/>
                <w:iCs/>
                <w:szCs w:val="24"/>
                <w:lang w:val="pt-BR" w:eastAsia="pt-BR"/>
              </w:rPr>
            </w:pPr>
          </w:p>
        </w:tc>
        <w:tc>
          <w:tcPr>
            <w:tcW w:w="4333" w:type="dxa"/>
          </w:tcPr>
          <w:p w14:paraId="5F4D9B7A"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Índice de Liquidez igual ou superior a 1,25 vezes</w:t>
            </w:r>
          </w:p>
        </w:tc>
      </w:tr>
      <w:tr w:rsidR="00257610" w:rsidRPr="003A0AD5" w14:paraId="26791026" w14:textId="77777777" w:rsidTr="005F792A">
        <w:tc>
          <w:tcPr>
            <w:tcW w:w="4333" w:type="dxa"/>
            <w:vMerge w:val="restart"/>
          </w:tcPr>
          <w:p w14:paraId="5BD420A6"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Trimestre findo em 31 de março de 2021 e trimestres subsequentes até a Data de Vencimento das Debêntures</w:t>
            </w:r>
          </w:p>
        </w:tc>
        <w:tc>
          <w:tcPr>
            <w:tcW w:w="4333" w:type="dxa"/>
          </w:tcPr>
          <w:p w14:paraId="73F5598B"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Dívida Líquida/EBITDA igual ou inferior a 2,5 vezes</w:t>
            </w:r>
          </w:p>
        </w:tc>
      </w:tr>
      <w:tr w:rsidR="00257610" w:rsidRPr="003A0AD5" w14:paraId="798DE2BB" w14:textId="77777777" w:rsidTr="005F792A">
        <w:tc>
          <w:tcPr>
            <w:tcW w:w="4333" w:type="dxa"/>
            <w:vMerge/>
          </w:tcPr>
          <w:p w14:paraId="0D6D55F4" w14:textId="77777777" w:rsidR="00257610" w:rsidRPr="00257610" w:rsidRDefault="00257610" w:rsidP="00257610">
            <w:pPr>
              <w:spacing w:after="0"/>
              <w:outlineLvl w:val="1"/>
              <w:rPr>
                <w:rFonts w:eastAsia="MS Mincho"/>
                <w:i/>
                <w:iCs/>
                <w:szCs w:val="24"/>
                <w:lang w:val="pt-BR" w:eastAsia="pt-BR"/>
              </w:rPr>
            </w:pPr>
          </w:p>
        </w:tc>
        <w:tc>
          <w:tcPr>
            <w:tcW w:w="4333" w:type="dxa"/>
          </w:tcPr>
          <w:p w14:paraId="36872471"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Índice de Liquidez igual ou superior a 1,25 vezes</w:t>
            </w:r>
          </w:p>
        </w:tc>
      </w:tr>
    </w:tbl>
    <w:p w14:paraId="53401E69"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ab/>
      </w:r>
    </w:p>
    <w:p w14:paraId="5DDB935C"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 xml:space="preserve">Sem prejuízo do disposto acima, caso </w:t>
      </w:r>
      <w:r w:rsidRPr="00257610">
        <w:rPr>
          <w:rFonts w:eastAsia="MS Mincho"/>
          <w:b/>
          <w:i/>
          <w:iCs/>
          <w:szCs w:val="24"/>
          <w:lang w:val="pt-BR" w:eastAsia="pt-BR"/>
        </w:rPr>
        <w:t>(a)</w:t>
      </w:r>
      <w:r w:rsidRPr="00257610">
        <w:rPr>
          <w:rFonts w:eastAsia="MS Mincho"/>
          <w:i/>
          <w:iCs/>
          <w:szCs w:val="24"/>
          <w:lang w:val="pt-BR" w:eastAsia="pt-BR"/>
        </w:rPr>
        <w:t xml:space="preserve"> em qualquer data de verificação, a partir do trimestre findo em 30 de setembro de 2020, o índice Dívida Líquida/EBITDA seja superior a 3,25 vezes, e/ou </w:t>
      </w:r>
      <w:r w:rsidRPr="00257610">
        <w:rPr>
          <w:rFonts w:eastAsia="MS Mincho"/>
          <w:b/>
          <w:i/>
          <w:iCs/>
          <w:szCs w:val="24"/>
          <w:lang w:val="pt-BR" w:eastAsia="pt-BR"/>
        </w:rPr>
        <w:t>(b)</w:t>
      </w:r>
      <w:r w:rsidRPr="00257610">
        <w:rPr>
          <w:rFonts w:eastAsia="MS Mincho"/>
          <w:i/>
          <w:iCs/>
          <w:szCs w:val="24"/>
          <w:lang w:val="pt-BR" w:eastAsia="pt-BR"/>
        </w:rPr>
        <w:t xml:space="preserve"> em qualquer data de verificação, o Índice de Liquidez seja inferior a 1,15 vezes; e </w:t>
      </w:r>
      <w:r w:rsidRPr="00257610">
        <w:rPr>
          <w:rFonts w:eastAsia="MS Mincho"/>
          <w:b/>
          <w:i/>
          <w:iCs/>
          <w:szCs w:val="24"/>
          <w:lang w:val="pt-BR" w:eastAsia="pt-BR"/>
        </w:rPr>
        <w:t>(c)</w:t>
      </w:r>
      <w:r w:rsidRPr="00257610">
        <w:rPr>
          <w:rFonts w:eastAsia="MS Mincho"/>
          <w:i/>
          <w:iCs/>
          <w:szCs w:val="24"/>
          <w:lang w:val="pt-BR" w:eastAsia="pt-BR"/>
        </w:rPr>
        <w:t xml:space="preserve"> uma vez verificados quaisquer dos índices indicados nos itens (a) ou (b), não seja realizada a Capitalização, tal fato será imediatamente considerado um Evento de Vencimento Antecipado não automático para os fins desta Escritura de Emissão.</w:t>
      </w:r>
    </w:p>
    <w:p w14:paraId="4BB11BDE"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Para fins desta Escritura de Emissão, “</w:t>
      </w:r>
      <w:r w:rsidRPr="00257610">
        <w:rPr>
          <w:rFonts w:eastAsia="MS Mincho"/>
          <w:b/>
          <w:i/>
          <w:iCs/>
          <w:szCs w:val="24"/>
          <w:lang w:val="pt-BR" w:eastAsia="pt-BR"/>
        </w:rPr>
        <w:t>Capitalização</w:t>
      </w:r>
      <w:r w:rsidRPr="00257610">
        <w:rPr>
          <w:rFonts w:eastAsia="MS Mincho"/>
          <w:i/>
          <w:iCs/>
          <w:szCs w:val="24"/>
          <w:lang w:val="pt-BR" w:eastAsia="pt-BR"/>
        </w:rPr>
        <w:t>” significa um aumento de capital a ser aprovado pelos acionistas da Emissora e integralizado em moeda corrente nacional, que deverá ser realizado no prazo de até 30 (trinta) corridos contados da data de verificação do descumprimento do índice Dívida Líquida / EBITDA e/ou do Índice de Liquidez.</w:t>
      </w:r>
    </w:p>
    <w:p w14:paraId="6486FF9E"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Adicionalmente, a Companhia deverá disponibilizar ao Agente Fiduciário relatório de asseguração sobre os Indicadores Financeiros de Emissora sem os efeitos da aplicação do IFRS16 (“</w:t>
      </w:r>
      <w:r w:rsidRPr="00257610">
        <w:rPr>
          <w:rFonts w:eastAsia="MS Mincho"/>
          <w:b/>
          <w:i/>
          <w:iCs/>
          <w:szCs w:val="24"/>
          <w:lang w:val="pt-BR" w:eastAsia="pt-BR"/>
        </w:rPr>
        <w:t>Relatório de Asseguração</w:t>
      </w:r>
      <w:r w:rsidRPr="00257610">
        <w:rPr>
          <w:rFonts w:eastAsia="MS Mincho"/>
          <w:i/>
          <w:iCs/>
          <w:szCs w:val="24"/>
          <w:lang w:val="pt-BR" w:eastAsia="pt-BR"/>
        </w:rPr>
        <w:t xml:space="preserve">”), em 15 (quinze) dias corridos e 10 (dez) dias corridos, após a divulgação à CVM das respectivas demonstrações financeiras e informações trimestrais, respectivamente, sendo certo que o Relatório de Asseguração será emitido por um dos auditores independentes considerados “big four”, a saber, KPMG Auditores Independentes, </w:t>
      </w:r>
      <w:proofErr w:type="spellStart"/>
      <w:r w:rsidRPr="00257610">
        <w:rPr>
          <w:rFonts w:eastAsia="MS Mincho"/>
          <w:i/>
          <w:iCs/>
          <w:szCs w:val="24"/>
          <w:lang w:val="pt-BR" w:eastAsia="pt-BR"/>
        </w:rPr>
        <w:t>PriceWaterHouseCoopers</w:t>
      </w:r>
      <w:proofErr w:type="spellEnd"/>
      <w:r w:rsidRPr="00257610">
        <w:rPr>
          <w:rFonts w:eastAsia="MS Mincho"/>
          <w:i/>
          <w:iCs/>
          <w:szCs w:val="24"/>
          <w:lang w:val="pt-BR" w:eastAsia="pt-BR"/>
        </w:rPr>
        <w:t xml:space="preserve"> Auditores Independentes, Deloitte Touche Tohmatsu Auditores Independentes ou Ernst &amp; Young Auditores Independentes.;</w:t>
      </w:r>
    </w:p>
    <w:p w14:paraId="2A0946C9"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p>
    <w:p w14:paraId="40ED668F" w14:textId="77777777" w:rsidR="00257610" w:rsidRPr="00257610" w:rsidRDefault="00257610" w:rsidP="00257610">
      <w:pPr>
        <w:ind w:left="680"/>
        <w:outlineLvl w:val="1"/>
        <w:rPr>
          <w:rFonts w:eastAsia="MS Mincho"/>
          <w:i/>
          <w:iCs/>
          <w:szCs w:val="24"/>
          <w:lang w:val="pt-BR" w:eastAsia="pt-BR"/>
        </w:rPr>
      </w:pPr>
      <w:r w:rsidRPr="00257610">
        <w:rPr>
          <w:rFonts w:eastAsia="MS Mincho"/>
          <w:b/>
          <w:i/>
          <w:iCs/>
          <w:szCs w:val="24"/>
          <w:lang w:val="pt-BR" w:eastAsia="pt-BR"/>
        </w:rPr>
        <w:t>(xii)</w:t>
      </w:r>
      <w:r w:rsidRPr="00257610">
        <w:rPr>
          <w:rFonts w:eastAsia="MS Mincho"/>
          <w:i/>
          <w:iCs/>
          <w:szCs w:val="24"/>
          <w:lang w:val="pt-BR" w:eastAsia="pt-BR"/>
        </w:rPr>
        <w:t xml:space="preserve"> sem prejuízo do disposto no item (xi) acima, não observância, pela Emissora, dos seguintes índices e limites financeiros (em conjunto com o índice Dívida Líquida / EBITDA e Índice de Liquidez, “</w:t>
      </w:r>
      <w:r w:rsidRPr="00257610">
        <w:rPr>
          <w:rFonts w:eastAsia="MS Mincho"/>
          <w:b/>
          <w:i/>
          <w:iCs/>
          <w:szCs w:val="24"/>
          <w:lang w:val="pt-BR" w:eastAsia="pt-BR"/>
        </w:rPr>
        <w:t>Índices Financeiros</w:t>
      </w:r>
      <w:r w:rsidRPr="00257610">
        <w:rPr>
          <w:rFonts w:eastAsia="MS Mincho"/>
          <w:i/>
          <w:iCs/>
          <w:szCs w:val="24"/>
          <w:lang w:val="pt-BR" w:eastAsia="pt-BR"/>
        </w:rPr>
        <w:t>”), verificados trimestralmente pelo Agente Fiduciário, com base nas demonstrações financeiras consolidadas da Emissora e na memória de cálculo elaborada pela Emissora contendo todas as rubricas necessárias que demonstrem o cumprimento dos Índices Financeiros evidenciados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em virtude das Debêntures:</w:t>
      </w:r>
    </w:p>
    <w:tbl>
      <w:tblPr>
        <w:tblStyle w:val="TableGrid"/>
        <w:tblW w:w="0" w:type="auto"/>
        <w:tblInd w:w="680" w:type="dxa"/>
        <w:tblLook w:val="04A0" w:firstRow="1" w:lastRow="0" w:firstColumn="1" w:lastColumn="0" w:noHBand="0" w:noVBand="1"/>
      </w:tblPr>
      <w:tblGrid>
        <w:gridCol w:w="4366"/>
        <w:gridCol w:w="4300"/>
      </w:tblGrid>
      <w:tr w:rsidR="00257610" w:rsidRPr="00257610" w14:paraId="1D4EDD2A" w14:textId="77777777" w:rsidTr="005F792A">
        <w:tc>
          <w:tcPr>
            <w:tcW w:w="4366" w:type="dxa"/>
            <w:shd w:val="clear" w:color="auto" w:fill="002060"/>
          </w:tcPr>
          <w:p w14:paraId="6E84581C" w14:textId="77777777" w:rsidR="00257610" w:rsidRPr="00257610" w:rsidRDefault="00257610" w:rsidP="00257610">
            <w:pPr>
              <w:spacing w:after="0"/>
              <w:jc w:val="center"/>
              <w:outlineLvl w:val="1"/>
              <w:rPr>
                <w:rFonts w:eastAsia="MS Mincho"/>
                <w:i/>
                <w:iCs/>
                <w:szCs w:val="24"/>
                <w:lang w:val="pt-BR" w:eastAsia="pt-BR"/>
              </w:rPr>
            </w:pPr>
            <w:r w:rsidRPr="00257610">
              <w:rPr>
                <w:rFonts w:eastAsia="MS Mincho"/>
                <w:i/>
                <w:iCs/>
                <w:szCs w:val="24"/>
                <w:lang w:val="pt-BR" w:eastAsia="pt-BR"/>
              </w:rPr>
              <w:t>Período</w:t>
            </w:r>
          </w:p>
        </w:tc>
        <w:tc>
          <w:tcPr>
            <w:tcW w:w="4300" w:type="dxa"/>
            <w:shd w:val="clear" w:color="auto" w:fill="002060"/>
          </w:tcPr>
          <w:p w14:paraId="6635140B" w14:textId="77777777" w:rsidR="00257610" w:rsidRPr="00257610" w:rsidRDefault="00257610" w:rsidP="00257610">
            <w:pPr>
              <w:spacing w:after="0"/>
              <w:jc w:val="center"/>
              <w:outlineLvl w:val="1"/>
              <w:rPr>
                <w:rFonts w:eastAsia="MS Mincho"/>
                <w:i/>
                <w:iCs/>
                <w:szCs w:val="24"/>
                <w:lang w:val="pt-BR" w:eastAsia="pt-BR"/>
              </w:rPr>
            </w:pPr>
            <w:r w:rsidRPr="00257610">
              <w:rPr>
                <w:rFonts w:eastAsia="MS Mincho"/>
                <w:i/>
                <w:iCs/>
                <w:szCs w:val="24"/>
                <w:lang w:val="pt-BR" w:eastAsia="pt-BR"/>
              </w:rPr>
              <w:t>Índice</w:t>
            </w:r>
          </w:p>
        </w:tc>
      </w:tr>
      <w:tr w:rsidR="00257610" w:rsidRPr="003A0AD5" w14:paraId="3DDA2364" w14:textId="77777777" w:rsidTr="005F792A">
        <w:tc>
          <w:tcPr>
            <w:tcW w:w="4366" w:type="dxa"/>
            <w:vMerge w:val="restart"/>
          </w:tcPr>
          <w:p w14:paraId="75874EB3" w14:textId="77777777" w:rsidR="00257610" w:rsidRPr="00257610" w:rsidRDefault="00257610" w:rsidP="00257610">
            <w:pPr>
              <w:numPr>
                <w:ilvl w:val="1"/>
                <w:numId w:val="0"/>
              </w:numPr>
              <w:tabs>
                <w:tab w:val="num" w:pos="680"/>
              </w:tabs>
              <w:spacing w:after="0"/>
              <w:ind w:hanging="680"/>
              <w:outlineLvl w:val="1"/>
              <w:rPr>
                <w:rFonts w:eastAsia="MS Mincho"/>
                <w:i/>
                <w:iCs/>
                <w:szCs w:val="24"/>
                <w:lang w:val="pt-BR" w:eastAsia="pt-BR"/>
              </w:rPr>
            </w:pPr>
            <w:r w:rsidRPr="00257610">
              <w:rPr>
                <w:rFonts w:eastAsia="MS Mincho"/>
                <w:i/>
                <w:iCs/>
                <w:szCs w:val="24"/>
                <w:lang w:val="pt-BR" w:eastAsia="pt-BR"/>
              </w:rPr>
              <w:t>Trimestres findos em 31 de março de 2020, em 30 de junho de 2020, em 30 de setembro de 2020 e em 31 de dezembro de 2020</w:t>
            </w:r>
          </w:p>
        </w:tc>
        <w:tc>
          <w:tcPr>
            <w:tcW w:w="4300" w:type="dxa"/>
          </w:tcPr>
          <w:p w14:paraId="62E31CF1"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EBITDA/Custo da Dívida igual ou superior a 1,45 vezes</w:t>
            </w:r>
          </w:p>
        </w:tc>
      </w:tr>
      <w:tr w:rsidR="00257610" w:rsidRPr="003A0AD5" w14:paraId="52820CA1" w14:textId="77777777" w:rsidTr="005F792A">
        <w:tc>
          <w:tcPr>
            <w:tcW w:w="4366" w:type="dxa"/>
            <w:vMerge/>
          </w:tcPr>
          <w:p w14:paraId="748C84FF" w14:textId="77777777" w:rsidR="00257610" w:rsidRPr="00257610" w:rsidRDefault="00257610" w:rsidP="00257610">
            <w:pPr>
              <w:spacing w:after="0"/>
              <w:outlineLvl w:val="1"/>
              <w:rPr>
                <w:rFonts w:eastAsia="MS Mincho"/>
                <w:i/>
                <w:iCs/>
                <w:szCs w:val="24"/>
                <w:lang w:val="pt-BR" w:eastAsia="pt-BR"/>
              </w:rPr>
            </w:pPr>
          </w:p>
        </w:tc>
        <w:tc>
          <w:tcPr>
            <w:tcW w:w="4300" w:type="dxa"/>
          </w:tcPr>
          <w:p w14:paraId="4DD72A64"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Dívida Bruta/EBITDA igual ou inferior a 4,0 vezes</w:t>
            </w:r>
          </w:p>
        </w:tc>
      </w:tr>
      <w:tr w:rsidR="00257610" w:rsidRPr="003A0AD5" w14:paraId="09220D38" w14:textId="77777777" w:rsidTr="005F792A">
        <w:tc>
          <w:tcPr>
            <w:tcW w:w="4366" w:type="dxa"/>
            <w:vMerge w:val="restart"/>
          </w:tcPr>
          <w:p w14:paraId="622B4F35"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Trimestre findo em 31 de março de 2021 e trimestres subsequentes até a Data de Vencimento das Debêntures</w:t>
            </w:r>
          </w:p>
        </w:tc>
        <w:tc>
          <w:tcPr>
            <w:tcW w:w="4300" w:type="dxa"/>
          </w:tcPr>
          <w:p w14:paraId="328A9279"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EBITDA/Custo da Dívida igual ou superior a 1,45 vezes</w:t>
            </w:r>
          </w:p>
        </w:tc>
      </w:tr>
      <w:tr w:rsidR="00257610" w:rsidRPr="003A0AD5" w14:paraId="3605BCA9" w14:textId="77777777" w:rsidTr="005F792A">
        <w:tc>
          <w:tcPr>
            <w:tcW w:w="4366" w:type="dxa"/>
            <w:vMerge/>
          </w:tcPr>
          <w:p w14:paraId="7A61C7FA" w14:textId="77777777" w:rsidR="00257610" w:rsidRPr="00257610" w:rsidRDefault="00257610" w:rsidP="00257610">
            <w:pPr>
              <w:spacing w:after="0"/>
              <w:outlineLvl w:val="1"/>
              <w:rPr>
                <w:rFonts w:eastAsia="MS Mincho"/>
                <w:i/>
                <w:iCs/>
                <w:szCs w:val="24"/>
                <w:lang w:val="pt-BR" w:eastAsia="pt-BR"/>
              </w:rPr>
            </w:pPr>
          </w:p>
        </w:tc>
        <w:tc>
          <w:tcPr>
            <w:tcW w:w="4300" w:type="dxa"/>
          </w:tcPr>
          <w:p w14:paraId="1441A939" w14:textId="77777777" w:rsidR="00257610" w:rsidRPr="00257610" w:rsidRDefault="00257610" w:rsidP="00257610">
            <w:pPr>
              <w:spacing w:after="0"/>
              <w:outlineLvl w:val="1"/>
              <w:rPr>
                <w:rFonts w:eastAsia="MS Mincho"/>
                <w:i/>
                <w:iCs/>
                <w:szCs w:val="24"/>
                <w:lang w:val="pt-BR" w:eastAsia="pt-BR"/>
              </w:rPr>
            </w:pPr>
            <w:r w:rsidRPr="00257610">
              <w:rPr>
                <w:rFonts w:eastAsia="MS Mincho"/>
                <w:i/>
                <w:iCs/>
                <w:szCs w:val="24"/>
                <w:lang w:val="pt-BR" w:eastAsia="pt-BR"/>
              </w:rPr>
              <w:t>Dívida Bruta/EBITDA igual ou inferior a 3,5 vezes</w:t>
            </w:r>
          </w:p>
        </w:tc>
      </w:tr>
    </w:tbl>
    <w:p w14:paraId="152367C7" w14:textId="77777777" w:rsidR="00257610" w:rsidRPr="00257610" w:rsidRDefault="00257610" w:rsidP="00257610">
      <w:pPr>
        <w:outlineLvl w:val="1"/>
        <w:rPr>
          <w:rFonts w:eastAsia="MS Mincho"/>
          <w:i/>
          <w:iCs/>
          <w:szCs w:val="24"/>
          <w:lang w:val="pt-BR" w:eastAsia="pt-BR"/>
        </w:rPr>
      </w:pPr>
    </w:p>
    <w:p w14:paraId="0A51029B"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r w:rsidRPr="00257610">
        <w:rPr>
          <w:rFonts w:eastAsia="MS Mincho"/>
          <w:b/>
          <w:i/>
          <w:iCs/>
          <w:szCs w:val="24"/>
          <w:lang w:val="pt-BR" w:eastAsia="pt-BR"/>
        </w:rPr>
        <w:t>Custo da Dívida</w:t>
      </w:r>
      <w:r w:rsidRPr="00257610">
        <w:rPr>
          <w:rFonts w:eastAsia="MS Mincho"/>
          <w:i/>
          <w:iCs/>
          <w:szCs w:val="24"/>
          <w:lang w:val="pt-BR" w:eastAsia="pt-BR"/>
        </w:rPr>
        <w:t>”: despesas de juros incidentes sobre o endividamento e os juros sobre antecipações de cartão de crédito;</w:t>
      </w:r>
    </w:p>
    <w:p w14:paraId="60DDA875"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r w:rsidRPr="00257610">
        <w:rPr>
          <w:rFonts w:eastAsia="MS Mincho"/>
          <w:b/>
          <w:bCs/>
          <w:i/>
          <w:iCs/>
          <w:szCs w:val="24"/>
          <w:lang w:val="pt-BR" w:eastAsia="pt-BR"/>
        </w:rPr>
        <w:t>Dívida Bruta</w:t>
      </w:r>
      <w:r w:rsidRPr="00257610">
        <w:rPr>
          <w:rFonts w:eastAsia="MS Mincho"/>
          <w:i/>
          <w:iCs/>
          <w:szCs w:val="24"/>
          <w:lang w:val="pt-BR" w:eastAsia="pt-BR"/>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p>
    <w:p w14:paraId="32947A87"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r w:rsidRPr="00257610">
        <w:rPr>
          <w:rFonts w:eastAsia="MS Mincho"/>
          <w:b/>
          <w:bCs/>
          <w:i/>
          <w:iCs/>
          <w:szCs w:val="24"/>
          <w:lang w:val="pt-BR" w:eastAsia="pt-BR"/>
        </w:rPr>
        <w:t>Dívida Líquida</w:t>
      </w:r>
      <w:r w:rsidRPr="00257610">
        <w:rPr>
          <w:rFonts w:eastAsia="MS Mincho"/>
          <w:i/>
          <w:iCs/>
          <w:szCs w:val="24"/>
          <w:lang w:val="pt-BR" w:eastAsia="pt-BR"/>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ou moedas, menos o saldo de caixa, equivalentes de caixa e aplicações financeiras;</w:t>
      </w:r>
    </w:p>
    <w:p w14:paraId="052D67B6"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r w:rsidRPr="00257610">
        <w:rPr>
          <w:rFonts w:eastAsia="MS Mincho"/>
          <w:b/>
          <w:bCs/>
          <w:i/>
          <w:iCs/>
          <w:szCs w:val="24"/>
          <w:lang w:val="pt-BR" w:eastAsia="pt-BR"/>
        </w:rPr>
        <w:t>EBITDA</w:t>
      </w:r>
      <w:r w:rsidRPr="00257610">
        <w:rPr>
          <w:rFonts w:eastAsia="MS Mincho"/>
          <w:i/>
          <w:iCs/>
          <w:szCs w:val="24"/>
          <w:lang w:val="pt-BR" w:eastAsia="pt-BR"/>
        </w:rPr>
        <w:t>”: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(d) do impairment, conforme registro na DFP/ITR nas linhas aplicáveis, sendo certo que serão ajustados os efeitos resultantes da aplicação da norma IFRS 16;</w:t>
      </w:r>
    </w:p>
    <w:p w14:paraId="39F05C5A"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w:t>
      </w:r>
      <w:r w:rsidRPr="00257610">
        <w:rPr>
          <w:rFonts w:eastAsia="MS Mincho"/>
          <w:b/>
          <w:i/>
          <w:iCs/>
          <w:szCs w:val="24"/>
          <w:lang w:val="pt-BR" w:eastAsia="pt-BR"/>
        </w:rPr>
        <w:t>Índice de Liquidez</w:t>
      </w:r>
      <w:r w:rsidRPr="00257610">
        <w:rPr>
          <w:rFonts w:eastAsia="MS Mincho"/>
          <w:i/>
          <w:iCs/>
          <w:szCs w:val="24"/>
          <w:lang w:val="pt-BR" w:eastAsia="pt-BR"/>
        </w:rPr>
        <w:t>”: razão entre o ativo circulante e o passivo circulante da Emissora.”</w:t>
      </w:r>
    </w:p>
    <w:p w14:paraId="5513BB1E" w14:textId="77777777" w:rsidR="00257610" w:rsidRPr="00257610" w:rsidRDefault="00257610" w:rsidP="00257610">
      <w:pPr>
        <w:ind w:left="680"/>
        <w:outlineLvl w:val="1"/>
        <w:rPr>
          <w:rFonts w:eastAsia="MS Mincho"/>
          <w:i/>
          <w:iCs/>
          <w:szCs w:val="24"/>
          <w:lang w:val="pt-BR" w:eastAsia="pt-BR"/>
        </w:rPr>
      </w:pPr>
      <w:r w:rsidRPr="00257610">
        <w:rPr>
          <w:rFonts w:eastAsia="MS Mincho"/>
          <w:i/>
          <w:iCs/>
          <w:szCs w:val="24"/>
          <w:lang w:val="pt-BR" w:eastAsia="pt-BR"/>
        </w:rPr>
        <w:t xml:space="preserve">(...)”; </w:t>
      </w:r>
    </w:p>
    <w:p w14:paraId="70FE403E" w14:textId="77777777" w:rsidR="00257610" w:rsidRPr="00257610" w:rsidRDefault="00257610" w:rsidP="00257610">
      <w:pPr>
        <w:pStyle w:val="Level1"/>
        <w:rPr>
          <w:lang w:val="pt-BR" w:eastAsia="pt-BR"/>
        </w:rPr>
      </w:pPr>
      <w:bookmarkStart w:id="2" w:name="_DV_M112"/>
      <w:bookmarkStart w:id="3" w:name="_DV_M126"/>
      <w:bookmarkStart w:id="4" w:name="_DV_M132"/>
      <w:bookmarkStart w:id="5" w:name="_DV_M138"/>
      <w:bookmarkStart w:id="6" w:name="_DV_M244"/>
      <w:bookmarkStart w:id="7" w:name="_DV_C268"/>
      <w:bookmarkStart w:id="8" w:name="_DV_X275"/>
      <w:bookmarkEnd w:id="2"/>
      <w:bookmarkEnd w:id="3"/>
      <w:bookmarkEnd w:id="4"/>
      <w:bookmarkEnd w:id="5"/>
      <w:bookmarkEnd w:id="6"/>
      <w:bookmarkEnd w:id="7"/>
      <w:bookmarkEnd w:id="8"/>
      <w:r w:rsidRPr="00257610">
        <w:rPr>
          <w:lang w:val="pt-BR" w:eastAsia="pt-BR"/>
        </w:rPr>
        <w:t>AUTORIZAÇÃO</w:t>
      </w:r>
    </w:p>
    <w:p w14:paraId="64F37C43" w14:textId="77777777" w:rsidR="00257610" w:rsidRPr="00257610" w:rsidRDefault="00257610" w:rsidP="00257610">
      <w:pPr>
        <w:pStyle w:val="Level2"/>
        <w:rPr>
          <w:lang w:val="pt-BR" w:eastAsia="pt-BR"/>
        </w:rPr>
      </w:pPr>
      <w:r w:rsidRPr="00257610">
        <w:rPr>
          <w:lang w:val="pt-BR" w:eastAsia="pt-BR"/>
        </w:rPr>
        <w:t>Observado o disposto no artigo 71 da Lei das S.A., a celebração deste Aditamento, pelo Agente Fiduciário, foi autorizada pela AGD do Aditamento</w:t>
      </w:r>
      <w:r w:rsidRPr="00257610">
        <w:rPr>
          <w:rFonts w:eastAsia="Times New Roman"/>
          <w:lang w:val="pt-BR" w:eastAsia="pt-BR"/>
        </w:rPr>
        <w:t xml:space="preserve">. </w:t>
      </w:r>
    </w:p>
    <w:p w14:paraId="6BF30C59" w14:textId="77777777" w:rsidR="00257610" w:rsidRPr="00257610" w:rsidRDefault="00257610" w:rsidP="00257610">
      <w:pPr>
        <w:pStyle w:val="Level1"/>
        <w:rPr>
          <w:lang w:val="pt-BR" w:eastAsia="pt-BR"/>
        </w:rPr>
      </w:pPr>
      <w:r w:rsidRPr="00257610">
        <w:rPr>
          <w:lang w:val="pt-BR" w:eastAsia="pt-BR"/>
        </w:rPr>
        <w:t xml:space="preserve">ARQUIVAMENTO </w:t>
      </w:r>
    </w:p>
    <w:p w14:paraId="662DB5C1" w14:textId="77777777" w:rsidR="00257610" w:rsidRPr="00257610" w:rsidRDefault="00257610" w:rsidP="00257610">
      <w:pPr>
        <w:pStyle w:val="Level2"/>
        <w:rPr>
          <w:b/>
          <w:lang w:val="pt-BR" w:eastAsia="pt-BR"/>
        </w:rPr>
      </w:pPr>
      <w:r w:rsidRPr="00257610">
        <w:rPr>
          <w:lang w:val="pt-BR" w:eastAsia="pt-BR"/>
        </w:rPr>
        <w:t>Nos termos da Cláusula 2.2.1 da Escritura de Emissão, o presente Aditamento deverá ser inscrito na Junta Comercial do Estado do Ceará (“</w:t>
      </w:r>
      <w:r w:rsidRPr="00257610">
        <w:rPr>
          <w:b/>
          <w:bCs/>
          <w:lang w:val="pt-BR" w:eastAsia="pt-BR"/>
        </w:rPr>
        <w:t>JUCEC</w:t>
      </w:r>
      <w:r w:rsidRPr="00257610">
        <w:rPr>
          <w:lang w:val="pt-BR" w:eastAsia="pt-BR"/>
        </w:rPr>
        <w:t>”), no prazo de 20 (vinte) dias a contar da data de sua celebração, exceto se a JUCEC estiver com operações suspensas</w:t>
      </w:r>
      <w:r w:rsidRPr="00257610">
        <w:rPr>
          <w:color w:val="000000"/>
          <w:lang w:val="pt-BR" w:eastAsia="pt-BR"/>
        </w:rPr>
        <w:t xml:space="preserve"> ou medidas restritivas ao seu funcionamento normal, decorrente exclusivamente da pandemia da COVID-19, em conformidade com o </w:t>
      </w:r>
      <w:r w:rsidRPr="00257610">
        <w:rPr>
          <w:lang w:val="pt-BR" w:eastAsia="pt-BR"/>
        </w:rPr>
        <w:t>artigo 6º da Medida Provisória n.º 931, de 30 de março de 2020 (“</w:t>
      </w:r>
      <w:r w:rsidRPr="00257610">
        <w:rPr>
          <w:b/>
          <w:lang w:val="pt-BR" w:eastAsia="pt-BR"/>
        </w:rPr>
        <w:t>MP 931</w:t>
      </w:r>
      <w:r w:rsidRPr="00257610">
        <w:rPr>
          <w:lang w:val="pt-BR" w:eastAsia="pt-BR"/>
        </w:rPr>
        <w:t>”). Nessa hipótese, a Emissora deverá protocolar este Aditamento para arquivamento na JUCEC no prazo de até 5 (cinco) Dias Úteis contados da data em que a JUCEC restabelecer a prestação regular de seus serviços e de suas atividades, sendo que o seu arquivamento deverá ocorrer no prazo de até 30 (trinta) dias contados do restabelecimento regular das atividades da JUCEC. Tanto os prazos para protocolo quanto para registro serão automática e sucessivamente prorrogados pelo Agente Fiduciário, por iguais períodos, quantas vezes for necessário, até o efetivo protocolo ou registro. Uma via original deste Aditamento deverá ser enviado pela Emissora ao Agente Fiduciário, em até 1 (um) Dia Útil da data do seu efetivo registro.</w:t>
      </w:r>
    </w:p>
    <w:p w14:paraId="02A29E09" w14:textId="77777777" w:rsidR="00257610" w:rsidRPr="00257610" w:rsidRDefault="00257610" w:rsidP="00257610">
      <w:pPr>
        <w:pStyle w:val="Level2"/>
        <w:rPr>
          <w:b/>
          <w:lang w:val="pt-BR" w:eastAsia="pt-BR"/>
        </w:rPr>
      </w:pPr>
      <w:r w:rsidRPr="00257610">
        <w:rPr>
          <w:lang w:val="pt-BR" w:eastAsia="pt-BR"/>
        </w:rPr>
        <w:t>Em razão da Fiança (conforme definida na Escritura de Emissão), o presente Aditamento será registrado em até 10 (dez) Dias Úteis, a contar de sua celebração, nos competentes Cartórios de Registro de Títulos e Documentos das cidades de Fortaleza, Estado do Ceará, e de São Paulo, Estado de São Paulo, conforme disposto no artigo 129, item 3, e no artigo 130 da Lei n° 6.015, de 31 de dezembro de 1973 (“</w:t>
      </w:r>
      <w:r w:rsidRPr="00257610">
        <w:rPr>
          <w:b/>
          <w:bCs/>
          <w:lang w:val="pt-BR" w:eastAsia="pt-BR"/>
        </w:rPr>
        <w:t>Lei de Registros Públicos</w:t>
      </w:r>
      <w:r w:rsidRPr="00257610">
        <w:rPr>
          <w:lang w:val="pt-BR" w:eastAsia="pt-BR"/>
        </w:rPr>
        <w:t>”), exceto se os Cartórios estiverem com serviços sujeitos a medidas restritivas ao seu funcionamento normal, decorrentes da pandemia da COVID-19, nos termos de provimentos emitidos pelas respectivas Corregedorias Gerais de Justiça do Estado do Ceará e do Estado de São Paulo, hipótese na qual a Escritura e seus aditamentos deverão arquivados nos respectivos Cartórios no prazo de até 30 (trinta) dias corridos a contar da data do protocolo nos referidos Cartórios, ou, caso a Emissora não consiga realizar o registro deste Aditamento nos Cartórios, por fato a ela não imputável, os prazos descritos nesta cláusula serão automática e sucessivamente prorrogados pelo Agente Fiduciário, por igual período, quantas vezes for necessário para a realização do seu registro. Uma via original deste Aditamento deverá ser enviado pela Emissora ao Agente Fiduciário, em até 1 (um) Dia Útil da data do seu efetivo registro.</w:t>
      </w:r>
    </w:p>
    <w:p w14:paraId="3395687B" w14:textId="77777777" w:rsidR="00257610" w:rsidRPr="00257610" w:rsidRDefault="00257610" w:rsidP="00257610">
      <w:pPr>
        <w:pStyle w:val="Level1"/>
        <w:rPr>
          <w:lang w:val="pt-BR" w:eastAsia="pt-BR"/>
        </w:rPr>
      </w:pPr>
      <w:r w:rsidRPr="00257610">
        <w:rPr>
          <w:lang w:val="pt-BR" w:eastAsia="pt-BR"/>
        </w:rPr>
        <w:t>DECLARAÇÕES E GARANTIAS DA EMISSORA</w:t>
      </w:r>
    </w:p>
    <w:p w14:paraId="05D60CC8" w14:textId="77777777" w:rsidR="00257610" w:rsidRPr="00257610" w:rsidRDefault="00257610" w:rsidP="00257610">
      <w:pPr>
        <w:pStyle w:val="Level2"/>
        <w:rPr>
          <w:lang w:val="pt-BR" w:eastAsia="pt-BR"/>
        </w:rPr>
      </w:pPr>
      <w:r w:rsidRPr="00257610">
        <w:rPr>
          <w:lang w:val="pt-BR" w:eastAsia="pt-BR"/>
        </w:rPr>
        <w:t>A Emissora, neste ato, declara e garante ao Agente Fiduciário e a Fiadora, que todas as declarações e garantias previstas na Escritura de Emissão permanecem verdadeiras, corretas e plenamente válidas e eficazes na data de assinatura deste Aditamento.</w:t>
      </w:r>
    </w:p>
    <w:p w14:paraId="7FB513D1" w14:textId="77777777" w:rsidR="00257610" w:rsidRPr="00257610" w:rsidRDefault="00257610" w:rsidP="00257610">
      <w:pPr>
        <w:pStyle w:val="Level1"/>
        <w:rPr>
          <w:lang w:val="pt-BR" w:eastAsia="pt-BR"/>
        </w:rPr>
      </w:pPr>
      <w:r w:rsidRPr="00257610">
        <w:rPr>
          <w:lang w:val="pt-BR" w:eastAsia="pt-BR"/>
        </w:rPr>
        <w:t>RATIFICAÇÕES DA ESCRITURA DE EMISSÃO</w:t>
      </w:r>
    </w:p>
    <w:p w14:paraId="60C63DD9" w14:textId="77777777" w:rsidR="00257610" w:rsidRPr="00257610" w:rsidRDefault="00257610" w:rsidP="00257610">
      <w:pPr>
        <w:pStyle w:val="Level2"/>
        <w:rPr>
          <w:lang w:val="pt-BR" w:eastAsia="pt-BR"/>
        </w:rPr>
      </w:pPr>
      <w:r w:rsidRPr="00257610">
        <w:rPr>
          <w:lang w:val="pt-BR" w:eastAsia="pt-BR"/>
        </w:rPr>
        <w:t>Ficam ratificadas, nos termos em que se encontram redigidas, todas as cláusulas, itens, características e condições constantes da Escritura de Emissão que não expressamente alteradas por este Aditamento, o qual não constitui de qualquer forma a novação de quaisquer termos da Escritura de Emissão.</w:t>
      </w:r>
    </w:p>
    <w:p w14:paraId="303F90AA" w14:textId="77777777" w:rsidR="00257610" w:rsidRPr="00257610" w:rsidRDefault="00257610" w:rsidP="00257610">
      <w:pPr>
        <w:pStyle w:val="Level1"/>
        <w:rPr>
          <w:lang w:val="pt-BR" w:eastAsia="pt-BR"/>
        </w:rPr>
      </w:pPr>
      <w:r w:rsidRPr="00257610">
        <w:rPr>
          <w:lang w:val="pt-BR" w:eastAsia="pt-BR"/>
        </w:rPr>
        <w:t>DISPOSIÇÕES GERAIS</w:t>
      </w:r>
    </w:p>
    <w:p w14:paraId="119D93A4" w14:textId="77777777" w:rsidR="00257610" w:rsidRPr="00257610" w:rsidRDefault="00257610" w:rsidP="00257610">
      <w:pPr>
        <w:pStyle w:val="Level2"/>
        <w:rPr>
          <w:lang w:val="pt-BR" w:eastAsia="pt-BR"/>
        </w:rPr>
      </w:pPr>
      <w:r w:rsidRPr="00257610">
        <w:rPr>
          <w:lang w:val="pt-BR" w:eastAsia="pt-BR"/>
        </w:rPr>
        <w:t xml:space="preserve">Este </w:t>
      </w:r>
      <w:r w:rsidRPr="003A0AD5">
        <w:rPr>
          <w:lang w:val="pt-BR"/>
        </w:rPr>
        <w:t>Aditamento</w:t>
      </w:r>
      <w:r w:rsidRPr="00257610">
        <w:rPr>
          <w:lang w:val="pt-BR" w:eastAsia="pt-BR"/>
        </w:rPr>
        <w:t xml:space="preserve"> é firmado em caráter irrevogável e irretratável, obrigando as Partes por si e seus sucessores. </w:t>
      </w:r>
    </w:p>
    <w:p w14:paraId="6535B1CC" w14:textId="77777777" w:rsidR="00257610" w:rsidRPr="00257610" w:rsidRDefault="00257610" w:rsidP="00257610">
      <w:pPr>
        <w:pStyle w:val="Level2"/>
        <w:rPr>
          <w:lang w:val="pt-BR" w:eastAsia="pt-BR"/>
        </w:rPr>
      </w:pPr>
      <w:r w:rsidRPr="00257610">
        <w:rPr>
          <w:lang w:val="pt-BR" w:eastAsia="pt-BR"/>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7F2DA4A" w14:textId="77777777" w:rsidR="00257610" w:rsidRPr="00257610" w:rsidRDefault="00257610" w:rsidP="00257610">
      <w:pPr>
        <w:pStyle w:val="Level2"/>
        <w:rPr>
          <w:lang w:val="pt-BR" w:eastAsia="pt-BR"/>
        </w:rPr>
      </w:pPr>
      <w:r w:rsidRPr="00257610">
        <w:rPr>
          <w:lang w:val="pt-BR" w:eastAsia="pt-BR"/>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estão sujeitas a execução específica, submetendo-se às disposições dos artigos 497, 815 e seguintes do Código de Processo Civil.</w:t>
      </w:r>
    </w:p>
    <w:p w14:paraId="1AAD3A67" w14:textId="77777777" w:rsidR="00257610" w:rsidRPr="00257610" w:rsidRDefault="00257610" w:rsidP="00257610">
      <w:pPr>
        <w:pStyle w:val="Level2"/>
        <w:rPr>
          <w:lang w:val="pt-BR" w:eastAsia="pt-BR"/>
        </w:rPr>
      </w:pPr>
      <w:r w:rsidRPr="00257610">
        <w:rPr>
          <w:lang w:val="pt-BR" w:eastAsia="pt-BR"/>
        </w:rPr>
        <w:t>Este Aditamento é regido pelas Leis da República Federativa do Brasil.</w:t>
      </w:r>
    </w:p>
    <w:p w14:paraId="02A63C04" w14:textId="77777777" w:rsidR="00257610" w:rsidRPr="00257610" w:rsidRDefault="00257610" w:rsidP="00257610">
      <w:pPr>
        <w:pStyle w:val="Level2"/>
        <w:rPr>
          <w:lang w:val="pt-BR" w:eastAsia="pt-BR"/>
        </w:rPr>
      </w:pPr>
      <w:r w:rsidRPr="00257610">
        <w:rPr>
          <w:lang w:val="pt-BR" w:eastAsia="pt-BR"/>
        </w:rPr>
        <w:t>Fica eleito o foro da Cidade de São Paulo, Estado de São Paulo, para dirimir quaisquer dúvidas ou controvérsias oriundas deste Aditamento, com renúncia a qualquer outro, por mais privilegiado que seja.</w:t>
      </w:r>
    </w:p>
    <w:p w14:paraId="4EC0AC15" w14:textId="77777777" w:rsidR="00257610" w:rsidRDefault="00257610" w:rsidP="00257610">
      <w:pPr>
        <w:autoSpaceDE w:val="0"/>
        <w:autoSpaceDN w:val="0"/>
        <w:adjustRightInd w:val="0"/>
        <w:rPr>
          <w:rFonts w:eastAsia="Arial Unicode MS" w:cs="Arial"/>
          <w:w w:val="0"/>
          <w:szCs w:val="24"/>
          <w:lang w:val="pt-BR" w:eastAsia="pt-BR"/>
        </w:rPr>
      </w:pPr>
    </w:p>
    <w:p w14:paraId="3E591A94" w14:textId="4F24B856" w:rsidR="00257610" w:rsidRPr="00257610" w:rsidRDefault="00257610" w:rsidP="00257610">
      <w:pPr>
        <w:autoSpaceDE w:val="0"/>
        <w:autoSpaceDN w:val="0"/>
        <w:adjustRightInd w:val="0"/>
        <w:rPr>
          <w:rFonts w:eastAsia="Arial Unicode MS" w:cs="Arial"/>
          <w:w w:val="0"/>
          <w:szCs w:val="24"/>
          <w:lang w:val="pt-BR" w:eastAsia="pt-BR"/>
        </w:rPr>
      </w:pPr>
      <w:r w:rsidRPr="00257610">
        <w:rPr>
          <w:rFonts w:eastAsia="Arial Unicode MS" w:cs="Arial"/>
          <w:w w:val="0"/>
          <w:szCs w:val="24"/>
          <w:lang w:val="pt-BR" w:eastAsia="pt-BR"/>
        </w:rPr>
        <w:t>Estando assim, as Partes, certas e ajustadas, firmam o presente instrumento, em 7 (sete) vias de igual teor e forma, juntamente com 2 (duas) testemunhas, que também o assinam.</w:t>
      </w:r>
    </w:p>
    <w:p w14:paraId="7B5D7149" w14:textId="77777777" w:rsidR="00257610" w:rsidRPr="00257610" w:rsidRDefault="00257610" w:rsidP="00257610">
      <w:pPr>
        <w:autoSpaceDE w:val="0"/>
        <w:autoSpaceDN w:val="0"/>
        <w:adjustRightInd w:val="0"/>
        <w:rPr>
          <w:rFonts w:eastAsia="Times New Roman" w:cs="Arial"/>
          <w:szCs w:val="24"/>
          <w:lang w:val="pt-BR" w:eastAsia="pt-BR"/>
        </w:rPr>
      </w:pPr>
    </w:p>
    <w:p w14:paraId="4AD00657" w14:textId="77777777" w:rsidR="00257610" w:rsidRPr="00257610" w:rsidRDefault="00257610" w:rsidP="00257610">
      <w:pPr>
        <w:autoSpaceDE w:val="0"/>
        <w:autoSpaceDN w:val="0"/>
        <w:adjustRightInd w:val="0"/>
        <w:jc w:val="center"/>
        <w:rPr>
          <w:rFonts w:eastAsia="Arial Unicode MS" w:cs="Arial"/>
          <w:szCs w:val="24"/>
          <w:lang w:val="pt-BR" w:eastAsia="pt-BR"/>
        </w:rPr>
      </w:pPr>
      <w:bookmarkStart w:id="9" w:name="_DV_M416"/>
      <w:bookmarkEnd w:id="9"/>
      <w:r w:rsidRPr="00257610">
        <w:rPr>
          <w:rFonts w:eastAsia="Arial Unicode MS" w:cs="Arial"/>
          <w:szCs w:val="24"/>
          <w:lang w:val="pt-BR" w:eastAsia="pt-BR"/>
        </w:rPr>
        <w:t xml:space="preserve">São Paulo, </w:t>
      </w:r>
      <w:r w:rsidRPr="00257610">
        <w:rPr>
          <w:rFonts w:eastAsia="Times New Roman" w:cs="Arial"/>
          <w:szCs w:val="24"/>
          <w:lang w:val="pt-BR" w:eastAsia="pt-BR"/>
        </w:rPr>
        <w:t>[</w:t>
      </w:r>
      <w:r w:rsidRPr="00257610">
        <w:rPr>
          <w:rFonts w:eastAsia="Times New Roman" w:cs="Arial"/>
          <w:szCs w:val="24"/>
          <w:highlight w:val="yellow"/>
          <w:lang w:val="pt-BR" w:eastAsia="pt-BR"/>
        </w:rPr>
        <w:t>●</w:t>
      </w:r>
      <w:r w:rsidRPr="00257610">
        <w:rPr>
          <w:rFonts w:eastAsia="Times New Roman" w:cs="Arial"/>
          <w:szCs w:val="24"/>
          <w:lang w:val="pt-BR" w:eastAsia="pt-BR"/>
        </w:rPr>
        <w:t>]</w:t>
      </w:r>
      <w:r w:rsidRPr="00257610">
        <w:rPr>
          <w:rFonts w:eastAsia="Arial Unicode MS" w:cs="Arial"/>
          <w:szCs w:val="24"/>
          <w:lang w:val="pt-BR" w:eastAsia="pt-BR"/>
        </w:rPr>
        <w:t xml:space="preserve"> de </w:t>
      </w:r>
      <w:r w:rsidRPr="00257610">
        <w:rPr>
          <w:rFonts w:eastAsia="Times New Roman" w:cs="Arial"/>
          <w:szCs w:val="24"/>
          <w:lang w:val="pt-BR" w:eastAsia="pt-BR"/>
        </w:rPr>
        <w:t>[</w:t>
      </w:r>
      <w:r w:rsidRPr="00257610">
        <w:rPr>
          <w:rFonts w:eastAsia="Times New Roman" w:cs="Arial"/>
          <w:szCs w:val="24"/>
          <w:highlight w:val="yellow"/>
          <w:lang w:val="pt-BR" w:eastAsia="pt-BR"/>
        </w:rPr>
        <w:t>●</w:t>
      </w:r>
      <w:r w:rsidRPr="00257610">
        <w:rPr>
          <w:rFonts w:eastAsia="Times New Roman" w:cs="Arial"/>
          <w:szCs w:val="24"/>
          <w:lang w:val="pt-BR" w:eastAsia="pt-BR"/>
        </w:rPr>
        <w:t>]</w:t>
      </w:r>
      <w:r w:rsidRPr="00257610">
        <w:rPr>
          <w:rFonts w:eastAsia="Arial Unicode MS" w:cs="Arial"/>
          <w:szCs w:val="24"/>
          <w:lang w:val="pt-BR" w:eastAsia="pt-BR"/>
        </w:rPr>
        <w:t xml:space="preserve"> de 2020.</w:t>
      </w:r>
    </w:p>
    <w:p w14:paraId="29900528" w14:textId="77777777" w:rsidR="00257610" w:rsidRPr="00257610" w:rsidRDefault="00257610" w:rsidP="00257610">
      <w:pPr>
        <w:autoSpaceDE w:val="0"/>
        <w:autoSpaceDN w:val="0"/>
        <w:adjustRightInd w:val="0"/>
        <w:jc w:val="center"/>
        <w:rPr>
          <w:rFonts w:eastAsia="Arial Unicode MS" w:cs="Arial"/>
          <w:i/>
          <w:w w:val="0"/>
          <w:lang w:val="pt-BR" w:eastAsia="pt-BR"/>
        </w:rPr>
        <w:sectPr w:rsidR="00257610" w:rsidRPr="00257610" w:rsidSect="00227180">
          <w:headerReference w:type="default" r:id="rId7"/>
          <w:footerReference w:type="even" r:id="rId8"/>
          <w:footerReference w:type="default" r:id="rId9"/>
          <w:headerReference w:type="first" r:id="rId10"/>
          <w:pgSz w:w="12242" w:h="15842" w:code="1"/>
          <w:pgMar w:top="1531" w:right="1185" w:bottom="1531" w:left="1701" w:header="720" w:footer="720" w:gutter="0"/>
          <w:cols w:space="708"/>
          <w:docGrid w:linePitch="360"/>
        </w:sectPr>
      </w:pPr>
      <w:bookmarkStart w:id="10" w:name="_DV_C693"/>
      <w:r w:rsidRPr="00257610">
        <w:rPr>
          <w:rFonts w:eastAsia="Arial Unicode MS" w:cs="Arial"/>
          <w:i/>
          <w:w w:val="0"/>
          <w:lang w:val="pt-BR" w:eastAsia="pt-BR"/>
        </w:rPr>
        <w:t>(As assinaturas seguem nas páginas seguintes.)</w:t>
      </w:r>
      <w:bookmarkEnd w:id="10"/>
    </w:p>
    <w:p w14:paraId="1522A94C" w14:textId="77777777" w:rsidR="00257610" w:rsidRPr="00257610" w:rsidRDefault="00257610" w:rsidP="00257610">
      <w:pPr>
        <w:spacing w:after="0" w:line="288" w:lineRule="auto"/>
        <w:rPr>
          <w:rFonts w:eastAsia="Times New Roman" w:cs="Arial"/>
          <w:i/>
          <w:color w:val="000000"/>
          <w:w w:val="0"/>
          <w:lang w:val="pt-BR" w:eastAsia="pt-BR"/>
        </w:rPr>
      </w:pPr>
      <w:r w:rsidRPr="00257610">
        <w:rPr>
          <w:rFonts w:eastAsia="Times New Roman" w:cs="Arial"/>
          <w:i/>
          <w:color w:val="000000"/>
          <w:w w:val="0"/>
          <w:lang w:val="pt-BR" w:eastAsia="pt-BR"/>
        </w:rPr>
        <w:t>(Página de assinaturas 01/04 do “Segundo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p>
    <w:p w14:paraId="6DC5934F" w14:textId="77777777" w:rsidR="00257610" w:rsidRPr="00257610" w:rsidRDefault="00257610" w:rsidP="00257610">
      <w:pPr>
        <w:spacing w:after="0" w:line="288" w:lineRule="auto"/>
        <w:rPr>
          <w:rFonts w:eastAsia="Times New Roman" w:cs="Arial"/>
          <w:i/>
          <w:color w:val="000000"/>
          <w:w w:val="0"/>
          <w:lang w:val="pt-BR" w:eastAsia="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257610" w:rsidRPr="003A0AD5" w14:paraId="4E9D10D8" w14:textId="77777777" w:rsidTr="005F792A">
        <w:trPr>
          <w:cantSplit/>
        </w:trPr>
        <w:tc>
          <w:tcPr>
            <w:tcW w:w="8978" w:type="dxa"/>
            <w:gridSpan w:val="2"/>
          </w:tcPr>
          <w:p w14:paraId="0CB4C69D" w14:textId="77777777" w:rsidR="00257610" w:rsidRDefault="00257610" w:rsidP="005F792A">
            <w:pPr>
              <w:spacing w:after="0" w:line="288" w:lineRule="auto"/>
              <w:jc w:val="center"/>
              <w:rPr>
                <w:rFonts w:eastAsia="Times New Roman" w:cs="Arial"/>
                <w:b/>
                <w:color w:val="000000"/>
                <w:w w:val="0"/>
                <w:lang w:val="pt-BR" w:eastAsia="pt-BR"/>
              </w:rPr>
            </w:pPr>
            <w:r w:rsidRPr="00257610">
              <w:rPr>
                <w:rFonts w:eastAsia="Times New Roman" w:cs="Arial"/>
                <w:b/>
                <w:color w:val="000000"/>
                <w:w w:val="0"/>
                <w:lang w:val="pt-BR" w:eastAsia="pt-BR"/>
              </w:rPr>
              <w:t>EMPREENDIMENTOS PAGUE MENOS S.A.</w:t>
            </w:r>
          </w:p>
          <w:p w14:paraId="658FB97C" w14:textId="14858BCA" w:rsidR="00257610" w:rsidRPr="00257610" w:rsidRDefault="00257610" w:rsidP="005F792A">
            <w:pPr>
              <w:spacing w:after="0" w:line="288" w:lineRule="auto"/>
              <w:jc w:val="center"/>
              <w:rPr>
                <w:rFonts w:eastAsia="Times New Roman" w:cs="Arial"/>
                <w:b/>
                <w:color w:val="000000"/>
                <w:w w:val="0"/>
                <w:lang w:val="pt-BR" w:eastAsia="pt-BR"/>
              </w:rPr>
            </w:pPr>
          </w:p>
          <w:p w14:paraId="55CBB993" w14:textId="77777777" w:rsidR="00257610" w:rsidRPr="00257610" w:rsidRDefault="00257610" w:rsidP="005F792A">
            <w:pPr>
              <w:spacing w:after="0" w:line="288" w:lineRule="auto"/>
              <w:jc w:val="center"/>
              <w:rPr>
                <w:rFonts w:eastAsia="Times New Roman" w:cs="Arial"/>
                <w:b/>
                <w:color w:val="000000"/>
                <w:w w:val="0"/>
                <w:lang w:val="pt-BR" w:eastAsia="pt-BR"/>
              </w:rPr>
            </w:pPr>
          </w:p>
          <w:p w14:paraId="039B20BC" w14:textId="77777777" w:rsidR="00257610" w:rsidRPr="00257610" w:rsidRDefault="00257610" w:rsidP="005F792A">
            <w:pPr>
              <w:spacing w:after="0" w:line="288" w:lineRule="auto"/>
              <w:jc w:val="center"/>
              <w:rPr>
                <w:rFonts w:eastAsia="Times New Roman" w:cs="Arial"/>
                <w:b/>
                <w:color w:val="000000"/>
                <w:w w:val="0"/>
                <w:lang w:val="pt-BR" w:eastAsia="pt-BR"/>
              </w:rPr>
            </w:pPr>
          </w:p>
          <w:p w14:paraId="71438816" w14:textId="77777777" w:rsidR="00257610" w:rsidRPr="00257610" w:rsidRDefault="00257610" w:rsidP="005F792A">
            <w:pPr>
              <w:spacing w:after="0" w:line="288" w:lineRule="auto"/>
              <w:jc w:val="center"/>
              <w:rPr>
                <w:rFonts w:eastAsia="Times New Roman" w:cs="Arial"/>
                <w:b/>
                <w:color w:val="000000"/>
                <w:w w:val="0"/>
                <w:lang w:val="pt-BR" w:eastAsia="pt-BR"/>
              </w:rPr>
            </w:pPr>
          </w:p>
          <w:p w14:paraId="46C8B23F" w14:textId="77777777" w:rsidR="00257610" w:rsidRPr="00257610" w:rsidRDefault="00257610" w:rsidP="005F792A">
            <w:pPr>
              <w:spacing w:after="0" w:line="288" w:lineRule="auto"/>
              <w:jc w:val="center"/>
              <w:rPr>
                <w:rFonts w:eastAsia="Times New Roman" w:cs="Arial"/>
                <w:b/>
                <w:color w:val="000000"/>
                <w:w w:val="0"/>
                <w:lang w:val="pt-BR" w:eastAsia="pt-BR"/>
              </w:rPr>
            </w:pPr>
          </w:p>
          <w:p w14:paraId="1C6AF747" w14:textId="77777777" w:rsidR="00257610" w:rsidRPr="00257610" w:rsidRDefault="00257610" w:rsidP="005F792A">
            <w:pPr>
              <w:spacing w:after="0" w:line="288" w:lineRule="auto"/>
              <w:jc w:val="center"/>
              <w:rPr>
                <w:rFonts w:eastAsia="Times New Roman" w:cs="Arial"/>
                <w:b/>
                <w:color w:val="000000"/>
                <w:w w:val="0"/>
                <w:lang w:val="pt-BR" w:eastAsia="pt-BR"/>
              </w:rPr>
            </w:pPr>
          </w:p>
        </w:tc>
      </w:tr>
      <w:tr w:rsidR="00257610" w:rsidRPr="00257610" w14:paraId="6B0C6771" w14:textId="77777777" w:rsidTr="005F792A">
        <w:tc>
          <w:tcPr>
            <w:tcW w:w="4489" w:type="dxa"/>
          </w:tcPr>
          <w:p w14:paraId="7A9C1531" w14:textId="77777777" w:rsidR="00257610" w:rsidRPr="00257610" w:rsidRDefault="00257610" w:rsidP="005F792A">
            <w:pPr>
              <w:spacing w:after="0" w:line="288" w:lineRule="auto"/>
              <w:rPr>
                <w:rFonts w:eastAsia="Times New Roman" w:cs="Arial"/>
                <w:color w:val="000000"/>
                <w:lang w:val="pt-BR" w:eastAsia="pt-BR"/>
              </w:rPr>
            </w:pPr>
            <w:r w:rsidRPr="00257610">
              <w:rPr>
                <w:rFonts w:eastAsia="Times New Roman" w:cs="Arial"/>
                <w:color w:val="000000"/>
                <w:lang w:val="pt-BR" w:eastAsia="pt-BR"/>
              </w:rPr>
              <w:t>__________________________________</w:t>
            </w:r>
          </w:p>
          <w:p w14:paraId="50E5FA20" w14:textId="77777777" w:rsidR="00257610" w:rsidRPr="00257610" w:rsidRDefault="00257610" w:rsidP="005F792A">
            <w:pPr>
              <w:spacing w:after="0" w:line="288" w:lineRule="auto"/>
              <w:jc w:val="left"/>
              <w:rPr>
                <w:rFonts w:eastAsia="Times New Roman" w:cs="Arial"/>
                <w:color w:val="000000"/>
                <w:lang w:val="pt-BR" w:eastAsia="pt-BR"/>
              </w:rPr>
            </w:pPr>
            <w:r w:rsidRPr="00257610">
              <w:rPr>
                <w:rFonts w:eastAsia="Times New Roman" w:cs="Arial"/>
                <w:color w:val="000000"/>
                <w:lang w:val="pt-BR" w:eastAsia="pt-BR"/>
              </w:rPr>
              <w:t xml:space="preserve">Nome: Mario Henrique Alves de Queirós </w:t>
            </w:r>
          </w:p>
          <w:p w14:paraId="21B98B3F" w14:textId="77777777" w:rsidR="00257610" w:rsidRPr="00257610" w:rsidRDefault="00257610" w:rsidP="005F792A">
            <w:pPr>
              <w:spacing w:after="0" w:line="288" w:lineRule="auto"/>
              <w:rPr>
                <w:rFonts w:eastAsia="Times New Roman" w:cs="Arial"/>
                <w:color w:val="000000"/>
                <w:lang w:val="pt-BR" w:eastAsia="pt-BR"/>
              </w:rPr>
            </w:pPr>
            <w:r w:rsidRPr="00257610">
              <w:rPr>
                <w:rFonts w:eastAsia="Times New Roman" w:cs="Arial"/>
                <w:color w:val="000000"/>
                <w:lang w:val="pt-BR" w:eastAsia="pt-BR"/>
              </w:rPr>
              <w:t>Cargo: Diretor Presidente</w:t>
            </w:r>
          </w:p>
        </w:tc>
        <w:tc>
          <w:tcPr>
            <w:tcW w:w="4489" w:type="dxa"/>
          </w:tcPr>
          <w:p w14:paraId="661FBFC2" w14:textId="77777777" w:rsidR="00257610" w:rsidRPr="00257610" w:rsidRDefault="00257610" w:rsidP="005F792A">
            <w:pPr>
              <w:spacing w:after="0" w:line="288" w:lineRule="auto"/>
              <w:rPr>
                <w:rFonts w:eastAsia="Times New Roman" w:cs="Arial"/>
                <w:color w:val="000000"/>
                <w:lang w:val="pt-BR" w:eastAsia="pt-BR"/>
              </w:rPr>
            </w:pPr>
          </w:p>
        </w:tc>
      </w:tr>
    </w:tbl>
    <w:p w14:paraId="4FB14193" w14:textId="77777777" w:rsidR="00257610" w:rsidRPr="00257610" w:rsidRDefault="00257610" w:rsidP="00257610">
      <w:pPr>
        <w:spacing w:after="0" w:line="288" w:lineRule="auto"/>
        <w:jc w:val="center"/>
        <w:rPr>
          <w:rFonts w:eastAsia="Times New Roman" w:cs="Arial"/>
          <w:color w:val="000000"/>
          <w:w w:val="0"/>
          <w:lang w:val="pt-BR" w:eastAsia="pt-BR"/>
        </w:rPr>
      </w:pPr>
    </w:p>
    <w:p w14:paraId="606509EA" w14:textId="77777777" w:rsidR="00257610" w:rsidRPr="00257610" w:rsidRDefault="00257610" w:rsidP="00257610">
      <w:pPr>
        <w:spacing w:after="0" w:line="288" w:lineRule="auto"/>
        <w:rPr>
          <w:rFonts w:eastAsia="Times New Roman" w:cs="Arial"/>
          <w:i/>
          <w:color w:val="000000"/>
          <w:w w:val="0"/>
          <w:lang w:val="pt-BR" w:eastAsia="pt-BR"/>
        </w:rPr>
      </w:pPr>
      <w:r w:rsidRPr="00257610">
        <w:rPr>
          <w:rFonts w:ascii="Verdana" w:eastAsia="Times New Roman" w:hAnsi="Verdana"/>
          <w:color w:val="000000"/>
          <w:szCs w:val="24"/>
          <w:lang w:val="pt-BR" w:eastAsia="pt-BR"/>
        </w:rPr>
        <w:br w:type="page"/>
      </w:r>
      <w:r w:rsidRPr="00257610">
        <w:rPr>
          <w:rFonts w:eastAsia="Times New Roman" w:cs="Arial"/>
          <w:i/>
          <w:color w:val="000000"/>
          <w:w w:val="0"/>
          <w:lang w:val="pt-BR" w:eastAsia="pt-BR"/>
        </w:rPr>
        <w:t>(Página de assinaturas 02/04 do “Segundo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p>
    <w:p w14:paraId="1F3A51A4" w14:textId="77777777" w:rsidR="00257610" w:rsidRPr="00257610" w:rsidRDefault="00257610" w:rsidP="00257610">
      <w:pPr>
        <w:spacing w:after="0" w:line="288" w:lineRule="auto"/>
        <w:rPr>
          <w:rFonts w:eastAsia="Times New Roman" w:cs="Arial"/>
          <w:color w:val="000000"/>
          <w:w w:val="0"/>
          <w:lang w:val="pt-BR" w:eastAsia="pt-BR"/>
        </w:rPr>
      </w:pPr>
    </w:p>
    <w:p w14:paraId="1B5ACF2E" w14:textId="77777777" w:rsidR="00257610" w:rsidRPr="00257610" w:rsidRDefault="00257610" w:rsidP="00257610">
      <w:pPr>
        <w:spacing w:after="0" w:line="288" w:lineRule="auto"/>
        <w:jc w:val="center"/>
        <w:rPr>
          <w:rFonts w:eastAsia="Times New Roman" w:cs="Arial"/>
          <w:color w:val="000000"/>
          <w:w w:val="0"/>
          <w:lang w:val="pt-BR" w:eastAsia="pt-BR"/>
        </w:rPr>
      </w:pPr>
    </w:p>
    <w:p w14:paraId="05CADFF2" w14:textId="77777777" w:rsidR="00257610" w:rsidRPr="00257610" w:rsidRDefault="00257610" w:rsidP="00257610">
      <w:pPr>
        <w:spacing w:after="0" w:line="288" w:lineRule="auto"/>
        <w:jc w:val="center"/>
        <w:rPr>
          <w:rFonts w:eastAsia="Times New Roman" w:cs="Arial"/>
          <w:b/>
          <w:color w:val="000000"/>
          <w:w w:val="0"/>
          <w:lang w:val="pt-BR" w:eastAsia="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257610" w:rsidRPr="003A0AD5" w14:paraId="6B89143E" w14:textId="77777777" w:rsidTr="005F792A">
        <w:trPr>
          <w:cantSplit/>
        </w:trPr>
        <w:tc>
          <w:tcPr>
            <w:tcW w:w="8978" w:type="dxa"/>
            <w:gridSpan w:val="2"/>
          </w:tcPr>
          <w:p w14:paraId="52FDFE49" w14:textId="77777777" w:rsidR="00257610" w:rsidRPr="00257610" w:rsidRDefault="00257610" w:rsidP="00257610">
            <w:pPr>
              <w:spacing w:after="0" w:line="288" w:lineRule="auto"/>
              <w:jc w:val="center"/>
              <w:rPr>
                <w:rFonts w:eastAsia="Times New Roman" w:cs="Arial"/>
                <w:b/>
                <w:color w:val="000000"/>
                <w:w w:val="0"/>
                <w:lang w:val="pt-BR" w:eastAsia="pt-BR"/>
              </w:rPr>
            </w:pPr>
            <w:r w:rsidRPr="00257610">
              <w:rPr>
                <w:rFonts w:eastAsia="Times New Roman" w:cs="Arial"/>
                <w:b/>
                <w:color w:val="000000"/>
                <w:w w:val="0"/>
                <w:lang w:val="pt-BR" w:eastAsia="pt-BR"/>
              </w:rPr>
              <w:t>SIMPLIFIC PAVARIN DISTRIBUIDORA DE TÍTULOS DE VALORES MOBILIÁRIOS LTDA.</w:t>
            </w:r>
          </w:p>
          <w:p w14:paraId="75111946" w14:textId="77777777" w:rsidR="00257610" w:rsidRPr="00257610" w:rsidRDefault="00257610" w:rsidP="00257610">
            <w:pPr>
              <w:spacing w:after="0" w:line="288" w:lineRule="auto"/>
              <w:jc w:val="center"/>
              <w:rPr>
                <w:rFonts w:eastAsia="Times New Roman" w:cs="Arial"/>
                <w:b/>
                <w:color w:val="000000"/>
                <w:w w:val="0"/>
                <w:lang w:val="pt-BR" w:eastAsia="pt-BR"/>
              </w:rPr>
            </w:pPr>
          </w:p>
          <w:p w14:paraId="2C037BB5" w14:textId="77777777" w:rsidR="00257610" w:rsidRPr="00257610" w:rsidRDefault="00257610" w:rsidP="00257610">
            <w:pPr>
              <w:spacing w:after="0" w:line="288" w:lineRule="auto"/>
              <w:jc w:val="center"/>
              <w:rPr>
                <w:rFonts w:eastAsia="Times New Roman" w:cs="Arial"/>
                <w:b/>
                <w:color w:val="000000"/>
                <w:w w:val="0"/>
                <w:lang w:val="pt-BR" w:eastAsia="pt-BR"/>
              </w:rPr>
            </w:pPr>
          </w:p>
          <w:p w14:paraId="1CAD8A2D" w14:textId="77777777" w:rsidR="00257610" w:rsidRPr="00257610" w:rsidRDefault="00257610" w:rsidP="00257610">
            <w:pPr>
              <w:spacing w:after="0" w:line="288" w:lineRule="auto"/>
              <w:jc w:val="center"/>
              <w:rPr>
                <w:rFonts w:eastAsia="Times New Roman" w:cs="Arial"/>
                <w:b/>
                <w:color w:val="000000"/>
                <w:w w:val="0"/>
                <w:lang w:val="pt-BR" w:eastAsia="pt-BR"/>
              </w:rPr>
            </w:pPr>
          </w:p>
          <w:p w14:paraId="489A9566" w14:textId="77777777" w:rsidR="00257610" w:rsidRPr="00257610" w:rsidRDefault="00257610" w:rsidP="00257610">
            <w:pPr>
              <w:spacing w:after="0" w:line="288" w:lineRule="auto"/>
              <w:jc w:val="center"/>
              <w:rPr>
                <w:rFonts w:eastAsia="Times New Roman" w:cs="Arial"/>
                <w:b/>
                <w:color w:val="000000"/>
                <w:w w:val="0"/>
                <w:lang w:val="pt-BR" w:eastAsia="pt-BR"/>
              </w:rPr>
            </w:pPr>
          </w:p>
          <w:p w14:paraId="6D62349B" w14:textId="77777777" w:rsidR="00257610" w:rsidRPr="00257610" w:rsidRDefault="00257610" w:rsidP="00257610">
            <w:pPr>
              <w:spacing w:after="0" w:line="288" w:lineRule="auto"/>
              <w:jc w:val="center"/>
              <w:rPr>
                <w:rFonts w:eastAsia="Times New Roman" w:cs="Arial"/>
                <w:b/>
                <w:color w:val="000000"/>
                <w:w w:val="0"/>
                <w:lang w:val="pt-BR" w:eastAsia="pt-BR"/>
              </w:rPr>
            </w:pPr>
          </w:p>
        </w:tc>
      </w:tr>
      <w:tr w:rsidR="00257610" w:rsidRPr="003A0AD5" w14:paraId="6F93991D" w14:textId="77777777" w:rsidTr="005F792A">
        <w:tc>
          <w:tcPr>
            <w:tcW w:w="4489" w:type="dxa"/>
          </w:tcPr>
          <w:p w14:paraId="04DA8B22"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__________________________________</w:t>
            </w:r>
          </w:p>
          <w:p w14:paraId="4F184D86" w14:textId="77777777" w:rsidR="00257610" w:rsidRPr="00257610" w:rsidRDefault="00257610" w:rsidP="00257610">
            <w:pPr>
              <w:spacing w:after="0" w:line="240" w:lineRule="auto"/>
              <w:jc w:val="left"/>
              <w:rPr>
                <w:rFonts w:eastAsia="Times New Roman" w:cs="Arial"/>
                <w:color w:val="000000"/>
                <w:lang w:val="pt-BR" w:eastAsia="pt-BR"/>
              </w:rPr>
            </w:pPr>
            <w:r w:rsidRPr="00257610">
              <w:rPr>
                <w:rFonts w:eastAsia="Times New Roman" w:cs="Arial"/>
                <w:color w:val="000000"/>
                <w:lang w:val="pt-BR" w:eastAsia="pt-BR"/>
              </w:rPr>
              <w:t xml:space="preserve">Nome: Matheus Gomes Faria </w:t>
            </w:r>
          </w:p>
          <w:p w14:paraId="7262F407" w14:textId="77777777" w:rsidR="00257610" w:rsidRPr="00257610" w:rsidRDefault="00257610" w:rsidP="00257610">
            <w:pPr>
              <w:spacing w:after="0" w:line="240" w:lineRule="auto"/>
              <w:jc w:val="left"/>
              <w:rPr>
                <w:rFonts w:eastAsia="Times New Roman" w:cs="Arial"/>
                <w:color w:val="000000"/>
                <w:lang w:val="pt-BR" w:eastAsia="pt-BR"/>
              </w:rPr>
            </w:pPr>
            <w:r w:rsidRPr="00257610">
              <w:rPr>
                <w:rFonts w:eastAsia="Times New Roman" w:cs="Arial"/>
                <w:color w:val="000000"/>
                <w:lang w:val="pt-BR" w:eastAsia="pt-BR"/>
              </w:rPr>
              <w:t>Cargo: Diretor</w:t>
            </w:r>
          </w:p>
        </w:tc>
        <w:tc>
          <w:tcPr>
            <w:tcW w:w="4489" w:type="dxa"/>
          </w:tcPr>
          <w:p w14:paraId="5938B564" w14:textId="77777777" w:rsidR="00257610" w:rsidRPr="00257610" w:rsidRDefault="00257610" w:rsidP="00257610">
            <w:pPr>
              <w:spacing w:after="0" w:line="288" w:lineRule="auto"/>
              <w:rPr>
                <w:rFonts w:eastAsia="Times New Roman" w:cs="Arial"/>
                <w:color w:val="000000"/>
                <w:lang w:val="pt-BR" w:eastAsia="pt-BR"/>
              </w:rPr>
            </w:pPr>
          </w:p>
        </w:tc>
      </w:tr>
    </w:tbl>
    <w:p w14:paraId="0C65DAEF" w14:textId="77777777" w:rsidR="00257610" w:rsidRPr="00257610" w:rsidRDefault="00257610" w:rsidP="00257610">
      <w:pPr>
        <w:spacing w:after="0" w:line="288" w:lineRule="auto"/>
        <w:rPr>
          <w:rFonts w:ascii="Verdana" w:eastAsia="Times New Roman" w:hAnsi="Verdana"/>
          <w:color w:val="000000"/>
          <w:szCs w:val="24"/>
          <w:lang w:val="pt-BR" w:eastAsia="pt-BR"/>
        </w:rPr>
      </w:pPr>
    </w:p>
    <w:p w14:paraId="3A8CBDCB" w14:textId="77777777" w:rsidR="00257610" w:rsidRPr="00257610" w:rsidRDefault="00257610" w:rsidP="00257610">
      <w:pPr>
        <w:spacing w:after="0" w:line="288" w:lineRule="auto"/>
        <w:rPr>
          <w:rFonts w:ascii="Verdana" w:eastAsia="Times New Roman" w:hAnsi="Verdana"/>
          <w:color w:val="000000"/>
          <w:szCs w:val="24"/>
          <w:lang w:val="pt-PT" w:eastAsia="pt-BR"/>
        </w:rPr>
      </w:pPr>
      <w:bookmarkStart w:id="11" w:name="_DV_M446"/>
      <w:bookmarkEnd w:id="11"/>
      <w:r w:rsidRPr="00257610">
        <w:rPr>
          <w:rFonts w:ascii="Verdana" w:eastAsia="Times New Roman" w:hAnsi="Verdana"/>
          <w:color w:val="000000"/>
          <w:szCs w:val="24"/>
          <w:lang w:val="pt-PT" w:eastAsia="pt-BR"/>
        </w:rPr>
        <w:br w:type="page"/>
      </w:r>
    </w:p>
    <w:p w14:paraId="4459ECB6" w14:textId="77777777" w:rsidR="00257610" w:rsidRPr="00257610" w:rsidRDefault="00257610" w:rsidP="00257610">
      <w:pPr>
        <w:spacing w:after="0" w:line="288" w:lineRule="auto"/>
        <w:rPr>
          <w:rFonts w:eastAsia="Times New Roman" w:cs="Arial"/>
          <w:i/>
          <w:color w:val="000000"/>
          <w:w w:val="0"/>
          <w:lang w:val="pt-BR" w:eastAsia="pt-BR"/>
        </w:rPr>
      </w:pPr>
      <w:r w:rsidRPr="00257610">
        <w:rPr>
          <w:rFonts w:eastAsia="Times New Roman" w:cs="Arial"/>
          <w:i/>
          <w:color w:val="000000"/>
          <w:w w:val="0"/>
          <w:lang w:val="pt-BR" w:eastAsia="pt-BR"/>
        </w:rPr>
        <w:t>(Página de assinaturas 03/04 do “Segundo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p>
    <w:p w14:paraId="48DAE566" w14:textId="77777777" w:rsidR="00257610" w:rsidRPr="00257610" w:rsidRDefault="00257610" w:rsidP="00257610">
      <w:pPr>
        <w:spacing w:after="0" w:line="288" w:lineRule="auto"/>
        <w:rPr>
          <w:rFonts w:eastAsia="Times New Roman" w:cs="Arial"/>
          <w:i/>
          <w:color w:val="000000"/>
          <w:w w:val="0"/>
          <w:lang w:val="pt-BR" w:eastAsia="pt-BR"/>
        </w:rPr>
      </w:pPr>
    </w:p>
    <w:p w14:paraId="109F4762" w14:textId="77777777" w:rsidR="00257610" w:rsidRPr="00257610" w:rsidRDefault="00257610" w:rsidP="00257610">
      <w:pPr>
        <w:spacing w:after="0" w:line="288" w:lineRule="auto"/>
        <w:jc w:val="center"/>
        <w:rPr>
          <w:rFonts w:eastAsia="Times New Roman" w:cs="Arial"/>
          <w:b/>
          <w:color w:val="000000"/>
          <w:w w:val="0"/>
          <w:lang w:val="pt-BR"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57610" w:rsidRPr="00257610" w14:paraId="197BAE53" w14:textId="77777777" w:rsidTr="005F792A">
        <w:trPr>
          <w:cantSplit/>
        </w:trPr>
        <w:tc>
          <w:tcPr>
            <w:tcW w:w="8978" w:type="dxa"/>
            <w:gridSpan w:val="2"/>
          </w:tcPr>
          <w:p w14:paraId="37415206" w14:textId="77777777" w:rsidR="00257610" w:rsidRPr="00257610" w:rsidRDefault="00257610" w:rsidP="005F792A">
            <w:pPr>
              <w:spacing w:after="0" w:line="288" w:lineRule="auto"/>
              <w:jc w:val="center"/>
              <w:rPr>
                <w:rFonts w:eastAsia="Times New Roman" w:cs="Arial"/>
                <w:color w:val="000000"/>
                <w:lang w:val="pt-BR" w:eastAsia="pt-BR"/>
              </w:rPr>
            </w:pPr>
            <w:r w:rsidRPr="00257610">
              <w:rPr>
                <w:rFonts w:eastAsia="Times New Roman" w:cs="Arial"/>
                <w:b/>
                <w:color w:val="000000"/>
                <w:w w:val="0"/>
                <w:lang w:val="pt-BR" w:eastAsia="pt-BR"/>
              </w:rPr>
              <w:t>DUPAR PARTICIPAÇÕES S.A.</w:t>
            </w:r>
          </w:p>
          <w:p w14:paraId="5FF47171" w14:textId="77777777" w:rsidR="00257610" w:rsidRPr="00257610" w:rsidRDefault="00257610" w:rsidP="005F792A">
            <w:pPr>
              <w:spacing w:after="0" w:line="288" w:lineRule="auto"/>
              <w:jc w:val="center"/>
              <w:rPr>
                <w:rFonts w:eastAsia="Times New Roman" w:cs="Arial"/>
                <w:color w:val="000000"/>
                <w:lang w:val="pt-BR" w:eastAsia="pt-BR"/>
              </w:rPr>
            </w:pPr>
          </w:p>
          <w:p w14:paraId="3FB0DDE8" w14:textId="77777777" w:rsidR="00257610" w:rsidRPr="00257610" w:rsidRDefault="00257610" w:rsidP="005F792A">
            <w:pPr>
              <w:spacing w:after="0" w:line="288" w:lineRule="auto"/>
              <w:jc w:val="center"/>
              <w:rPr>
                <w:rFonts w:eastAsia="Times New Roman" w:cs="Arial"/>
                <w:color w:val="000000"/>
                <w:lang w:val="pt-BR" w:eastAsia="pt-BR"/>
              </w:rPr>
            </w:pPr>
          </w:p>
          <w:p w14:paraId="7F3DEFA9" w14:textId="77777777" w:rsidR="00257610" w:rsidRPr="00257610" w:rsidRDefault="00257610" w:rsidP="005F792A">
            <w:pPr>
              <w:spacing w:after="0" w:line="288" w:lineRule="auto"/>
              <w:jc w:val="center"/>
              <w:rPr>
                <w:rFonts w:eastAsia="Times New Roman" w:cs="Arial"/>
                <w:color w:val="000000"/>
                <w:lang w:val="pt-BR" w:eastAsia="pt-BR"/>
              </w:rPr>
            </w:pPr>
          </w:p>
          <w:p w14:paraId="06201332" w14:textId="77777777" w:rsidR="00257610" w:rsidRPr="00257610" w:rsidRDefault="00257610" w:rsidP="005F792A">
            <w:pPr>
              <w:spacing w:after="0" w:line="288" w:lineRule="auto"/>
              <w:jc w:val="center"/>
              <w:rPr>
                <w:rFonts w:eastAsia="Times New Roman" w:cs="Arial"/>
                <w:color w:val="000000"/>
                <w:lang w:val="pt-BR" w:eastAsia="pt-BR"/>
              </w:rPr>
            </w:pPr>
          </w:p>
          <w:p w14:paraId="178D0EC1" w14:textId="77777777" w:rsidR="00257610" w:rsidRPr="00257610" w:rsidRDefault="00257610" w:rsidP="005F792A">
            <w:pPr>
              <w:spacing w:after="0" w:line="288" w:lineRule="auto"/>
              <w:jc w:val="center"/>
              <w:rPr>
                <w:rFonts w:eastAsia="Times New Roman" w:cs="Arial"/>
                <w:color w:val="000000"/>
                <w:lang w:val="pt-BR" w:eastAsia="pt-BR"/>
              </w:rPr>
            </w:pPr>
          </w:p>
        </w:tc>
      </w:tr>
      <w:tr w:rsidR="00257610" w:rsidRPr="00257610" w14:paraId="043BFA09" w14:textId="77777777" w:rsidTr="005F792A">
        <w:tc>
          <w:tcPr>
            <w:tcW w:w="4489" w:type="dxa"/>
          </w:tcPr>
          <w:p w14:paraId="38DB6013" w14:textId="77777777" w:rsidR="00257610" w:rsidRPr="00257610" w:rsidRDefault="00257610" w:rsidP="005F792A">
            <w:pPr>
              <w:spacing w:after="0" w:line="288" w:lineRule="auto"/>
              <w:rPr>
                <w:rFonts w:eastAsia="Times New Roman" w:cs="Arial"/>
                <w:color w:val="000000"/>
                <w:lang w:val="pt-BR" w:eastAsia="pt-BR"/>
              </w:rPr>
            </w:pPr>
            <w:r w:rsidRPr="00257610">
              <w:rPr>
                <w:rFonts w:eastAsia="Times New Roman" w:cs="Arial"/>
                <w:color w:val="000000"/>
                <w:lang w:val="pt-BR" w:eastAsia="pt-BR"/>
              </w:rPr>
              <w:t>__________________________________</w:t>
            </w:r>
          </w:p>
          <w:p w14:paraId="53017C0A" w14:textId="77777777" w:rsidR="00257610" w:rsidRPr="00257610" w:rsidRDefault="00257610" w:rsidP="005F792A">
            <w:pPr>
              <w:spacing w:after="0" w:line="288" w:lineRule="auto"/>
              <w:rPr>
                <w:rFonts w:eastAsia="Times New Roman" w:cs="Arial"/>
                <w:color w:val="000000"/>
                <w:lang w:val="pt-BR" w:eastAsia="pt-BR"/>
              </w:rPr>
            </w:pPr>
            <w:r w:rsidRPr="00257610">
              <w:rPr>
                <w:rFonts w:eastAsia="Times New Roman" w:cs="Arial"/>
                <w:color w:val="000000"/>
                <w:lang w:val="pt-BR" w:eastAsia="pt-BR"/>
              </w:rPr>
              <w:t>Nome:</w:t>
            </w:r>
          </w:p>
          <w:p w14:paraId="7B005BE1" w14:textId="77777777" w:rsidR="00257610" w:rsidRPr="00257610" w:rsidRDefault="00257610" w:rsidP="005F792A">
            <w:pPr>
              <w:spacing w:after="0" w:line="288" w:lineRule="auto"/>
              <w:rPr>
                <w:rFonts w:eastAsia="Times New Roman" w:cs="Arial"/>
                <w:color w:val="000000"/>
                <w:lang w:val="pt-BR" w:eastAsia="pt-BR"/>
              </w:rPr>
            </w:pPr>
            <w:r w:rsidRPr="00257610">
              <w:rPr>
                <w:rFonts w:eastAsia="Times New Roman" w:cs="Arial"/>
                <w:color w:val="000000"/>
                <w:lang w:val="pt-BR" w:eastAsia="pt-BR"/>
              </w:rPr>
              <w:t>Cargo:</w:t>
            </w:r>
          </w:p>
        </w:tc>
        <w:tc>
          <w:tcPr>
            <w:tcW w:w="4489" w:type="dxa"/>
          </w:tcPr>
          <w:p w14:paraId="57D1B52E" w14:textId="77777777" w:rsidR="00257610" w:rsidRPr="00257610" w:rsidRDefault="00257610" w:rsidP="005F792A">
            <w:pPr>
              <w:spacing w:after="240" w:line="288" w:lineRule="auto"/>
              <w:rPr>
                <w:rFonts w:eastAsia="Times New Roman" w:cs="Arial"/>
                <w:color w:val="000000"/>
                <w:lang w:val="pt-BR" w:eastAsia="pt-BR"/>
              </w:rPr>
            </w:pPr>
            <w:r w:rsidRPr="00257610">
              <w:rPr>
                <w:rFonts w:eastAsia="Times New Roman" w:cs="Arial"/>
                <w:color w:val="000000"/>
                <w:lang w:val="pt-BR" w:eastAsia="pt-BR"/>
              </w:rPr>
              <w:t>__________________________________</w:t>
            </w:r>
          </w:p>
          <w:p w14:paraId="23209C06" w14:textId="77777777" w:rsidR="00257610" w:rsidRPr="00257610" w:rsidRDefault="00257610" w:rsidP="005F792A">
            <w:pPr>
              <w:spacing w:after="0" w:line="288" w:lineRule="auto"/>
              <w:rPr>
                <w:rFonts w:eastAsia="Times New Roman" w:cs="Arial"/>
                <w:color w:val="000000"/>
                <w:lang w:val="pt-BR" w:eastAsia="pt-BR"/>
              </w:rPr>
            </w:pPr>
            <w:r w:rsidRPr="00257610">
              <w:rPr>
                <w:rFonts w:eastAsia="Times New Roman" w:cs="Arial"/>
                <w:color w:val="000000"/>
                <w:lang w:val="pt-BR" w:eastAsia="pt-BR"/>
              </w:rPr>
              <w:t>Nome:</w:t>
            </w:r>
          </w:p>
          <w:p w14:paraId="350E64C0" w14:textId="77777777" w:rsidR="00257610" w:rsidRPr="00257610" w:rsidRDefault="00257610" w:rsidP="005F792A">
            <w:pPr>
              <w:spacing w:after="0" w:line="288" w:lineRule="auto"/>
              <w:rPr>
                <w:rFonts w:eastAsia="Times New Roman" w:cs="Arial"/>
                <w:color w:val="000000"/>
                <w:lang w:val="pt-BR" w:eastAsia="pt-BR"/>
              </w:rPr>
            </w:pPr>
            <w:r w:rsidRPr="00257610">
              <w:rPr>
                <w:rFonts w:eastAsia="Times New Roman" w:cs="Arial"/>
                <w:color w:val="000000"/>
                <w:lang w:val="pt-BR" w:eastAsia="pt-BR"/>
              </w:rPr>
              <w:t>Cargo:</w:t>
            </w:r>
          </w:p>
        </w:tc>
      </w:tr>
    </w:tbl>
    <w:p w14:paraId="42AE82C6" w14:textId="50969099" w:rsidR="00257610" w:rsidRDefault="00257610" w:rsidP="00257610">
      <w:pPr>
        <w:spacing w:after="0" w:line="288" w:lineRule="auto"/>
        <w:rPr>
          <w:rFonts w:ascii="Verdana" w:eastAsia="Times New Roman" w:hAnsi="Verdana"/>
          <w:color w:val="000000"/>
          <w:szCs w:val="24"/>
          <w:lang w:val="pt-BR" w:eastAsia="pt-BR"/>
        </w:rPr>
      </w:pPr>
    </w:p>
    <w:p w14:paraId="3B3617CC" w14:textId="253BBB43" w:rsidR="00257610" w:rsidRDefault="00257610" w:rsidP="00257610">
      <w:pPr>
        <w:spacing w:after="0" w:line="288" w:lineRule="auto"/>
        <w:rPr>
          <w:rFonts w:ascii="Verdana" w:eastAsia="Times New Roman" w:hAnsi="Verdana"/>
          <w:color w:val="000000"/>
          <w:szCs w:val="24"/>
          <w:lang w:val="pt-BR" w:eastAsia="pt-BR"/>
        </w:rPr>
      </w:pPr>
    </w:p>
    <w:p w14:paraId="7F8BBE1F" w14:textId="77777777" w:rsidR="00257610" w:rsidRPr="00257610" w:rsidRDefault="00257610" w:rsidP="00257610">
      <w:pPr>
        <w:spacing w:after="0" w:line="288" w:lineRule="auto"/>
        <w:rPr>
          <w:rFonts w:ascii="Verdana" w:eastAsia="Times New Roman" w:hAnsi="Verdana"/>
          <w:color w:val="000000"/>
          <w:szCs w:val="24"/>
          <w:lang w:val="pt-BR" w:eastAsia="pt-BR"/>
        </w:rPr>
      </w:pPr>
    </w:p>
    <w:p w14:paraId="3BDBB0B5" w14:textId="77777777" w:rsidR="00257610" w:rsidRPr="00257610" w:rsidRDefault="00257610" w:rsidP="00257610">
      <w:pPr>
        <w:spacing w:after="0" w:line="288" w:lineRule="auto"/>
        <w:rPr>
          <w:rFonts w:ascii="Verdana" w:eastAsia="Times New Roman" w:hAnsi="Verdana"/>
          <w:color w:val="000000"/>
          <w:szCs w:val="24"/>
          <w:lang w:val="pt-BR" w:eastAsia="pt-BR"/>
        </w:rPr>
      </w:pPr>
    </w:p>
    <w:p w14:paraId="0A26F371" w14:textId="77777777" w:rsidR="00257610" w:rsidRPr="00257610" w:rsidRDefault="00257610" w:rsidP="00257610">
      <w:pPr>
        <w:spacing w:after="0" w:line="288" w:lineRule="auto"/>
        <w:jc w:val="center"/>
        <w:rPr>
          <w:rFonts w:eastAsia="Times New Roman" w:cs="Arial"/>
          <w:b/>
          <w:smallCaps/>
          <w:color w:val="000000"/>
          <w:lang w:val="pt-BR" w:eastAsia="pt-BR"/>
        </w:rPr>
      </w:pPr>
    </w:p>
    <w:p w14:paraId="1355EE06" w14:textId="77777777" w:rsidR="00257610" w:rsidRPr="00257610" w:rsidRDefault="00257610" w:rsidP="00257610">
      <w:pPr>
        <w:spacing w:after="0" w:line="288" w:lineRule="auto"/>
        <w:jc w:val="left"/>
        <w:rPr>
          <w:rFonts w:eastAsia="Times New Roman" w:cs="Arial"/>
          <w:b/>
          <w:color w:val="000000"/>
          <w:lang w:val="pt-BR" w:eastAsia="pt-BR"/>
        </w:rPr>
      </w:pPr>
      <w:r w:rsidRPr="00257610">
        <w:rPr>
          <w:rFonts w:eastAsia="Times New Roman" w:cs="Arial"/>
          <w:b/>
          <w:color w:val="000000"/>
          <w:lang w:val="pt-BR" w:eastAsia="pt-BR"/>
        </w:rPr>
        <w:t>Testemunhas:</w:t>
      </w:r>
    </w:p>
    <w:p w14:paraId="629929F4" w14:textId="77777777" w:rsidR="00257610" w:rsidRPr="00257610" w:rsidRDefault="00257610" w:rsidP="00257610">
      <w:pPr>
        <w:spacing w:after="0" w:line="288" w:lineRule="auto"/>
        <w:jc w:val="center"/>
        <w:rPr>
          <w:rFonts w:eastAsia="Times New Roman" w:cs="Arial"/>
          <w:b/>
          <w:smallCaps/>
          <w:color w:val="000000"/>
          <w:lang w:val="pt-BR" w:eastAsia="pt-BR"/>
        </w:rPr>
      </w:pPr>
    </w:p>
    <w:p w14:paraId="28EB6450" w14:textId="77777777" w:rsidR="00257610" w:rsidRPr="00257610" w:rsidRDefault="00257610" w:rsidP="00257610">
      <w:pPr>
        <w:spacing w:after="0" w:line="288" w:lineRule="auto"/>
        <w:jc w:val="center"/>
        <w:rPr>
          <w:rFonts w:eastAsia="Times New Roman" w:cs="Arial"/>
          <w:b/>
          <w:smallCaps/>
          <w:color w:val="000000"/>
          <w:lang w:val="pt-BR" w:eastAsia="pt-BR"/>
        </w:rPr>
      </w:pPr>
    </w:p>
    <w:p w14:paraId="69740F67" w14:textId="77777777" w:rsidR="00257610" w:rsidRPr="00257610" w:rsidRDefault="00257610" w:rsidP="00257610">
      <w:pPr>
        <w:spacing w:after="0" w:line="288" w:lineRule="auto"/>
        <w:jc w:val="center"/>
        <w:rPr>
          <w:rFonts w:eastAsia="Times New Roman" w:cs="Arial"/>
          <w:b/>
          <w:smallCaps/>
          <w:color w:val="000000"/>
          <w:lang w:val="pt-BR" w:eastAsia="pt-BR"/>
        </w:rPr>
      </w:pPr>
    </w:p>
    <w:p w14:paraId="247FC10E" w14:textId="77777777" w:rsidR="00257610" w:rsidRPr="00257610" w:rsidRDefault="00257610" w:rsidP="00257610">
      <w:pPr>
        <w:spacing w:after="0" w:line="288" w:lineRule="auto"/>
        <w:jc w:val="center"/>
        <w:rPr>
          <w:rFonts w:eastAsia="Times New Roman" w:cs="Arial"/>
          <w:b/>
          <w:smallCaps/>
          <w:color w:val="000000"/>
          <w:lang w:val="pt-BR" w:eastAsia="pt-BR"/>
        </w:rPr>
      </w:pPr>
    </w:p>
    <w:p w14:paraId="541DF95F" w14:textId="77777777" w:rsidR="00257610" w:rsidRPr="00257610" w:rsidRDefault="00257610" w:rsidP="00257610">
      <w:pPr>
        <w:spacing w:after="0" w:line="288" w:lineRule="auto"/>
        <w:rPr>
          <w:rFonts w:eastAsia="Times New Roman" w:cs="Arial"/>
          <w:color w:val="000000"/>
          <w:lang w:val="pt-BR"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57610" w:rsidRPr="00257610" w14:paraId="1D58B808" w14:textId="77777777" w:rsidTr="005F792A">
        <w:tc>
          <w:tcPr>
            <w:tcW w:w="4489" w:type="dxa"/>
          </w:tcPr>
          <w:p w14:paraId="1CF48FB3"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__________________________________</w:t>
            </w:r>
          </w:p>
          <w:p w14:paraId="6D3985DD"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Nome:</w:t>
            </w:r>
          </w:p>
          <w:p w14:paraId="52D16632"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RG:</w:t>
            </w:r>
          </w:p>
          <w:p w14:paraId="464A7031"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CPF:</w:t>
            </w:r>
          </w:p>
          <w:p w14:paraId="30BEF473" w14:textId="77777777" w:rsidR="00257610" w:rsidRPr="00257610" w:rsidRDefault="00257610" w:rsidP="00257610">
            <w:pPr>
              <w:spacing w:after="0" w:line="288" w:lineRule="auto"/>
              <w:rPr>
                <w:rFonts w:eastAsia="Times New Roman" w:cs="Arial"/>
                <w:color w:val="000000"/>
                <w:lang w:val="pt-BR" w:eastAsia="pt-BR"/>
              </w:rPr>
            </w:pPr>
          </w:p>
        </w:tc>
        <w:tc>
          <w:tcPr>
            <w:tcW w:w="4489" w:type="dxa"/>
          </w:tcPr>
          <w:p w14:paraId="28B4A1CA"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__________________________________</w:t>
            </w:r>
          </w:p>
          <w:p w14:paraId="34AF9D32"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Nome:</w:t>
            </w:r>
          </w:p>
          <w:p w14:paraId="502E66B2"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RG:</w:t>
            </w:r>
          </w:p>
          <w:p w14:paraId="1F26AB35" w14:textId="77777777" w:rsidR="00257610" w:rsidRPr="00257610" w:rsidRDefault="00257610" w:rsidP="00257610">
            <w:pPr>
              <w:spacing w:after="0" w:line="288" w:lineRule="auto"/>
              <w:rPr>
                <w:rFonts w:eastAsia="Times New Roman" w:cs="Arial"/>
                <w:color w:val="000000"/>
                <w:lang w:val="pt-BR" w:eastAsia="pt-BR"/>
              </w:rPr>
            </w:pPr>
            <w:r w:rsidRPr="00257610">
              <w:rPr>
                <w:rFonts w:eastAsia="Times New Roman" w:cs="Arial"/>
                <w:color w:val="000000"/>
                <w:lang w:val="pt-BR" w:eastAsia="pt-BR"/>
              </w:rPr>
              <w:t>CPF:</w:t>
            </w:r>
          </w:p>
          <w:p w14:paraId="2982E35A" w14:textId="77777777" w:rsidR="00257610" w:rsidRPr="00257610" w:rsidRDefault="00257610" w:rsidP="00257610">
            <w:pPr>
              <w:spacing w:after="0" w:line="288" w:lineRule="auto"/>
              <w:rPr>
                <w:rFonts w:eastAsia="Times New Roman" w:cs="Arial"/>
                <w:color w:val="000000"/>
                <w:lang w:val="pt-BR" w:eastAsia="pt-BR"/>
              </w:rPr>
            </w:pPr>
          </w:p>
        </w:tc>
      </w:tr>
    </w:tbl>
    <w:p w14:paraId="6F98D78E" w14:textId="77777777" w:rsidR="00257610" w:rsidRPr="00257610" w:rsidRDefault="00257610" w:rsidP="00257610">
      <w:pPr>
        <w:numPr>
          <w:ilvl w:val="0"/>
          <w:numId w:val="26"/>
        </w:numPr>
        <w:tabs>
          <w:tab w:val="clear" w:pos="680"/>
        </w:tabs>
        <w:autoSpaceDE w:val="0"/>
        <w:autoSpaceDN w:val="0"/>
        <w:adjustRightInd w:val="0"/>
        <w:spacing w:after="0" w:line="288" w:lineRule="auto"/>
        <w:ind w:left="0" w:firstLine="0"/>
        <w:jc w:val="center"/>
        <w:rPr>
          <w:rFonts w:ascii="Verdana" w:eastAsia="Times New Roman" w:hAnsi="Verdana" w:cs="Arial"/>
          <w:color w:val="000000"/>
          <w:szCs w:val="24"/>
          <w:lang w:val="en-US" w:eastAsia="pt-BR"/>
        </w:rPr>
      </w:pPr>
    </w:p>
    <w:p w14:paraId="55925BD2" w14:textId="77777777" w:rsidR="00257610" w:rsidRPr="00257610" w:rsidRDefault="00257610" w:rsidP="00257610">
      <w:pPr>
        <w:spacing w:after="0" w:line="288" w:lineRule="auto"/>
        <w:jc w:val="left"/>
        <w:rPr>
          <w:rFonts w:ascii="Verdana" w:eastAsia="Times New Roman" w:hAnsi="Verdana"/>
          <w:color w:val="000000"/>
          <w:szCs w:val="24"/>
          <w:lang w:val="pt-BR" w:eastAsia="pt-BR"/>
        </w:rPr>
      </w:pPr>
    </w:p>
    <w:p w14:paraId="6AD95D3B" w14:textId="77777777" w:rsidR="00257610" w:rsidRPr="00257610" w:rsidRDefault="00257610" w:rsidP="00257610">
      <w:pPr>
        <w:spacing w:after="0" w:line="288" w:lineRule="auto"/>
        <w:jc w:val="left"/>
        <w:rPr>
          <w:rFonts w:ascii="Verdana" w:eastAsia="Times New Roman" w:hAnsi="Verdana"/>
          <w:color w:val="000000"/>
          <w:szCs w:val="24"/>
          <w:lang w:val="pt-BR" w:eastAsia="pt-BR"/>
        </w:rPr>
      </w:pPr>
    </w:p>
    <w:p w14:paraId="2FDA8763" w14:textId="77777777" w:rsidR="00257610" w:rsidRPr="00257610" w:rsidRDefault="00257610" w:rsidP="00257610">
      <w:pPr>
        <w:keepNext/>
        <w:spacing w:after="0" w:line="240" w:lineRule="auto"/>
        <w:rPr>
          <w:rFonts w:ascii="Times New Roman" w:eastAsia="Times New Roman" w:hAnsi="Times New Roman"/>
          <w:sz w:val="24"/>
          <w:szCs w:val="24"/>
          <w:lang w:val="pt-BR" w:eastAsia="pt-BR"/>
        </w:rPr>
      </w:pPr>
      <w:bookmarkStart w:id="12" w:name="_DV_M2"/>
      <w:bookmarkStart w:id="13" w:name="_DV_M3"/>
      <w:bookmarkStart w:id="14" w:name="_DV_M4"/>
      <w:bookmarkStart w:id="15" w:name="_DV_M5"/>
      <w:bookmarkStart w:id="16" w:name="_DV_M6"/>
      <w:bookmarkStart w:id="17" w:name="_DV_M7"/>
      <w:bookmarkStart w:id="18" w:name="_Toc514579916"/>
      <w:bookmarkStart w:id="19" w:name="_Toc395889975"/>
      <w:bookmarkStart w:id="20" w:name="_DV_M117"/>
      <w:bookmarkStart w:id="21" w:name="_DV_M118"/>
      <w:bookmarkStart w:id="22" w:name="_DV_M119"/>
      <w:bookmarkStart w:id="23" w:name="_DV_M139"/>
      <w:bookmarkStart w:id="24" w:name="_DV_M143"/>
      <w:bookmarkStart w:id="25" w:name="_DV_M144"/>
      <w:bookmarkStart w:id="26" w:name="_DV_M149"/>
      <w:bookmarkStart w:id="27" w:name="_DV_M150"/>
      <w:bookmarkStart w:id="28" w:name="_DV_M154"/>
      <w:bookmarkStart w:id="29" w:name="_DV_M155"/>
      <w:bookmarkStart w:id="30" w:name="_DV_M159"/>
      <w:bookmarkStart w:id="31" w:name="_DV_M161"/>
      <w:bookmarkStart w:id="32" w:name="_DV_M163"/>
      <w:bookmarkStart w:id="33" w:name="_DV_M164"/>
      <w:bookmarkStart w:id="34" w:name="_DV_M184"/>
      <w:bookmarkStart w:id="35" w:name="_DV_M115"/>
      <w:bookmarkStart w:id="36" w:name="_DV_M186"/>
      <w:bookmarkStart w:id="37" w:name="_DV_M268"/>
      <w:bookmarkStart w:id="38" w:name="_DV_M301"/>
      <w:bookmarkStart w:id="39" w:name="_DV_M188"/>
      <w:bookmarkStart w:id="40" w:name="_DV_M189"/>
      <w:bookmarkStart w:id="41" w:name="_DV_M190"/>
      <w:bookmarkStart w:id="42" w:name="_DV_M191"/>
      <w:bookmarkStart w:id="43" w:name="_DV_M194"/>
      <w:bookmarkStart w:id="44" w:name="_DV_M199"/>
      <w:bookmarkStart w:id="45" w:name="_DV_M210"/>
      <w:bookmarkStart w:id="46" w:name="_DV_M211"/>
      <w:bookmarkStart w:id="47" w:name="_DV_M76"/>
      <w:bookmarkStart w:id="48" w:name="_DV_M77"/>
      <w:bookmarkStart w:id="49" w:name="_DV_M78"/>
      <w:bookmarkStart w:id="50" w:name="_DV_M75"/>
      <w:bookmarkStart w:id="51" w:name="_DV_M79"/>
      <w:bookmarkStart w:id="52" w:name="_DV_M80"/>
      <w:bookmarkStart w:id="53" w:name="_DV_M212"/>
      <w:bookmarkStart w:id="54" w:name="_DV_M213"/>
      <w:bookmarkStart w:id="55" w:name="_DV_M214"/>
      <w:bookmarkStart w:id="56" w:name="_DV_M215"/>
      <w:bookmarkStart w:id="57" w:name="_DV_M216"/>
      <w:bookmarkStart w:id="58" w:name="_DV_M217"/>
      <w:bookmarkStart w:id="59" w:name="_DV_M218"/>
      <w:bookmarkStart w:id="60" w:name="_DV_M219"/>
      <w:bookmarkStart w:id="61" w:name="_DV_M223"/>
      <w:bookmarkStart w:id="62" w:name="_DV_M225"/>
      <w:bookmarkStart w:id="63" w:name="_DV_M230"/>
      <w:bookmarkStart w:id="64" w:name="_DV_M231"/>
      <w:bookmarkStart w:id="65" w:name="_DV_M232"/>
      <w:bookmarkStart w:id="66" w:name="_DV_M240"/>
      <w:bookmarkStart w:id="67" w:name="_DV_M241"/>
      <w:bookmarkStart w:id="68" w:name="_DV_M246"/>
      <w:bookmarkStart w:id="69" w:name="_DV_M247"/>
      <w:bookmarkStart w:id="70" w:name="_DV_M248"/>
      <w:bookmarkStart w:id="71" w:name="_DV_M249"/>
      <w:bookmarkStart w:id="72" w:name="_DV_M250"/>
      <w:bookmarkStart w:id="73" w:name="_DV_M254"/>
      <w:bookmarkStart w:id="74" w:name="_DV_M256"/>
      <w:bookmarkStart w:id="75" w:name="_DV_M257"/>
      <w:bookmarkStart w:id="76" w:name="_DV_M263"/>
      <w:bookmarkStart w:id="77" w:name="_DV_M265"/>
      <w:bookmarkStart w:id="78" w:name="_DV_M266"/>
      <w:bookmarkStart w:id="79" w:name="_DV_M267"/>
      <w:bookmarkStart w:id="80" w:name="_DV_M269"/>
      <w:bookmarkStart w:id="81" w:name="_DV_M270"/>
      <w:bookmarkStart w:id="82" w:name="_DV_M272"/>
      <w:bookmarkStart w:id="83" w:name="_DV_M273"/>
      <w:bookmarkStart w:id="84" w:name="_DV_M274"/>
      <w:bookmarkStart w:id="85" w:name="_DV_M275"/>
      <w:bookmarkStart w:id="86" w:name="_DV_M276"/>
      <w:bookmarkStart w:id="87" w:name="_DV_M277"/>
      <w:bookmarkStart w:id="88" w:name="_DV_M278"/>
      <w:bookmarkStart w:id="89" w:name="_DV_M279"/>
      <w:bookmarkStart w:id="90" w:name="_DV_M280"/>
      <w:bookmarkStart w:id="91" w:name="_DV_M281"/>
      <w:bookmarkStart w:id="92" w:name="_DV_M282"/>
      <w:bookmarkStart w:id="93" w:name="_DV_M283"/>
      <w:bookmarkStart w:id="94" w:name="_DV_M285"/>
      <w:bookmarkStart w:id="95" w:name="_DV_M286"/>
      <w:bookmarkStart w:id="96" w:name="_DV_M287"/>
      <w:bookmarkStart w:id="97" w:name="_DV_M288"/>
      <w:bookmarkStart w:id="98" w:name="_DV_M289"/>
      <w:bookmarkStart w:id="99" w:name="_DV_M291"/>
      <w:bookmarkStart w:id="100" w:name="_DV_M293"/>
      <w:bookmarkStart w:id="101" w:name="_DV_M295"/>
      <w:bookmarkStart w:id="102" w:name="_DV_M296"/>
      <w:bookmarkStart w:id="103" w:name="_DV_M298"/>
      <w:bookmarkStart w:id="104" w:name="_DV_M300"/>
      <w:bookmarkStart w:id="105" w:name="_DV_M302"/>
      <w:bookmarkStart w:id="106" w:name="_DV_M304"/>
      <w:bookmarkStart w:id="107" w:name="_DV_M306"/>
      <w:bookmarkStart w:id="108" w:name="_DV_M308"/>
      <w:bookmarkStart w:id="109" w:name="_DV_M310"/>
      <w:bookmarkStart w:id="110" w:name="_DV_M313"/>
      <w:bookmarkStart w:id="111" w:name="_DV_M315"/>
      <w:bookmarkStart w:id="112" w:name="_DV_M317"/>
      <w:bookmarkStart w:id="113" w:name="_DV_M318"/>
      <w:bookmarkStart w:id="114" w:name="_DV_M319"/>
      <w:bookmarkStart w:id="115" w:name="_DV_M320"/>
      <w:bookmarkStart w:id="116" w:name="_DV_M323"/>
      <w:bookmarkStart w:id="117" w:name="_DV_M324"/>
      <w:bookmarkStart w:id="118" w:name="_DV_M325"/>
      <w:bookmarkStart w:id="119" w:name="_DV_M326"/>
      <w:bookmarkStart w:id="120" w:name="_DV_M329"/>
      <w:bookmarkStart w:id="121" w:name="_DV_M330"/>
      <w:bookmarkStart w:id="122" w:name="_DV_M331"/>
      <w:bookmarkStart w:id="123" w:name="_DV_M338"/>
      <w:bookmarkStart w:id="124" w:name="_DV_M339"/>
      <w:bookmarkStart w:id="125" w:name="_DV_M343"/>
      <w:bookmarkStart w:id="126" w:name="_DV_M345"/>
      <w:bookmarkStart w:id="127" w:name="_DV_M346"/>
      <w:bookmarkStart w:id="128" w:name="_DV_M347"/>
      <w:bookmarkStart w:id="129" w:name="_DV_M348"/>
      <w:bookmarkStart w:id="130" w:name="_DV_M349"/>
      <w:bookmarkStart w:id="131" w:name="_DV_M353"/>
      <w:bookmarkStart w:id="132" w:name="_DV_M356"/>
      <w:bookmarkStart w:id="133" w:name="_DV_M369"/>
      <w:bookmarkStart w:id="134" w:name="_DV_M371"/>
      <w:bookmarkStart w:id="135" w:name="_DV_M373"/>
      <w:bookmarkStart w:id="136" w:name="_DV_M375"/>
      <w:bookmarkStart w:id="137" w:name="_DV_M382"/>
      <w:bookmarkStart w:id="138" w:name="_DV_M387"/>
      <w:bookmarkStart w:id="139" w:name="_DV_M389"/>
      <w:bookmarkStart w:id="140" w:name="_DV_M390"/>
      <w:bookmarkStart w:id="141" w:name="_DV_M391"/>
      <w:bookmarkStart w:id="142" w:name="_DV_M392"/>
      <w:bookmarkStart w:id="143" w:name="_DV_M393"/>
      <w:bookmarkStart w:id="144" w:name="_DV_M394"/>
      <w:bookmarkStart w:id="145" w:name="_DV_M398"/>
      <w:bookmarkStart w:id="146" w:name="_DV_M400"/>
      <w:bookmarkStart w:id="147" w:name="_DV_M401"/>
      <w:bookmarkStart w:id="148" w:name="_DV_M402"/>
      <w:bookmarkStart w:id="149" w:name="_DV_M403"/>
      <w:bookmarkStart w:id="150" w:name="_DV_M404"/>
      <w:bookmarkStart w:id="151" w:name="_DV_M405"/>
      <w:bookmarkStart w:id="152" w:name="_DV_M406"/>
      <w:bookmarkStart w:id="153" w:name="_DV_M407"/>
      <w:bookmarkStart w:id="154" w:name="_DV_M408"/>
      <w:bookmarkStart w:id="155" w:name="_DV_M410"/>
      <w:bookmarkStart w:id="156" w:name="_DV_M165"/>
      <w:bookmarkStart w:id="157" w:name="_DV_M166"/>
      <w:bookmarkStart w:id="158" w:name="_DV_M167"/>
      <w:bookmarkStart w:id="159" w:name="_DV_M168"/>
      <w:bookmarkStart w:id="160" w:name="_DV_M170"/>
      <w:bookmarkStart w:id="161" w:name="_DV_M171"/>
      <w:bookmarkStart w:id="162" w:name="_DV_M172"/>
      <w:bookmarkStart w:id="163" w:name="_DV_M173"/>
      <w:bookmarkStart w:id="164" w:name="_DV_M174"/>
      <w:bookmarkStart w:id="165" w:name="_DV_M182"/>
      <w:bookmarkStart w:id="166" w:name="_DV_M183"/>
      <w:bookmarkStart w:id="167" w:name="_DV_M412"/>
      <w:bookmarkStart w:id="168" w:name="_DV_M413"/>
      <w:bookmarkStart w:id="169" w:name="_DV_M4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92E2781" w14:textId="77777777" w:rsidR="00154E00" w:rsidRDefault="00154E00"/>
    <w:sectPr w:rsidR="00154E00" w:rsidSect="00535C03">
      <w:footerReference w:type="default" r:id="rId11"/>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C9E77" w14:textId="77777777" w:rsidR="00BB0604" w:rsidRDefault="00BB0604" w:rsidP="0084291A">
      <w:pPr>
        <w:spacing w:after="0" w:line="240" w:lineRule="auto"/>
      </w:pPr>
      <w:r>
        <w:separator/>
      </w:r>
    </w:p>
  </w:endnote>
  <w:endnote w:type="continuationSeparator" w:id="0">
    <w:p w14:paraId="06F337BA" w14:textId="77777777" w:rsidR="00BB0604" w:rsidRDefault="00BB0604" w:rsidP="0084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MS Mincho">
    <w:altName w:val="MS ??"/>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F662" w14:textId="77777777" w:rsidR="00257610" w:rsidRDefault="00257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35E592" w14:textId="77777777" w:rsidR="00257610" w:rsidRDefault="00257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5A54" w14:textId="77777777" w:rsidR="00257610" w:rsidRPr="00564181" w:rsidRDefault="00257610" w:rsidP="00564181">
    <w:pPr>
      <w:pStyle w:val="Footer"/>
      <w:jc w:val="center"/>
      <w:rPr>
        <w:rFonts w:cs="Arial"/>
        <w:lang w:val="en-US"/>
      </w:rPr>
    </w:pPr>
    <w:r w:rsidRPr="00924E9A">
      <w:rPr>
        <w:sz w:val="12"/>
        <w:szCs w:val="22"/>
        <w:lang w:val="en-US"/>
      </w:rPr>
      <w:tab/>
    </w:r>
    <w:r>
      <w:rPr>
        <w:sz w:val="12"/>
        <w:szCs w:val="22"/>
        <w:lang w:val="en-US"/>
      </w:rPr>
      <w:tab/>
    </w:r>
    <w:r w:rsidRPr="00535C03">
      <w:rPr>
        <w:rFonts w:cs="Arial"/>
      </w:rPr>
      <w:fldChar w:fldCharType="begin"/>
    </w:r>
    <w:r w:rsidRPr="00535C03">
      <w:rPr>
        <w:rFonts w:cs="Arial"/>
        <w:lang w:val="en-US"/>
      </w:rPr>
      <w:instrText xml:space="preserve"> PAGE   \* MERGEFORMAT </w:instrText>
    </w:r>
    <w:r w:rsidRPr="00535C03">
      <w:rPr>
        <w:rFonts w:cs="Arial"/>
      </w:rPr>
      <w:fldChar w:fldCharType="separate"/>
    </w:r>
    <w:r>
      <w:rPr>
        <w:rFonts w:cs="Arial"/>
        <w:noProof/>
        <w:lang w:val="en-US"/>
      </w:rPr>
      <w:t>7</w:t>
    </w:r>
    <w:r w:rsidRPr="00535C03">
      <w:rPr>
        <w:rFonts w:cs="Arial"/>
      </w:rPr>
      <w:fldChar w:fldCharType="end"/>
    </w:r>
  </w:p>
  <w:p w14:paraId="5EBA33BD" w14:textId="77777777" w:rsidR="00257610" w:rsidRDefault="00257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2599" w14:textId="77777777" w:rsidR="00535C03" w:rsidRPr="00535C03" w:rsidRDefault="00BB0604" w:rsidP="00535C03">
    <w:pPr>
      <w:pStyle w:val="Footer"/>
      <w:jc w:val="center"/>
      <w:rPr>
        <w:rFonts w:cs="Arial"/>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D92D" w14:textId="77777777" w:rsidR="00BB0604" w:rsidRDefault="00BB0604" w:rsidP="0084291A">
      <w:pPr>
        <w:spacing w:after="0" w:line="240" w:lineRule="auto"/>
      </w:pPr>
      <w:r>
        <w:separator/>
      </w:r>
    </w:p>
  </w:footnote>
  <w:footnote w:type="continuationSeparator" w:id="0">
    <w:p w14:paraId="2B999E4B" w14:textId="77777777" w:rsidR="00BB0604" w:rsidRDefault="00BB0604" w:rsidP="0084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AA9E" w14:textId="77777777" w:rsidR="00257610" w:rsidRDefault="00257610" w:rsidP="009D2D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BABF4" w14:textId="77777777" w:rsidR="00257610" w:rsidRPr="00564181" w:rsidRDefault="00257610"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9"/>
    <w:multiLevelType w:val="multilevel"/>
    <w:tmpl w:val="7408D340"/>
    <w:lvl w:ilvl="0">
      <w:start w:val="1"/>
      <w:numFmt w:val="decimal"/>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 w15:restartNumberingAfterBreak="0">
    <w:nsid w:val="0BFD2244"/>
    <w:multiLevelType w:val="multilevel"/>
    <w:tmpl w:val="D5189BB4"/>
    <w:name w:val="Partes_Bicolunado2"/>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C48645C"/>
    <w:multiLevelType w:val="hybridMultilevel"/>
    <w:tmpl w:val="1AE07B14"/>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CB4379"/>
    <w:multiLevelType w:val="multilevel"/>
    <w:tmpl w:val="43880DE6"/>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1D1232"/>
    <w:multiLevelType w:val="multilevel"/>
    <w:tmpl w:val="BE0A185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5"/>
  </w:num>
  <w:num w:numId="2">
    <w:abstractNumId w:val="12"/>
  </w:num>
  <w:num w:numId="3">
    <w:abstractNumId w:val="16"/>
  </w:num>
  <w:num w:numId="4">
    <w:abstractNumId w:val="14"/>
  </w:num>
  <w:num w:numId="5">
    <w:abstractNumId w:val="8"/>
  </w:num>
  <w:num w:numId="6">
    <w:abstractNumId w:val="4"/>
  </w:num>
  <w:num w:numId="7">
    <w:abstractNumId w:val="11"/>
  </w:num>
  <w:num w:numId="8">
    <w:abstractNumId w:val="17"/>
  </w:num>
  <w:num w:numId="9">
    <w:abstractNumId w:val="13"/>
  </w:num>
  <w:num w:numId="10">
    <w:abstractNumId w:val="6"/>
  </w:num>
  <w:num w:numId="11">
    <w:abstractNumId w:val="13"/>
  </w:num>
  <w:num w:numId="12">
    <w:abstractNumId w:val="9"/>
  </w:num>
  <w:num w:numId="13">
    <w:abstractNumId w:val="6"/>
  </w:num>
  <w:num w:numId="14">
    <w:abstractNumId w:val="3"/>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2"/>
  </w:num>
  <w:num w:numId="23">
    <w:abstractNumId w:val="10"/>
  </w:num>
  <w:num w:numId="24">
    <w:abstractNumId w:val="7"/>
  </w:num>
  <w:num w:numId="25">
    <w:abstractNumId w:val="0"/>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10"/>
    <w:rsid w:val="00016937"/>
    <w:rsid w:val="000F205B"/>
    <w:rsid w:val="0015392C"/>
    <w:rsid w:val="00154E00"/>
    <w:rsid w:val="001746FA"/>
    <w:rsid w:val="00177B18"/>
    <w:rsid w:val="001A2700"/>
    <w:rsid w:val="001A5EE3"/>
    <w:rsid w:val="001C0FC8"/>
    <w:rsid w:val="0020124A"/>
    <w:rsid w:val="00221068"/>
    <w:rsid w:val="00257610"/>
    <w:rsid w:val="002A1F4E"/>
    <w:rsid w:val="002A3F8C"/>
    <w:rsid w:val="002A691E"/>
    <w:rsid w:val="00351916"/>
    <w:rsid w:val="003A0AD5"/>
    <w:rsid w:val="003B18C8"/>
    <w:rsid w:val="003D5DF9"/>
    <w:rsid w:val="00496AE5"/>
    <w:rsid w:val="00500AC8"/>
    <w:rsid w:val="00520A60"/>
    <w:rsid w:val="005502B0"/>
    <w:rsid w:val="00654612"/>
    <w:rsid w:val="006554C4"/>
    <w:rsid w:val="006C5063"/>
    <w:rsid w:val="006D0C89"/>
    <w:rsid w:val="006D64FD"/>
    <w:rsid w:val="007337F9"/>
    <w:rsid w:val="00772A07"/>
    <w:rsid w:val="007C42AA"/>
    <w:rsid w:val="00806EC6"/>
    <w:rsid w:val="0084291A"/>
    <w:rsid w:val="008521A4"/>
    <w:rsid w:val="008973E8"/>
    <w:rsid w:val="008D488B"/>
    <w:rsid w:val="00900AB5"/>
    <w:rsid w:val="0092055D"/>
    <w:rsid w:val="00933158"/>
    <w:rsid w:val="009A635A"/>
    <w:rsid w:val="009C08B5"/>
    <w:rsid w:val="009D7592"/>
    <w:rsid w:val="00A245FC"/>
    <w:rsid w:val="00A53D5F"/>
    <w:rsid w:val="00A92E2E"/>
    <w:rsid w:val="00B04E9A"/>
    <w:rsid w:val="00B6548F"/>
    <w:rsid w:val="00B756B2"/>
    <w:rsid w:val="00B934DC"/>
    <w:rsid w:val="00BB0604"/>
    <w:rsid w:val="00CC44B1"/>
    <w:rsid w:val="00D50B5C"/>
    <w:rsid w:val="00D6159F"/>
    <w:rsid w:val="00D867A9"/>
    <w:rsid w:val="00DB72CF"/>
    <w:rsid w:val="00DC370A"/>
    <w:rsid w:val="00DC3A06"/>
    <w:rsid w:val="00E03BAC"/>
    <w:rsid w:val="00E057AA"/>
    <w:rsid w:val="00E77A7B"/>
    <w:rsid w:val="00F23422"/>
    <w:rsid w:val="00F57547"/>
    <w:rsid w:val="00FE54F2"/>
    <w:rsid w:val="00FF08A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9D65"/>
  <w15:docId w15:val="{FBE28596-030B-49A4-B66C-DA397DE6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2">
    <w:name w:val="heading 2"/>
    <w:basedOn w:val="Normal"/>
    <w:next w:val="Normal"/>
    <w:link w:val="Heading2Char"/>
    <w:qFormat/>
    <w:rsid w:val="00257610"/>
    <w:pPr>
      <w:keepNext/>
      <w:spacing w:before="240" w:after="60" w:line="240" w:lineRule="auto"/>
      <w:jc w:val="left"/>
      <w:outlineLvl w:val="1"/>
    </w:pPr>
    <w:rPr>
      <w:rFonts w:eastAsia="Times New Roman"/>
      <w:b/>
      <w:bCs/>
      <w:i/>
      <w:iCs/>
      <w:sz w:val="28"/>
      <w:szCs w:val="28"/>
      <w:lang w:val="pt-BR" w:eastAsia="pt-BR"/>
    </w:rPr>
  </w:style>
  <w:style w:type="paragraph" w:styleId="Heading3">
    <w:name w:val="heading 3"/>
    <w:basedOn w:val="Normal"/>
    <w:next w:val="Normal"/>
    <w:link w:val="Heading3Char"/>
    <w:qFormat/>
    <w:rsid w:val="00257610"/>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pt-BR" w:eastAsia="pt-BR"/>
    </w:rPr>
  </w:style>
  <w:style w:type="paragraph" w:styleId="Heading4">
    <w:name w:val="heading 4"/>
    <w:basedOn w:val="Normal"/>
    <w:next w:val="Normal"/>
    <w:link w:val="Heading4Char"/>
    <w:uiPriority w:val="9"/>
    <w:semiHidden/>
    <w:unhideWhenUsed/>
    <w:qFormat/>
    <w:rsid w:val="00257610"/>
    <w:pPr>
      <w:keepNext/>
      <w:keepLines/>
      <w:spacing w:before="40" w:after="0"/>
      <w:outlineLvl w:val="3"/>
    </w:pPr>
    <w:rPr>
      <w:rFonts w:asciiTheme="majorHAnsi" w:eastAsiaTheme="majorEastAsia" w:hAnsiTheme="majorHAnsi" w:cstheme="majorBidi"/>
      <w:i/>
      <w:iCs/>
      <w:color w:val="122137" w:themeColor="accent1" w:themeShade="BF"/>
    </w:rPr>
  </w:style>
  <w:style w:type="paragraph" w:styleId="Heading5">
    <w:name w:val="heading 5"/>
    <w:basedOn w:val="Normal"/>
    <w:next w:val="Normal"/>
    <w:link w:val="Heading5Char"/>
    <w:uiPriority w:val="9"/>
    <w:semiHidden/>
    <w:unhideWhenUsed/>
    <w:qFormat/>
    <w:rsid w:val="00257610"/>
    <w:pPr>
      <w:keepNext/>
      <w:keepLines/>
      <w:numPr>
        <w:ilvl w:val="4"/>
        <w:numId w:val="23"/>
      </w:numPr>
      <w:spacing w:before="40" w:after="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semiHidden/>
    <w:unhideWhenUsed/>
    <w:qFormat/>
    <w:rsid w:val="00257610"/>
    <w:pPr>
      <w:keepNext/>
      <w:keepLines/>
      <w:numPr>
        <w:ilvl w:val="5"/>
        <w:numId w:val="23"/>
      </w:numPr>
      <w:spacing w:before="40" w:after="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semiHidden/>
    <w:unhideWhenUsed/>
    <w:qFormat/>
    <w:rsid w:val="00257610"/>
    <w:pPr>
      <w:keepNext/>
      <w:keepLines/>
      <w:numPr>
        <w:ilvl w:val="6"/>
        <w:numId w:val="23"/>
      </w:numPr>
      <w:spacing w:before="40" w:after="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semiHidden/>
    <w:unhideWhenUsed/>
    <w:qFormat/>
    <w:rsid w:val="00257610"/>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610"/>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kern w:val="20"/>
      <w:szCs w:val="28"/>
    </w:rPr>
  </w:style>
  <w:style w:type="paragraph" w:customStyle="1" w:styleId="Level4">
    <w:name w:val="Level 4"/>
    <w:basedOn w:val="Normal"/>
    <w:rsid w:val="00FE54F2"/>
    <w:pPr>
      <w:numPr>
        <w:ilvl w:val="3"/>
        <w:numId w:val="4"/>
      </w:numPr>
      <w:outlineLvl w:val="3"/>
    </w:pPr>
    <w:rPr>
      <w:kern w:val="20"/>
    </w:rPr>
  </w:style>
  <w:style w:type="paragraph" w:customStyle="1" w:styleId="Level5">
    <w:name w:val="Level 5"/>
    <w:basedOn w:val="Normal"/>
    <w:rsid w:val="00FE54F2"/>
    <w:pPr>
      <w:numPr>
        <w:ilvl w:val="4"/>
        <w:numId w:val="4"/>
      </w:numPr>
    </w:pPr>
    <w:rPr>
      <w:kern w:val="20"/>
    </w:r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
    <w:name w:val="Citação"/>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11"/>
      </w:numPr>
    </w:pPr>
  </w:style>
  <w:style w:type="paragraph" w:customStyle="1" w:styleId="MarcadorA">
    <w:name w:val="Marcador(A)"/>
    <w:basedOn w:val="Normal"/>
    <w:qFormat/>
    <w:rsid w:val="00933158"/>
    <w:pPr>
      <w:numPr>
        <w:numId w:val="13"/>
      </w:numPr>
    </w:pPr>
  </w:style>
  <w:style w:type="paragraph" w:customStyle="1" w:styleId="Marcador11">
    <w:name w:val="Marcador(1)1"/>
    <w:basedOn w:val="Normal"/>
    <w:qFormat/>
    <w:rsid w:val="00933158"/>
    <w:pPr>
      <w:numPr>
        <w:numId w:val="12"/>
      </w:numPr>
    </w:pPr>
    <w:rPr>
      <w:rFonts w:eastAsia="Times New Roman"/>
      <w:lang w:val="pt-BR" w:eastAsia="en-US"/>
    </w:rPr>
  </w:style>
  <w:style w:type="paragraph" w:customStyle="1" w:styleId="MarcadorA1">
    <w:name w:val="Marcador(A)1"/>
    <w:basedOn w:val="Normal"/>
    <w:qFormat/>
    <w:rsid w:val="00933158"/>
    <w:pPr>
      <w:numPr>
        <w:numId w:val="14"/>
      </w:numPr>
    </w:pPr>
    <w:rPr>
      <w:rFonts w:eastAsia="Times New Roman"/>
      <w:lang w:val="pt-BR" w:eastAsia="en-US"/>
    </w:rPr>
  </w:style>
  <w:style w:type="paragraph" w:customStyle="1" w:styleId="Contratos1ClausulasArtigos">
    <w:name w:val="Contratos 1_ClausulasArtigos"/>
    <w:basedOn w:val="Normal"/>
    <w:qFormat/>
    <w:rsid w:val="006D64FD"/>
    <w:pPr>
      <w:numPr>
        <w:numId w:val="21"/>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21"/>
      </w:numPr>
    </w:pPr>
    <w:rPr>
      <w:rFonts w:eastAsia="Times New Roman"/>
      <w:szCs w:val="24"/>
      <w:lang w:val="pt-BR" w:eastAsia="en-US"/>
    </w:rPr>
  </w:style>
  <w:style w:type="paragraph" w:customStyle="1" w:styleId="Contratos3i">
    <w:name w:val="Contratos 3_(i)"/>
    <w:basedOn w:val="Normal"/>
    <w:qFormat/>
    <w:rsid w:val="006D64FD"/>
    <w:pPr>
      <w:numPr>
        <w:ilvl w:val="2"/>
        <w:numId w:val="21"/>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900AB5"/>
    <w:pPr>
      <w:numPr>
        <w:numId w:val="23"/>
      </w:numPr>
    </w:pPr>
    <w:rPr>
      <w:rFonts w:eastAsia="Times New Roman"/>
      <w:lang w:eastAsia="en-US"/>
    </w:rPr>
  </w:style>
  <w:style w:type="paragraph" w:customStyle="1" w:styleId="Recitals">
    <w:name w:val="Recitals"/>
    <w:basedOn w:val="Normal"/>
    <w:rsid w:val="00900AB5"/>
    <w:pPr>
      <w:numPr>
        <w:ilvl w:val="1"/>
        <w:numId w:val="23"/>
      </w:numPr>
    </w:pPr>
    <w:rPr>
      <w:rFonts w:eastAsia="Times New Roman"/>
      <w:lang w:eastAsia="en-US"/>
    </w:rPr>
  </w:style>
  <w:style w:type="character" w:customStyle="1" w:styleId="Heading2Char">
    <w:name w:val="Heading 2 Char"/>
    <w:basedOn w:val="DefaultParagraphFont"/>
    <w:link w:val="Heading2"/>
    <w:rsid w:val="00257610"/>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sid w:val="00257610"/>
    <w:rPr>
      <w:rFonts w:ascii="Times New Roman" w:eastAsia="Arial Unicode MS" w:hAnsi="Times New Roman" w:cs="Times New Roman"/>
      <w:b/>
      <w:bCs/>
      <w:sz w:val="20"/>
      <w:szCs w:val="20"/>
      <w:shd w:val="clear" w:color="auto" w:fill="FFFFFF"/>
      <w:lang w:eastAsia="pt-BR"/>
    </w:rPr>
  </w:style>
  <w:style w:type="character" w:styleId="PageNumber">
    <w:name w:val="page number"/>
    <w:basedOn w:val="DefaultParagraphFont"/>
    <w:rsid w:val="00257610"/>
  </w:style>
  <w:style w:type="table" w:styleId="TableGrid">
    <w:name w:val="Table Grid"/>
    <w:basedOn w:val="TableNormal"/>
    <w:rsid w:val="002576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rio1">
    <w:name w:val="Sumário1"/>
    <w:basedOn w:val="Normal"/>
    <w:qFormat/>
    <w:rsid w:val="00257610"/>
    <w:pPr>
      <w:keepLines/>
      <w:numPr>
        <w:numId w:val="24"/>
      </w:numPr>
      <w:spacing w:after="0" w:line="240" w:lineRule="auto"/>
      <w:ind w:right="-91"/>
    </w:pPr>
    <w:rPr>
      <w:rFonts w:ascii="Times New Roman" w:eastAsia="Times New Roman" w:hAnsi="Times New Roman"/>
      <w:b/>
      <w:sz w:val="22"/>
      <w:szCs w:val="22"/>
      <w:lang w:val="pt-BR" w:eastAsia="pt-BR"/>
    </w:rPr>
  </w:style>
  <w:style w:type="paragraph" w:customStyle="1" w:styleId="Body">
    <w:name w:val="Body"/>
    <w:basedOn w:val="Normal"/>
    <w:link w:val="BodyChar"/>
    <w:qFormat/>
    <w:rsid w:val="00257610"/>
    <w:pPr>
      <w:autoSpaceDE w:val="0"/>
      <w:autoSpaceDN w:val="0"/>
      <w:adjustRightInd w:val="0"/>
    </w:pPr>
    <w:rPr>
      <w:rFonts w:eastAsia="Times New Roman" w:cs="Arial"/>
      <w:szCs w:val="24"/>
      <w:lang w:val="pt-BR" w:eastAsia="pt-BR"/>
    </w:rPr>
  </w:style>
  <w:style w:type="character" w:customStyle="1" w:styleId="BodyChar">
    <w:name w:val="Body Char"/>
    <w:link w:val="Body"/>
    <w:locked/>
    <w:rsid w:val="00257610"/>
    <w:rPr>
      <w:rFonts w:ascii="Arial" w:eastAsia="Times New Roman" w:hAnsi="Arial" w:cs="Arial"/>
      <w:sz w:val="20"/>
      <w:szCs w:val="24"/>
      <w:lang w:eastAsia="pt-BR"/>
    </w:rPr>
  </w:style>
  <w:style w:type="paragraph" w:customStyle="1" w:styleId="Parties2">
    <w:name w:val="Parties 2"/>
    <w:basedOn w:val="Normal"/>
    <w:rsid w:val="00257610"/>
    <w:pPr>
      <w:numPr>
        <w:ilvl w:val="2"/>
        <w:numId w:val="23"/>
      </w:numPr>
    </w:pPr>
    <w:rPr>
      <w:lang w:val="pt-BR"/>
    </w:rPr>
  </w:style>
  <w:style w:type="paragraph" w:customStyle="1" w:styleId="Recitals2">
    <w:name w:val="Recitals 2"/>
    <w:basedOn w:val="Normal"/>
    <w:rsid w:val="00257610"/>
    <w:pPr>
      <w:numPr>
        <w:ilvl w:val="3"/>
        <w:numId w:val="23"/>
      </w:numPr>
    </w:pPr>
    <w:rPr>
      <w:lang w:val="pt-BR"/>
    </w:rPr>
  </w:style>
  <w:style w:type="character" w:customStyle="1" w:styleId="Heading4Char">
    <w:name w:val="Heading 4 Char"/>
    <w:basedOn w:val="DefaultParagraphFont"/>
    <w:link w:val="Heading4"/>
    <w:uiPriority w:val="9"/>
    <w:semiHidden/>
    <w:rsid w:val="00257610"/>
    <w:rPr>
      <w:rFonts w:asciiTheme="majorHAnsi" w:eastAsiaTheme="majorEastAsia" w:hAnsiTheme="majorHAnsi" w:cstheme="majorBidi"/>
      <w:i/>
      <w:iCs/>
      <w:color w:val="122137" w:themeColor="accent1" w:themeShade="BF"/>
      <w:sz w:val="20"/>
      <w:szCs w:val="20"/>
      <w:lang w:val="en-GB" w:eastAsia="en-GB"/>
    </w:rPr>
  </w:style>
  <w:style w:type="character" w:customStyle="1" w:styleId="Heading5Char">
    <w:name w:val="Heading 5 Char"/>
    <w:basedOn w:val="DefaultParagraphFont"/>
    <w:link w:val="Heading5"/>
    <w:uiPriority w:val="9"/>
    <w:semiHidden/>
    <w:rsid w:val="00257610"/>
    <w:rPr>
      <w:rFonts w:asciiTheme="majorHAnsi" w:eastAsiaTheme="majorEastAsia" w:hAnsiTheme="majorHAnsi" w:cstheme="majorBidi"/>
      <w:color w:val="122137" w:themeColor="accent1" w:themeShade="BF"/>
      <w:sz w:val="20"/>
      <w:szCs w:val="20"/>
      <w:lang w:val="en-GB" w:eastAsia="en-GB"/>
    </w:rPr>
  </w:style>
  <w:style w:type="character" w:customStyle="1" w:styleId="Heading6Char">
    <w:name w:val="Heading 6 Char"/>
    <w:basedOn w:val="DefaultParagraphFont"/>
    <w:link w:val="Heading6"/>
    <w:uiPriority w:val="9"/>
    <w:semiHidden/>
    <w:rsid w:val="00257610"/>
    <w:rPr>
      <w:rFonts w:asciiTheme="majorHAnsi" w:eastAsiaTheme="majorEastAsia" w:hAnsiTheme="majorHAnsi" w:cstheme="majorBidi"/>
      <w:color w:val="0C1624" w:themeColor="accent1" w:themeShade="7F"/>
      <w:sz w:val="20"/>
      <w:szCs w:val="20"/>
      <w:lang w:val="en-GB" w:eastAsia="en-GB"/>
    </w:rPr>
  </w:style>
  <w:style w:type="character" w:customStyle="1" w:styleId="Heading7Char">
    <w:name w:val="Heading 7 Char"/>
    <w:basedOn w:val="DefaultParagraphFont"/>
    <w:link w:val="Heading7"/>
    <w:uiPriority w:val="9"/>
    <w:semiHidden/>
    <w:rsid w:val="00257610"/>
    <w:rPr>
      <w:rFonts w:asciiTheme="majorHAnsi" w:eastAsiaTheme="majorEastAsia" w:hAnsiTheme="majorHAnsi" w:cstheme="majorBidi"/>
      <w:i/>
      <w:iCs/>
      <w:color w:val="0C1624" w:themeColor="accent1" w:themeShade="7F"/>
      <w:sz w:val="20"/>
      <w:szCs w:val="20"/>
      <w:lang w:val="en-GB" w:eastAsia="en-GB"/>
    </w:rPr>
  </w:style>
  <w:style w:type="character" w:customStyle="1" w:styleId="Heading8Char">
    <w:name w:val="Heading 8 Char"/>
    <w:basedOn w:val="DefaultParagraphFont"/>
    <w:link w:val="Heading8"/>
    <w:uiPriority w:val="9"/>
    <w:semiHidden/>
    <w:rsid w:val="0025761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257610"/>
    <w:rPr>
      <w:rFonts w:asciiTheme="majorHAnsi" w:eastAsiaTheme="majorEastAsia" w:hAnsiTheme="majorHAnsi" w:cstheme="majorBidi"/>
      <w:i/>
      <w:iCs/>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Documento%20em%20branco.dotx" TargetMode="Externa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Documento em branco</Template>
  <TotalTime>5</TotalTime>
  <Pages>10</Pages>
  <Words>2852</Words>
  <Characters>16316</Characters>
  <Application>Microsoft Office Word</Application>
  <DocSecurity>0</DocSecurity>
  <Lines>429</Lines>
  <Paragraphs>197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ALTERAÇÕES</vt:lpstr>
      <vt:lpstr>    Nos termos do item “7.b.” da AGD do Aditamento, as Partes resolvem alterar as Cl</vt:lpstr>
      <vt:lpstr>“5.19.1. A Emissora poderá, a qualquer momento, após 1º de junho de 2020 (inclus</vt:lpstr>
      <vt:lpstr>(...)</vt:lpstr>
      <vt:lpstr>“5.19.4. </vt:lpstr>
      <vt:lpstr>(...)</vt:lpstr>
      <vt:lpstr>(1) As informações incluídas nas colunas “Duration Remanescente” e “Prêmio ao An</vt:lpstr>
      <vt:lpstr>(...)”</vt:lpstr>
      <vt:lpstr>    Nos termos do item “7.b.” da AGD do Aditamento, as Partes resolvem alterar o con</vt:lpstr>
      <vt:lpstr>    “7.1.2.</vt:lpstr>
      <vt:lpstr>    (...)</vt:lpstr>
      <vt:lpstr>    (viii) não observância, pela Fiadora, no final de cada exercício social, do segu</vt:lpstr>
      <vt:lpstr>    </vt:lpstr>
      <vt:lpstr>    </vt:lpstr>
      <vt:lpstr>    Sendo:</vt:lpstr>
      <vt:lpstr>    “Dívida Bruta": Somatório dos saldos das operações de empréstimos, financiamento</vt:lpstr>
      <vt:lpstr>    “Patrimônio Líquido”: resultado da diferença entre os valores do ativo e do pass</vt:lpstr>
      <vt:lpstr>    (...)”</vt:lpstr>
      <vt:lpstr>    (xi) exceto se realizada uma Capitalização (conforme definido abaixo), não obser</vt:lpstr>
      <vt:lpstr>    </vt:lpstr>
      <vt:lpstr>    Sem prejuízo do disposto acima, caso (a) em qualquer data de verificação, a part</vt:lpstr>
      <vt:lpstr>    Para fins desta Escritura de Emissão, “Capitalização” significa um aumento de ca</vt:lpstr>
      <vt:lpstr>    Adicionalmente, a Companhia deverá disponibilizar ao Agente Fiduciário relatório</vt:lpstr>
      <vt:lpstr>    (...)</vt:lpstr>
      <vt:lpstr>    (xii) sem prejuízo do disposto no item (xi) acima, não observância, pela Emissor</vt:lpstr>
      <vt:lpstr>    </vt:lpstr>
      <vt:lpstr>    “Custo da Dívida”: despesas de juros incidentes sobre o endividamento e os juros</vt:lpstr>
      <vt:lpstr>    “Dívida Bruta": Somatório dos saldos das operações de empréstimos, financiamento</vt:lpstr>
      <vt:lpstr>    "Dívida Líquida": Somatório dos saldos das operações de empréstimos, financiamen</vt:lpstr>
      <vt:lpstr>    “EBITDA”: significa o lucro ou prejuízo líquido da Emissora, em bases consolidad</vt:lpstr>
      <vt:lpstr>    “Índice de Liquidez”: razão entre o ativo circulante e o passivo circulante da E</vt:lpstr>
      <vt:lpstr>    (...)”; </vt:lpstr>
      <vt:lpstr>AUTORIZAÇÃO</vt:lpstr>
      <vt:lpstr>    Observado o disposto no artigo 71 da Lei das S.A., a celebração deste Aditamento</vt:lpstr>
      <vt:lpstr>ARQUIVAMENTO </vt:lpstr>
      <vt:lpstr>    Nos termos da Cláusula 2.2.1 da Escritura de Emissão, o presente Aditamento deve</vt:lpstr>
      <vt:lpstr>    Em razão da Fiança (conforme definida na Escritura de Emissão), o presente Adita</vt:lpstr>
      <vt:lpstr>DECLARAÇÕES E GARANTIAS DA EMISSORA</vt:lpstr>
      <vt:lpstr>    A Emissora, neste ato, declara e garante ao Agente Fiduciário e a Fiadora, que t</vt:lpstr>
      <vt:lpstr>RATIFICAÇÕES DA ESCRITURA DE EMISSÃO</vt:lpstr>
      <vt:lpstr>    Ficam ratificadas, nos termos em que se encontram redigidas, todas as cláusulas,</vt:lpstr>
      <vt:lpstr>DISPOSIÇÕES GERAIS</vt:lpstr>
      <vt:lpstr>    Este Aditamento é firmado em caráter irrevogável e irretratável, obrigando as Pa</vt:lpstr>
      <vt:lpstr>    Caso qualquer uma das disposições deste Aditamento venha a ser julgada ilegal, i</vt:lpstr>
      <vt:lpstr>    Este Aditamento constitui título executivo extrajudicial, nos termos do inciso I</vt:lpstr>
      <vt:lpstr>    Este Aditamento é regido pelas Leis da República Federativa do Brasil.</vt:lpstr>
      <vt:lpstr>    Fica eleito o foro da Cidade de São Paulo, Estado de São Paulo, para dirimir qua</vt:lpstr>
    </vt:vector>
  </TitlesOfParts>
  <Company>Lefosse Advogados</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Lefosse Advogados</dc:creator>
  <cp:lastModifiedBy>Lefosse Advogados</cp:lastModifiedBy>
  <cp:revision>2</cp:revision>
  <dcterms:created xsi:type="dcterms:W3CDTF">2020-05-21T18:33:00Z</dcterms:created>
  <dcterms:modified xsi:type="dcterms:W3CDTF">2020-05-21T18:40:00Z</dcterms:modified>
</cp:coreProperties>
</file>