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6747A" w14:textId="2018259A" w:rsidR="004D045D" w:rsidRPr="00A94120" w:rsidRDefault="00F66D94" w:rsidP="004D045D">
      <w:pPr>
        <w:pStyle w:val="Subtitle"/>
        <w:spacing w:line="320" w:lineRule="exact"/>
        <w:outlineLvl w:val="0"/>
        <w:rPr>
          <w:rFonts w:ascii="Tahoma" w:hAnsi="Tahoma" w:cs="Tahoma"/>
          <w:smallCaps/>
          <w:sz w:val="22"/>
          <w:szCs w:val="22"/>
        </w:rPr>
      </w:pPr>
      <w:r>
        <w:rPr>
          <w:rFonts w:ascii="Tahoma" w:hAnsi="Tahoma" w:cs="Tahoma"/>
          <w:sz w:val="22"/>
          <w:szCs w:val="22"/>
        </w:rPr>
        <w:t>EMPREENDIMENTOS PAGU</w:t>
      </w:r>
      <w:r w:rsidRPr="00A94120">
        <w:rPr>
          <w:rFonts w:ascii="Tahoma" w:hAnsi="Tahoma" w:cs="Tahoma"/>
          <w:sz w:val="22"/>
          <w:szCs w:val="22"/>
        </w:rPr>
        <w:t>E MENOS S.A.</w:t>
      </w:r>
    </w:p>
    <w:p w14:paraId="286D1014" w14:textId="7DE5EB66" w:rsidR="00E44738" w:rsidRPr="00A94120" w:rsidRDefault="00E44738" w:rsidP="004D045D">
      <w:pPr>
        <w:pStyle w:val="Subtitle"/>
        <w:spacing w:line="320" w:lineRule="exact"/>
        <w:outlineLvl w:val="0"/>
        <w:rPr>
          <w:rFonts w:ascii="Tahoma" w:hAnsi="Tahoma" w:cs="Tahoma"/>
          <w:smallCaps/>
          <w:sz w:val="22"/>
          <w:szCs w:val="22"/>
        </w:rPr>
      </w:pPr>
      <w:r w:rsidRPr="00A94120">
        <w:rPr>
          <w:rFonts w:ascii="Tahoma" w:hAnsi="Tahoma" w:cs="Tahoma"/>
          <w:smallCaps/>
          <w:sz w:val="22"/>
          <w:szCs w:val="22"/>
        </w:rPr>
        <w:t xml:space="preserve">CNPJ nº </w:t>
      </w:r>
      <w:r w:rsidR="00F66D94" w:rsidRPr="00A94120">
        <w:rPr>
          <w:rFonts w:ascii="Tahoma" w:hAnsi="Tahoma" w:cs="Tahoma"/>
          <w:smallCaps/>
          <w:sz w:val="22"/>
          <w:szCs w:val="22"/>
        </w:rPr>
        <w:t>06</w:t>
      </w:r>
      <w:r w:rsidRPr="00A94120">
        <w:rPr>
          <w:rFonts w:ascii="Tahoma" w:hAnsi="Tahoma" w:cs="Tahoma"/>
          <w:smallCaps/>
          <w:sz w:val="22"/>
          <w:szCs w:val="22"/>
        </w:rPr>
        <w:t>.</w:t>
      </w:r>
      <w:r w:rsidR="00F66D94" w:rsidRPr="00A94120">
        <w:rPr>
          <w:rFonts w:ascii="Tahoma" w:hAnsi="Tahoma" w:cs="Tahoma"/>
          <w:smallCaps/>
          <w:sz w:val="22"/>
          <w:szCs w:val="22"/>
        </w:rPr>
        <w:t>626</w:t>
      </w:r>
      <w:r w:rsidRPr="00A94120">
        <w:rPr>
          <w:rFonts w:ascii="Tahoma" w:hAnsi="Tahoma" w:cs="Tahoma"/>
          <w:smallCaps/>
          <w:sz w:val="22"/>
          <w:szCs w:val="22"/>
        </w:rPr>
        <w:t>.</w:t>
      </w:r>
      <w:r w:rsidR="00F66D94" w:rsidRPr="00A94120">
        <w:rPr>
          <w:rFonts w:ascii="Tahoma" w:hAnsi="Tahoma" w:cs="Tahoma"/>
          <w:smallCaps/>
          <w:sz w:val="22"/>
          <w:szCs w:val="22"/>
        </w:rPr>
        <w:t>253</w:t>
      </w:r>
      <w:r w:rsidRPr="00A94120">
        <w:rPr>
          <w:rFonts w:ascii="Tahoma" w:hAnsi="Tahoma" w:cs="Tahoma"/>
          <w:smallCaps/>
          <w:sz w:val="22"/>
          <w:szCs w:val="22"/>
        </w:rPr>
        <w:t>/0001-</w:t>
      </w:r>
      <w:r w:rsidR="00F66D94" w:rsidRPr="00A94120">
        <w:rPr>
          <w:rFonts w:ascii="Tahoma" w:hAnsi="Tahoma" w:cs="Tahoma"/>
          <w:smallCaps/>
          <w:sz w:val="22"/>
          <w:szCs w:val="22"/>
        </w:rPr>
        <w:t>51</w:t>
      </w:r>
      <w:r w:rsidR="003C5487" w:rsidRPr="00A94120">
        <w:rPr>
          <w:rFonts w:ascii="Tahoma" w:hAnsi="Tahoma" w:cs="Tahoma"/>
          <w:smallCaps/>
          <w:sz w:val="22"/>
          <w:szCs w:val="22"/>
        </w:rPr>
        <w:br/>
      </w:r>
      <w:r w:rsidRPr="00A94120">
        <w:rPr>
          <w:rFonts w:ascii="Tahoma" w:hAnsi="Tahoma" w:cs="Tahoma"/>
          <w:smallCaps/>
          <w:sz w:val="22"/>
          <w:szCs w:val="22"/>
        </w:rPr>
        <w:t xml:space="preserve">NIRE </w:t>
      </w:r>
      <w:r w:rsidR="00F66D94" w:rsidRPr="00A94120">
        <w:rPr>
          <w:rFonts w:ascii="Tahoma" w:hAnsi="Tahoma" w:cs="Tahoma"/>
          <w:smallCaps/>
          <w:sz w:val="22"/>
          <w:szCs w:val="22"/>
        </w:rPr>
        <w:t>23</w:t>
      </w:r>
      <w:r w:rsidRPr="00A94120">
        <w:rPr>
          <w:rFonts w:ascii="Tahoma" w:hAnsi="Tahoma" w:cs="Tahoma"/>
          <w:smallCaps/>
          <w:sz w:val="22"/>
          <w:szCs w:val="22"/>
        </w:rPr>
        <w:t>.300.</w:t>
      </w:r>
      <w:r w:rsidR="00F66D94" w:rsidRPr="00A94120">
        <w:rPr>
          <w:rFonts w:ascii="Tahoma" w:hAnsi="Tahoma" w:cs="Tahoma"/>
          <w:smallCaps/>
          <w:sz w:val="22"/>
          <w:szCs w:val="22"/>
        </w:rPr>
        <w:t>020</w:t>
      </w:r>
      <w:r w:rsidRPr="00A94120">
        <w:rPr>
          <w:rFonts w:ascii="Tahoma" w:hAnsi="Tahoma" w:cs="Tahoma"/>
          <w:smallCaps/>
          <w:sz w:val="22"/>
          <w:szCs w:val="22"/>
        </w:rPr>
        <w:t>.</w:t>
      </w:r>
      <w:r w:rsidR="00F66D94" w:rsidRPr="00A94120">
        <w:rPr>
          <w:rFonts w:ascii="Tahoma" w:hAnsi="Tahoma" w:cs="Tahoma"/>
          <w:smallCaps/>
          <w:sz w:val="22"/>
          <w:szCs w:val="22"/>
        </w:rPr>
        <w:t>073</w:t>
      </w:r>
    </w:p>
    <w:p w14:paraId="3466331E" w14:textId="4D5E8256" w:rsidR="004D045D" w:rsidRPr="00A94120" w:rsidRDefault="004D045D" w:rsidP="004D045D">
      <w:pPr>
        <w:tabs>
          <w:tab w:val="left" w:pos="7005"/>
        </w:tabs>
        <w:spacing w:before="240" w:line="288" w:lineRule="auto"/>
        <w:rPr>
          <w:rFonts w:ascii="Tahoma" w:hAnsi="Tahoma" w:cs="Tahoma"/>
          <w:b/>
          <w:smallCaps/>
          <w:sz w:val="22"/>
          <w:szCs w:val="22"/>
        </w:rPr>
      </w:pPr>
      <w:r w:rsidRPr="00A94120">
        <w:rPr>
          <w:rFonts w:ascii="Tahoma" w:hAnsi="Tahoma" w:cs="Tahoma"/>
          <w:b/>
          <w:smallCaps/>
          <w:sz w:val="22"/>
          <w:szCs w:val="22"/>
        </w:rPr>
        <w:t xml:space="preserve">ASSEMBLEIA GERAL DE DEBENTURISTAS DA 4ª (QUARTA) EMISSÃO DE DEBÊNTURES SIMPLES, NÃO CONVERSÍVEIS EM AÇÕES, DA ESPÉCIE QUIROGRAFÁRIA, COM GARANTIA ADICIONAL FIDEJUSSÓRIA, EM SÉRIE ÚNICA, PARA DISTRIBUIÇÃO PÚBLICA, COM ESFORÇOS RESTRITOS DE DISTRIBUIÇÃO, DA EMPREENDIMENTOS PAGUE MENOS S.A. </w:t>
      </w:r>
      <w:r w:rsidR="00E44738" w:rsidRPr="00A94120">
        <w:rPr>
          <w:rFonts w:ascii="Tahoma" w:hAnsi="Tahoma" w:cs="Tahoma"/>
          <w:b/>
          <w:smallCaps/>
          <w:sz w:val="22"/>
          <w:szCs w:val="22"/>
        </w:rPr>
        <w:t xml:space="preserve">REALIZADA EM </w:t>
      </w:r>
      <w:r w:rsidR="00CB40D5" w:rsidRPr="00A94120">
        <w:rPr>
          <w:rFonts w:ascii="Tahoma" w:hAnsi="Tahoma" w:cs="Tahoma"/>
          <w:b/>
          <w:smallCaps/>
          <w:sz w:val="22"/>
          <w:szCs w:val="22"/>
        </w:rPr>
        <w:t>PRIMEIRA</w:t>
      </w:r>
      <w:r w:rsidR="00417E07" w:rsidRPr="00A80024">
        <w:rPr>
          <w:rFonts w:ascii="Tahoma" w:hAnsi="Tahoma" w:cs="Tahoma"/>
          <w:b/>
          <w:smallCaps/>
          <w:sz w:val="22"/>
          <w:szCs w:val="22"/>
        </w:rPr>
        <w:t xml:space="preserve"> </w:t>
      </w:r>
      <w:r w:rsidR="00F66D94" w:rsidRPr="00A80024">
        <w:rPr>
          <w:rFonts w:ascii="Tahoma" w:hAnsi="Tahoma" w:cs="Tahoma"/>
          <w:b/>
          <w:smallCaps/>
          <w:sz w:val="22"/>
          <w:szCs w:val="22"/>
        </w:rPr>
        <w:t xml:space="preserve">CONVOCAÇÃO EM </w:t>
      </w:r>
      <w:r w:rsidR="00CB40D5" w:rsidRPr="002F71A3">
        <w:rPr>
          <w:rFonts w:ascii="Tahoma" w:hAnsi="Tahoma" w:cs="Tahoma"/>
          <w:b/>
          <w:smallCaps/>
          <w:sz w:val="22"/>
          <w:szCs w:val="22"/>
        </w:rPr>
        <w:t>21</w:t>
      </w:r>
      <w:r w:rsidR="00805063" w:rsidRPr="002F71A3">
        <w:rPr>
          <w:rFonts w:ascii="Tahoma" w:hAnsi="Tahoma" w:cs="Tahoma"/>
          <w:b/>
          <w:smallCaps/>
          <w:sz w:val="22"/>
          <w:szCs w:val="22"/>
        </w:rPr>
        <w:t xml:space="preserve"> </w:t>
      </w:r>
      <w:r w:rsidR="00E44738" w:rsidRPr="002F71A3">
        <w:rPr>
          <w:rFonts w:ascii="Tahoma" w:hAnsi="Tahoma" w:cs="Tahoma"/>
          <w:b/>
          <w:smallCaps/>
          <w:sz w:val="22"/>
          <w:szCs w:val="22"/>
        </w:rPr>
        <w:t xml:space="preserve">DE </w:t>
      </w:r>
      <w:r w:rsidR="00CB40D5" w:rsidRPr="00A94120">
        <w:rPr>
          <w:rFonts w:ascii="Tahoma" w:hAnsi="Tahoma" w:cs="Tahoma"/>
          <w:b/>
          <w:smallCaps/>
          <w:sz w:val="22"/>
          <w:szCs w:val="22"/>
        </w:rPr>
        <w:t>FEVEREIRO</w:t>
      </w:r>
      <w:r w:rsidR="00805063" w:rsidRPr="00A94120">
        <w:rPr>
          <w:rFonts w:ascii="Tahoma" w:hAnsi="Tahoma" w:cs="Tahoma"/>
          <w:b/>
          <w:smallCaps/>
          <w:sz w:val="22"/>
          <w:szCs w:val="22"/>
        </w:rPr>
        <w:t xml:space="preserve"> </w:t>
      </w:r>
      <w:r w:rsidR="00E44738" w:rsidRPr="00A94120">
        <w:rPr>
          <w:rFonts w:ascii="Tahoma" w:hAnsi="Tahoma" w:cs="Tahoma"/>
          <w:b/>
          <w:smallCaps/>
          <w:sz w:val="22"/>
          <w:szCs w:val="22"/>
        </w:rPr>
        <w:t>DE 20</w:t>
      </w:r>
      <w:r w:rsidR="00CB40D5" w:rsidRPr="00A94120">
        <w:rPr>
          <w:rFonts w:ascii="Tahoma" w:hAnsi="Tahoma" w:cs="Tahoma"/>
          <w:b/>
          <w:smallCaps/>
          <w:sz w:val="22"/>
          <w:szCs w:val="22"/>
        </w:rPr>
        <w:t>20</w:t>
      </w:r>
      <w:r w:rsidR="00E44738" w:rsidRPr="00A94120">
        <w:rPr>
          <w:rFonts w:ascii="Tahoma" w:hAnsi="Tahoma" w:cs="Tahoma"/>
          <w:b/>
          <w:smallCaps/>
          <w:sz w:val="22"/>
          <w:szCs w:val="22"/>
        </w:rPr>
        <w:t>.</w:t>
      </w:r>
    </w:p>
    <w:p w14:paraId="7C405551" w14:textId="77777777" w:rsidR="00361BDF" w:rsidRPr="00A94120" w:rsidRDefault="00361BDF" w:rsidP="004D045D">
      <w:pPr>
        <w:tabs>
          <w:tab w:val="left" w:pos="7005"/>
        </w:tabs>
        <w:spacing w:before="240" w:line="288" w:lineRule="auto"/>
        <w:rPr>
          <w:rFonts w:ascii="Tahoma" w:hAnsi="Tahoma" w:cs="Tahoma"/>
          <w:b/>
          <w:smallCaps/>
          <w:sz w:val="22"/>
          <w:szCs w:val="22"/>
        </w:rPr>
      </w:pPr>
    </w:p>
    <w:p w14:paraId="7A4F7B70" w14:textId="04CFBEBD" w:rsidR="00E44738" w:rsidRPr="00A94120"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A94120">
        <w:rPr>
          <w:rFonts w:ascii="Tahoma" w:hAnsi="Tahoma" w:cs="Tahoma"/>
          <w:b/>
          <w:sz w:val="22"/>
          <w:szCs w:val="22"/>
        </w:rPr>
        <w:t>DATA, HORA E LOCAL:</w:t>
      </w:r>
      <w:r w:rsidRPr="00A94120">
        <w:rPr>
          <w:rFonts w:ascii="Tahoma" w:hAnsi="Tahoma" w:cs="Tahoma"/>
          <w:sz w:val="22"/>
          <w:szCs w:val="22"/>
        </w:rPr>
        <w:t xml:space="preserve"> Realizada aos </w:t>
      </w:r>
      <w:r w:rsidR="00CB40D5" w:rsidRPr="00A94120">
        <w:rPr>
          <w:rFonts w:ascii="Tahoma" w:hAnsi="Tahoma" w:cs="Tahoma"/>
          <w:smallCaps/>
          <w:sz w:val="22"/>
          <w:szCs w:val="22"/>
        </w:rPr>
        <w:t>21</w:t>
      </w:r>
      <w:r w:rsidR="00580020" w:rsidRPr="00A94120">
        <w:rPr>
          <w:rFonts w:ascii="Tahoma" w:hAnsi="Tahoma" w:cs="Tahoma"/>
          <w:sz w:val="22"/>
          <w:szCs w:val="22"/>
        </w:rPr>
        <w:t xml:space="preserve"> </w:t>
      </w:r>
      <w:r w:rsidRPr="00A94120">
        <w:rPr>
          <w:rFonts w:ascii="Tahoma" w:hAnsi="Tahoma" w:cs="Tahoma"/>
          <w:sz w:val="22"/>
          <w:szCs w:val="22"/>
        </w:rPr>
        <w:t>dias do mê</w:t>
      </w:r>
      <w:r w:rsidR="00CB40D5" w:rsidRPr="00D478BF">
        <w:rPr>
          <w:rFonts w:ascii="Tahoma" w:hAnsi="Tahoma" w:cs="Tahoma"/>
          <w:sz w:val="22"/>
          <w:szCs w:val="22"/>
        </w:rPr>
        <w:t xml:space="preserve">s </w:t>
      </w:r>
      <w:r w:rsidR="00CB40D5" w:rsidRPr="00A80024">
        <w:rPr>
          <w:rFonts w:ascii="Tahoma" w:hAnsi="Tahoma" w:cs="Tahoma"/>
          <w:sz w:val="22"/>
          <w:szCs w:val="22"/>
        </w:rPr>
        <w:t>fevereiro</w:t>
      </w:r>
      <w:r w:rsidR="00805063" w:rsidRPr="00A94120">
        <w:rPr>
          <w:rFonts w:ascii="Tahoma" w:hAnsi="Tahoma" w:cs="Tahoma"/>
          <w:sz w:val="22"/>
          <w:szCs w:val="22"/>
        </w:rPr>
        <w:t xml:space="preserve"> </w:t>
      </w:r>
      <w:r w:rsidRPr="00A94120">
        <w:rPr>
          <w:rFonts w:ascii="Tahoma" w:hAnsi="Tahoma" w:cs="Tahoma"/>
          <w:sz w:val="22"/>
          <w:szCs w:val="22"/>
        </w:rPr>
        <w:t>de 20</w:t>
      </w:r>
      <w:r w:rsidR="00CB40D5" w:rsidRPr="00A94120">
        <w:rPr>
          <w:rFonts w:ascii="Tahoma" w:hAnsi="Tahoma" w:cs="Tahoma"/>
          <w:sz w:val="22"/>
          <w:szCs w:val="22"/>
        </w:rPr>
        <w:t>20</w:t>
      </w:r>
      <w:r w:rsidRPr="00A94120">
        <w:rPr>
          <w:rFonts w:ascii="Tahoma" w:hAnsi="Tahoma" w:cs="Tahoma"/>
          <w:sz w:val="22"/>
          <w:szCs w:val="22"/>
        </w:rPr>
        <w:t xml:space="preserve">, às </w:t>
      </w:r>
      <w:r w:rsidR="00CB40D5" w:rsidRPr="00A94120">
        <w:rPr>
          <w:rFonts w:ascii="Tahoma" w:hAnsi="Tahoma" w:cs="Tahoma"/>
          <w:smallCaps/>
          <w:sz w:val="22"/>
          <w:szCs w:val="22"/>
        </w:rPr>
        <w:t>10:00</w:t>
      </w:r>
      <w:r w:rsidR="00805063" w:rsidRPr="00A94120">
        <w:rPr>
          <w:rFonts w:ascii="Tahoma" w:hAnsi="Tahoma" w:cs="Tahoma"/>
          <w:sz w:val="22"/>
          <w:szCs w:val="22"/>
        </w:rPr>
        <w:t xml:space="preserve"> </w:t>
      </w:r>
      <w:r w:rsidRPr="00A94120">
        <w:rPr>
          <w:rFonts w:ascii="Tahoma" w:hAnsi="Tahoma" w:cs="Tahoma"/>
          <w:sz w:val="22"/>
          <w:szCs w:val="22"/>
        </w:rPr>
        <w:t xml:space="preserve">horas, na </w:t>
      </w:r>
      <w:r w:rsidR="00DF1B24" w:rsidRPr="00A94120">
        <w:rPr>
          <w:rFonts w:ascii="Tahoma" w:hAnsi="Tahoma" w:cs="Tahoma"/>
          <w:b/>
          <w:bCs/>
          <w:sz w:val="22"/>
          <w:szCs w:val="22"/>
        </w:rPr>
        <w:t>Simplific Pavarini Distribuidora de Títulos e Valores Mobiliários Ltda.</w:t>
      </w:r>
      <w:r w:rsidR="003C5487" w:rsidRPr="00D478BF">
        <w:rPr>
          <w:rFonts w:ascii="Tahoma" w:hAnsi="Tahoma" w:cs="Tahoma"/>
          <w:sz w:val="22"/>
          <w:szCs w:val="22"/>
        </w:rPr>
        <w:t xml:space="preserve"> </w:t>
      </w:r>
      <w:r w:rsidR="003C5487" w:rsidRPr="00A80024">
        <w:rPr>
          <w:rFonts w:ascii="Tahoma" w:hAnsi="Tahoma" w:cs="Tahoma"/>
          <w:sz w:val="22"/>
          <w:szCs w:val="22"/>
        </w:rPr>
        <w:t>(“</w:t>
      </w:r>
      <w:r w:rsidR="00DF1B24" w:rsidRPr="00A80024">
        <w:rPr>
          <w:rFonts w:ascii="Tahoma" w:hAnsi="Tahoma" w:cs="Tahoma"/>
          <w:sz w:val="22"/>
          <w:szCs w:val="22"/>
          <w:u w:val="single"/>
        </w:rPr>
        <w:t>Agente Fiduciário</w:t>
      </w:r>
      <w:r w:rsidR="003C5487" w:rsidRPr="002F71A3">
        <w:rPr>
          <w:rFonts w:ascii="Tahoma" w:hAnsi="Tahoma" w:cs="Tahoma"/>
          <w:sz w:val="22"/>
          <w:szCs w:val="22"/>
        </w:rPr>
        <w:t>”)</w:t>
      </w:r>
      <w:r w:rsidRPr="002F71A3">
        <w:rPr>
          <w:rFonts w:ascii="Tahoma" w:hAnsi="Tahoma" w:cs="Tahoma"/>
          <w:sz w:val="22"/>
          <w:szCs w:val="22"/>
        </w:rPr>
        <w:t xml:space="preserve">, </w:t>
      </w:r>
      <w:r w:rsidR="00CC1CB8" w:rsidRPr="002F71A3">
        <w:rPr>
          <w:rFonts w:ascii="Tahoma" w:hAnsi="Tahoma" w:cs="Tahoma"/>
          <w:sz w:val="22"/>
          <w:szCs w:val="22"/>
        </w:rPr>
        <w:t>localizada</w:t>
      </w:r>
      <w:r w:rsidRPr="00A94120">
        <w:rPr>
          <w:rFonts w:ascii="Tahoma" w:hAnsi="Tahoma" w:cs="Tahoma"/>
          <w:sz w:val="22"/>
          <w:szCs w:val="22"/>
        </w:rPr>
        <w:t xml:space="preserve"> na </w:t>
      </w:r>
      <w:r w:rsidR="00DF1B24" w:rsidRPr="00A94120">
        <w:rPr>
          <w:rFonts w:ascii="Tahoma" w:hAnsi="Tahoma" w:cs="Tahoma"/>
          <w:sz w:val="22"/>
          <w:szCs w:val="22"/>
        </w:rPr>
        <w:t>Rua Joaquim Floriano</w:t>
      </w:r>
      <w:r w:rsidRPr="00A94120">
        <w:rPr>
          <w:rFonts w:ascii="Tahoma" w:hAnsi="Tahoma" w:cs="Tahoma"/>
          <w:sz w:val="22"/>
          <w:szCs w:val="22"/>
        </w:rPr>
        <w:t>, nº</w:t>
      </w:r>
      <w:r w:rsidR="00D62012" w:rsidRPr="00A94120">
        <w:rPr>
          <w:rFonts w:ascii="Tahoma" w:hAnsi="Tahoma" w:cs="Tahoma"/>
          <w:sz w:val="22"/>
          <w:szCs w:val="22"/>
        </w:rPr>
        <w:t xml:space="preserve"> </w:t>
      </w:r>
      <w:r w:rsidRPr="00A94120">
        <w:rPr>
          <w:rFonts w:ascii="Tahoma" w:hAnsi="Tahoma" w:cs="Tahoma"/>
          <w:sz w:val="22"/>
          <w:szCs w:val="22"/>
        </w:rPr>
        <w:t>4</w:t>
      </w:r>
      <w:r w:rsidR="00DF1B24" w:rsidRPr="00A94120">
        <w:rPr>
          <w:rFonts w:ascii="Tahoma" w:hAnsi="Tahoma" w:cs="Tahoma"/>
          <w:sz w:val="22"/>
          <w:szCs w:val="22"/>
        </w:rPr>
        <w:t>66</w:t>
      </w:r>
      <w:r w:rsidRPr="00A94120">
        <w:rPr>
          <w:rFonts w:ascii="Tahoma" w:hAnsi="Tahoma" w:cs="Tahoma"/>
          <w:sz w:val="22"/>
          <w:szCs w:val="22"/>
        </w:rPr>
        <w:t xml:space="preserve">, </w:t>
      </w:r>
      <w:r w:rsidR="00DF1B24" w:rsidRPr="00A94120">
        <w:rPr>
          <w:rFonts w:ascii="Tahoma" w:hAnsi="Tahoma" w:cs="Tahoma"/>
          <w:sz w:val="22"/>
          <w:szCs w:val="22"/>
        </w:rPr>
        <w:t>1</w:t>
      </w:r>
      <w:r w:rsidRPr="00A94120">
        <w:rPr>
          <w:rFonts w:ascii="Tahoma" w:hAnsi="Tahoma" w:cs="Tahoma"/>
          <w:sz w:val="22"/>
          <w:szCs w:val="22"/>
        </w:rPr>
        <w:t>4º andar</w:t>
      </w:r>
      <w:r w:rsidR="00D62012" w:rsidRPr="00A94120">
        <w:rPr>
          <w:rFonts w:ascii="Tahoma" w:hAnsi="Tahoma" w:cs="Tahoma"/>
          <w:sz w:val="22"/>
          <w:szCs w:val="22"/>
        </w:rPr>
        <w:t>, sala</w:t>
      </w:r>
      <w:r w:rsidR="00DF1B24" w:rsidRPr="00A94120">
        <w:rPr>
          <w:rFonts w:ascii="Tahoma" w:hAnsi="Tahoma" w:cs="Tahoma"/>
          <w:sz w:val="22"/>
          <w:szCs w:val="22"/>
        </w:rPr>
        <w:t xml:space="preserve"> 1.401</w:t>
      </w:r>
      <w:r w:rsidRPr="00A94120">
        <w:rPr>
          <w:rFonts w:ascii="Tahoma" w:hAnsi="Tahoma" w:cs="Tahoma"/>
          <w:sz w:val="22"/>
          <w:szCs w:val="22"/>
        </w:rPr>
        <w:t>, Bairro Itaim Bibi, CEP 0453</w:t>
      </w:r>
      <w:r w:rsidR="00DF1B24" w:rsidRPr="00A94120">
        <w:rPr>
          <w:rFonts w:ascii="Tahoma" w:hAnsi="Tahoma" w:cs="Tahoma"/>
          <w:sz w:val="22"/>
          <w:szCs w:val="22"/>
        </w:rPr>
        <w:t>4</w:t>
      </w:r>
      <w:r w:rsidRPr="00A94120">
        <w:rPr>
          <w:rFonts w:ascii="Tahoma" w:hAnsi="Tahoma" w:cs="Tahoma"/>
          <w:sz w:val="22"/>
          <w:szCs w:val="22"/>
        </w:rPr>
        <w:t>-</w:t>
      </w:r>
      <w:r w:rsidR="00DF1B24" w:rsidRPr="00A94120">
        <w:rPr>
          <w:rFonts w:ascii="Tahoma" w:hAnsi="Tahoma" w:cs="Tahoma"/>
          <w:sz w:val="22"/>
          <w:szCs w:val="22"/>
        </w:rPr>
        <w:t>002</w:t>
      </w:r>
      <w:r w:rsidRPr="00A94120">
        <w:rPr>
          <w:rFonts w:ascii="Tahoma" w:hAnsi="Tahoma" w:cs="Tahoma"/>
          <w:sz w:val="22"/>
          <w:szCs w:val="22"/>
        </w:rPr>
        <w:t xml:space="preserve">, na </w:t>
      </w:r>
      <w:r w:rsidR="003C5487" w:rsidRPr="00A94120">
        <w:rPr>
          <w:rFonts w:ascii="Tahoma" w:hAnsi="Tahoma" w:cs="Tahoma"/>
          <w:sz w:val="22"/>
          <w:szCs w:val="22"/>
        </w:rPr>
        <w:t xml:space="preserve">cidade de São Paulo, </w:t>
      </w:r>
      <w:r w:rsidRPr="00A94120">
        <w:rPr>
          <w:rFonts w:ascii="Tahoma" w:hAnsi="Tahoma" w:cs="Tahoma"/>
          <w:sz w:val="22"/>
          <w:szCs w:val="22"/>
        </w:rPr>
        <w:t>Estado de São Paulo.</w:t>
      </w:r>
    </w:p>
    <w:p w14:paraId="563F6D40" w14:textId="684A9E1B" w:rsidR="00E44738" w:rsidRPr="00A94120"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A94120">
        <w:rPr>
          <w:rFonts w:ascii="Tahoma" w:hAnsi="Tahoma" w:cs="Tahoma"/>
          <w:b/>
          <w:sz w:val="22"/>
          <w:szCs w:val="22"/>
        </w:rPr>
        <w:t>CONVOCAÇÃO:</w:t>
      </w:r>
      <w:r w:rsidRPr="00A94120">
        <w:rPr>
          <w:rFonts w:ascii="Tahoma" w:hAnsi="Tahoma" w:cs="Tahoma"/>
          <w:color w:val="000000"/>
          <w:sz w:val="22"/>
          <w:szCs w:val="22"/>
        </w:rPr>
        <w:t xml:space="preserve"> </w:t>
      </w:r>
      <w:r w:rsidR="00E3397C" w:rsidRPr="00A94120">
        <w:rPr>
          <w:rFonts w:ascii="Tahoma" w:hAnsi="Tahoma" w:cs="Tahoma"/>
          <w:sz w:val="22"/>
          <w:szCs w:val="22"/>
        </w:rPr>
        <w:t xml:space="preserve">Convocados os </w:t>
      </w:r>
      <w:r w:rsidR="00244309" w:rsidRPr="00A94120">
        <w:rPr>
          <w:rFonts w:ascii="Tahoma" w:hAnsi="Tahoma" w:cs="Tahoma"/>
          <w:sz w:val="22"/>
          <w:szCs w:val="22"/>
        </w:rPr>
        <w:t xml:space="preserve">titulares das debêntures </w:t>
      </w:r>
      <w:r w:rsidR="004D045D" w:rsidRPr="00A94120">
        <w:rPr>
          <w:rFonts w:ascii="Tahoma" w:hAnsi="Tahoma" w:cs="Tahoma"/>
          <w:sz w:val="22"/>
          <w:szCs w:val="22"/>
        </w:rPr>
        <w:t>da 4ª (quarta) emissão pública de debêntures simples, não conversíveis em ações, da espécie quirografária, com garantia adicional fidejussória, em série única, para distribuição pública, com esforços restritos de distribuição</w:t>
      </w:r>
      <w:r w:rsidR="00E3397C" w:rsidRPr="00A94120">
        <w:rPr>
          <w:rFonts w:ascii="Tahoma" w:hAnsi="Tahoma" w:cs="Tahoma"/>
          <w:sz w:val="22"/>
          <w:szCs w:val="22"/>
        </w:rPr>
        <w:t xml:space="preserve">, nos termos </w:t>
      </w:r>
      <w:r w:rsidR="00244309" w:rsidRPr="00A94120">
        <w:rPr>
          <w:rFonts w:ascii="Tahoma" w:hAnsi="Tahoma" w:cs="Tahoma"/>
          <w:sz w:val="22"/>
          <w:szCs w:val="22"/>
        </w:rPr>
        <w:t xml:space="preserve">do artigo 71 §2º e do artigo 124, da Lei nº. 6.404, de 15 de dezembro de 1976, conforme alterada </w:t>
      </w:r>
      <w:bookmarkStart w:id="0" w:name="_Hlk12884354"/>
      <w:r w:rsidR="00244309" w:rsidRPr="00A94120">
        <w:rPr>
          <w:rFonts w:ascii="Tahoma" w:hAnsi="Tahoma" w:cs="Tahoma"/>
          <w:sz w:val="22"/>
          <w:szCs w:val="22"/>
        </w:rPr>
        <w:t>(“</w:t>
      </w:r>
      <w:r w:rsidR="00244309" w:rsidRPr="00A94120">
        <w:rPr>
          <w:rFonts w:ascii="Tahoma" w:hAnsi="Tahoma" w:cs="Tahoma"/>
          <w:sz w:val="22"/>
          <w:szCs w:val="22"/>
          <w:u w:val="single"/>
        </w:rPr>
        <w:t>Lei das Sociedades por Ações</w:t>
      </w:r>
      <w:r w:rsidR="00244309" w:rsidRPr="00A94120">
        <w:rPr>
          <w:rFonts w:ascii="Tahoma" w:hAnsi="Tahoma" w:cs="Tahoma"/>
          <w:sz w:val="22"/>
          <w:szCs w:val="22"/>
        </w:rPr>
        <w:t>”)</w:t>
      </w:r>
      <w:bookmarkEnd w:id="0"/>
      <w:r w:rsidR="00244309" w:rsidRPr="00A94120">
        <w:rPr>
          <w:rFonts w:ascii="Tahoma" w:hAnsi="Tahoma" w:cs="Tahoma"/>
          <w:sz w:val="22"/>
          <w:szCs w:val="22"/>
        </w:rPr>
        <w:t xml:space="preserve"> e </w:t>
      </w:r>
      <w:r w:rsidR="00257949" w:rsidRPr="00A94120">
        <w:rPr>
          <w:rFonts w:ascii="Tahoma" w:hAnsi="Tahoma" w:cs="Tahoma"/>
          <w:sz w:val="22"/>
          <w:szCs w:val="22"/>
        </w:rPr>
        <w:t>das Cláusulas 5.27.1 e 10.2.1 do “</w:t>
      </w:r>
      <w:r w:rsidR="00257949" w:rsidRPr="00A94120">
        <w:rPr>
          <w:rFonts w:ascii="Tahoma" w:hAnsi="Tahoma" w:cs="Tahoma"/>
          <w:i/>
          <w:iCs/>
          <w:sz w:val="22"/>
          <w:szCs w:val="22"/>
        </w:rPr>
        <w:t>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r w:rsidR="00257949" w:rsidRPr="00A94120">
        <w:rPr>
          <w:rFonts w:ascii="Tahoma" w:hAnsi="Tahoma" w:cs="Tahoma"/>
          <w:sz w:val="22"/>
          <w:szCs w:val="22"/>
        </w:rPr>
        <w:t xml:space="preserve">” celebrado em 11 de janeiro de 2019 entre a </w:t>
      </w:r>
      <w:r w:rsidR="00BA2D5A" w:rsidRPr="00A94120">
        <w:rPr>
          <w:rFonts w:ascii="Tahoma" w:hAnsi="Tahoma" w:cs="Tahoma"/>
          <w:sz w:val="22"/>
          <w:szCs w:val="22"/>
        </w:rPr>
        <w:t>Empreendimentos Pague Menos S.A. (“</w:t>
      </w:r>
      <w:r w:rsidR="00257949" w:rsidRPr="00A94120">
        <w:rPr>
          <w:rFonts w:ascii="Tahoma" w:hAnsi="Tahoma" w:cs="Tahoma"/>
          <w:sz w:val="22"/>
          <w:szCs w:val="22"/>
          <w:u w:val="single"/>
        </w:rPr>
        <w:t>Companhia</w:t>
      </w:r>
      <w:r w:rsidR="00BA2D5A" w:rsidRPr="00A94120">
        <w:rPr>
          <w:rFonts w:ascii="Tahoma" w:hAnsi="Tahoma" w:cs="Tahoma"/>
          <w:sz w:val="22"/>
          <w:szCs w:val="22"/>
        </w:rPr>
        <w:t>”)</w:t>
      </w:r>
      <w:r w:rsidR="00953AAB">
        <w:rPr>
          <w:rFonts w:ascii="Tahoma" w:hAnsi="Tahoma" w:cs="Tahoma"/>
          <w:sz w:val="22"/>
          <w:szCs w:val="22"/>
        </w:rPr>
        <w:t>,</w:t>
      </w:r>
      <w:r w:rsidR="00257949" w:rsidRPr="00A94120">
        <w:rPr>
          <w:rFonts w:ascii="Tahoma" w:hAnsi="Tahoma" w:cs="Tahoma"/>
          <w:sz w:val="22"/>
          <w:szCs w:val="22"/>
        </w:rPr>
        <w:t xml:space="preserve"> </w:t>
      </w:r>
      <w:r w:rsidR="00BA2D5A" w:rsidRPr="00A94120">
        <w:rPr>
          <w:rFonts w:ascii="Tahoma" w:hAnsi="Tahoma" w:cs="Tahoma"/>
          <w:sz w:val="22"/>
          <w:szCs w:val="22"/>
        </w:rPr>
        <w:t xml:space="preserve">o Agente </w:t>
      </w:r>
      <w:r w:rsidR="00257949" w:rsidRPr="00A94120">
        <w:rPr>
          <w:rFonts w:ascii="Tahoma" w:hAnsi="Tahoma" w:cs="Tahoma"/>
          <w:sz w:val="22"/>
          <w:szCs w:val="22"/>
        </w:rPr>
        <w:t>Fiduciário</w:t>
      </w:r>
      <w:r w:rsidR="00BA2D5A" w:rsidRPr="00A94120">
        <w:rPr>
          <w:rFonts w:ascii="Tahoma" w:hAnsi="Tahoma" w:cs="Tahoma"/>
          <w:sz w:val="22"/>
          <w:szCs w:val="22"/>
        </w:rPr>
        <w:t xml:space="preserve"> (conforme abaixo definido)</w:t>
      </w:r>
      <w:r w:rsidR="00953AAB">
        <w:rPr>
          <w:rFonts w:ascii="Tahoma" w:hAnsi="Tahoma" w:cs="Tahoma"/>
          <w:sz w:val="22"/>
          <w:szCs w:val="22"/>
        </w:rPr>
        <w:t xml:space="preserve"> e a </w:t>
      </w:r>
      <w:proofErr w:type="spellStart"/>
      <w:r w:rsidR="00953AAB">
        <w:rPr>
          <w:rFonts w:ascii="Tahoma" w:hAnsi="Tahoma" w:cs="Tahoma"/>
          <w:sz w:val="22"/>
          <w:szCs w:val="22"/>
        </w:rPr>
        <w:t>Dupar</w:t>
      </w:r>
      <w:proofErr w:type="spellEnd"/>
      <w:r w:rsidR="00953AAB">
        <w:rPr>
          <w:rFonts w:ascii="Tahoma" w:hAnsi="Tahoma" w:cs="Tahoma"/>
          <w:sz w:val="22"/>
          <w:szCs w:val="22"/>
        </w:rPr>
        <w:t xml:space="preserve"> Participações S.A., na qualidade de fiadora (“</w:t>
      </w:r>
      <w:r w:rsidR="00953AAB" w:rsidRPr="00D478BF">
        <w:rPr>
          <w:rFonts w:ascii="Tahoma" w:hAnsi="Tahoma" w:cs="Tahoma"/>
          <w:sz w:val="22"/>
          <w:szCs w:val="22"/>
          <w:u w:val="single"/>
        </w:rPr>
        <w:t>Fiadora</w:t>
      </w:r>
      <w:r w:rsidR="00953AAB">
        <w:rPr>
          <w:rFonts w:ascii="Tahoma" w:hAnsi="Tahoma" w:cs="Tahoma"/>
          <w:sz w:val="22"/>
          <w:szCs w:val="22"/>
        </w:rPr>
        <w:t>”)</w:t>
      </w:r>
      <w:r w:rsidR="00257949" w:rsidRPr="00A94120">
        <w:rPr>
          <w:rFonts w:ascii="Tahoma" w:hAnsi="Tahoma" w:cs="Tahoma"/>
          <w:sz w:val="22"/>
          <w:szCs w:val="22"/>
        </w:rPr>
        <w:t>, conforme aditado (“</w:t>
      </w:r>
      <w:r w:rsidR="00257949" w:rsidRPr="00A94120">
        <w:rPr>
          <w:rFonts w:ascii="Tahoma" w:hAnsi="Tahoma" w:cs="Tahoma"/>
          <w:sz w:val="22"/>
          <w:szCs w:val="22"/>
          <w:u w:val="single"/>
        </w:rPr>
        <w:t>Escritura de Emissão</w:t>
      </w:r>
      <w:r w:rsidR="00257949" w:rsidRPr="00A94120">
        <w:rPr>
          <w:rFonts w:ascii="Tahoma" w:hAnsi="Tahoma" w:cs="Tahoma"/>
          <w:sz w:val="22"/>
          <w:szCs w:val="22"/>
        </w:rPr>
        <w:t>”)</w:t>
      </w:r>
      <w:r w:rsidR="00E3397C" w:rsidRPr="00A94120">
        <w:rPr>
          <w:rFonts w:ascii="Tahoma" w:hAnsi="Tahoma" w:cs="Tahoma"/>
          <w:sz w:val="22"/>
          <w:szCs w:val="22"/>
        </w:rPr>
        <w:t xml:space="preserve">, mediante edital de </w:t>
      </w:r>
      <w:r w:rsidR="00BA2D5A" w:rsidRPr="00A94120">
        <w:rPr>
          <w:rFonts w:ascii="Tahoma" w:hAnsi="Tahoma" w:cs="Tahoma"/>
          <w:sz w:val="22"/>
          <w:szCs w:val="22"/>
        </w:rPr>
        <w:t>primeira</w:t>
      </w:r>
      <w:r w:rsidR="00580020" w:rsidRPr="00A94120">
        <w:rPr>
          <w:rFonts w:ascii="Tahoma" w:hAnsi="Tahoma" w:cs="Tahoma"/>
          <w:sz w:val="22"/>
          <w:szCs w:val="22"/>
        </w:rPr>
        <w:t xml:space="preserve"> </w:t>
      </w:r>
      <w:r w:rsidR="00E3397C" w:rsidRPr="00A94120">
        <w:rPr>
          <w:rFonts w:ascii="Tahoma" w:hAnsi="Tahoma" w:cs="Tahoma"/>
          <w:sz w:val="22"/>
          <w:szCs w:val="22"/>
        </w:rPr>
        <w:t xml:space="preserve">convocação </w:t>
      </w:r>
      <w:r w:rsidR="000051ED" w:rsidRPr="00A94120">
        <w:rPr>
          <w:rFonts w:ascii="Tahoma" w:hAnsi="Tahoma" w:cs="Tahoma"/>
          <w:bCs/>
          <w:sz w:val="22"/>
          <w:szCs w:val="22"/>
        </w:rPr>
        <w:t xml:space="preserve">publicado nos dias </w:t>
      </w:r>
      <w:r w:rsidR="00723574">
        <w:rPr>
          <w:rFonts w:ascii="Tahoma" w:hAnsi="Tahoma" w:cs="Tahoma"/>
          <w:sz w:val="22"/>
          <w:szCs w:val="22"/>
        </w:rPr>
        <w:t>06</w:t>
      </w:r>
      <w:r w:rsidR="00723574" w:rsidRPr="002F71A3">
        <w:rPr>
          <w:rFonts w:ascii="Tahoma" w:hAnsi="Tahoma" w:cs="Tahoma"/>
          <w:bCs/>
          <w:sz w:val="22"/>
          <w:szCs w:val="22"/>
        </w:rPr>
        <w:t xml:space="preserve">, </w:t>
      </w:r>
      <w:r w:rsidR="00723574">
        <w:rPr>
          <w:rFonts w:ascii="Tahoma" w:hAnsi="Tahoma" w:cs="Tahoma"/>
          <w:sz w:val="22"/>
          <w:szCs w:val="22"/>
        </w:rPr>
        <w:t>10</w:t>
      </w:r>
      <w:r w:rsidR="00723574" w:rsidRPr="002F71A3">
        <w:rPr>
          <w:rFonts w:ascii="Tahoma" w:hAnsi="Tahoma" w:cs="Tahoma"/>
          <w:bCs/>
          <w:sz w:val="22"/>
          <w:szCs w:val="22"/>
        </w:rPr>
        <w:t xml:space="preserve"> </w:t>
      </w:r>
      <w:r w:rsidR="00805063" w:rsidRPr="002F71A3">
        <w:rPr>
          <w:rFonts w:ascii="Tahoma" w:hAnsi="Tahoma" w:cs="Tahoma"/>
          <w:bCs/>
          <w:sz w:val="22"/>
          <w:szCs w:val="22"/>
        </w:rPr>
        <w:t xml:space="preserve">e </w:t>
      </w:r>
      <w:r w:rsidR="00055F73" w:rsidRPr="003F4B5F">
        <w:rPr>
          <w:rFonts w:ascii="Tahoma" w:hAnsi="Tahoma" w:cs="Tahoma"/>
          <w:sz w:val="22"/>
          <w:szCs w:val="22"/>
        </w:rPr>
        <w:t>[</w:t>
      </w:r>
      <w:r w:rsidR="00055F73" w:rsidRPr="003F4B5F">
        <w:rPr>
          <w:rFonts w:ascii="Tahoma" w:hAnsi="Tahoma" w:cs="Tahoma"/>
          <w:sz w:val="22"/>
          <w:szCs w:val="22"/>
          <w:highlight w:val="yellow"/>
        </w:rPr>
        <w:t>●</w:t>
      </w:r>
      <w:r w:rsidR="00055F73" w:rsidRPr="003F4B5F">
        <w:rPr>
          <w:rFonts w:ascii="Tahoma" w:hAnsi="Tahoma" w:cs="Tahoma"/>
          <w:sz w:val="22"/>
          <w:szCs w:val="22"/>
        </w:rPr>
        <w:t>]</w:t>
      </w:r>
      <w:r w:rsidR="00805063" w:rsidRPr="002F71A3">
        <w:rPr>
          <w:rFonts w:ascii="Tahoma" w:hAnsi="Tahoma" w:cs="Tahoma"/>
          <w:bCs/>
          <w:sz w:val="22"/>
          <w:szCs w:val="22"/>
        </w:rPr>
        <w:t xml:space="preserve"> </w:t>
      </w:r>
      <w:r w:rsidR="000051ED" w:rsidRPr="00A94120">
        <w:rPr>
          <w:rFonts w:ascii="Tahoma" w:hAnsi="Tahoma" w:cs="Tahoma"/>
          <w:bCs/>
          <w:sz w:val="22"/>
          <w:szCs w:val="22"/>
        </w:rPr>
        <w:t xml:space="preserve">de </w:t>
      </w:r>
      <w:r w:rsidR="00055F73">
        <w:rPr>
          <w:rFonts w:ascii="Tahoma" w:hAnsi="Tahoma" w:cs="Tahoma"/>
          <w:bCs/>
          <w:sz w:val="22"/>
          <w:szCs w:val="22"/>
        </w:rPr>
        <w:t>fevereiro</w:t>
      </w:r>
      <w:r w:rsidR="00055F73" w:rsidRPr="002F71A3">
        <w:rPr>
          <w:rFonts w:ascii="Tahoma" w:hAnsi="Tahoma" w:cs="Tahoma"/>
          <w:bCs/>
          <w:sz w:val="22"/>
          <w:szCs w:val="22"/>
        </w:rPr>
        <w:t xml:space="preserve"> </w:t>
      </w:r>
      <w:r w:rsidR="000051ED" w:rsidRPr="002F71A3">
        <w:rPr>
          <w:rFonts w:ascii="Tahoma" w:hAnsi="Tahoma" w:cs="Tahoma"/>
          <w:bCs/>
          <w:sz w:val="22"/>
          <w:szCs w:val="22"/>
        </w:rPr>
        <w:t>de 20</w:t>
      </w:r>
      <w:r w:rsidR="00055F73">
        <w:rPr>
          <w:rFonts w:ascii="Tahoma" w:hAnsi="Tahoma" w:cs="Tahoma"/>
          <w:bCs/>
          <w:sz w:val="22"/>
          <w:szCs w:val="22"/>
        </w:rPr>
        <w:t>20</w:t>
      </w:r>
      <w:r w:rsidR="000051ED" w:rsidRPr="002F71A3">
        <w:rPr>
          <w:rFonts w:ascii="Tahoma" w:hAnsi="Tahoma" w:cs="Tahoma"/>
          <w:bCs/>
          <w:sz w:val="22"/>
          <w:szCs w:val="22"/>
        </w:rPr>
        <w:t xml:space="preserve"> no Diário Oficial do Estado </w:t>
      </w:r>
      <w:r w:rsidR="00413D7B" w:rsidRPr="00A94120">
        <w:rPr>
          <w:rFonts w:ascii="Tahoma" w:hAnsi="Tahoma" w:cs="Tahoma"/>
          <w:bCs/>
          <w:sz w:val="22"/>
          <w:szCs w:val="22"/>
        </w:rPr>
        <w:t>do Cear</w:t>
      </w:r>
      <w:r w:rsidR="00055F73">
        <w:rPr>
          <w:rFonts w:ascii="Tahoma" w:hAnsi="Tahoma" w:cs="Tahoma"/>
          <w:bCs/>
          <w:sz w:val="22"/>
          <w:szCs w:val="22"/>
        </w:rPr>
        <w:t>á</w:t>
      </w:r>
      <w:r w:rsidR="000051ED" w:rsidRPr="002F71A3">
        <w:rPr>
          <w:rFonts w:ascii="Tahoma" w:hAnsi="Tahoma" w:cs="Tahoma"/>
          <w:bCs/>
          <w:sz w:val="22"/>
          <w:szCs w:val="22"/>
        </w:rPr>
        <w:t xml:space="preserve"> e nos dias </w:t>
      </w:r>
      <w:r w:rsidR="00723574">
        <w:rPr>
          <w:rFonts w:ascii="Tahoma" w:hAnsi="Tahoma" w:cs="Tahoma"/>
          <w:sz w:val="22"/>
          <w:szCs w:val="22"/>
        </w:rPr>
        <w:t>06</w:t>
      </w:r>
      <w:r w:rsidR="00723574" w:rsidRPr="002F71A3">
        <w:rPr>
          <w:rFonts w:ascii="Tahoma" w:hAnsi="Tahoma" w:cs="Tahoma"/>
          <w:bCs/>
          <w:sz w:val="22"/>
          <w:szCs w:val="22"/>
        </w:rPr>
        <w:t xml:space="preserve">, </w:t>
      </w:r>
      <w:r w:rsidR="00055F73" w:rsidRPr="003F4B5F">
        <w:rPr>
          <w:rFonts w:ascii="Tahoma" w:hAnsi="Tahoma" w:cs="Tahoma"/>
          <w:sz w:val="22"/>
          <w:szCs w:val="22"/>
        </w:rPr>
        <w:t>[</w:t>
      </w:r>
      <w:r w:rsidR="00055F73" w:rsidRPr="003F4B5F">
        <w:rPr>
          <w:rFonts w:ascii="Tahoma" w:hAnsi="Tahoma" w:cs="Tahoma"/>
          <w:sz w:val="22"/>
          <w:szCs w:val="22"/>
          <w:highlight w:val="yellow"/>
        </w:rPr>
        <w:t>●</w:t>
      </w:r>
      <w:r w:rsidR="00055F73" w:rsidRPr="003F4B5F">
        <w:rPr>
          <w:rFonts w:ascii="Tahoma" w:hAnsi="Tahoma" w:cs="Tahoma"/>
          <w:sz w:val="22"/>
          <w:szCs w:val="22"/>
        </w:rPr>
        <w:t>]</w:t>
      </w:r>
      <w:r w:rsidR="00805063" w:rsidRPr="002F71A3">
        <w:rPr>
          <w:rFonts w:ascii="Tahoma" w:hAnsi="Tahoma" w:cs="Tahoma"/>
          <w:bCs/>
          <w:sz w:val="22"/>
          <w:szCs w:val="22"/>
        </w:rPr>
        <w:t xml:space="preserve"> </w:t>
      </w:r>
      <w:r w:rsidR="000051ED" w:rsidRPr="002F71A3">
        <w:rPr>
          <w:rFonts w:ascii="Tahoma" w:hAnsi="Tahoma" w:cs="Tahoma"/>
          <w:bCs/>
          <w:sz w:val="22"/>
          <w:szCs w:val="22"/>
        </w:rPr>
        <w:t xml:space="preserve">e </w:t>
      </w:r>
      <w:r w:rsidR="00723574">
        <w:rPr>
          <w:rFonts w:ascii="Tahoma" w:hAnsi="Tahoma" w:cs="Tahoma"/>
          <w:sz w:val="22"/>
          <w:szCs w:val="22"/>
        </w:rPr>
        <w:t>12</w:t>
      </w:r>
      <w:r w:rsidR="00723574" w:rsidRPr="002F71A3">
        <w:rPr>
          <w:rFonts w:ascii="Tahoma" w:hAnsi="Tahoma" w:cs="Tahoma"/>
          <w:bCs/>
          <w:sz w:val="22"/>
          <w:szCs w:val="22"/>
        </w:rPr>
        <w:t xml:space="preserve"> </w:t>
      </w:r>
      <w:r w:rsidR="00580020" w:rsidRPr="002F71A3">
        <w:rPr>
          <w:rFonts w:ascii="Tahoma" w:hAnsi="Tahoma" w:cs="Tahoma"/>
          <w:bCs/>
          <w:sz w:val="22"/>
          <w:szCs w:val="22"/>
        </w:rPr>
        <w:t xml:space="preserve">de </w:t>
      </w:r>
      <w:r w:rsidR="00055F73">
        <w:rPr>
          <w:rFonts w:ascii="Tahoma" w:hAnsi="Tahoma" w:cs="Tahoma"/>
          <w:bCs/>
          <w:sz w:val="22"/>
          <w:szCs w:val="22"/>
        </w:rPr>
        <w:t>fevereiro</w:t>
      </w:r>
      <w:r w:rsidR="00055F73" w:rsidRPr="002F71A3">
        <w:rPr>
          <w:rFonts w:ascii="Tahoma" w:hAnsi="Tahoma" w:cs="Tahoma"/>
          <w:bCs/>
          <w:sz w:val="22"/>
          <w:szCs w:val="22"/>
        </w:rPr>
        <w:t xml:space="preserve"> </w:t>
      </w:r>
      <w:r w:rsidR="000051ED" w:rsidRPr="002F71A3">
        <w:rPr>
          <w:rFonts w:ascii="Tahoma" w:hAnsi="Tahoma" w:cs="Tahoma"/>
          <w:bCs/>
          <w:sz w:val="22"/>
          <w:szCs w:val="22"/>
        </w:rPr>
        <w:t>n</w:t>
      </w:r>
      <w:r w:rsidR="00055F73">
        <w:rPr>
          <w:rFonts w:ascii="Tahoma" w:hAnsi="Tahoma" w:cs="Tahoma"/>
          <w:bCs/>
          <w:sz w:val="22"/>
          <w:szCs w:val="22"/>
        </w:rPr>
        <w:t>o</w:t>
      </w:r>
      <w:r w:rsidR="000051ED" w:rsidRPr="002F71A3">
        <w:rPr>
          <w:rFonts w:ascii="Tahoma" w:hAnsi="Tahoma" w:cs="Tahoma"/>
          <w:bCs/>
          <w:sz w:val="22"/>
          <w:szCs w:val="22"/>
        </w:rPr>
        <w:t xml:space="preserve"> “</w:t>
      </w:r>
      <w:r w:rsidR="00413D7B" w:rsidRPr="002F71A3">
        <w:rPr>
          <w:rFonts w:ascii="Tahoma" w:hAnsi="Tahoma" w:cs="Tahoma"/>
          <w:bCs/>
          <w:sz w:val="22"/>
          <w:szCs w:val="22"/>
        </w:rPr>
        <w:t>Jornal O Povo</w:t>
      </w:r>
      <w:r w:rsidR="000051ED" w:rsidRPr="00A94120">
        <w:rPr>
          <w:rFonts w:ascii="Tahoma" w:hAnsi="Tahoma" w:cs="Tahoma"/>
          <w:bCs/>
          <w:sz w:val="22"/>
          <w:szCs w:val="22"/>
        </w:rPr>
        <w:t>”</w:t>
      </w:r>
      <w:r w:rsidR="00174F59" w:rsidRPr="00A94120">
        <w:rPr>
          <w:rFonts w:ascii="Tahoma" w:hAnsi="Tahoma" w:cs="Tahoma"/>
          <w:sz w:val="22"/>
          <w:szCs w:val="22"/>
        </w:rPr>
        <w:t>.</w:t>
      </w:r>
      <w:r w:rsidR="00374EFC">
        <w:rPr>
          <w:rFonts w:ascii="Tahoma" w:hAnsi="Tahoma" w:cs="Tahoma"/>
          <w:sz w:val="22"/>
          <w:szCs w:val="22"/>
        </w:rPr>
        <w:t xml:space="preserve"> </w:t>
      </w:r>
    </w:p>
    <w:p w14:paraId="5A4F09F0" w14:textId="23F064D4" w:rsidR="00E44738" w:rsidRPr="002F71A3" w:rsidRDefault="00E44738" w:rsidP="003C5487">
      <w:pPr>
        <w:widowControl/>
        <w:numPr>
          <w:ilvl w:val="0"/>
          <w:numId w:val="4"/>
        </w:numPr>
        <w:tabs>
          <w:tab w:val="clear" w:pos="0"/>
          <w:tab w:val="num" w:pos="1134"/>
        </w:tabs>
        <w:spacing w:after="240" w:line="320" w:lineRule="exact"/>
        <w:rPr>
          <w:rFonts w:ascii="Tahoma" w:hAnsi="Tahoma" w:cs="Tahoma"/>
          <w:bCs/>
          <w:sz w:val="22"/>
          <w:szCs w:val="22"/>
        </w:rPr>
      </w:pPr>
      <w:r w:rsidRPr="00A94120">
        <w:rPr>
          <w:rFonts w:ascii="Tahoma" w:hAnsi="Tahoma" w:cs="Tahoma"/>
          <w:b/>
          <w:sz w:val="22"/>
          <w:szCs w:val="22"/>
        </w:rPr>
        <w:t>PRESENÇA:</w:t>
      </w:r>
      <w:r w:rsidR="00522F89" w:rsidRPr="00A94120">
        <w:rPr>
          <w:rFonts w:ascii="Tahoma" w:hAnsi="Tahoma" w:cs="Tahoma"/>
          <w:sz w:val="22"/>
          <w:szCs w:val="22"/>
        </w:rPr>
        <w:t xml:space="preserve"> Presente </w:t>
      </w:r>
      <w:r w:rsidR="003C5487" w:rsidRPr="00A94120">
        <w:rPr>
          <w:rFonts w:ascii="Tahoma" w:hAnsi="Tahoma" w:cs="Tahoma"/>
          <w:b/>
          <w:sz w:val="22"/>
          <w:szCs w:val="22"/>
        </w:rPr>
        <w:t>(i)</w:t>
      </w:r>
      <w:r w:rsidR="00104A2E" w:rsidRPr="00A94120">
        <w:rPr>
          <w:rFonts w:ascii="Tahoma" w:hAnsi="Tahoma" w:cs="Tahoma"/>
          <w:sz w:val="22"/>
          <w:szCs w:val="22"/>
        </w:rPr>
        <w:t xml:space="preserve"> </w:t>
      </w:r>
      <w:r w:rsidR="005705F0" w:rsidRPr="00A94120">
        <w:rPr>
          <w:rFonts w:ascii="Tahoma" w:hAnsi="Tahoma" w:cs="Tahoma"/>
          <w:sz w:val="22"/>
          <w:szCs w:val="22"/>
        </w:rPr>
        <w:t xml:space="preserve">os </w:t>
      </w:r>
      <w:r w:rsidR="00522F89" w:rsidRPr="00A94120">
        <w:rPr>
          <w:rFonts w:ascii="Tahoma" w:hAnsi="Tahoma" w:cs="Tahoma"/>
          <w:sz w:val="22"/>
          <w:szCs w:val="22"/>
        </w:rPr>
        <w:t>debenturistas</w:t>
      </w:r>
      <w:r w:rsidRPr="00A94120">
        <w:rPr>
          <w:rFonts w:ascii="Tahoma" w:hAnsi="Tahoma" w:cs="Tahoma"/>
          <w:sz w:val="22"/>
          <w:szCs w:val="22"/>
        </w:rPr>
        <w:t xml:space="preserve"> representando </w:t>
      </w:r>
      <w:r w:rsidR="00E3397C" w:rsidRPr="00A94120">
        <w:rPr>
          <w:rFonts w:ascii="Tahoma" w:hAnsi="Tahoma" w:cs="Tahoma"/>
          <w:sz w:val="22"/>
          <w:szCs w:val="22"/>
        </w:rPr>
        <w:t>[</w:t>
      </w:r>
      <w:r w:rsidR="00E3397C" w:rsidRPr="00A94120">
        <w:rPr>
          <w:rFonts w:ascii="Tahoma" w:hAnsi="Tahoma" w:cs="Tahoma"/>
          <w:sz w:val="22"/>
          <w:szCs w:val="22"/>
          <w:highlight w:val="yellow"/>
        </w:rPr>
        <w:t>●</w:t>
      </w:r>
      <w:r w:rsidR="00244309" w:rsidRPr="00A94120">
        <w:rPr>
          <w:rFonts w:ascii="Tahoma" w:hAnsi="Tahoma" w:cs="Tahoma"/>
          <w:sz w:val="22"/>
          <w:szCs w:val="22"/>
        </w:rPr>
        <w:t>]</w:t>
      </w:r>
      <w:r w:rsidRPr="00A94120">
        <w:rPr>
          <w:rFonts w:ascii="Tahoma" w:hAnsi="Tahoma" w:cs="Tahoma"/>
          <w:sz w:val="22"/>
          <w:szCs w:val="22"/>
        </w:rPr>
        <w:t xml:space="preserve">% </w:t>
      </w:r>
      <w:r w:rsidRPr="00A94120">
        <w:rPr>
          <w:rFonts w:ascii="Tahoma" w:hAnsi="Tahoma" w:cs="Tahoma"/>
          <w:bCs/>
          <w:sz w:val="22"/>
          <w:szCs w:val="22"/>
        </w:rPr>
        <w:t>(</w:t>
      </w:r>
      <w:r w:rsidR="00E3397C" w:rsidRPr="00A94120">
        <w:rPr>
          <w:rFonts w:ascii="Tahoma" w:hAnsi="Tahoma" w:cs="Tahoma"/>
          <w:sz w:val="22"/>
          <w:szCs w:val="22"/>
        </w:rPr>
        <w:t>[</w:t>
      </w:r>
      <w:r w:rsidR="00E3397C" w:rsidRPr="00A94120">
        <w:rPr>
          <w:rFonts w:ascii="Tahoma" w:hAnsi="Tahoma" w:cs="Tahoma"/>
          <w:sz w:val="22"/>
          <w:szCs w:val="22"/>
          <w:highlight w:val="yellow"/>
        </w:rPr>
        <w:t>●</w:t>
      </w:r>
      <w:r w:rsidR="00E3397C" w:rsidRPr="00A94120">
        <w:rPr>
          <w:rFonts w:ascii="Tahoma" w:hAnsi="Tahoma" w:cs="Tahoma"/>
          <w:sz w:val="22"/>
          <w:szCs w:val="22"/>
        </w:rPr>
        <w:t>]</w:t>
      </w:r>
      <w:r w:rsidRPr="00A94120">
        <w:rPr>
          <w:rFonts w:ascii="Tahoma" w:hAnsi="Tahoma" w:cs="Tahoma"/>
          <w:bCs/>
          <w:sz w:val="22"/>
          <w:szCs w:val="22"/>
        </w:rPr>
        <w:t xml:space="preserve">) das Debêntures em circulação </w:t>
      </w:r>
      <w:r w:rsidRPr="00A94120">
        <w:rPr>
          <w:rFonts w:ascii="Tahoma" w:hAnsi="Tahoma" w:cs="Tahoma"/>
          <w:sz w:val="22"/>
          <w:szCs w:val="22"/>
        </w:rPr>
        <w:t>(“</w:t>
      </w:r>
      <w:r w:rsidRPr="00A94120">
        <w:rPr>
          <w:rFonts w:ascii="Tahoma" w:hAnsi="Tahoma" w:cs="Tahoma"/>
          <w:sz w:val="22"/>
          <w:szCs w:val="22"/>
          <w:u w:val="single"/>
        </w:rPr>
        <w:t>Debenturista</w:t>
      </w:r>
      <w:r w:rsidR="003C5487" w:rsidRPr="00A94120">
        <w:rPr>
          <w:rFonts w:ascii="Tahoma" w:hAnsi="Tahoma" w:cs="Tahoma"/>
          <w:sz w:val="22"/>
          <w:szCs w:val="22"/>
          <w:u w:val="single"/>
        </w:rPr>
        <w:t>s</w:t>
      </w:r>
      <w:r w:rsidRPr="00A94120">
        <w:rPr>
          <w:rFonts w:ascii="Tahoma" w:hAnsi="Tahoma" w:cs="Tahoma"/>
          <w:sz w:val="22"/>
          <w:szCs w:val="22"/>
        </w:rPr>
        <w:t>”), conforme verificou-se da assinatura da Lista de Presença dos Debenturistas</w:t>
      </w:r>
      <w:r w:rsidR="00244309" w:rsidRPr="00A94120">
        <w:rPr>
          <w:rFonts w:ascii="Tahoma" w:hAnsi="Tahoma" w:cs="Tahoma"/>
          <w:sz w:val="22"/>
          <w:szCs w:val="22"/>
        </w:rPr>
        <w:t>, anexa à presente at</w:t>
      </w:r>
      <w:r w:rsidR="00174F59" w:rsidRPr="00A94120">
        <w:rPr>
          <w:rFonts w:ascii="Tahoma" w:hAnsi="Tahoma" w:cs="Tahoma"/>
          <w:sz w:val="22"/>
          <w:szCs w:val="22"/>
        </w:rPr>
        <w:t>a</w:t>
      </w:r>
      <w:r w:rsidR="003C5487" w:rsidRPr="00A94120">
        <w:rPr>
          <w:rFonts w:ascii="Tahoma" w:hAnsi="Tahoma" w:cs="Tahoma"/>
          <w:sz w:val="22"/>
          <w:szCs w:val="22"/>
        </w:rPr>
        <w:t xml:space="preserve">; </w:t>
      </w:r>
      <w:r w:rsidR="003C5487" w:rsidRPr="00A94120">
        <w:rPr>
          <w:rFonts w:ascii="Tahoma" w:hAnsi="Tahoma" w:cs="Tahoma"/>
          <w:b/>
          <w:sz w:val="22"/>
          <w:szCs w:val="22"/>
        </w:rPr>
        <w:t>(</w:t>
      </w:r>
      <w:proofErr w:type="spellStart"/>
      <w:r w:rsidR="003C5487" w:rsidRPr="00A94120">
        <w:rPr>
          <w:rFonts w:ascii="Tahoma" w:hAnsi="Tahoma" w:cs="Tahoma"/>
          <w:b/>
          <w:sz w:val="22"/>
          <w:szCs w:val="22"/>
        </w:rPr>
        <w:t>ii</w:t>
      </w:r>
      <w:proofErr w:type="spellEnd"/>
      <w:r w:rsidR="003C5487" w:rsidRPr="00A94120">
        <w:rPr>
          <w:rFonts w:ascii="Tahoma" w:hAnsi="Tahoma" w:cs="Tahoma"/>
          <w:b/>
          <w:sz w:val="22"/>
          <w:szCs w:val="22"/>
        </w:rPr>
        <w:t>)</w:t>
      </w:r>
      <w:r w:rsidR="003C5487" w:rsidRPr="00A94120">
        <w:rPr>
          <w:rFonts w:ascii="Tahoma" w:hAnsi="Tahoma" w:cs="Tahoma"/>
          <w:sz w:val="22"/>
          <w:szCs w:val="22"/>
        </w:rPr>
        <w:t xml:space="preserve"> </w:t>
      </w:r>
      <w:r w:rsidRPr="00A94120">
        <w:rPr>
          <w:rFonts w:ascii="Tahoma" w:hAnsi="Tahoma" w:cs="Tahoma"/>
          <w:sz w:val="22"/>
          <w:szCs w:val="22"/>
        </w:rPr>
        <w:t xml:space="preserve">o representante da </w:t>
      </w:r>
      <w:r w:rsidR="00EF31DD" w:rsidRPr="00A94120">
        <w:rPr>
          <w:rFonts w:ascii="Tahoma" w:hAnsi="Tahoma" w:cs="Tahoma"/>
          <w:sz w:val="22"/>
          <w:szCs w:val="22"/>
        </w:rPr>
        <w:t>Simplific Pavarini Distribuidora de Títulos e Valores Mobiliários Ltda.</w:t>
      </w:r>
      <w:r w:rsidR="001B0300" w:rsidRPr="00A94120">
        <w:rPr>
          <w:rFonts w:ascii="Tahoma" w:hAnsi="Tahoma" w:cs="Tahoma"/>
          <w:sz w:val="22"/>
          <w:szCs w:val="22"/>
        </w:rPr>
        <w:t xml:space="preserve">, </w:t>
      </w:r>
      <w:r w:rsidRPr="00A94120">
        <w:rPr>
          <w:rFonts w:ascii="Tahoma" w:hAnsi="Tahoma" w:cs="Tahoma"/>
          <w:sz w:val="22"/>
          <w:szCs w:val="22"/>
        </w:rPr>
        <w:t>na q</w:t>
      </w:r>
      <w:r w:rsidR="00244309" w:rsidRPr="00A94120">
        <w:rPr>
          <w:rFonts w:ascii="Tahoma" w:hAnsi="Tahoma" w:cs="Tahoma"/>
          <w:sz w:val="22"/>
          <w:szCs w:val="22"/>
        </w:rPr>
        <w:t>ualidade de agente fiduciário da Emissão</w:t>
      </w:r>
      <w:r w:rsidRPr="00A94120">
        <w:rPr>
          <w:rFonts w:ascii="Tahoma" w:hAnsi="Tahoma" w:cs="Tahoma"/>
          <w:sz w:val="22"/>
          <w:szCs w:val="22"/>
        </w:rPr>
        <w:t xml:space="preserve"> (“</w:t>
      </w:r>
      <w:r w:rsidRPr="00A94120">
        <w:rPr>
          <w:rFonts w:ascii="Tahoma" w:hAnsi="Tahoma" w:cs="Tahoma"/>
          <w:sz w:val="22"/>
          <w:szCs w:val="22"/>
          <w:u w:val="single"/>
        </w:rPr>
        <w:t>Agente Fiduciário</w:t>
      </w:r>
      <w:r w:rsidRPr="00A94120">
        <w:rPr>
          <w:rFonts w:ascii="Tahoma" w:hAnsi="Tahoma" w:cs="Tahoma"/>
          <w:sz w:val="22"/>
          <w:szCs w:val="22"/>
        </w:rPr>
        <w:t>”)</w:t>
      </w:r>
      <w:r w:rsidR="003C5487" w:rsidRPr="00A94120">
        <w:rPr>
          <w:rFonts w:ascii="Tahoma" w:hAnsi="Tahoma" w:cs="Tahoma"/>
          <w:sz w:val="22"/>
          <w:szCs w:val="22"/>
        </w:rPr>
        <w:t>;</w:t>
      </w:r>
      <w:r w:rsidRPr="00A94120">
        <w:rPr>
          <w:rFonts w:ascii="Tahoma" w:hAnsi="Tahoma" w:cs="Tahoma"/>
          <w:sz w:val="22"/>
          <w:szCs w:val="22"/>
        </w:rPr>
        <w:t xml:space="preserve"> e </w:t>
      </w:r>
      <w:r w:rsidR="003C5487" w:rsidRPr="00A94120">
        <w:rPr>
          <w:rFonts w:ascii="Tahoma" w:hAnsi="Tahoma" w:cs="Tahoma"/>
          <w:b/>
          <w:sz w:val="22"/>
          <w:szCs w:val="22"/>
        </w:rPr>
        <w:t>(</w:t>
      </w:r>
      <w:proofErr w:type="spellStart"/>
      <w:r w:rsidR="003C5487" w:rsidRPr="00A94120">
        <w:rPr>
          <w:rFonts w:ascii="Tahoma" w:hAnsi="Tahoma" w:cs="Tahoma"/>
          <w:b/>
          <w:sz w:val="22"/>
          <w:szCs w:val="22"/>
        </w:rPr>
        <w:t>iii</w:t>
      </w:r>
      <w:proofErr w:type="spellEnd"/>
      <w:r w:rsidR="003C5487" w:rsidRPr="00A94120">
        <w:rPr>
          <w:rFonts w:ascii="Tahoma" w:hAnsi="Tahoma" w:cs="Tahoma"/>
          <w:b/>
          <w:sz w:val="22"/>
          <w:szCs w:val="22"/>
        </w:rPr>
        <w:t>)</w:t>
      </w:r>
      <w:r w:rsidR="00055F73">
        <w:rPr>
          <w:rFonts w:ascii="Tahoma" w:hAnsi="Tahoma" w:cs="Tahoma"/>
          <w:sz w:val="22"/>
          <w:szCs w:val="22"/>
        </w:rPr>
        <w:t xml:space="preserve"> </w:t>
      </w:r>
      <w:r w:rsidRPr="002F71A3">
        <w:rPr>
          <w:rFonts w:ascii="Tahoma" w:hAnsi="Tahoma" w:cs="Tahoma"/>
          <w:sz w:val="22"/>
          <w:szCs w:val="22"/>
        </w:rPr>
        <w:t>os representantes da Companhia.</w:t>
      </w:r>
    </w:p>
    <w:p w14:paraId="253D264A" w14:textId="053C8AF5" w:rsidR="00E44738" w:rsidRPr="00A94120"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A94120">
        <w:rPr>
          <w:rFonts w:ascii="Tahoma" w:hAnsi="Tahoma" w:cs="Tahoma"/>
          <w:b/>
          <w:sz w:val="22"/>
          <w:szCs w:val="22"/>
        </w:rPr>
        <w:t>MESA:</w:t>
      </w:r>
      <w:r w:rsidRPr="00A94120">
        <w:rPr>
          <w:rFonts w:ascii="Tahoma" w:hAnsi="Tahoma" w:cs="Tahoma"/>
          <w:sz w:val="22"/>
          <w:szCs w:val="22"/>
        </w:rPr>
        <w:t xml:space="preserve"> Presidida pelo Sr. </w:t>
      </w:r>
      <w:r w:rsidR="00905858">
        <w:rPr>
          <w:rFonts w:ascii="Tahoma" w:hAnsi="Tahoma" w:cs="Tahoma"/>
          <w:sz w:val="22"/>
          <w:szCs w:val="22"/>
        </w:rPr>
        <w:t>[</w:t>
      </w:r>
      <w:r w:rsidR="008323D3" w:rsidRPr="002F71A3">
        <w:rPr>
          <w:rFonts w:ascii="Tahoma" w:hAnsi="Tahoma" w:cs="Tahoma"/>
          <w:sz w:val="22"/>
          <w:szCs w:val="22"/>
        </w:rPr>
        <w:t>Matheus Gomes Faria</w:t>
      </w:r>
      <w:r w:rsidR="00905858">
        <w:rPr>
          <w:rFonts w:ascii="Tahoma" w:hAnsi="Tahoma" w:cs="Tahoma"/>
          <w:sz w:val="22"/>
          <w:szCs w:val="22"/>
        </w:rPr>
        <w:t>]</w:t>
      </w:r>
      <w:r w:rsidRPr="002F71A3">
        <w:rPr>
          <w:rFonts w:ascii="Tahoma" w:hAnsi="Tahoma" w:cs="Tahoma"/>
          <w:sz w:val="22"/>
          <w:szCs w:val="22"/>
        </w:rPr>
        <w:t>, e secretariada p</w:t>
      </w:r>
      <w:r w:rsidRPr="00A94120">
        <w:rPr>
          <w:rFonts w:ascii="Tahoma" w:hAnsi="Tahoma" w:cs="Tahoma"/>
          <w:sz w:val="22"/>
          <w:szCs w:val="22"/>
        </w:rPr>
        <w:t xml:space="preserve">elo Sr. </w:t>
      </w:r>
      <w:r w:rsidR="00905858">
        <w:rPr>
          <w:rFonts w:ascii="Tahoma" w:hAnsi="Tahoma" w:cs="Tahoma"/>
          <w:sz w:val="22"/>
          <w:szCs w:val="22"/>
        </w:rPr>
        <w:t>[</w:t>
      </w:r>
      <w:r w:rsidR="00C94A60" w:rsidRPr="002F71A3">
        <w:rPr>
          <w:rFonts w:ascii="Tahoma" w:hAnsi="Tahoma" w:cs="Tahoma"/>
          <w:sz w:val="22"/>
          <w:szCs w:val="22"/>
        </w:rPr>
        <w:t xml:space="preserve">Luiz </w:t>
      </w:r>
      <w:r w:rsidR="00C94A60" w:rsidRPr="00A94120">
        <w:rPr>
          <w:rFonts w:ascii="Tahoma" w:hAnsi="Tahoma" w:cs="Tahoma"/>
          <w:sz w:val="22"/>
          <w:szCs w:val="22"/>
        </w:rPr>
        <w:t>Renato Novais</w:t>
      </w:r>
      <w:r w:rsidR="00905858">
        <w:rPr>
          <w:rFonts w:ascii="Tahoma" w:hAnsi="Tahoma" w:cs="Tahoma"/>
          <w:sz w:val="22"/>
          <w:szCs w:val="22"/>
        </w:rPr>
        <w:t>]</w:t>
      </w:r>
      <w:r w:rsidRPr="00A94120">
        <w:rPr>
          <w:rFonts w:ascii="Tahoma" w:hAnsi="Tahoma" w:cs="Tahoma"/>
          <w:sz w:val="22"/>
          <w:szCs w:val="22"/>
        </w:rPr>
        <w:t xml:space="preserve">. </w:t>
      </w:r>
    </w:p>
    <w:p w14:paraId="35F2A027" w14:textId="2619C931" w:rsidR="003C5487" w:rsidRPr="00A94120"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A94120">
        <w:rPr>
          <w:rFonts w:ascii="Tahoma" w:hAnsi="Tahoma" w:cs="Tahoma"/>
          <w:b/>
          <w:sz w:val="22"/>
          <w:szCs w:val="22"/>
        </w:rPr>
        <w:t>ORDEM DO DIA:</w:t>
      </w:r>
      <w:r w:rsidRPr="00A94120">
        <w:rPr>
          <w:rFonts w:ascii="Tahoma" w:hAnsi="Tahoma" w:cs="Tahoma"/>
          <w:sz w:val="22"/>
          <w:szCs w:val="22"/>
        </w:rPr>
        <w:t xml:space="preserve"> </w:t>
      </w:r>
      <w:r w:rsidR="003C5487" w:rsidRPr="00A94120">
        <w:rPr>
          <w:rFonts w:ascii="Tahoma" w:hAnsi="Tahoma" w:cs="Tahoma"/>
          <w:sz w:val="22"/>
          <w:szCs w:val="22"/>
        </w:rPr>
        <w:t>Deliberar sobre</w:t>
      </w:r>
      <w:r w:rsidR="00C94A60" w:rsidRPr="00A94120">
        <w:rPr>
          <w:rFonts w:ascii="Tahoma" w:hAnsi="Tahoma" w:cs="Tahoma"/>
          <w:sz w:val="22"/>
          <w:szCs w:val="22"/>
        </w:rPr>
        <w:t xml:space="preserve"> as seguintes matérias</w:t>
      </w:r>
      <w:r w:rsidR="003C5487" w:rsidRPr="00A94120">
        <w:rPr>
          <w:rFonts w:ascii="Tahoma" w:hAnsi="Tahoma" w:cs="Tahoma"/>
          <w:sz w:val="22"/>
          <w:szCs w:val="22"/>
        </w:rPr>
        <w:t xml:space="preserve">: </w:t>
      </w:r>
    </w:p>
    <w:p w14:paraId="528010CB" w14:textId="3B4D66E6" w:rsidR="00BF0D3E" w:rsidRPr="00D478BF" w:rsidRDefault="00BF0D3E" w:rsidP="00BF0D3E">
      <w:pPr>
        <w:pStyle w:val="ListParagraph"/>
        <w:widowControl/>
        <w:numPr>
          <w:ilvl w:val="0"/>
          <w:numId w:val="7"/>
        </w:numPr>
        <w:spacing w:after="240" w:line="320" w:lineRule="exact"/>
        <w:rPr>
          <w:rFonts w:ascii="Tahoma" w:hAnsi="Tahoma" w:cs="Tahoma"/>
          <w:sz w:val="22"/>
          <w:szCs w:val="22"/>
          <w:shd w:val="clear" w:color="auto" w:fill="FFFFFF"/>
        </w:rPr>
      </w:pPr>
      <w:r w:rsidRPr="00A94120">
        <w:rPr>
          <w:rFonts w:ascii="Tahoma" w:hAnsi="Tahoma" w:cs="Tahoma"/>
          <w:sz w:val="22"/>
          <w:szCs w:val="22"/>
          <w:shd w:val="clear" w:color="auto" w:fill="FFFFFF"/>
        </w:rPr>
        <w:lastRenderedPageBreak/>
        <w:t>autorizar o Agente Fiduciário a não declarar o vencimento antecipado da 4ª (quarta) Emissão de Debêntures em razão da realização da 5ª (quinta) emissão de Debêntures e de novas assunções de dívidas, ocorridas desde a data de realização da Assembleia Geral de Debenturistas realizada em 30 de dezembro de 2019 até a presente data, para gestão ordinária da Companhia e alongamento de suas dívidas;</w:t>
      </w:r>
    </w:p>
    <w:p w14:paraId="34620223" w14:textId="77777777" w:rsidR="00BF0D3E" w:rsidRPr="00A80024" w:rsidRDefault="004D045D" w:rsidP="00D478BF">
      <w:pPr>
        <w:pStyle w:val="ListParagraph"/>
        <w:widowControl/>
        <w:numPr>
          <w:ilvl w:val="0"/>
          <w:numId w:val="7"/>
        </w:numPr>
        <w:spacing w:after="240" w:line="320" w:lineRule="exact"/>
        <w:rPr>
          <w:rFonts w:ascii="Tahoma" w:hAnsi="Tahoma" w:cs="Tahoma"/>
          <w:sz w:val="22"/>
          <w:szCs w:val="22"/>
          <w:shd w:val="clear" w:color="auto" w:fill="FFFFFF"/>
        </w:rPr>
      </w:pPr>
      <w:r w:rsidRPr="00D478BF">
        <w:rPr>
          <w:rFonts w:ascii="Tahoma" w:hAnsi="Tahoma" w:cs="Tahoma"/>
          <w:sz w:val="22"/>
          <w:szCs w:val="22"/>
          <w:shd w:val="clear" w:color="auto" w:fill="FFFFFF"/>
        </w:rPr>
        <w:t>a</w:t>
      </w:r>
      <w:r w:rsidR="00BF0D3E" w:rsidRPr="00D478BF">
        <w:rPr>
          <w:rFonts w:ascii="Tahoma" w:hAnsi="Tahoma" w:cs="Tahoma"/>
          <w:sz w:val="22"/>
          <w:szCs w:val="22"/>
          <w:shd w:val="clear" w:color="auto" w:fill="FFFFFF"/>
        </w:rPr>
        <w:t>utorizar a celebração de um aditamento à Escritura de Emissão de forma a:</w:t>
      </w:r>
    </w:p>
    <w:p w14:paraId="4A7B0935" w14:textId="4E68E6A1" w:rsidR="00BF0D3E" w:rsidRPr="00A80024" w:rsidRDefault="003806D2" w:rsidP="00D478BF">
      <w:pPr>
        <w:pStyle w:val="ListParagraph"/>
        <w:widowControl/>
        <w:numPr>
          <w:ilvl w:val="1"/>
          <w:numId w:val="7"/>
        </w:numPr>
        <w:spacing w:after="240" w:line="320" w:lineRule="exact"/>
        <w:rPr>
          <w:rFonts w:ascii="Tahoma" w:hAnsi="Tahoma" w:cs="Tahoma"/>
          <w:sz w:val="22"/>
          <w:szCs w:val="22"/>
          <w:shd w:val="clear" w:color="auto" w:fill="FFFFFF"/>
        </w:rPr>
      </w:pPr>
      <w:r w:rsidRPr="00A80024">
        <w:rPr>
          <w:rFonts w:ascii="Tahoma" w:hAnsi="Tahoma" w:cs="Tahoma"/>
          <w:sz w:val="22"/>
          <w:szCs w:val="22"/>
          <w:shd w:val="clear" w:color="auto" w:fill="FFFFFF"/>
        </w:rPr>
        <w:t>a</w:t>
      </w:r>
      <w:r w:rsidR="00BF0D3E" w:rsidRPr="00D478BF">
        <w:rPr>
          <w:rFonts w:ascii="Tahoma" w:hAnsi="Tahoma" w:cs="Tahoma"/>
          <w:sz w:val="22"/>
          <w:szCs w:val="22"/>
          <w:shd w:val="clear" w:color="auto" w:fill="FFFFFF"/>
        </w:rPr>
        <w:t>lterar a redação constante da Cláusula 7.1.2, item (</w:t>
      </w:r>
      <w:proofErr w:type="spellStart"/>
      <w:r w:rsidR="00BF0D3E" w:rsidRPr="00D478BF">
        <w:rPr>
          <w:rFonts w:ascii="Tahoma" w:hAnsi="Tahoma" w:cs="Tahoma"/>
          <w:sz w:val="22"/>
          <w:szCs w:val="22"/>
          <w:shd w:val="clear" w:color="auto" w:fill="FFFFFF"/>
        </w:rPr>
        <w:t>viii</w:t>
      </w:r>
      <w:proofErr w:type="spellEnd"/>
      <w:r w:rsidR="00BF0D3E" w:rsidRPr="00D478BF">
        <w:rPr>
          <w:rFonts w:ascii="Tahoma" w:hAnsi="Tahoma" w:cs="Tahoma"/>
          <w:sz w:val="22"/>
          <w:szCs w:val="22"/>
          <w:shd w:val="clear" w:color="auto" w:fill="FFFFFF"/>
        </w:rPr>
        <w:t>), para excluir o referido Evento de Vencimento Antecipado (conforme definido na Escritura de Emissão), de modo a permitir à Companhia assumir novas dívidas e emitir debêntures e valores mobiliários, uma vez que os limites das captações estão definidos nos Índices Financeiros (</w:t>
      </w:r>
      <w:proofErr w:type="spellStart"/>
      <w:r w:rsidR="00BF0D3E" w:rsidRPr="00D478BF">
        <w:rPr>
          <w:rFonts w:ascii="Tahoma" w:hAnsi="Tahoma" w:cs="Tahoma"/>
          <w:i/>
          <w:sz w:val="22"/>
          <w:szCs w:val="22"/>
          <w:shd w:val="clear" w:color="auto" w:fill="FFFFFF"/>
        </w:rPr>
        <w:t>covenants</w:t>
      </w:r>
      <w:proofErr w:type="spellEnd"/>
      <w:r w:rsidR="00BF0D3E" w:rsidRPr="00D478BF">
        <w:rPr>
          <w:rFonts w:ascii="Tahoma" w:hAnsi="Tahoma" w:cs="Tahoma"/>
          <w:sz w:val="22"/>
          <w:szCs w:val="22"/>
          <w:shd w:val="clear" w:color="auto" w:fill="FFFFFF"/>
        </w:rPr>
        <w:t xml:space="preserve">) (conforme definido na Escritura de Emissão). No item supracitado, será previsto Evento de Vencimento Antecipado relacionado ao limite de alavancagem da Fiadora, cuja redação final, caso este item seja aprovado </w:t>
      </w:r>
      <w:r w:rsidR="00B25A2D">
        <w:rPr>
          <w:rFonts w:ascii="Tahoma" w:hAnsi="Tahoma" w:cs="Tahoma"/>
          <w:sz w:val="22"/>
          <w:szCs w:val="22"/>
          <w:shd w:val="clear" w:color="auto" w:fill="FFFFFF"/>
        </w:rPr>
        <w:t>nesta</w:t>
      </w:r>
      <w:r w:rsidR="00B25A2D" w:rsidRPr="00A80024">
        <w:rPr>
          <w:rFonts w:ascii="Tahoma" w:hAnsi="Tahoma" w:cs="Tahoma"/>
          <w:sz w:val="22"/>
          <w:szCs w:val="22"/>
          <w:shd w:val="clear" w:color="auto" w:fill="FFFFFF"/>
        </w:rPr>
        <w:t xml:space="preserve"> </w:t>
      </w:r>
      <w:r w:rsidRPr="00A80024">
        <w:rPr>
          <w:rFonts w:ascii="Tahoma" w:hAnsi="Tahoma" w:cs="Tahoma"/>
          <w:sz w:val="22"/>
          <w:szCs w:val="22"/>
          <w:shd w:val="clear" w:color="auto" w:fill="FFFFFF"/>
        </w:rPr>
        <w:t>AGD</w:t>
      </w:r>
      <w:r w:rsidR="00BF0D3E" w:rsidRPr="00D478BF">
        <w:rPr>
          <w:rFonts w:ascii="Tahoma" w:hAnsi="Tahoma" w:cs="Tahoma"/>
          <w:sz w:val="22"/>
          <w:szCs w:val="22"/>
          <w:shd w:val="clear" w:color="auto" w:fill="FFFFFF"/>
        </w:rPr>
        <w:t xml:space="preserve">, será a seguinte: </w:t>
      </w:r>
    </w:p>
    <w:p w14:paraId="2CA66306" w14:textId="77777777" w:rsidR="003806D2" w:rsidRPr="00D478BF" w:rsidRDefault="00BF0D3E" w:rsidP="00D478BF">
      <w:pPr>
        <w:pStyle w:val="ListParagraph"/>
        <w:widowControl/>
        <w:spacing w:after="240" w:line="320" w:lineRule="exact"/>
        <w:ind w:left="1788"/>
        <w:rPr>
          <w:rFonts w:ascii="Tahoma" w:hAnsi="Tahoma" w:cs="Tahoma"/>
          <w:i/>
          <w:sz w:val="22"/>
          <w:szCs w:val="22"/>
          <w:shd w:val="clear" w:color="auto" w:fill="FFFFFF"/>
        </w:rPr>
      </w:pPr>
      <w:r w:rsidRPr="00D478BF">
        <w:rPr>
          <w:rFonts w:ascii="Tahoma" w:hAnsi="Tahoma" w:cs="Tahoma"/>
          <w:i/>
          <w:sz w:val="22"/>
          <w:szCs w:val="22"/>
          <w:shd w:val="clear" w:color="auto" w:fill="FFFFFF"/>
        </w:rPr>
        <w:t>“7.1.2.</w:t>
      </w:r>
      <w:r w:rsidR="003806D2" w:rsidRPr="00D478BF">
        <w:rPr>
          <w:rFonts w:ascii="Tahoma" w:hAnsi="Tahoma" w:cs="Tahoma"/>
          <w:i/>
          <w:sz w:val="22"/>
          <w:szCs w:val="22"/>
          <w:shd w:val="clear" w:color="auto" w:fill="FFFFFF"/>
        </w:rPr>
        <w:t xml:space="preserve"> </w:t>
      </w:r>
    </w:p>
    <w:p w14:paraId="62AC5F2D" w14:textId="77777777" w:rsidR="003806D2" w:rsidRPr="00D478BF" w:rsidRDefault="00BF0D3E" w:rsidP="00D478BF">
      <w:pPr>
        <w:pStyle w:val="ListParagraph"/>
        <w:widowControl/>
        <w:spacing w:after="240" w:line="320" w:lineRule="exact"/>
        <w:ind w:left="1788"/>
        <w:rPr>
          <w:rFonts w:ascii="Tahoma" w:hAnsi="Tahoma" w:cs="Tahoma"/>
          <w:i/>
          <w:sz w:val="22"/>
          <w:szCs w:val="22"/>
          <w:shd w:val="clear" w:color="auto" w:fill="FFFFFF"/>
        </w:rPr>
      </w:pPr>
      <w:r w:rsidRPr="00D478BF">
        <w:rPr>
          <w:rFonts w:ascii="Tahoma" w:hAnsi="Tahoma" w:cs="Tahoma"/>
          <w:i/>
          <w:sz w:val="22"/>
          <w:szCs w:val="22"/>
          <w:shd w:val="clear" w:color="auto" w:fill="FFFFFF"/>
        </w:rPr>
        <w:t>(...)</w:t>
      </w:r>
    </w:p>
    <w:p w14:paraId="6BF8B7BA" w14:textId="14CEF57C" w:rsidR="00BF0D3E" w:rsidRPr="00D478BF" w:rsidRDefault="00BF0D3E" w:rsidP="00D478BF">
      <w:pPr>
        <w:pStyle w:val="ListParagraph"/>
        <w:widowControl/>
        <w:spacing w:after="240" w:line="320" w:lineRule="exact"/>
        <w:ind w:left="1788"/>
        <w:rPr>
          <w:rFonts w:ascii="Tahoma" w:hAnsi="Tahoma" w:cs="Tahoma"/>
          <w:sz w:val="22"/>
          <w:szCs w:val="22"/>
          <w:shd w:val="clear" w:color="auto" w:fill="FFFFFF"/>
        </w:rPr>
      </w:pPr>
      <w:r w:rsidRPr="00D478BF">
        <w:rPr>
          <w:rFonts w:ascii="Tahoma" w:hAnsi="Tahoma" w:cs="Tahoma"/>
          <w:i/>
          <w:sz w:val="22"/>
          <w:szCs w:val="22"/>
          <w:shd w:val="clear" w:color="auto" w:fill="FFFFFF"/>
        </w:rPr>
        <w:t>(</w:t>
      </w:r>
      <w:proofErr w:type="spellStart"/>
      <w:r w:rsidRPr="00D478BF">
        <w:rPr>
          <w:rFonts w:ascii="Tahoma" w:hAnsi="Tahoma" w:cs="Tahoma"/>
          <w:i/>
          <w:sz w:val="22"/>
          <w:szCs w:val="22"/>
          <w:shd w:val="clear" w:color="auto" w:fill="FFFFFF"/>
        </w:rPr>
        <w:t>viii</w:t>
      </w:r>
      <w:proofErr w:type="spellEnd"/>
      <w:r w:rsidRPr="00D478BF">
        <w:rPr>
          <w:rFonts w:ascii="Tahoma" w:hAnsi="Tahoma" w:cs="Tahoma"/>
          <w:i/>
          <w:sz w:val="22"/>
          <w:szCs w:val="22"/>
          <w:shd w:val="clear" w:color="auto" w:fill="FFFFFF"/>
        </w:rPr>
        <w:t>) não observância, pela Fiadora, no final de cada exercício social, do seguinte índice financeiro (“</w:t>
      </w:r>
      <w:r w:rsidRPr="00D478BF">
        <w:rPr>
          <w:rFonts w:ascii="Tahoma" w:hAnsi="Tahoma" w:cs="Tahoma"/>
          <w:b/>
          <w:i/>
          <w:sz w:val="22"/>
          <w:szCs w:val="22"/>
          <w:shd w:val="clear" w:color="auto" w:fill="FFFFFF"/>
        </w:rPr>
        <w:t>Dívida Bruta / Patrimônio Líquido</w:t>
      </w:r>
      <w:r w:rsidRPr="00D478BF">
        <w:rPr>
          <w:rFonts w:ascii="Tahoma" w:hAnsi="Tahoma" w:cs="Tahoma"/>
          <w:i/>
          <w:sz w:val="22"/>
          <w:szCs w:val="22"/>
          <w:shd w:val="clear" w:color="auto" w:fill="FFFFFF"/>
        </w:rPr>
        <w:t>”), a ser verificado pelo Agente Fiduciário, com base nas demonstrações financeiras individuais da Fiadora, até o dia 30 (trinta) do mês de abril do ano subsequente ao exercício encerrado, até o pagamento integral dos valores devidos em virtude das Debêntures:</w:t>
      </w:r>
    </w:p>
    <w:tbl>
      <w:tblPr>
        <w:tblpPr w:leftFromText="141" w:rightFromText="141"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3408"/>
      </w:tblGrid>
      <w:tr w:rsidR="00A94120" w:rsidRPr="00A94120" w14:paraId="6420C8A2" w14:textId="77777777" w:rsidTr="00A94120">
        <w:trPr>
          <w:trHeight w:val="107"/>
        </w:trPr>
        <w:tc>
          <w:tcPr>
            <w:tcW w:w="4106" w:type="dxa"/>
          </w:tcPr>
          <w:p w14:paraId="60354DFE" w14:textId="77777777" w:rsidR="003806D2" w:rsidRPr="00D478BF" w:rsidRDefault="003806D2" w:rsidP="003806D2">
            <w:pPr>
              <w:pStyle w:val="Default"/>
              <w:rPr>
                <w:sz w:val="22"/>
                <w:szCs w:val="22"/>
              </w:rPr>
            </w:pPr>
            <w:r w:rsidRPr="00D478BF">
              <w:rPr>
                <w:b/>
                <w:bCs/>
                <w:sz w:val="22"/>
                <w:szCs w:val="22"/>
              </w:rPr>
              <w:t xml:space="preserve">Dívida Bruta / Patrimônio Líquido </w:t>
            </w:r>
          </w:p>
        </w:tc>
        <w:tc>
          <w:tcPr>
            <w:tcW w:w="3408" w:type="dxa"/>
          </w:tcPr>
          <w:p w14:paraId="77FDF159" w14:textId="77777777" w:rsidR="003806D2" w:rsidRPr="00D478BF" w:rsidRDefault="003806D2" w:rsidP="003806D2">
            <w:pPr>
              <w:pStyle w:val="Default"/>
              <w:rPr>
                <w:sz w:val="22"/>
                <w:szCs w:val="22"/>
              </w:rPr>
            </w:pPr>
            <w:r w:rsidRPr="00D478BF">
              <w:rPr>
                <w:sz w:val="22"/>
                <w:szCs w:val="22"/>
              </w:rPr>
              <w:t xml:space="preserve">Igual ou Inferior a 0,15 vezes </w:t>
            </w:r>
          </w:p>
        </w:tc>
      </w:tr>
    </w:tbl>
    <w:p w14:paraId="0425C538" w14:textId="77777777" w:rsidR="003806D2" w:rsidRPr="00D478BF" w:rsidRDefault="003806D2" w:rsidP="00D478BF">
      <w:pPr>
        <w:widowControl/>
        <w:spacing w:after="240" w:line="320" w:lineRule="exact"/>
        <w:rPr>
          <w:rFonts w:ascii="Tahoma" w:hAnsi="Tahoma" w:cs="Tahoma"/>
          <w:i/>
          <w:sz w:val="22"/>
          <w:szCs w:val="22"/>
          <w:shd w:val="clear" w:color="auto" w:fill="FFFFFF"/>
        </w:rPr>
      </w:pPr>
    </w:p>
    <w:p w14:paraId="23B841B7" w14:textId="77777777" w:rsidR="003806D2" w:rsidRPr="00D478BF" w:rsidRDefault="003806D2" w:rsidP="00D478BF">
      <w:pPr>
        <w:widowControl/>
        <w:spacing w:after="240" w:line="320" w:lineRule="exact"/>
        <w:rPr>
          <w:rFonts w:ascii="Tahoma" w:hAnsi="Tahoma" w:cs="Tahoma"/>
          <w:b/>
          <w:bCs/>
          <w:i/>
          <w:iCs/>
          <w:sz w:val="22"/>
          <w:szCs w:val="22"/>
        </w:rPr>
      </w:pPr>
    </w:p>
    <w:p w14:paraId="360FF60C" w14:textId="71C28CA1" w:rsidR="003806D2" w:rsidRPr="00D478BF" w:rsidRDefault="00BF0D3E" w:rsidP="00D478BF">
      <w:pPr>
        <w:pStyle w:val="ListParagraph"/>
        <w:widowControl/>
        <w:spacing w:after="240" w:line="320" w:lineRule="exact"/>
        <w:ind w:left="1788"/>
        <w:rPr>
          <w:rFonts w:ascii="Tahoma" w:hAnsi="Tahoma" w:cs="Tahoma"/>
          <w:i/>
          <w:iCs/>
          <w:sz w:val="22"/>
          <w:szCs w:val="22"/>
          <w:shd w:val="clear" w:color="auto" w:fill="FFFFFF"/>
        </w:rPr>
      </w:pPr>
      <w:r w:rsidRPr="00D478BF">
        <w:rPr>
          <w:rFonts w:ascii="Tahoma" w:hAnsi="Tahoma" w:cs="Tahoma"/>
          <w:b/>
          <w:bCs/>
          <w:i/>
          <w:iCs/>
          <w:sz w:val="22"/>
          <w:szCs w:val="22"/>
        </w:rPr>
        <w:t>“Dívida Bruta</w:t>
      </w:r>
      <w:r w:rsidRPr="00D478BF">
        <w:rPr>
          <w:rFonts w:ascii="Tahoma" w:hAnsi="Tahoma" w:cs="Tahoma"/>
          <w:i/>
          <w:iCs/>
          <w:sz w:val="22"/>
          <w:szCs w:val="22"/>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e/ou moedas</w:t>
      </w:r>
      <w:r w:rsidR="00953AAB">
        <w:rPr>
          <w:rFonts w:ascii="Tahoma" w:hAnsi="Tahoma" w:cs="Tahoma"/>
          <w:i/>
          <w:iCs/>
          <w:sz w:val="22"/>
          <w:szCs w:val="22"/>
        </w:rPr>
        <w:t>.</w:t>
      </w:r>
      <w:r w:rsidRPr="00D478BF" w:rsidDel="00E53B02">
        <w:rPr>
          <w:rFonts w:ascii="Tahoma" w:hAnsi="Tahoma" w:cs="Tahoma"/>
          <w:i/>
          <w:iCs/>
          <w:sz w:val="22"/>
          <w:szCs w:val="22"/>
          <w:shd w:val="clear" w:color="auto" w:fill="FFFFFF"/>
        </w:rPr>
        <w:t xml:space="preserve"> </w:t>
      </w:r>
    </w:p>
    <w:p w14:paraId="64167B74" w14:textId="77777777" w:rsidR="003806D2" w:rsidRPr="00D478BF" w:rsidRDefault="00BF0D3E" w:rsidP="00D478BF">
      <w:pPr>
        <w:pStyle w:val="ListParagraph"/>
        <w:widowControl/>
        <w:spacing w:after="240" w:line="320" w:lineRule="exact"/>
        <w:ind w:left="1788"/>
        <w:rPr>
          <w:rFonts w:ascii="Tahoma" w:hAnsi="Tahoma" w:cs="Tahoma"/>
          <w:i/>
          <w:iCs/>
          <w:sz w:val="22"/>
          <w:szCs w:val="22"/>
          <w:shd w:val="clear" w:color="auto" w:fill="FFFFFF"/>
        </w:rPr>
      </w:pPr>
      <w:r w:rsidRPr="00D478BF">
        <w:rPr>
          <w:rFonts w:ascii="Tahoma" w:hAnsi="Tahoma" w:cs="Tahoma"/>
          <w:i/>
          <w:iCs/>
          <w:sz w:val="22"/>
          <w:szCs w:val="22"/>
          <w:shd w:val="clear" w:color="auto" w:fill="FFFFFF"/>
        </w:rPr>
        <w:t>“</w:t>
      </w:r>
      <w:r w:rsidRPr="00D478BF">
        <w:rPr>
          <w:rFonts w:ascii="Tahoma" w:hAnsi="Tahoma" w:cs="Tahoma"/>
          <w:b/>
          <w:i/>
          <w:iCs/>
          <w:sz w:val="22"/>
          <w:szCs w:val="22"/>
          <w:shd w:val="clear" w:color="auto" w:fill="FFFFFF"/>
        </w:rPr>
        <w:t>Patrimônio Líquido</w:t>
      </w:r>
      <w:r w:rsidRPr="00D478BF">
        <w:rPr>
          <w:rFonts w:ascii="Tahoma" w:hAnsi="Tahoma" w:cs="Tahoma"/>
          <w:i/>
          <w:iCs/>
          <w:sz w:val="22"/>
          <w:szCs w:val="22"/>
          <w:shd w:val="clear" w:color="auto" w:fill="FFFFFF"/>
        </w:rPr>
        <w:t xml:space="preserve">”: resultado da </w:t>
      </w:r>
      <w:r w:rsidRPr="00D478BF">
        <w:rPr>
          <w:rFonts w:ascii="Tahoma" w:hAnsi="Tahoma" w:cs="Tahoma"/>
          <w:bCs/>
          <w:i/>
          <w:iCs/>
          <w:sz w:val="22"/>
          <w:szCs w:val="22"/>
        </w:rPr>
        <w:t>diferença entre os valores do ativo e do passivo da Fiadora</w:t>
      </w:r>
      <w:r w:rsidRPr="00D478BF">
        <w:rPr>
          <w:rFonts w:ascii="Tahoma" w:hAnsi="Tahoma" w:cs="Tahoma"/>
          <w:i/>
          <w:iCs/>
          <w:sz w:val="22"/>
          <w:szCs w:val="22"/>
          <w:shd w:val="clear" w:color="auto" w:fill="FFFFFF"/>
        </w:rPr>
        <w:t>.”</w:t>
      </w:r>
    </w:p>
    <w:p w14:paraId="3ED9FE0C" w14:textId="788A1361" w:rsidR="00BF0D3E" w:rsidRPr="00D478BF" w:rsidRDefault="00BF0D3E" w:rsidP="00D478BF">
      <w:pPr>
        <w:pStyle w:val="ListParagraph"/>
        <w:widowControl/>
        <w:spacing w:after="240" w:line="320" w:lineRule="exact"/>
        <w:ind w:left="1788"/>
        <w:rPr>
          <w:rFonts w:ascii="Tahoma" w:hAnsi="Tahoma" w:cs="Tahoma"/>
          <w:i/>
          <w:iCs/>
          <w:sz w:val="22"/>
          <w:szCs w:val="22"/>
          <w:shd w:val="clear" w:color="auto" w:fill="FFFFFF"/>
        </w:rPr>
      </w:pPr>
      <w:r w:rsidRPr="00D478BF">
        <w:rPr>
          <w:rFonts w:ascii="Tahoma" w:hAnsi="Tahoma" w:cs="Tahoma"/>
          <w:i/>
          <w:sz w:val="22"/>
          <w:szCs w:val="22"/>
          <w:shd w:val="clear" w:color="auto" w:fill="FFFFFF"/>
        </w:rPr>
        <w:t xml:space="preserve">(...)” </w:t>
      </w:r>
    </w:p>
    <w:p w14:paraId="6865AF1E" w14:textId="13137611" w:rsidR="003806D2" w:rsidRPr="00D478BF" w:rsidRDefault="003806D2" w:rsidP="00D478BF">
      <w:pPr>
        <w:pStyle w:val="ListParagraph"/>
        <w:widowControl/>
        <w:numPr>
          <w:ilvl w:val="1"/>
          <w:numId w:val="7"/>
        </w:numPr>
        <w:spacing w:after="240" w:line="320" w:lineRule="exact"/>
        <w:rPr>
          <w:rFonts w:ascii="Tahoma" w:hAnsi="Tahoma" w:cs="Tahoma"/>
          <w:i/>
          <w:sz w:val="22"/>
          <w:szCs w:val="22"/>
          <w:shd w:val="clear" w:color="auto" w:fill="FFFFFF"/>
        </w:rPr>
      </w:pPr>
      <w:r w:rsidRPr="00A80024">
        <w:rPr>
          <w:rFonts w:ascii="Tahoma" w:hAnsi="Tahoma" w:cs="Tahoma"/>
          <w:sz w:val="22"/>
          <w:szCs w:val="22"/>
          <w:shd w:val="clear" w:color="auto" w:fill="FFFFFF"/>
        </w:rPr>
        <w:lastRenderedPageBreak/>
        <w:t>n</w:t>
      </w:r>
      <w:r w:rsidRPr="00D478BF">
        <w:rPr>
          <w:rFonts w:ascii="Tahoma" w:hAnsi="Tahoma" w:cs="Tahoma"/>
          <w:sz w:val="22"/>
          <w:szCs w:val="22"/>
          <w:shd w:val="clear" w:color="auto" w:fill="FFFFFF"/>
        </w:rPr>
        <w:t xml:space="preserve">os Índices Financeiros da Emissora constantes da Cláusula 7.1.2, </w:t>
      </w:r>
      <w:r w:rsidR="00FC09CE" w:rsidRPr="00D478BF">
        <w:rPr>
          <w:rFonts w:ascii="Tahoma" w:hAnsi="Tahoma" w:cs="Tahoma"/>
          <w:sz w:val="22"/>
          <w:szCs w:val="22"/>
          <w:shd w:val="clear" w:color="auto" w:fill="FFFFFF"/>
        </w:rPr>
        <w:t>ite</w:t>
      </w:r>
      <w:r w:rsidR="00FC09CE">
        <w:rPr>
          <w:rFonts w:ascii="Tahoma" w:hAnsi="Tahoma" w:cs="Tahoma"/>
          <w:sz w:val="22"/>
          <w:szCs w:val="22"/>
          <w:shd w:val="clear" w:color="auto" w:fill="FFFFFF"/>
        </w:rPr>
        <w:t>ns (xi) e</w:t>
      </w:r>
      <w:r w:rsidR="00FC09CE" w:rsidRPr="00D478BF">
        <w:rPr>
          <w:rFonts w:ascii="Tahoma" w:hAnsi="Tahoma" w:cs="Tahoma"/>
          <w:sz w:val="22"/>
          <w:szCs w:val="22"/>
          <w:shd w:val="clear" w:color="auto" w:fill="FFFFFF"/>
        </w:rPr>
        <w:t xml:space="preserve"> </w:t>
      </w:r>
      <w:r w:rsidRPr="00D478BF">
        <w:rPr>
          <w:rFonts w:ascii="Tahoma" w:hAnsi="Tahoma" w:cs="Tahoma"/>
          <w:sz w:val="22"/>
          <w:szCs w:val="22"/>
          <w:shd w:val="clear" w:color="auto" w:fill="FFFFFF"/>
        </w:rPr>
        <w:t>(</w:t>
      </w:r>
      <w:proofErr w:type="spellStart"/>
      <w:r w:rsidRPr="00D478BF">
        <w:rPr>
          <w:rFonts w:ascii="Tahoma" w:hAnsi="Tahoma" w:cs="Tahoma"/>
          <w:sz w:val="22"/>
          <w:szCs w:val="22"/>
          <w:shd w:val="clear" w:color="auto" w:fill="FFFFFF"/>
        </w:rPr>
        <w:t>xii</w:t>
      </w:r>
      <w:proofErr w:type="spellEnd"/>
      <w:r w:rsidRPr="00D478BF">
        <w:rPr>
          <w:rFonts w:ascii="Tahoma" w:hAnsi="Tahoma" w:cs="Tahoma"/>
          <w:sz w:val="22"/>
          <w:szCs w:val="22"/>
          <w:shd w:val="clear" w:color="auto" w:fill="FFFFFF"/>
        </w:rPr>
        <w:t xml:space="preserve">), incluir saldos de operações de </w:t>
      </w:r>
      <w:r w:rsidRPr="00D478BF">
        <w:rPr>
          <w:rFonts w:ascii="Tahoma" w:hAnsi="Tahoma" w:cs="Tahoma"/>
          <w:i/>
          <w:sz w:val="22"/>
          <w:szCs w:val="22"/>
          <w:shd w:val="clear" w:color="auto" w:fill="FFFFFF"/>
        </w:rPr>
        <w:t>hedge</w:t>
      </w:r>
      <w:r w:rsidRPr="00D478BF">
        <w:rPr>
          <w:rFonts w:ascii="Tahoma" w:hAnsi="Tahoma" w:cs="Tahoma"/>
          <w:sz w:val="22"/>
          <w:szCs w:val="22"/>
          <w:shd w:val="clear" w:color="auto" w:fill="FFFFFF"/>
        </w:rPr>
        <w:t xml:space="preserve"> nas definições de Dívida Bruta e de Dívida Líquida (conforme definidas na Escritura de Emissão) e redefinir o EBITDA de modo a deduzir efeitos resultantes da norma IFRS16, concedendo </w:t>
      </w:r>
      <w:r w:rsidRPr="00D478BF">
        <w:rPr>
          <w:rFonts w:ascii="Tahoma" w:hAnsi="Tahoma" w:cs="Tahoma"/>
          <w:sz w:val="22"/>
          <w:szCs w:val="22"/>
        </w:rPr>
        <w:t>a renúncia temporária (</w:t>
      </w:r>
      <w:proofErr w:type="spellStart"/>
      <w:r w:rsidRPr="00D478BF">
        <w:rPr>
          <w:rFonts w:ascii="Tahoma" w:hAnsi="Tahoma" w:cs="Tahoma"/>
          <w:i/>
          <w:sz w:val="22"/>
          <w:szCs w:val="22"/>
        </w:rPr>
        <w:t>waiver</w:t>
      </w:r>
      <w:proofErr w:type="spellEnd"/>
      <w:r w:rsidRPr="00D478BF">
        <w:rPr>
          <w:rFonts w:ascii="Tahoma" w:hAnsi="Tahoma" w:cs="Tahoma"/>
          <w:sz w:val="22"/>
          <w:szCs w:val="22"/>
        </w:rPr>
        <w:t>) da obrigação de observar especificamente o índice financeiro Dívida Líquida/EBITDA até o limite de 4,0x</w:t>
      </w:r>
      <w:r w:rsidRPr="00D478BF">
        <w:rPr>
          <w:rFonts w:ascii="Tahoma" w:hAnsi="Tahoma" w:cs="Tahoma"/>
          <w:sz w:val="22"/>
          <w:szCs w:val="22"/>
          <w:shd w:val="clear" w:color="auto" w:fill="FFFFFF"/>
        </w:rPr>
        <w:t xml:space="preserve">, com autorização para que essa observância dê-se somente após 30 de junho de 2020, portanto, a partir do trimestre findo em 30 de setembro de 2020. Essa concessão de renúncia temporária está condicionada ao pagamento de prêmio equivalente a 1,25% (um inteiro e vinte e cinco centésimos por cento) incidente sobre o Valor Nominal Unitário das Debêntures acrescido da Remuneração devida (conforme definido na Escritura de Emissão), apurado na </w:t>
      </w:r>
      <w:r w:rsidR="00F2110E" w:rsidRPr="00374EFC">
        <w:rPr>
          <w:rFonts w:ascii="Tahoma" w:hAnsi="Tahoma" w:cs="Tahoma"/>
          <w:sz w:val="22"/>
          <w:szCs w:val="22"/>
          <w:shd w:val="clear" w:color="auto" w:fill="FFFFFF"/>
        </w:rPr>
        <w:t xml:space="preserve">presente data </w:t>
      </w:r>
      <w:r w:rsidRPr="00D478BF">
        <w:rPr>
          <w:rFonts w:ascii="Tahoma" w:hAnsi="Tahoma" w:cs="Tahoma"/>
          <w:i/>
          <w:sz w:val="22"/>
          <w:szCs w:val="22"/>
          <w:shd w:val="clear" w:color="auto" w:fill="FFFFFF"/>
        </w:rPr>
        <w:t>(</w:t>
      </w:r>
      <w:proofErr w:type="spellStart"/>
      <w:r w:rsidRPr="00D478BF">
        <w:rPr>
          <w:rFonts w:ascii="Tahoma" w:hAnsi="Tahoma" w:cs="Tahoma"/>
          <w:i/>
          <w:sz w:val="22"/>
          <w:szCs w:val="22"/>
          <w:shd w:val="clear" w:color="auto" w:fill="FFFFFF"/>
        </w:rPr>
        <w:t>waiver</w:t>
      </w:r>
      <w:proofErr w:type="spellEnd"/>
      <w:r w:rsidRPr="00D478BF">
        <w:rPr>
          <w:rFonts w:ascii="Tahoma" w:hAnsi="Tahoma" w:cs="Tahoma"/>
          <w:i/>
          <w:sz w:val="22"/>
          <w:szCs w:val="22"/>
          <w:shd w:val="clear" w:color="auto" w:fill="FFFFFF"/>
        </w:rPr>
        <w:t xml:space="preserve"> </w:t>
      </w:r>
      <w:proofErr w:type="spellStart"/>
      <w:r w:rsidRPr="00D478BF">
        <w:rPr>
          <w:rFonts w:ascii="Tahoma" w:hAnsi="Tahoma" w:cs="Tahoma"/>
          <w:i/>
          <w:sz w:val="22"/>
          <w:szCs w:val="22"/>
          <w:shd w:val="clear" w:color="auto" w:fill="FFFFFF"/>
        </w:rPr>
        <w:t>fee</w:t>
      </w:r>
      <w:proofErr w:type="spellEnd"/>
      <w:r w:rsidRPr="00D478BF">
        <w:rPr>
          <w:rFonts w:ascii="Tahoma" w:hAnsi="Tahoma" w:cs="Tahoma"/>
          <w:i/>
          <w:sz w:val="22"/>
          <w:szCs w:val="22"/>
          <w:shd w:val="clear" w:color="auto" w:fill="FFFFFF"/>
        </w:rPr>
        <w:t xml:space="preserve">) </w:t>
      </w:r>
      <w:r w:rsidRPr="00D478BF">
        <w:rPr>
          <w:rFonts w:ascii="Tahoma" w:hAnsi="Tahoma" w:cs="Tahoma"/>
          <w:sz w:val="22"/>
          <w:szCs w:val="22"/>
          <w:shd w:val="clear" w:color="auto" w:fill="FFFFFF"/>
        </w:rPr>
        <w:t xml:space="preserve">a ser pago à vista, em moeda nacional, no prazo de 10 (dez) Dias Úteis contados </w:t>
      </w:r>
      <w:r w:rsidR="00F2110E" w:rsidRPr="00374EFC">
        <w:rPr>
          <w:rFonts w:ascii="Tahoma" w:hAnsi="Tahoma" w:cs="Tahoma"/>
          <w:sz w:val="22"/>
          <w:szCs w:val="22"/>
          <w:shd w:val="clear" w:color="auto" w:fill="FFFFFF"/>
        </w:rPr>
        <w:t xml:space="preserve">a partir da presente data </w:t>
      </w:r>
      <w:r w:rsidR="00374EFC">
        <w:rPr>
          <w:rFonts w:ascii="Tahoma" w:hAnsi="Tahoma" w:cs="Tahoma"/>
          <w:sz w:val="22"/>
          <w:szCs w:val="22"/>
          <w:shd w:val="clear" w:color="auto" w:fill="FFFFFF"/>
        </w:rPr>
        <w:t>(“</w:t>
      </w:r>
      <w:r w:rsidR="00374EFC" w:rsidRPr="001D4D03">
        <w:rPr>
          <w:rFonts w:ascii="Tahoma" w:hAnsi="Tahoma" w:cs="Tahoma"/>
          <w:sz w:val="22"/>
          <w:szCs w:val="22"/>
          <w:u w:val="single"/>
          <w:shd w:val="clear" w:color="auto" w:fill="FFFFFF"/>
        </w:rPr>
        <w:t>Prêmio</w:t>
      </w:r>
      <w:r w:rsidR="00374EFC" w:rsidRPr="001D4D03">
        <w:rPr>
          <w:rFonts w:ascii="Tahoma" w:hAnsi="Tahoma" w:cs="Tahoma"/>
          <w:sz w:val="22"/>
          <w:szCs w:val="22"/>
          <w:shd w:val="clear" w:color="auto" w:fill="FFFFFF"/>
        </w:rPr>
        <w:t>”)</w:t>
      </w:r>
      <w:r w:rsidR="001D4D03" w:rsidRPr="001D4D03">
        <w:rPr>
          <w:rFonts w:ascii="Tahoma" w:hAnsi="Tahoma" w:cs="Tahoma"/>
          <w:sz w:val="22"/>
          <w:szCs w:val="22"/>
          <w:shd w:val="clear" w:color="auto" w:fill="FFFFFF"/>
        </w:rPr>
        <w:t xml:space="preserve">. </w:t>
      </w:r>
      <w:r w:rsidRPr="001D4D03">
        <w:rPr>
          <w:rFonts w:ascii="Tahoma" w:hAnsi="Tahoma" w:cs="Tahoma"/>
          <w:sz w:val="22"/>
          <w:szCs w:val="22"/>
          <w:shd w:val="clear" w:color="auto" w:fill="FFFFFF"/>
        </w:rPr>
        <w:t>Adicionalmente</w:t>
      </w:r>
      <w:r w:rsidRPr="00D478BF">
        <w:rPr>
          <w:rFonts w:ascii="Tahoma" w:hAnsi="Tahoma" w:cs="Tahoma"/>
          <w:sz w:val="22"/>
          <w:szCs w:val="22"/>
          <w:shd w:val="clear" w:color="auto" w:fill="FFFFFF"/>
        </w:rPr>
        <w:t xml:space="preserve">, a Companhia deverá disponibilizar relatório de asseguração emitido por auditores independentes sobre os Indicadores Financeiros de Emissora sem os efeitos da aplicação do IFRS16 em 15 (quinze) dias corridos e 10 (dez) dias corridos, conforme o caso, da divulgação à CVM das respectivas demonstrações financeiras e informações trimestrais. Caso este item seja aprovado </w:t>
      </w:r>
      <w:r w:rsidR="00B25A2D">
        <w:rPr>
          <w:rFonts w:ascii="Tahoma" w:hAnsi="Tahoma" w:cs="Tahoma"/>
          <w:sz w:val="22"/>
          <w:szCs w:val="22"/>
          <w:shd w:val="clear" w:color="auto" w:fill="FFFFFF"/>
        </w:rPr>
        <w:t>nesta</w:t>
      </w:r>
      <w:r w:rsidR="00B25A2D" w:rsidRPr="00D478BF">
        <w:rPr>
          <w:rFonts w:ascii="Tahoma" w:hAnsi="Tahoma" w:cs="Tahoma"/>
          <w:sz w:val="22"/>
          <w:szCs w:val="22"/>
          <w:shd w:val="clear" w:color="auto" w:fill="FFFFFF"/>
        </w:rPr>
        <w:t xml:space="preserve"> </w:t>
      </w:r>
      <w:r w:rsidRPr="00D478BF">
        <w:rPr>
          <w:rFonts w:ascii="Tahoma" w:hAnsi="Tahoma" w:cs="Tahoma"/>
          <w:sz w:val="22"/>
          <w:szCs w:val="22"/>
          <w:shd w:val="clear" w:color="auto" w:fill="FFFFFF"/>
        </w:rPr>
        <w:t>AGD, as rubricas acima indicadas passarão a vigorar com a seguinte redação:</w:t>
      </w:r>
      <w:r w:rsidRPr="00AE064C">
        <w:rPr>
          <w:rFonts w:ascii="Tahoma" w:hAnsi="Tahoma" w:cs="Tahoma"/>
          <w:sz w:val="22"/>
          <w:szCs w:val="22"/>
          <w:shd w:val="clear" w:color="auto" w:fill="FFFFFF"/>
        </w:rPr>
        <w:t xml:space="preserve"> </w:t>
      </w:r>
    </w:p>
    <w:p w14:paraId="4CA4B3C9" w14:textId="77777777" w:rsidR="003806D2" w:rsidRPr="00D478BF" w:rsidRDefault="003806D2" w:rsidP="00D478BF">
      <w:pPr>
        <w:pStyle w:val="ListParagraph"/>
        <w:widowControl/>
        <w:spacing w:after="240" w:line="320" w:lineRule="exact"/>
        <w:ind w:left="1788"/>
        <w:rPr>
          <w:rFonts w:ascii="Tahoma" w:hAnsi="Tahoma" w:cs="Tahoma"/>
          <w:i/>
          <w:sz w:val="22"/>
          <w:szCs w:val="22"/>
          <w:shd w:val="clear" w:color="auto" w:fill="FFFFFF"/>
        </w:rPr>
      </w:pPr>
      <w:r w:rsidRPr="00D478BF">
        <w:rPr>
          <w:rFonts w:ascii="Tahoma" w:hAnsi="Tahoma" w:cs="Tahoma"/>
          <w:i/>
          <w:sz w:val="22"/>
          <w:szCs w:val="22"/>
          <w:shd w:val="clear" w:color="auto" w:fill="FFFFFF"/>
        </w:rPr>
        <w:t>“(...)</w:t>
      </w:r>
    </w:p>
    <w:p w14:paraId="6F5770C2" w14:textId="77777777" w:rsidR="003806D2" w:rsidRPr="00D478BF" w:rsidRDefault="003806D2" w:rsidP="00D478BF">
      <w:pPr>
        <w:pStyle w:val="ListParagraph"/>
        <w:widowControl/>
        <w:spacing w:after="240" w:line="320" w:lineRule="exact"/>
        <w:ind w:left="1788"/>
        <w:rPr>
          <w:rFonts w:ascii="Tahoma" w:hAnsi="Tahoma" w:cs="Tahoma"/>
          <w:i/>
          <w:sz w:val="22"/>
          <w:szCs w:val="22"/>
        </w:rPr>
      </w:pPr>
      <w:r w:rsidRPr="00D478BF">
        <w:rPr>
          <w:rFonts w:ascii="Tahoma" w:hAnsi="Tahoma" w:cs="Tahoma"/>
          <w:b/>
          <w:bCs/>
          <w:i/>
          <w:sz w:val="22"/>
          <w:szCs w:val="22"/>
          <w:shd w:val="clear" w:color="auto" w:fill="FFFFFF"/>
        </w:rPr>
        <w:t>“</w:t>
      </w:r>
      <w:r w:rsidRPr="00D478BF">
        <w:rPr>
          <w:rFonts w:ascii="Tahoma" w:hAnsi="Tahoma" w:cs="Tahoma"/>
          <w:b/>
          <w:bCs/>
          <w:i/>
          <w:sz w:val="22"/>
          <w:szCs w:val="22"/>
        </w:rPr>
        <w:t>Dívida Bruta</w:t>
      </w:r>
      <w:r w:rsidRPr="00D478BF">
        <w:rPr>
          <w:rFonts w:ascii="Tahoma" w:hAnsi="Tahoma" w:cs="Tahoma"/>
          <w:i/>
          <w:sz w:val="22"/>
          <w:szCs w:val="22"/>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e/ou moedas.</w:t>
      </w:r>
    </w:p>
    <w:p w14:paraId="5B79CAB2" w14:textId="77777777" w:rsidR="003806D2" w:rsidRPr="00D478BF" w:rsidRDefault="003806D2" w:rsidP="00D478BF">
      <w:pPr>
        <w:pStyle w:val="ListParagraph"/>
        <w:widowControl/>
        <w:spacing w:after="240" w:line="320" w:lineRule="exact"/>
        <w:ind w:left="1788"/>
        <w:rPr>
          <w:rFonts w:ascii="Tahoma" w:hAnsi="Tahoma" w:cs="Tahoma"/>
          <w:i/>
          <w:iCs/>
          <w:sz w:val="22"/>
          <w:szCs w:val="22"/>
        </w:rPr>
      </w:pPr>
      <w:r w:rsidRPr="00D478BF">
        <w:rPr>
          <w:rFonts w:ascii="Tahoma" w:hAnsi="Tahoma" w:cs="Tahoma"/>
          <w:i/>
          <w:iCs/>
          <w:sz w:val="22"/>
          <w:szCs w:val="22"/>
        </w:rPr>
        <w:t>"</w:t>
      </w:r>
      <w:r w:rsidRPr="00D478BF">
        <w:rPr>
          <w:rFonts w:ascii="Tahoma" w:hAnsi="Tahoma" w:cs="Tahoma"/>
          <w:b/>
          <w:bCs/>
          <w:i/>
          <w:iCs/>
          <w:sz w:val="22"/>
          <w:szCs w:val="22"/>
        </w:rPr>
        <w:t>Dívida Líquida</w:t>
      </w:r>
      <w:r w:rsidRPr="00D478BF">
        <w:rPr>
          <w:rFonts w:ascii="Tahoma" w:hAnsi="Tahoma" w:cs="Tahoma"/>
          <w:i/>
          <w:iCs/>
          <w:sz w:val="22"/>
          <w:szCs w:val="22"/>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ou moedas, menos o saldo de caixa, equivalentes de caixa e aplicações financeiras;</w:t>
      </w:r>
    </w:p>
    <w:p w14:paraId="5CF76D3B" w14:textId="5CEB18D0" w:rsidR="003806D2" w:rsidRPr="00D478BF" w:rsidRDefault="003806D2" w:rsidP="00D478BF">
      <w:pPr>
        <w:pStyle w:val="ListParagraph"/>
        <w:widowControl/>
        <w:spacing w:after="240" w:line="320" w:lineRule="exact"/>
        <w:ind w:left="1788"/>
        <w:rPr>
          <w:rFonts w:ascii="Tahoma" w:hAnsi="Tahoma" w:cs="Tahoma"/>
          <w:i/>
          <w:sz w:val="22"/>
          <w:szCs w:val="22"/>
          <w:shd w:val="clear" w:color="auto" w:fill="FFFFFF"/>
        </w:rPr>
      </w:pPr>
      <w:r w:rsidRPr="00D478BF">
        <w:rPr>
          <w:rFonts w:ascii="Tahoma" w:hAnsi="Tahoma" w:cs="Tahoma"/>
          <w:i/>
          <w:sz w:val="22"/>
          <w:szCs w:val="22"/>
          <w:shd w:val="clear" w:color="auto" w:fill="FFFFFF"/>
        </w:rPr>
        <w:t>“</w:t>
      </w:r>
      <w:r w:rsidRPr="00D478BF">
        <w:rPr>
          <w:rFonts w:ascii="Tahoma" w:hAnsi="Tahoma" w:cs="Tahoma"/>
          <w:b/>
          <w:i/>
          <w:sz w:val="22"/>
          <w:szCs w:val="22"/>
          <w:shd w:val="clear" w:color="auto" w:fill="FFFFFF"/>
        </w:rPr>
        <w:t>EBITDA</w:t>
      </w:r>
      <w:r w:rsidRPr="00D478BF">
        <w:rPr>
          <w:rFonts w:ascii="Tahoma" w:hAnsi="Tahoma" w:cs="Tahoma"/>
          <w:i/>
          <w:sz w:val="22"/>
          <w:szCs w:val="22"/>
          <w:shd w:val="clear" w:color="auto" w:fill="FFFFFF"/>
        </w:rPr>
        <w:t xml:space="preserve">”: significa o lucro ou prejuízo líquido da Emissora, em bases consolidadas, relativo aos 12 meses anteriores à cada data de apuração, deduzidos: (a) das despesas (receitas) financeiras líquidas, (b) do imposto de renda e da contribuição social corrente e diferido, (c) das despesas de depreciação e amortização, (d) do </w:t>
      </w:r>
      <w:proofErr w:type="spellStart"/>
      <w:r w:rsidRPr="00D478BF">
        <w:rPr>
          <w:rFonts w:ascii="Tahoma" w:hAnsi="Tahoma" w:cs="Tahoma"/>
          <w:i/>
          <w:sz w:val="22"/>
          <w:szCs w:val="22"/>
          <w:shd w:val="clear" w:color="auto" w:fill="FFFFFF"/>
        </w:rPr>
        <w:t>impairment</w:t>
      </w:r>
      <w:proofErr w:type="spellEnd"/>
      <w:r w:rsidRPr="00D478BF">
        <w:rPr>
          <w:rFonts w:ascii="Tahoma" w:hAnsi="Tahoma" w:cs="Tahoma"/>
          <w:i/>
          <w:sz w:val="22"/>
          <w:szCs w:val="22"/>
          <w:shd w:val="clear" w:color="auto" w:fill="FFFFFF"/>
        </w:rPr>
        <w:t xml:space="preserve">, conforme registro na DFP/ITR </w:t>
      </w:r>
      <w:r w:rsidRPr="00D478BF">
        <w:rPr>
          <w:rFonts w:ascii="Tahoma" w:hAnsi="Tahoma" w:cs="Tahoma"/>
          <w:i/>
          <w:sz w:val="22"/>
          <w:szCs w:val="22"/>
          <w:shd w:val="clear" w:color="auto" w:fill="FFFFFF"/>
        </w:rPr>
        <w:lastRenderedPageBreak/>
        <w:t xml:space="preserve">nas linhas aplicáveis, </w:t>
      </w:r>
      <w:r w:rsidR="00953AAB" w:rsidRPr="00953AAB">
        <w:rPr>
          <w:rFonts w:ascii="Tahoma" w:hAnsi="Tahoma" w:cs="Tahoma"/>
          <w:i/>
          <w:sz w:val="22"/>
          <w:szCs w:val="22"/>
          <w:shd w:val="clear" w:color="auto" w:fill="FFFFFF"/>
        </w:rPr>
        <w:t>sendo certo que serão ajustados</w:t>
      </w:r>
      <w:r w:rsidRPr="00D478BF">
        <w:rPr>
          <w:rFonts w:ascii="Tahoma" w:hAnsi="Tahoma" w:cs="Tahoma"/>
          <w:i/>
          <w:sz w:val="22"/>
          <w:szCs w:val="22"/>
          <w:shd w:val="clear" w:color="auto" w:fill="FFFFFF"/>
        </w:rPr>
        <w:t xml:space="preserve"> os efeitos resultantes da aplicação da norma IFRS 16; </w:t>
      </w:r>
    </w:p>
    <w:p w14:paraId="46EE7248" w14:textId="19EABA3D" w:rsidR="003806D2" w:rsidRPr="00D478BF" w:rsidRDefault="003806D2" w:rsidP="00D478BF">
      <w:pPr>
        <w:pStyle w:val="ListParagraph"/>
        <w:widowControl/>
        <w:spacing w:after="240" w:line="320" w:lineRule="exact"/>
        <w:ind w:left="1788"/>
        <w:rPr>
          <w:rFonts w:ascii="Tahoma" w:hAnsi="Tahoma" w:cs="Tahoma"/>
          <w:i/>
          <w:sz w:val="22"/>
          <w:szCs w:val="22"/>
          <w:shd w:val="clear" w:color="auto" w:fill="FFFFFF"/>
        </w:rPr>
      </w:pPr>
      <w:r w:rsidRPr="00D478BF">
        <w:rPr>
          <w:rFonts w:ascii="Tahoma" w:hAnsi="Tahoma" w:cs="Tahoma"/>
          <w:i/>
          <w:sz w:val="22"/>
          <w:szCs w:val="22"/>
          <w:shd w:val="clear" w:color="auto" w:fill="FFFFFF"/>
        </w:rPr>
        <w:t>(...)”</w:t>
      </w:r>
      <w:r w:rsidRPr="00D478BF">
        <w:rPr>
          <w:rFonts w:ascii="Tahoma" w:hAnsi="Tahoma" w:cs="Tahoma"/>
          <w:sz w:val="22"/>
          <w:szCs w:val="22"/>
          <w:shd w:val="clear" w:color="auto" w:fill="FFFFFF"/>
        </w:rPr>
        <w:t>; e</w:t>
      </w:r>
    </w:p>
    <w:p w14:paraId="559B66B7" w14:textId="101E4888" w:rsidR="00BF0D3E" w:rsidRPr="00A80024" w:rsidRDefault="003806D2" w:rsidP="00D478BF">
      <w:pPr>
        <w:pStyle w:val="ListParagraph"/>
        <w:widowControl/>
        <w:numPr>
          <w:ilvl w:val="1"/>
          <w:numId w:val="7"/>
        </w:numPr>
        <w:spacing w:after="240" w:line="320" w:lineRule="exact"/>
        <w:rPr>
          <w:rFonts w:ascii="Tahoma" w:hAnsi="Tahoma" w:cs="Tahoma"/>
          <w:sz w:val="22"/>
          <w:szCs w:val="22"/>
          <w:shd w:val="clear" w:color="auto" w:fill="FFFFFF"/>
        </w:rPr>
      </w:pPr>
      <w:r w:rsidRPr="00A80024">
        <w:rPr>
          <w:rFonts w:ascii="Tahoma" w:hAnsi="Tahoma" w:cs="Tahoma"/>
          <w:sz w:val="22"/>
          <w:szCs w:val="22"/>
          <w:shd w:val="clear" w:color="auto" w:fill="FFFFFF"/>
        </w:rPr>
        <w:t xml:space="preserve">alterar a </w:t>
      </w:r>
      <w:r w:rsidRPr="00D478BF">
        <w:rPr>
          <w:rFonts w:ascii="Tahoma" w:hAnsi="Tahoma" w:cs="Tahoma"/>
          <w:sz w:val="22"/>
          <w:szCs w:val="22"/>
          <w:shd w:val="clear" w:color="auto" w:fill="FFFFFF"/>
        </w:rPr>
        <w:t>redação dos Eventos de Vencimento Antecipado constantes da Cláusula 7.1.2, itens (xi) e (</w:t>
      </w:r>
      <w:proofErr w:type="spellStart"/>
      <w:r w:rsidRPr="00D478BF">
        <w:rPr>
          <w:rFonts w:ascii="Tahoma" w:hAnsi="Tahoma" w:cs="Tahoma"/>
          <w:sz w:val="22"/>
          <w:szCs w:val="22"/>
          <w:shd w:val="clear" w:color="auto" w:fill="FFFFFF"/>
        </w:rPr>
        <w:t>xii</w:t>
      </w:r>
      <w:proofErr w:type="spellEnd"/>
      <w:r w:rsidRPr="00D478BF">
        <w:rPr>
          <w:rFonts w:ascii="Tahoma" w:hAnsi="Tahoma" w:cs="Tahoma"/>
          <w:sz w:val="22"/>
          <w:szCs w:val="22"/>
          <w:shd w:val="clear" w:color="auto" w:fill="FFFFFF"/>
        </w:rPr>
        <w:t xml:space="preserve">), para registrar que, a partir do trimestre findo em 31 de março de 2021 (inclusive), os limites de endividamento calculados pela razão Dívida Líquida / EBITDA e Dívida Bruta / EBITDA, passam a ser, para o item (xi), </w:t>
      </w:r>
      <w:r w:rsidRPr="00D478BF">
        <w:rPr>
          <w:rFonts w:ascii="Tahoma" w:hAnsi="Tahoma" w:cs="Tahoma"/>
          <w:i/>
          <w:sz w:val="22"/>
          <w:szCs w:val="22"/>
          <w:shd w:val="clear" w:color="auto" w:fill="FFFFFF"/>
        </w:rPr>
        <w:t>“Igual ou inferior a 2,5x”,</w:t>
      </w:r>
      <w:r w:rsidRPr="00D478BF">
        <w:rPr>
          <w:rFonts w:ascii="Tahoma" w:hAnsi="Tahoma" w:cs="Tahoma"/>
          <w:sz w:val="22"/>
          <w:szCs w:val="22"/>
          <w:shd w:val="clear" w:color="auto" w:fill="FFFFFF"/>
        </w:rPr>
        <w:t xml:space="preserve"> e, para o item (</w:t>
      </w:r>
      <w:proofErr w:type="spellStart"/>
      <w:r w:rsidRPr="00D478BF">
        <w:rPr>
          <w:rFonts w:ascii="Tahoma" w:hAnsi="Tahoma" w:cs="Tahoma"/>
          <w:sz w:val="22"/>
          <w:szCs w:val="22"/>
          <w:shd w:val="clear" w:color="auto" w:fill="FFFFFF"/>
        </w:rPr>
        <w:t>xii</w:t>
      </w:r>
      <w:proofErr w:type="spellEnd"/>
      <w:r w:rsidRPr="00D478BF">
        <w:rPr>
          <w:rFonts w:ascii="Tahoma" w:hAnsi="Tahoma" w:cs="Tahoma"/>
          <w:sz w:val="22"/>
          <w:szCs w:val="22"/>
          <w:shd w:val="clear" w:color="auto" w:fill="FFFFFF"/>
        </w:rPr>
        <w:t xml:space="preserve">), </w:t>
      </w:r>
      <w:r w:rsidRPr="00D478BF">
        <w:rPr>
          <w:rFonts w:ascii="Tahoma" w:hAnsi="Tahoma" w:cs="Tahoma"/>
          <w:i/>
          <w:sz w:val="22"/>
          <w:szCs w:val="22"/>
          <w:shd w:val="clear" w:color="auto" w:fill="FFFFFF"/>
        </w:rPr>
        <w:t>“Igual ou inferior a 3,5x”</w:t>
      </w:r>
      <w:r w:rsidRPr="00D478BF">
        <w:rPr>
          <w:rFonts w:ascii="Tahoma" w:hAnsi="Tahoma" w:cs="Tahoma"/>
          <w:sz w:val="22"/>
          <w:szCs w:val="22"/>
          <w:shd w:val="clear" w:color="auto" w:fill="FFFFFF"/>
        </w:rPr>
        <w:t>;</w:t>
      </w:r>
    </w:p>
    <w:p w14:paraId="74D14BCA" w14:textId="6CA528BD" w:rsidR="003806D2" w:rsidRPr="00A94120" w:rsidRDefault="003806D2" w:rsidP="00D478BF">
      <w:pPr>
        <w:pStyle w:val="ListParagraph"/>
        <w:widowControl/>
        <w:numPr>
          <w:ilvl w:val="1"/>
          <w:numId w:val="7"/>
        </w:numPr>
        <w:spacing w:after="240" w:line="320" w:lineRule="exact"/>
        <w:rPr>
          <w:rFonts w:ascii="Tahoma" w:hAnsi="Tahoma" w:cs="Tahoma"/>
          <w:sz w:val="22"/>
          <w:szCs w:val="22"/>
          <w:shd w:val="clear" w:color="auto" w:fill="FFFFFF"/>
        </w:rPr>
      </w:pPr>
      <w:r w:rsidRPr="00A94120">
        <w:rPr>
          <w:rFonts w:ascii="Tahoma" w:hAnsi="Tahoma" w:cs="Tahoma"/>
          <w:sz w:val="22"/>
          <w:szCs w:val="22"/>
          <w:shd w:val="clear" w:color="auto" w:fill="FFFFFF"/>
        </w:rPr>
        <w:t>alterar a redação da (i) Cláusula 5.19.1. para  modificar a data a partir da qual a Companhia poderá, a qualquer momento, realizar o Resgate Antecipado Facultativo (conforme definido na Escritura de Emissão) das Debêntures de 11 de fevereiro de 2021 (inclusive) para 1º de junho de 2020 (inclusive); e (</w:t>
      </w:r>
      <w:proofErr w:type="spellStart"/>
      <w:r w:rsidRPr="00A94120">
        <w:rPr>
          <w:rFonts w:ascii="Tahoma" w:hAnsi="Tahoma" w:cs="Tahoma"/>
          <w:sz w:val="22"/>
          <w:szCs w:val="22"/>
          <w:shd w:val="clear" w:color="auto" w:fill="FFFFFF"/>
        </w:rPr>
        <w:t>ii</w:t>
      </w:r>
      <w:proofErr w:type="spellEnd"/>
      <w:r w:rsidRPr="00A94120">
        <w:rPr>
          <w:rFonts w:ascii="Tahoma" w:hAnsi="Tahoma" w:cs="Tahoma"/>
          <w:sz w:val="22"/>
          <w:szCs w:val="22"/>
          <w:shd w:val="clear" w:color="auto" w:fill="FFFFFF"/>
        </w:rPr>
        <w:t xml:space="preserve">) as colunas “Prazo”, </w:t>
      </w:r>
      <w:r w:rsidR="006544D0">
        <w:rPr>
          <w:rFonts w:ascii="Tahoma" w:hAnsi="Tahoma" w:cs="Tahoma"/>
          <w:sz w:val="22"/>
          <w:szCs w:val="22"/>
          <w:shd w:val="clear" w:color="auto" w:fill="FFFFFF"/>
        </w:rPr>
        <w:t>“</w:t>
      </w:r>
      <w:proofErr w:type="spellStart"/>
      <w:r w:rsidRPr="00D478BF">
        <w:rPr>
          <w:rFonts w:ascii="Tahoma" w:hAnsi="Tahoma" w:cs="Tahoma"/>
          <w:i/>
          <w:sz w:val="22"/>
          <w:szCs w:val="22"/>
          <w:shd w:val="clear" w:color="auto" w:fill="FFFFFF"/>
        </w:rPr>
        <w:t>Duration</w:t>
      </w:r>
      <w:proofErr w:type="spellEnd"/>
      <w:r w:rsidRPr="00A94120">
        <w:rPr>
          <w:rFonts w:ascii="Tahoma" w:hAnsi="Tahoma" w:cs="Tahoma"/>
          <w:sz w:val="22"/>
          <w:szCs w:val="22"/>
          <w:shd w:val="clear" w:color="auto" w:fill="FFFFFF"/>
        </w:rPr>
        <w:t xml:space="preserve"> </w:t>
      </w:r>
      <w:r w:rsidR="006544D0">
        <w:rPr>
          <w:rFonts w:ascii="Tahoma" w:hAnsi="Tahoma" w:cs="Tahoma"/>
          <w:sz w:val="22"/>
          <w:szCs w:val="22"/>
          <w:shd w:val="clear" w:color="auto" w:fill="FFFFFF"/>
        </w:rPr>
        <w:t xml:space="preserve"> </w:t>
      </w:r>
      <w:r w:rsidRPr="00A94120">
        <w:rPr>
          <w:rFonts w:ascii="Tahoma" w:hAnsi="Tahoma" w:cs="Tahoma"/>
          <w:sz w:val="22"/>
          <w:szCs w:val="22"/>
          <w:shd w:val="clear" w:color="auto" w:fill="FFFFFF"/>
        </w:rPr>
        <w:t xml:space="preserve">Remanescente” e “Prêmio Flat” da tabela constante da Cláusula 5.19.4 para refletir o ajuste indicado no item (i) acima, sendo certo que o prêmio flat permanecerá aplicável no caso de Resgate Antecipado Facultativo. Caso aprovado este item </w:t>
      </w:r>
      <w:r w:rsidR="00B25A2D">
        <w:rPr>
          <w:rFonts w:ascii="Tahoma" w:hAnsi="Tahoma" w:cs="Tahoma"/>
          <w:sz w:val="22"/>
          <w:szCs w:val="22"/>
          <w:shd w:val="clear" w:color="auto" w:fill="FFFFFF"/>
        </w:rPr>
        <w:t>nesta</w:t>
      </w:r>
      <w:r w:rsidR="00B25A2D" w:rsidRPr="00A94120">
        <w:rPr>
          <w:rFonts w:ascii="Tahoma" w:hAnsi="Tahoma" w:cs="Tahoma"/>
          <w:sz w:val="22"/>
          <w:szCs w:val="22"/>
          <w:shd w:val="clear" w:color="auto" w:fill="FFFFFF"/>
        </w:rPr>
        <w:t xml:space="preserve"> </w:t>
      </w:r>
      <w:r w:rsidRPr="00A94120">
        <w:rPr>
          <w:rFonts w:ascii="Tahoma" w:hAnsi="Tahoma" w:cs="Tahoma"/>
          <w:sz w:val="22"/>
          <w:szCs w:val="22"/>
          <w:shd w:val="clear" w:color="auto" w:fill="FFFFFF"/>
        </w:rPr>
        <w:t>AGD, as Cláusulas 5.19.1 e 5.19.4 passarão a vigorar com as seguintes novas redações:</w:t>
      </w:r>
    </w:p>
    <w:p w14:paraId="25DA03AB" w14:textId="5A06ACAA" w:rsidR="003806D2" w:rsidRPr="00D478BF" w:rsidRDefault="003806D2" w:rsidP="00D478BF">
      <w:pPr>
        <w:pStyle w:val="ListParagraph"/>
        <w:widowControl/>
        <w:spacing w:after="240" w:line="320" w:lineRule="exact"/>
        <w:ind w:left="1788"/>
        <w:rPr>
          <w:rFonts w:ascii="Tahoma" w:hAnsi="Tahoma" w:cs="Tahoma"/>
          <w:i/>
          <w:sz w:val="22"/>
          <w:szCs w:val="22"/>
          <w:shd w:val="clear" w:color="auto" w:fill="FFFFFF"/>
        </w:rPr>
      </w:pPr>
      <w:r w:rsidRPr="00D478BF">
        <w:rPr>
          <w:rFonts w:ascii="Tahoma" w:hAnsi="Tahoma" w:cs="Tahoma"/>
          <w:i/>
          <w:sz w:val="22"/>
          <w:szCs w:val="22"/>
          <w:shd w:val="clear" w:color="auto" w:fill="FFFFFF"/>
        </w:rPr>
        <w:t>“5.19.1. A Emissora poderá, a qualquer momento, após 1º de junho de 2020 (inclusive), a seu exclusive critério, resgatar antecipadamente a totalidade das Debentures, sem necessidade de anuência prévia dos Debenturistas, desde que a totalidade das Debentures seja resgatada antecipadamente em única data (''</w:t>
      </w:r>
      <w:r w:rsidRPr="00D478BF">
        <w:rPr>
          <w:rFonts w:ascii="Tahoma" w:hAnsi="Tahoma" w:cs="Tahoma"/>
          <w:b/>
          <w:i/>
          <w:sz w:val="22"/>
          <w:szCs w:val="22"/>
          <w:shd w:val="clear" w:color="auto" w:fill="FFFFFF"/>
        </w:rPr>
        <w:t>Resgate Antecipado Facultativo</w:t>
      </w:r>
      <w:r w:rsidRPr="00D478BF">
        <w:rPr>
          <w:rFonts w:ascii="Tahoma" w:hAnsi="Tahoma" w:cs="Tahoma"/>
          <w:i/>
          <w:sz w:val="22"/>
          <w:szCs w:val="22"/>
          <w:shd w:val="clear" w:color="auto" w:fill="FFFFFF"/>
        </w:rPr>
        <w:t xml:space="preserve">''). Fica certo e ajustado que não será permitido o resgate parcial das </w:t>
      </w:r>
      <w:r w:rsidR="006544D0" w:rsidRPr="00A94120">
        <w:rPr>
          <w:rFonts w:ascii="Tahoma" w:hAnsi="Tahoma" w:cs="Tahoma"/>
          <w:i/>
          <w:sz w:val="22"/>
          <w:szCs w:val="22"/>
          <w:shd w:val="clear" w:color="auto" w:fill="FFFFFF"/>
        </w:rPr>
        <w:t>Debentures. ”</w:t>
      </w:r>
    </w:p>
    <w:p w14:paraId="4806FEB1" w14:textId="77777777" w:rsidR="003806D2" w:rsidRPr="00D478BF" w:rsidRDefault="003806D2" w:rsidP="00D478BF">
      <w:pPr>
        <w:pStyle w:val="ListParagraph"/>
        <w:widowControl/>
        <w:spacing w:after="240" w:line="320" w:lineRule="exact"/>
        <w:ind w:left="1788"/>
        <w:rPr>
          <w:rFonts w:ascii="Tahoma" w:hAnsi="Tahoma" w:cs="Tahoma"/>
          <w:i/>
          <w:sz w:val="22"/>
          <w:szCs w:val="22"/>
          <w:shd w:val="clear" w:color="auto" w:fill="FFFFFF"/>
        </w:rPr>
      </w:pPr>
      <w:r w:rsidRPr="00D478BF">
        <w:rPr>
          <w:rFonts w:ascii="Tahoma" w:hAnsi="Tahoma" w:cs="Tahoma"/>
          <w:i/>
          <w:sz w:val="22"/>
          <w:szCs w:val="22"/>
          <w:shd w:val="clear" w:color="auto" w:fill="FFFFFF"/>
        </w:rPr>
        <w:t>(...)</w:t>
      </w:r>
    </w:p>
    <w:p w14:paraId="76B1C392" w14:textId="77777777" w:rsidR="003806D2" w:rsidRPr="00D478BF" w:rsidRDefault="003806D2" w:rsidP="00D478BF">
      <w:pPr>
        <w:pStyle w:val="ListParagraph"/>
        <w:widowControl/>
        <w:spacing w:after="240" w:line="320" w:lineRule="exact"/>
        <w:ind w:left="1788"/>
        <w:rPr>
          <w:rFonts w:ascii="Tahoma" w:hAnsi="Tahoma" w:cs="Tahoma"/>
          <w:i/>
          <w:sz w:val="22"/>
          <w:szCs w:val="22"/>
          <w:shd w:val="clear" w:color="auto" w:fill="FFFFFF"/>
        </w:rPr>
      </w:pPr>
      <w:r w:rsidRPr="00D478BF">
        <w:rPr>
          <w:rFonts w:ascii="Tahoma" w:hAnsi="Tahoma" w:cs="Tahoma"/>
          <w:i/>
          <w:sz w:val="22"/>
          <w:szCs w:val="22"/>
          <w:shd w:val="clear" w:color="auto" w:fill="FFFFFF"/>
        </w:rPr>
        <w:t xml:space="preserve">“5.19.4. </w:t>
      </w:r>
    </w:p>
    <w:p w14:paraId="69D064D5" w14:textId="10A54935" w:rsidR="003806D2" w:rsidRPr="00D478BF" w:rsidRDefault="003806D2" w:rsidP="00D478BF">
      <w:pPr>
        <w:pStyle w:val="ListParagraph"/>
        <w:widowControl/>
        <w:spacing w:after="240" w:line="320" w:lineRule="exact"/>
        <w:ind w:left="1788"/>
        <w:rPr>
          <w:rFonts w:ascii="Tahoma" w:hAnsi="Tahoma" w:cs="Tahoma"/>
          <w:i/>
          <w:sz w:val="22"/>
          <w:szCs w:val="22"/>
          <w:shd w:val="clear" w:color="auto" w:fill="FFFFFF"/>
        </w:rPr>
      </w:pPr>
      <w:r w:rsidRPr="00D478BF">
        <w:rPr>
          <w:rFonts w:ascii="Tahoma" w:hAnsi="Tahoma" w:cs="Tahoma"/>
          <w:i/>
          <w:sz w:val="22"/>
          <w:szCs w:val="22"/>
          <w:shd w:val="clear" w:color="auto" w:fill="FFFFFF"/>
        </w:rPr>
        <w:t>(...)</w:t>
      </w:r>
    </w:p>
    <w:tbl>
      <w:tblPr>
        <w:tblStyle w:val="TableGrid"/>
        <w:tblW w:w="0" w:type="auto"/>
        <w:tblInd w:w="1838" w:type="dxa"/>
        <w:tblLook w:val="04A0" w:firstRow="1" w:lastRow="0" w:firstColumn="1" w:lastColumn="0" w:noHBand="0" w:noVBand="1"/>
      </w:tblPr>
      <w:tblGrid>
        <w:gridCol w:w="1796"/>
        <w:gridCol w:w="2056"/>
        <w:gridCol w:w="1799"/>
        <w:gridCol w:w="1856"/>
      </w:tblGrid>
      <w:tr w:rsidR="003806D2" w:rsidRPr="00A94120" w14:paraId="3A3E9EDF" w14:textId="77777777" w:rsidTr="00D478BF">
        <w:tc>
          <w:tcPr>
            <w:tcW w:w="1796" w:type="dxa"/>
          </w:tcPr>
          <w:p w14:paraId="7AB91EFC"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Prazo</w:t>
            </w:r>
          </w:p>
        </w:tc>
        <w:tc>
          <w:tcPr>
            <w:tcW w:w="2056" w:type="dxa"/>
          </w:tcPr>
          <w:p w14:paraId="2AE6A10F"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proofErr w:type="spellStart"/>
            <w:r w:rsidRPr="00D478BF">
              <w:rPr>
                <w:rFonts w:ascii="Tahoma" w:hAnsi="Tahoma" w:cs="Tahoma"/>
                <w:i/>
                <w:sz w:val="22"/>
                <w:szCs w:val="22"/>
                <w:shd w:val="clear" w:color="auto" w:fill="FFFFFF"/>
              </w:rPr>
              <w:t>Duration</w:t>
            </w:r>
            <w:proofErr w:type="spellEnd"/>
            <w:r w:rsidRPr="00D478BF">
              <w:rPr>
                <w:rFonts w:ascii="Tahoma" w:hAnsi="Tahoma" w:cs="Tahoma"/>
                <w:i/>
                <w:sz w:val="22"/>
                <w:szCs w:val="22"/>
                <w:shd w:val="clear" w:color="auto" w:fill="FFFFFF"/>
              </w:rPr>
              <w:t xml:space="preserve"> Remanescente </w:t>
            </w:r>
            <w:r w:rsidRPr="00D478BF">
              <w:rPr>
                <w:rFonts w:ascii="Tahoma" w:hAnsi="Tahoma" w:cs="Tahoma"/>
                <w:i/>
                <w:sz w:val="22"/>
                <w:szCs w:val="22"/>
                <w:shd w:val="clear" w:color="auto" w:fill="FFFFFF"/>
                <w:vertAlign w:val="superscript"/>
              </w:rPr>
              <w:t>(1)</w:t>
            </w:r>
          </w:p>
        </w:tc>
        <w:tc>
          <w:tcPr>
            <w:tcW w:w="1799" w:type="dxa"/>
          </w:tcPr>
          <w:p w14:paraId="6CBD8B7F"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 xml:space="preserve">Prêmio ao Ano </w:t>
            </w:r>
            <w:r w:rsidRPr="00D478BF">
              <w:rPr>
                <w:rFonts w:ascii="Tahoma" w:hAnsi="Tahoma" w:cs="Tahoma"/>
                <w:i/>
                <w:sz w:val="22"/>
                <w:szCs w:val="22"/>
                <w:shd w:val="clear" w:color="auto" w:fill="FFFFFF"/>
                <w:vertAlign w:val="superscript"/>
              </w:rPr>
              <w:t>(1)</w:t>
            </w:r>
          </w:p>
        </w:tc>
        <w:tc>
          <w:tcPr>
            <w:tcW w:w="1856" w:type="dxa"/>
          </w:tcPr>
          <w:p w14:paraId="3E9D792E"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Prêmio Flat</w:t>
            </w:r>
          </w:p>
        </w:tc>
      </w:tr>
      <w:tr w:rsidR="003806D2" w:rsidRPr="00A94120" w14:paraId="1DD9985E" w14:textId="77777777" w:rsidTr="00D478BF">
        <w:tc>
          <w:tcPr>
            <w:tcW w:w="1796" w:type="dxa"/>
          </w:tcPr>
          <w:p w14:paraId="0F619D97" w14:textId="77777777" w:rsidR="003806D2" w:rsidRPr="00D478BF" w:rsidRDefault="003806D2" w:rsidP="003F4B5F">
            <w:pPr>
              <w:pStyle w:val="Estilo"/>
              <w:spacing w:before="240" w:line="290" w:lineRule="auto"/>
              <w:jc w:val="both"/>
              <w:rPr>
                <w:rFonts w:ascii="Tahoma" w:hAnsi="Tahoma" w:cs="Tahoma"/>
                <w:i/>
                <w:sz w:val="22"/>
                <w:szCs w:val="22"/>
                <w:shd w:val="clear" w:color="auto" w:fill="FFFFFF"/>
              </w:rPr>
            </w:pPr>
            <w:r w:rsidRPr="00D478BF">
              <w:rPr>
                <w:rFonts w:ascii="Tahoma" w:hAnsi="Tahoma" w:cs="Tahoma"/>
                <w:i/>
                <w:sz w:val="22"/>
                <w:szCs w:val="22"/>
                <w:shd w:val="clear" w:color="auto" w:fill="FFFFFF"/>
              </w:rPr>
              <w:t xml:space="preserve">Entre 1º de junho de 2020 (inclusive) e 10 </w:t>
            </w:r>
            <w:r w:rsidRPr="00D478BF">
              <w:rPr>
                <w:rFonts w:ascii="Tahoma" w:hAnsi="Tahoma" w:cs="Tahoma"/>
                <w:i/>
                <w:sz w:val="22"/>
                <w:szCs w:val="22"/>
                <w:shd w:val="clear" w:color="auto" w:fill="FFFFFF"/>
              </w:rPr>
              <w:lastRenderedPageBreak/>
              <w:t>de março de 2021 (inclusive)</w:t>
            </w:r>
          </w:p>
        </w:tc>
        <w:tc>
          <w:tcPr>
            <w:tcW w:w="2056" w:type="dxa"/>
          </w:tcPr>
          <w:p w14:paraId="2EE775C2"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lastRenderedPageBreak/>
              <w:t>2,57</w:t>
            </w:r>
          </w:p>
        </w:tc>
        <w:tc>
          <w:tcPr>
            <w:tcW w:w="1799" w:type="dxa"/>
          </w:tcPr>
          <w:p w14:paraId="009D6D65"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1,5%</w:t>
            </w:r>
          </w:p>
        </w:tc>
        <w:tc>
          <w:tcPr>
            <w:tcW w:w="1856" w:type="dxa"/>
          </w:tcPr>
          <w:p w14:paraId="327A6DF8"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3,86%</w:t>
            </w:r>
          </w:p>
        </w:tc>
      </w:tr>
      <w:tr w:rsidR="003806D2" w:rsidRPr="00A94120" w14:paraId="2A73BF2C" w14:textId="77777777" w:rsidTr="00D478BF">
        <w:tc>
          <w:tcPr>
            <w:tcW w:w="1796" w:type="dxa"/>
          </w:tcPr>
          <w:p w14:paraId="3FB701E3" w14:textId="77777777" w:rsidR="003806D2" w:rsidRPr="00D478BF" w:rsidRDefault="003806D2" w:rsidP="003F4B5F">
            <w:pPr>
              <w:pStyle w:val="Estilo"/>
              <w:spacing w:before="240" w:line="290" w:lineRule="auto"/>
              <w:jc w:val="both"/>
              <w:rPr>
                <w:rFonts w:ascii="Tahoma" w:hAnsi="Tahoma" w:cs="Tahoma"/>
                <w:i/>
                <w:sz w:val="22"/>
                <w:szCs w:val="22"/>
                <w:shd w:val="clear" w:color="auto" w:fill="FFFFFF"/>
              </w:rPr>
            </w:pPr>
            <w:r w:rsidRPr="00D478BF">
              <w:rPr>
                <w:rFonts w:ascii="Tahoma" w:hAnsi="Tahoma" w:cs="Tahoma"/>
                <w:i/>
                <w:sz w:val="22"/>
                <w:szCs w:val="22"/>
                <w:shd w:val="clear" w:color="auto" w:fill="FFFFFF"/>
              </w:rPr>
              <w:t>Entre 11 de março de 2021 (inclusive) e 10 de março de 2022 (inclusive)</w:t>
            </w:r>
          </w:p>
        </w:tc>
        <w:tc>
          <w:tcPr>
            <w:tcW w:w="2056" w:type="dxa"/>
          </w:tcPr>
          <w:p w14:paraId="6AD03858" w14:textId="77777777" w:rsidR="003806D2" w:rsidRPr="00D478BF" w:rsidDel="00224622"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2,09</w:t>
            </w:r>
          </w:p>
        </w:tc>
        <w:tc>
          <w:tcPr>
            <w:tcW w:w="1799" w:type="dxa"/>
          </w:tcPr>
          <w:p w14:paraId="510E6614"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1,5%</w:t>
            </w:r>
          </w:p>
        </w:tc>
        <w:tc>
          <w:tcPr>
            <w:tcW w:w="1856" w:type="dxa"/>
          </w:tcPr>
          <w:p w14:paraId="306EEC80"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3,13%</w:t>
            </w:r>
          </w:p>
        </w:tc>
      </w:tr>
      <w:tr w:rsidR="003806D2" w:rsidRPr="00A94120" w14:paraId="354A9501" w14:textId="77777777" w:rsidTr="00D478BF">
        <w:tc>
          <w:tcPr>
            <w:tcW w:w="1796" w:type="dxa"/>
          </w:tcPr>
          <w:p w14:paraId="3579B834" w14:textId="77777777" w:rsidR="003806D2" w:rsidRPr="00D478BF" w:rsidRDefault="003806D2" w:rsidP="003F4B5F">
            <w:pPr>
              <w:pStyle w:val="Estilo"/>
              <w:spacing w:before="240" w:line="290" w:lineRule="auto"/>
              <w:jc w:val="both"/>
              <w:rPr>
                <w:rFonts w:ascii="Tahoma" w:hAnsi="Tahoma" w:cs="Tahoma"/>
                <w:i/>
                <w:sz w:val="22"/>
                <w:szCs w:val="22"/>
                <w:shd w:val="clear" w:color="auto" w:fill="FFFFFF"/>
              </w:rPr>
            </w:pPr>
            <w:r w:rsidRPr="00D478BF">
              <w:rPr>
                <w:rFonts w:ascii="Tahoma" w:hAnsi="Tahoma" w:cs="Tahoma"/>
                <w:i/>
                <w:sz w:val="22"/>
                <w:szCs w:val="22"/>
                <w:shd w:val="clear" w:color="auto" w:fill="FFFFFF"/>
              </w:rPr>
              <w:t>Entre 11 de março de 2022 (inclusive) e 10 de março de 2023 (inclusive)</w:t>
            </w:r>
          </w:p>
        </w:tc>
        <w:tc>
          <w:tcPr>
            <w:tcW w:w="2056" w:type="dxa"/>
          </w:tcPr>
          <w:p w14:paraId="199C65BB"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1,15</w:t>
            </w:r>
          </w:p>
        </w:tc>
        <w:tc>
          <w:tcPr>
            <w:tcW w:w="1799" w:type="dxa"/>
          </w:tcPr>
          <w:p w14:paraId="1FF76B50"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1,5%</w:t>
            </w:r>
          </w:p>
        </w:tc>
        <w:tc>
          <w:tcPr>
            <w:tcW w:w="1856" w:type="dxa"/>
          </w:tcPr>
          <w:p w14:paraId="71DC8E43"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1,73%</w:t>
            </w:r>
          </w:p>
        </w:tc>
      </w:tr>
      <w:tr w:rsidR="003806D2" w:rsidRPr="00A94120" w14:paraId="63F22169" w14:textId="77777777" w:rsidTr="00D478BF">
        <w:tc>
          <w:tcPr>
            <w:tcW w:w="1796" w:type="dxa"/>
          </w:tcPr>
          <w:p w14:paraId="09431A2A" w14:textId="77777777" w:rsidR="003806D2" w:rsidRPr="00D478BF" w:rsidRDefault="003806D2" w:rsidP="003F4B5F">
            <w:pPr>
              <w:pStyle w:val="Estilo"/>
              <w:spacing w:before="240" w:line="290" w:lineRule="auto"/>
              <w:jc w:val="both"/>
              <w:rPr>
                <w:rFonts w:ascii="Tahoma" w:hAnsi="Tahoma" w:cs="Tahoma"/>
                <w:i/>
                <w:sz w:val="22"/>
                <w:szCs w:val="22"/>
                <w:shd w:val="clear" w:color="auto" w:fill="FFFFFF"/>
              </w:rPr>
            </w:pPr>
            <w:r w:rsidRPr="00D478BF">
              <w:rPr>
                <w:rFonts w:ascii="Tahoma" w:hAnsi="Tahoma" w:cs="Tahoma"/>
                <w:i/>
                <w:sz w:val="22"/>
                <w:szCs w:val="22"/>
                <w:shd w:val="clear" w:color="auto" w:fill="FFFFFF"/>
              </w:rPr>
              <w:t>Entre 11 de março de 2023 (inclusive) e a Data de Vencimento (inclusive)</w:t>
            </w:r>
          </w:p>
        </w:tc>
        <w:tc>
          <w:tcPr>
            <w:tcW w:w="2056" w:type="dxa"/>
          </w:tcPr>
          <w:p w14:paraId="6E4F65B7"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0,48</w:t>
            </w:r>
          </w:p>
        </w:tc>
        <w:tc>
          <w:tcPr>
            <w:tcW w:w="1799" w:type="dxa"/>
          </w:tcPr>
          <w:p w14:paraId="76FE20FA"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1,5%</w:t>
            </w:r>
          </w:p>
        </w:tc>
        <w:tc>
          <w:tcPr>
            <w:tcW w:w="1856" w:type="dxa"/>
          </w:tcPr>
          <w:p w14:paraId="0E440EA2" w14:textId="77777777" w:rsidR="003806D2" w:rsidRPr="00D478BF" w:rsidRDefault="003806D2" w:rsidP="003F4B5F">
            <w:pPr>
              <w:pStyle w:val="Estilo"/>
              <w:spacing w:before="240" w:line="290" w:lineRule="auto"/>
              <w:jc w:val="center"/>
              <w:rPr>
                <w:rFonts w:ascii="Tahoma" w:hAnsi="Tahoma" w:cs="Tahoma"/>
                <w:i/>
                <w:sz w:val="22"/>
                <w:szCs w:val="22"/>
                <w:shd w:val="clear" w:color="auto" w:fill="FFFFFF"/>
              </w:rPr>
            </w:pPr>
            <w:r w:rsidRPr="00D478BF">
              <w:rPr>
                <w:rFonts w:ascii="Tahoma" w:hAnsi="Tahoma" w:cs="Tahoma"/>
                <w:i/>
                <w:sz w:val="22"/>
                <w:szCs w:val="22"/>
                <w:shd w:val="clear" w:color="auto" w:fill="FFFFFF"/>
              </w:rPr>
              <w:t>0,72%</w:t>
            </w:r>
          </w:p>
        </w:tc>
      </w:tr>
    </w:tbl>
    <w:p w14:paraId="2EC91CBD" w14:textId="3EA0449B" w:rsidR="00A94120" w:rsidRPr="00D478BF" w:rsidRDefault="003806D2" w:rsidP="00D478BF">
      <w:pPr>
        <w:pStyle w:val="ListParagraph"/>
        <w:widowControl/>
        <w:spacing w:after="240" w:line="320" w:lineRule="exact"/>
        <w:ind w:left="1788"/>
        <w:rPr>
          <w:rFonts w:ascii="Tahoma" w:hAnsi="Tahoma" w:cs="Tahoma"/>
          <w:i/>
          <w:sz w:val="22"/>
          <w:szCs w:val="22"/>
          <w:shd w:val="clear" w:color="auto" w:fill="FFFFFF"/>
        </w:rPr>
      </w:pPr>
      <w:r w:rsidRPr="00D478BF">
        <w:rPr>
          <w:rFonts w:ascii="Tahoma" w:hAnsi="Tahoma" w:cs="Tahoma"/>
          <w:i/>
          <w:sz w:val="22"/>
          <w:szCs w:val="22"/>
          <w:shd w:val="clear" w:color="auto" w:fill="FFFFFF"/>
          <w:vertAlign w:val="superscript"/>
        </w:rPr>
        <w:t xml:space="preserve">(1) </w:t>
      </w:r>
      <w:r w:rsidRPr="00D478BF">
        <w:rPr>
          <w:rFonts w:ascii="Tahoma" w:hAnsi="Tahoma" w:cs="Tahoma"/>
          <w:i/>
          <w:sz w:val="22"/>
          <w:szCs w:val="22"/>
          <w:shd w:val="clear" w:color="auto" w:fill="FFFFFF"/>
        </w:rPr>
        <w:t>As informações incluídas nas colunas “</w:t>
      </w:r>
      <w:proofErr w:type="spellStart"/>
      <w:r w:rsidRPr="00D478BF">
        <w:rPr>
          <w:rFonts w:ascii="Tahoma" w:hAnsi="Tahoma" w:cs="Tahoma"/>
          <w:i/>
          <w:sz w:val="22"/>
          <w:szCs w:val="22"/>
          <w:shd w:val="clear" w:color="auto" w:fill="FFFFFF"/>
        </w:rPr>
        <w:t>Duration</w:t>
      </w:r>
      <w:proofErr w:type="spellEnd"/>
      <w:r w:rsidRPr="00D478BF">
        <w:rPr>
          <w:rFonts w:ascii="Tahoma" w:hAnsi="Tahoma" w:cs="Tahoma"/>
          <w:i/>
          <w:sz w:val="22"/>
          <w:szCs w:val="22"/>
          <w:shd w:val="clear" w:color="auto" w:fill="FFFFFF"/>
        </w:rPr>
        <w:t xml:space="preserve"> </w:t>
      </w:r>
      <w:r w:rsidR="00A94120" w:rsidRPr="00D478BF">
        <w:rPr>
          <w:rFonts w:ascii="Tahoma" w:hAnsi="Tahoma" w:cs="Tahoma"/>
          <w:i/>
          <w:sz w:val="22"/>
          <w:szCs w:val="22"/>
          <w:shd w:val="clear" w:color="auto" w:fill="FFFFFF"/>
        </w:rPr>
        <w:t xml:space="preserve">Remanescente” e “Prêmio ao Ano” </w:t>
      </w:r>
      <w:r w:rsidRPr="00D478BF">
        <w:rPr>
          <w:rFonts w:ascii="Tahoma" w:hAnsi="Tahoma" w:cs="Tahoma"/>
          <w:i/>
          <w:sz w:val="22"/>
          <w:szCs w:val="22"/>
          <w:shd w:val="clear" w:color="auto" w:fill="FFFFFF"/>
        </w:rPr>
        <w:t>são meramente indicativas e estão sujeitas a alterações.</w:t>
      </w:r>
    </w:p>
    <w:p w14:paraId="43ABB10E" w14:textId="71387B24" w:rsidR="003806D2" w:rsidRPr="00D478BF" w:rsidRDefault="003806D2" w:rsidP="00D478BF">
      <w:pPr>
        <w:pStyle w:val="ListParagraph"/>
        <w:widowControl/>
        <w:spacing w:after="240" w:line="320" w:lineRule="exact"/>
        <w:ind w:left="1788"/>
        <w:rPr>
          <w:rFonts w:ascii="Tahoma" w:hAnsi="Tahoma" w:cs="Tahoma"/>
          <w:i/>
          <w:sz w:val="22"/>
          <w:szCs w:val="22"/>
          <w:shd w:val="clear" w:color="auto" w:fill="FFFFFF"/>
        </w:rPr>
      </w:pPr>
      <w:r w:rsidRPr="00D478BF">
        <w:rPr>
          <w:rFonts w:ascii="Tahoma" w:hAnsi="Tahoma" w:cs="Tahoma"/>
          <w:i/>
          <w:sz w:val="22"/>
          <w:szCs w:val="22"/>
          <w:shd w:val="clear" w:color="auto" w:fill="FFFFFF"/>
        </w:rPr>
        <w:t>(...)”</w:t>
      </w:r>
    </w:p>
    <w:p w14:paraId="743CF591" w14:textId="7BB27896" w:rsidR="004D045D" w:rsidRPr="00D478BF" w:rsidRDefault="004D045D" w:rsidP="00D478BF">
      <w:pPr>
        <w:rPr>
          <w:rFonts w:ascii="Tahoma" w:hAnsi="Tahoma" w:cs="Tahoma"/>
          <w:sz w:val="22"/>
          <w:szCs w:val="22"/>
        </w:rPr>
      </w:pPr>
    </w:p>
    <w:p w14:paraId="5499997A" w14:textId="6A1A376E" w:rsidR="004D045D" w:rsidRPr="00D478BF" w:rsidRDefault="004D045D" w:rsidP="000F4751">
      <w:pPr>
        <w:pStyle w:val="ListParagraph"/>
        <w:widowControl/>
        <w:numPr>
          <w:ilvl w:val="0"/>
          <w:numId w:val="7"/>
        </w:numPr>
        <w:spacing w:after="240" w:line="320" w:lineRule="exact"/>
        <w:rPr>
          <w:rFonts w:ascii="Tahoma" w:hAnsi="Tahoma" w:cs="Tahoma"/>
          <w:sz w:val="22"/>
          <w:szCs w:val="22"/>
        </w:rPr>
      </w:pPr>
      <w:r w:rsidRPr="000F4751">
        <w:rPr>
          <w:rFonts w:ascii="Tahoma" w:hAnsi="Tahoma" w:cs="Tahoma"/>
          <w:sz w:val="22"/>
          <w:szCs w:val="22"/>
          <w:shd w:val="clear" w:color="auto" w:fill="FFFFFF"/>
        </w:rPr>
        <w:t xml:space="preserve">autorizar a Emissora, a Fiadora e o Agente Fiduciário a: </w:t>
      </w:r>
      <w:r w:rsidRPr="00D478BF">
        <w:rPr>
          <w:rFonts w:ascii="Tahoma" w:hAnsi="Tahoma" w:cs="Tahoma"/>
          <w:b/>
          <w:sz w:val="22"/>
          <w:szCs w:val="22"/>
          <w:shd w:val="clear" w:color="auto" w:fill="FFFFFF"/>
        </w:rPr>
        <w:t>(1)</w:t>
      </w:r>
      <w:r w:rsidRPr="00D478BF">
        <w:rPr>
          <w:rFonts w:ascii="Tahoma" w:hAnsi="Tahoma" w:cs="Tahoma"/>
          <w:sz w:val="22"/>
          <w:szCs w:val="22"/>
          <w:shd w:val="clear" w:color="auto" w:fill="FFFFFF"/>
        </w:rPr>
        <w:t xml:space="preserve"> praticar todos os atos necessários à realização e aperfeiçoamento da ordem do dia acima; e </w:t>
      </w:r>
      <w:r w:rsidRPr="00D478BF">
        <w:rPr>
          <w:rFonts w:ascii="Tahoma" w:hAnsi="Tahoma" w:cs="Tahoma"/>
          <w:b/>
          <w:sz w:val="22"/>
          <w:szCs w:val="22"/>
          <w:shd w:val="clear" w:color="auto" w:fill="FFFFFF"/>
        </w:rPr>
        <w:t>(2)</w:t>
      </w:r>
      <w:r w:rsidRPr="00D478BF">
        <w:rPr>
          <w:rFonts w:ascii="Tahoma" w:hAnsi="Tahoma" w:cs="Tahoma"/>
          <w:sz w:val="22"/>
          <w:szCs w:val="22"/>
          <w:shd w:val="clear" w:color="auto" w:fill="FFFFFF"/>
        </w:rPr>
        <w:t xml:space="preserve"> celebrar todos os documentos e realizar todos os atos societários necessários à efetivação das deliberações ora tomadas, inclusive, sem limitação, a celebração de aditamento à Escritura de Emissão e a respectiva averbação do aditamento à Escritura de Emissão na Junta Comercial do Estado do Ceará (“</w:t>
      </w:r>
      <w:r w:rsidRPr="00D478BF">
        <w:rPr>
          <w:rFonts w:ascii="Tahoma" w:hAnsi="Tahoma" w:cs="Tahoma"/>
          <w:b/>
          <w:sz w:val="22"/>
          <w:szCs w:val="22"/>
          <w:shd w:val="clear" w:color="auto" w:fill="FFFFFF"/>
        </w:rPr>
        <w:t>JUCEC</w:t>
      </w:r>
      <w:r w:rsidRPr="00D478BF">
        <w:rPr>
          <w:rFonts w:ascii="Tahoma" w:hAnsi="Tahoma" w:cs="Tahoma"/>
          <w:sz w:val="22"/>
          <w:szCs w:val="22"/>
          <w:shd w:val="clear" w:color="auto" w:fill="FFFFFF"/>
        </w:rPr>
        <w:t>”), nos termos do artigo 62, inciso II, e do seu parágrafo 3º, da Lei das Sociedades por Ações, e no competente Cartório de Registro de Títulos e Documentos, nos termos do artigo 129, item 3, da Lei nº 6.015, de 31 de dezembro de 1973, conforme em vigor</w:t>
      </w:r>
      <w:r w:rsidR="000F4751" w:rsidRPr="00D478BF">
        <w:rPr>
          <w:rFonts w:ascii="Tahoma" w:hAnsi="Tahoma" w:cs="Tahoma"/>
          <w:sz w:val="22"/>
          <w:szCs w:val="22"/>
          <w:shd w:val="clear" w:color="auto" w:fill="FFFFFF"/>
        </w:rPr>
        <w:t>.</w:t>
      </w:r>
    </w:p>
    <w:p w14:paraId="6881AC11" w14:textId="02D80C2E" w:rsidR="00E670B5" w:rsidRPr="00F73715" w:rsidRDefault="00E44738" w:rsidP="00D478BF">
      <w:pPr>
        <w:widowControl/>
        <w:numPr>
          <w:ilvl w:val="0"/>
          <w:numId w:val="4"/>
        </w:numPr>
        <w:tabs>
          <w:tab w:val="clear" w:pos="0"/>
          <w:tab w:val="num" w:pos="1134"/>
        </w:tabs>
        <w:spacing w:after="240" w:line="320" w:lineRule="exact"/>
        <w:rPr>
          <w:rFonts w:ascii="Tahoma" w:hAnsi="Tahoma" w:cs="Tahoma"/>
          <w:b/>
          <w:sz w:val="22"/>
          <w:szCs w:val="22"/>
        </w:rPr>
      </w:pPr>
      <w:r w:rsidRPr="00A80024">
        <w:rPr>
          <w:rFonts w:ascii="Tahoma" w:hAnsi="Tahoma" w:cs="Tahoma"/>
          <w:b/>
          <w:sz w:val="22"/>
          <w:szCs w:val="22"/>
        </w:rPr>
        <w:t>ABERTURA:</w:t>
      </w:r>
      <w:r w:rsidRPr="00A80024">
        <w:rPr>
          <w:rFonts w:ascii="Tahoma" w:hAnsi="Tahoma" w:cs="Tahoma"/>
          <w:sz w:val="22"/>
          <w:szCs w:val="22"/>
        </w:rPr>
        <w:t xml:space="preserve"> </w:t>
      </w:r>
      <w:r w:rsidR="00244309" w:rsidRPr="00A80024">
        <w:rPr>
          <w:rFonts w:ascii="Tahoma" w:hAnsi="Tahoma" w:cs="Tahoma"/>
          <w:sz w:val="22"/>
          <w:szCs w:val="22"/>
        </w:rPr>
        <w:t xml:space="preserve">Foram eleitos o </w:t>
      </w:r>
      <w:r w:rsidRPr="002F71A3">
        <w:rPr>
          <w:rFonts w:ascii="Tahoma" w:hAnsi="Tahoma" w:cs="Tahoma"/>
          <w:sz w:val="22"/>
          <w:szCs w:val="22"/>
        </w:rPr>
        <w:t xml:space="preserve">Presidente e o Secretário da Assembleia para, dentre outras providências, lavrar a presente ata. Após a devida eleição, foram </w:t>
      </w:r>
      <w:r w:rsidRPr="00A94120">
        <w:rPr>
          <w:rFonts w:ascii="Tahoma" w:hAnsi="Tahoma" w:cs="Tahoma"/>
          <w:sz w:val="22"/>
          <w:szCs w:val="22"/>
        </w:rPr>
        <w:t>abertos os trabalhos, tendo sido verificado pelo S</w:t>
      </w:r>
      <w:r w:rsidR="00522F89" w:rsidRPr="00A94120">
        <w:rPr>
          <w:rFonts w:ascii="Tahoma" w:hAnsi="Tahoma" w:cs="Tahoma"/>
          <w:sz w:val="22"/>
          <w:szCs w:val="22"/>
        </w:rPr>
        <w:t>ecretário os pressupostos de quó</w:t>
      </w:r>
      <w:r w:rsidRPr="00A94120">
        <w:rPr>
          <w:rFonts w:ascii="Tahoma" w:hAnsi="Tahoma" w:cs="Tahoma"/>
          <w:sz w:val="22"/>
          <w:szCs w:val="22"/>
        </w:rPr>
        <w:t xml:space="preserve">rum e convocação, bem como os </w:t>
      </w:r>
      <w:r w:rsidRPr="00A94120">
        <w:rPr>
          <w:rFonts w:ascii="Tahoma" w:hAnsi="Tahoma" w:cs="Tahoma"/>
          <w:sz w:val="22"/>
          <w:szCs w:val="22"/>
        </w:rPr>
        <w:lastRenderedPageBreak/>
        <w:t>instrumentos de mandato dos representantes do</w:t>
      </w:r>
      <w:r w:rsidR="00522F89" w:rsidRPr="00A94120">
        <w:rPr>
          <w:rFonts w:ascii="Tahoma" w:hAnsi="Tahoma" w:cs="Tahoma"/>
          <w:sz w:val="22"/>
          <w:szCs w:val="22"/>
        </w:rPr>
        <w:t>s</w:t>
      </w:r>
      <w:r w:rsidRPr="00A94120">
        <w:rPr>
          <w:rFonts w:ascii="Tahoma" w:hAnsi="Tahoma" w:cs="Tahoma"/>
          <w:sz w:val="22"/>
          <w:szCs w:val="22"/>
        </w:rPr>
        <w:t xml:space="preserve"> Debenturista</w:t>
      </w:r>
      <w:r w:rsidR="00522F89" w:rsidRPr="00A94120">
        <w:rPr>
          <w:rFonts w:ascii="Tahoma" w:hAnsi="Tahoma" w:cs="Tahoma"/>
          <w:sz w:val="22"/>
          <w:szCs w:val="22"/>
        </w:rPr>
        <w:t>s</w:t>
      </w:r>
      <w:r w:rsidRPr="00A94120">
        <w:rPr>
          <w:rFonts w:ascii="Tahoma" w:hAnsi="Tahoma" w:cs="Tahoma"/>
          <w:sz w:val="22"/>
          <w:szCs w:val="22"/>
        </w:rPr>
        <w:t xml:space="preserve"> presente</w:t>
      </w:r>
      <w:r w:rsidR="00522F89" w:rsidRPr="00A94120">
        <w:rPr>
          <w:rFonts w:ascii="Tahoma" w:hAnsi="Tahoma" w:cs="Tahoma"/>
          <w:sz w:val="22"/>
          <w:szCs w:val="22"/>
        </w:rPr>
        <w:t>s</w:t>
      </w:r>
      <w:r w:rsidRPr="00A94120">
        <w:rPr>
          <w:rFonts w:ascii="Tahoma" w:hAnsi="Tahoma" w:cs="Tahoma"/>
          <w:sz w:val="22"/>
          <w:szCs w:val="22"/>
        </w:rPr>
        <w:t>, declarando o Sr. Presidente instalada a presente Assembleia. Em seguida, foi realizada</w:t>
      </w:r>
      <w:r w:rsidRPr="003806D2">
        <w:rPr>
          <w:rFonts w:ascii="Tahoma" w:hAnsi="Tahoma" w:cs="Tahoma"/>
          <w:sz w:val="22"/>
          <w:szCs w:val="22"/>
        </w:rPr>
        <w:t xml:space="preserve"> a leitura da ordem do dia. </w:t>
      </w:r>
    </w:p>
    <w:p w14:paraId="01915D9C" w14:textId="77777777" w:rsidR="005B6376"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DELIBERAÇÕES:</w:t>
      </w:r>
      <w:r w:rsidRPr="003C5487">
        <w:rPr>
          <w:rFonts w:ascii="Tahoma" w:hAnsi="Tahoma" w:cs="Tahoma"/>
          <w:sz w:val="22"/>
          <w:szCs w:val="22"/>
        </w:rPr>
        <w:t xml:space="preserve"> Examinada e debatida a matéria constante da Ordem do Dia</w:t>
      </w:r>
      <w:r w:rsidR="005B6376">
        <w:rPr>
          <w:rFonts w:ascii="Tahoma" w:hAnsi="Tahoma" w:cs="Tahoma"/>
          <w:sz w:val="22"/>
          <w:szCs w:val="22"/>
        </w:rPr>
        <w:t xml:space="preserve">: </w:t>
      </w:r>
    </w:p>
    <w:p w14:paraId="5DAE196E" w14:textId="3F834FB0" w:rsidR="00A80024" w:rsidRDefault="00E95CBB" w:rsidP="00FC0A36">
      <w:pPr>
        <w:widowControl/>
        <w:numPr>
          <w:ilvl w:val="1"/>
          <w:numId w:val="4"/>
        </w:numPr>
        <w:spacing w:after="240" w:line="320" w:lineRule="exact"/>
        <w:ind w:left="1428"/>
        <w:rPr>
          <w:rFonts w:ascii="Tahoma" w:hAnsi="Tahoma" w:cs="Tahoma"/>
          <w:sz w:val="22"/>
          <w:szCs w:val="22"/>
          <w:shd w:val="clear" w:color="auto" w:fill="FFFFFF"/>
        </w:rPr>
      </w:pPr>
      <w:r>
        <w:rPr>
          <w:rFonts w:ascii="Tahoma" w:hAnsi="Tahoma" w:cs="Tahoma"/>
          <w:sz w:val="22"/>
          <w:szCs w:val="22"/>
        </w:rPr>
        <w:t>O</w:t>
      </w:r>
      <w:r w:rsidR="005B6376" w:rsidRPr="00C0203F">
        <w:rPr>
          <w:rFonts w:ascii="Tahoma" w:hAnsi="Tahoma" w:cs="Tahoma"/>
          <w:sz w:val="22"/>
          <w:szCs w:val="22"/>
        </w:rPr>
        <w:t>s Debenturistas, representando [</w:t>
      </w:r>
      <w:r w:rsidR="005B6376" w:rsidRPr="00C0203F">
        <w:rPr>
          <w:rFonts w:ascii="Tahoma" w:hAnsi="Tahoma" w:cs="Tahoma"/>
          <w:sz w:val="22"/>
          <w:szCs w:val="22"/>
          <w:highlight w:val="yellow"/>
        </w:rPr>
        <w:t>●</w:t>
      </w:r>
      <w:r w:rsidR="005B6376" w:rsidRPr="00C0203F">
        <w:rPr>
          <w:rFonts w:ascii="Tahoma" w:hAnsi="Tahoma" w:cs="Tahoma"/>
          <w:sz w:val="22"/>
          <w:szCs w:val="22"/>
        </w:rPr>
        <w:t>]% ([</w:t>
      </w:r>
      <w:r w:rsidR="005B6376" w:rsidRPr="00C0203F">
        <w:rPr>
          <w:rFonts w:ascii="Tahoma" w:hAnsi="Tahoma" w:cs="Tahoma"/>
          <w:sz w:val="22"/>
          <w:szCs w:val="22"/>
          <w:highlight w:val="yellow"/>
        </w:rPr>
        <w:t>●</w:t>
      </w:r>
      <w:r w:rsidR="005B6376" w:rsidRPr="00C0203F">
        <w:rPr>
          <w:rFonts w:ascii="Tahoma" w:hAnsi="Tahoma" w:cs="Tahoma"/>
          <w:sz w:val="22"/>
          <w:szCs w:val="22"/>
        </w:rPr>
        <w:t xml:space="preserve">] por cento) das Debêntures em circulação, deliberaram </w:t>
      </w:r>
      <w:r w:rsidR="005B6376" w:rsidRPr="00905858">
        <w:rPr>
          <w:rFonts w:ascii="Tahoma" w:hAnsi="Tahoma" w:cs="Tahoma"/>
          <w:sz w:val="22"/>
          <w:szCs w:val="22"/>
        </w:rPr>
        <w:t>por</w:t>
      </w:r>
      <w:r w:rsidR="00C0203F" w:rsidRPr="00905858">
        <w:rPr>
          <w:rFonts w:ascii="Tahoma" w:hAnsi="Tahoma" w:cs="Tahoma"/>
          <w:sz w:val="22"/>
          <w:szCs w:val="22"/>
        </w:rPr>
        <w:t xml:space="preserve"> </w:t>
      </w:r>
      <w:r w:rsidR="00CC1CB8" w:rsidRPr="00D478BF">
        <w:rPr>
          <w:rFonts w:ascii="Tahoma" w:hAnsi="Tahoma" w:cs="Tahoma"/>
          <w:sz w:val="22"/>
          <w:szCs w:val="22"/>
          <w:shd w:val="clear" w:color="auto" w:fill="FFFFFF"/>
        </w:rPr>
        <w:t>autorizar</w:t>
      </w:r>
      <w:r w:rsidR="005B6376" w:rsidRPr="00C0203F">
        <w:rPr>
          <w:rFonts w:ascii="Tahoma" w:hAnsi="Tahoma" w:cs="Tahoma"/>
          <w:sz w:val="22"/>
          <w:szCs w:val="22"/>
          <w:shd w:val="clear" w:color="auto" w:fill="FFFFFF"/>
        </w:rPr>
        <w:t xml:space="preserve"> </w:t>
      </w:r>
      <w:r w:rsidR="00361BDF" w:rsidRPr="00C0203F">
        <w:rPr>
          <w:rFonts w:ascii="Tahoma" w:hAnsi="Tahoma" w:cs="Tahoma"/>
          <w:sz w:val="22"/>
          <w:szCs w:val="22"/>
          <w:shd w:val="clear" w:color="auto" w:fill="FFFFFF"/>
        </w:rPr>
        <w:t xml:space="preserve">o Agente Fiduciário a não declarar o vencimento antecipado da 4ª (quarta) Emissão de Debêntures em razão da realização da 5ª (quinta) emissão de Debêntures e de novas assunções de dívidas, </w:t>
      </w:r>
      <w:r w:rsidR="000F4751" w:rsidRPr="00A94120">
        <w:rPr>
          <w:rFonts w:ascii="Tahoma" w:hAnsi="Tahoma" w:cs="Tahoma"/>
          <w:sz w:val="22"/>
          <w:szCs w:val="22"/>
          <w:shd w:val="clear" w:color="auto" w:fill="FFFFFF"/>
        </w:rPr>
        <w:t>ocorridas desde a data de realização da Assembleia Geral de Debenturistas realizada em 30 de dezembro de 2019 até a presente data, para gestão ordinária da Companhia e alongamento de suas dívidas</w:t>
      </w:r>
      <w:r w:rsidR="00A80024">
        <w:rPr>
          <w:rFonts w:ascii="Tahoma" w:hAnsi="Tahoma" w:cs="Tahoma"/>
          <w:sz w:val="22"/>
          <w:szCs w:val="22"/>
          <w:shd w:val="clear" w:color="auto" w:fill="FFFFFF"/>
        </w:rPr>
        <w:t>;</w:t>
      </w:r>
    </w:p>
    <w:p w14:paraId="7CEE9667" w14:textId="2DAB57F7" w:rsidR="00A80024" w:rsidRDefault="00A80024" w:rsidP="00FC0A36">
      <w:pPr>
        <w:widowControl/>
        <w:numPr>
          <w:ilvl w:val="1"/>
          <w:numId w:val="4"/>
        </w:numPr>
        <w:spacing w:after="240" w:line="320" w:lineRule="exact"/>
        <w:ind w:left="1428"/>
        <w:rPr>
          <w:rFonts w:ascii="Tahoma" w:hAnsi="Tahoma" w:cs="Tahoma"/>
          <w:sz w:val="22"/>
          <w:szCs w:val="22"/>
          <w:shd w:val="clear" w:color="auto" w:fill="FFFFFF"/>
        </w:rPr>
      </w:pPr>
      <w:r>
        <w:rPr>
          <w:rFonts w:ascii="Tahoma" w:hAnsi="Tahoma" w:cs="Tahoma"/>
          <w:sz w:val="22"/>
          <w:szCs w:val="22"/>
        </w:rPr>
        <w:t>O</w:t>
      </w:r>
      <w:r w:rsidRPr="00C0203F">
        <w:rPr>
          <w:rFonts w:ascii="Tahoma" w:hAnsi="Tahoma" w:cs="Tahoma"/>
          <w:sz w:val="22"/>
          <w:szCs w:val="22"/>
        </w:rPr>
        <w:t>s Debenturistas, representando [</w:t>
      </w:r>
      <w:r w:rsidRPr="00C0203F">
        <w:rPr>
          <w:rFonts w:ascii="Tahoma" w:hAnsi="Tahoma" w:cs="Tahoma"/>
          <w:sz w:val="22"/>
          <w:szCs w:val="22"/>
          <w:highlight w:val="yellow"/>
        </w:rPr>
        <w:t>●</w:t>
      </w:r>
      <w:r w:rsidRPr="00C0203F">
        <w:rPr>
          <w:rFonts w:ascii="Tahoma" w:hAnsi="Tahoma" w:cs="Tahoma"/>
          <w:sz w:val="22"/>
          <w:szCs w:val="22"/>
        </w:rPr>
        <w:t>]% ([</w:t>
      </w:r>
      <w:r w:rsidRPr="00C0203F">
        <w:rPr>
          <w:rFonts w:ascii="Tahoma" w:hAnsi="Tahoma" w:cs="Tahoma"/>
          <w:sz w:val="22"/>
          <w:szCs w:val="22"/>
          <w:highlight w:val="yellow"/>
        </w:rPr>
        <w:t>●</w:t>
      </w:r>
      <w:r w:rsidRPr="00C0203F">
        <w:rPr>
          <w:rFonts w:ascii="Tahoma" w:hAnsi="Tahoma" w:cs="Tahoma"/>
          <w:sz w:val="22"/>
          <w:szCs w:val="22"/>
        </w:rPr>
        <w:t xml:space="preserve">] por cento) das Debêntures em circulação, deliberaram </w:t>
      </w:r>
      <w:r w:rsidRPr="00905858">
        <w:rPr>
          <w:rFonts w:ascii="Tahoma" w:hAnsi="Tahoma" w:cs="Tahoma"/>
          <w:sz w:val="22"/>
          <w:szCs w:val="22"/>
        </w:rPr>
        <w:t xml:space="preserve">por </w:t>
      </w:r>
      <w:r w:rsidR="00905858" w:rsidRPr="00D478BF">
        <w:rPr>
          <w:rFonts w:ascii="Tahoma" w:hAnsi="Tahoma" w:cs="Tahoma"/>
          <w:sz w:val="22"/>
          <w:szCs w:val="22"/>
          <w:shd w:val="clear" w:color="auto" w:fill="FFFFFF"/>
        </w:rPr>
        <w:t>autorizar</w:t>
      </w:r>
      <w:r w:rsidRPr="00905858">
        <w:rPr>
          <w:rFonts w:ascii="Tahoma" w:hAnsi="Tahoma" w:cs="Tahoma"/>
          <w:sz w:val="22"/>
          <w:szCs w:val="22"/>
          <w:shd w:val="clear" w:color="auto" w:fill="FFFFFF"/>
        </w:rPr>
        <w:t xml:space="preserve"> a</w:t>
      </w:r>
      <w:r>
        <w:rPr>
          <w:rFonts w:ascii="Tahoma" w:hAnsi="Tahoma" w:cs="Tahoma"/>
          <w:sz w:val="22"/>
          <w:szCs w:val="22"/>
          <w:shd w:val="clear" w:color="auto" w:fill="FFFFFF"/>
        </w:rPr>
        <w:t xml:space="preserve"> celebração de aditamento à Escritura de Emissão nos termos </w:t>
      </w:r>
      <w:r w:rsidR="006544D0">
        <w:rPr>
          <w:rFonts w:ascii="Tahoma" w:hAnsi="Tahoma" w:cs="Tahoma"/>
          <w:sz w:val="22"/>
          <w:szCs w:val="22"/>
          <w:shd w:val="clear" w:color="auto" w:fill="FFFFFF"/>
        </w:rPr>
        <w:t>expressos</w:t>
      </w:r>
      <w:r>
        <w:rPr>
          <w:rFonts w:ascii="Tahoma" w:hAnsi="Tahoma" w:cs="Tahoma"/>
          <w:sz w:val="22"/>
          <w:szCs w:val="22"/>
          <w:shd w:val="clear" w:color="auto" w:fill="FFFFFF"/>
        </w:rPr>
        <w:t xml:space="preserve"> no </w:t>
      </w:r>
      <w:r w:rsidRPr="006544D0">
        <w:rPr>
          <w:rFonts w:ascii="Tahoma" w:hAnsi="Tahoma" w:cs="Tahoma"/>
          <w:sz w:val="22"/>
          <w:szCs w:val="22"/>
          <w:shd w:val="clear" w:color="auto" w:fill="FFFFFF"/>
        </w:rPr>
        <w:t>item (</w:t>
      </w:r>
      <w:proofErr w:type="spellStart"/>
      <w:r w:rsidRPr="006544D0">
        <w:rPr>
          <w:rFonts w:ascii="Tahoma" w:hAnsi="Tahoma" w:cs="Tahoma"/>
          <w:sz w:val="22"/>
          <w:szCs w:val="22"/>
          <w:shd w:val="clear" w:color="auto" w:fill="FFFFFF"/>
        </w:rPr>
        <w:t>ii</w:t>
      </w:r>
      <w:proofErr w:type="spellEnd"/>
      <w:r w:rsidRPr="006544D0">
        <w:rPr>
          <w:rFonts w:ascii="Tahoma" w:hAnsi="Tahoma" w:cs="Tahoma"/>
          <w:sz w:val="22"/>
          <w:szCs w:val="22"/>
          <w:shd w:val="clear" w:color="auto" w:fill="FFFFFF"/>
        </w:rPr>
        <w:t xml:space="preserve">) </w:t>
      </w:r>
      <w:r w:rsidR="006544D0" w:rsidRPr="006544D0">
        <w:rPr>
          <w:rFonts w:ascii="Tahoma" w:hAnsi="Tahoma" w:cs="Tahoma"/>
          <w:sz w:val="22"/>
          <w:szCs w:val="22"/>
          <w:shd w:val="clear" w:color="auto" w:fill="FFFFFF"/>
        </w:rPr>
        <w:t>e subitens</w:t>
      </w:r>
      <w:r w:rsidR="006544D0">
        <w:rPr>
          <w:rFonts w:ascii="Tahoma" w:hAnsi="Tahoma" w:cs="Tahoma"/>
          <w:sz w:val="22"/>
          <w:szCs w:val="22"/>
          <w:shd w:val="clear" w:color="auto" w:fill="FFFFFF"/>
        </w:rPr>
        <w:t xml:space="preserve"> “a”</w:t>
      </w:r>
      <w:r w:rsidR="00EE6F8C">
        <w:rPr>
          <w:rFonts w:ascii="Tahoma" w:hAnsi="Tahoma" w:cs="Tahoma"/>
          <w:sz w:val="22"/>
          <w:szCs w:val="22"/>
          <w:shd w:val="clear" w:color="auto" w:fill="FFFFFF"/>
        </w:rPr>
        <w:t xml:space="preserve">, </w:t>
      </w:r>
      <w:r w:rsidR="006544D0">
        <w:rPr>
          <w:rFonts w:ascii="Tahoma" w:hAnsi="Tahoma" w:cs="Tahoma"/>
          <w:sz w:val="22"/>
          <w:szCs w:val="22"/>
          <w:shd w:val="clear" w:color="auto" w:fill="FFFFFF"/>
        </w:rPr>
        <w:t xml:space="preserve">“b”, “c” e “d” </w:t>
      </w:r>
      <w:r>
        <w:rPr>
          <w:rFonts w:ascii="Tahoma" w:hAnsi="Tahoma" w:cs="Tahoma"/>
          <w:sz w:val="22"/>
          <w:szCs w:val="22"/>
          <w:shd w:val="clear" w:color="auto" w:fill="FFFFFF"/>
        </w:rPr>
        <w:t>da Ordem do Dia acima</w:t>
      </w:r>
      <w:r w:rsidR="001A5474">
        <w:rPr>
          <w:rFonts w:ascii="Tahoma" w:hAnsi="Tahoma" w:cs="Tahoma"/>
          <w:sz w:val="22"/>
          <w:szCs w:val="22"/>
          <w:shd w:val="clear" w:color="auto" w:fill="FFFFFF"/>
        </w:rPr>
        <w:t>, sendo certo que, para fins de clareza, com relação ao item (</w:t>
      </w:r>
      <w:proofErr w:type="spellStart"/>
      <w:r w:rsidR="001A5474">
        <w:rPr>
          <w:rFonts w:ascii="Tahoma" w:hAnsi="Tahoma" w:cs="Tahoma"/>
          <w:sz w:val="22"/>
          <w:szCs w:val="22"/>
          <w:shd w:val="clear" w:color="auto" w:fill="FFFFFF"/>
        </w:rPr>
        <w:t>ii</w:t>
      </w:r>
      <w:proofErr w:type="spellEnd"/>
      <w:r w:rsidR="001A5474">
        <w:rPr>
          <w:rFonts w:ascii="Tahoma" w:hAnsi="Tahoma" w:cs="Tahoma"/>
          <w:sz w:val="22"/>
          <w:szCs w:val="22"/>
          <w:shd w:val="clear" w:color="auto" w:fill="FFFFFF"/>
        </w:rPr>
        <w:t>), subitem “b”, a renúncia temporária (</w:t>
      </w:r>
      <w:proofErr w:type="spellStart"/>
      <w:r w:rsidR="001A5474" w:rsidRPr="00D478BF">
        <w:rPr>
          <w:rFonts w:ascii="Tahoma" w:hAnsi="Tahoma" w:cs="Tahoma"/>
          <w:i/>
          <w:sz w:val="22"/>
          <w:szCs w:val="22"/>
          <w:shd w:val="clear" w:color="auto" w:fill="FFFFFF"/>
        </w:rPr>
        <w:t>waiver</w:t>
      </w:r>
      <w:proofErr w:type="spellEnd"/>
      <w:r w:rsidR="001A5474">
        <w:rPr>
          <w:rFonts w:ascii="Tahoma" w:hAnsi="Tahoma" w:cs="Tahoma"/>
          <w:sz w:val="22"/>
          <w:szCs w:val="22"/>
          <w:shd w:val="clear" w:color="auto" w:fill="FFFFFF"/>
        </w:rPr>
        <w:t xml:space="preserve">) em relação ao cumprimento, pela Emissora, dos Índices Financeiros será concedida com relação ao primeiro e segundo semestre de 2020, quando o índice financeiro </w:t>
      </w:r>
      <w:r w:rsidR="00542E4A">
        <w:rPr>
          <w:rFonts w:ascii="Tahoma" w:hAnsi="Tahoma" w:cs="Tahoma"/>
          <w:sz w:val="22"/>
          <w:szCs w:val="22"/>
          <w:shd w:val="clear" w:color="auto" w:fill="FFFFFF"/>
        </w:rPr>
        <w:t xml:space="preserve">Dívida Líquida/EBITDA deverá observar </w:t>
      </w:r>
      <w:r w:rsidR="00EB7221">
        <w:rPr>
          <w:rFonts w:ascii="Tahoma" w:hAnsi="Tahoma" w:cs="Tahoma"/>
          <w:sz w:val="22"/>
          <w:szCs w:val="22"/>
          <w:shd w:val="clear" w:color="auto" w:fill="FFFFFF"/>
        </w:rPr>
        <w:t xml:space="preserve">o limite de até 4,0x e, a partir </w:t>
      </w:r>
      <w:r w:rsidR="009B5276">
        <w:rPr>
          <w:rFonts w:ascii="Tahoma" w:hAnsi="Tahoma" w:cs="Tahoma"/>
          <w:sz w:val="22"/>
          <w:szCs w:val="22"/>
          <w:shd w:val="clear" w:color="auto" w:fill="FFFFFF"/>
        </w:rPr>
        <w:t>d</w:t>
      </w:r>
      <w:r w:rsidR="009B5276">
        <w:rPr>
          <w:rFonts w:ascii="Tahoma" w:hAnsi="Tahoma" w:cs="Tahoma"/>
          <w:sz w:val="22"/>
          <w:szCs w:val="22"/>
          <w:shd w:val="clear" w:color="auto" w:fill="FFFFFF"/>
        </w:rPr>
        <w:t>o trimestre findo em</w:t>
      </w:r>
      <w:r w:rsidR="009B5276">
        <w:rPr>
          <w:rFonts w:ascii="Tahoma" w:hAnsi="Tahoma" w:cs="Tahoma"/>
          <w:sz w:val="22"/>
          <w:szCs w:val="22"/>
          <w:shd w:val="clear" w:color="auto" w:fill="FFFFFF"/>
        </w:rPr>
        <w:t xml:space="preserve"> </w:t>
      </w:r>
      <w:r w:rsidR="00FC09CE">
        <w:rPr>
          <w:rFonts w:ascii="Tahoma" w:hAnsi="Tahoma" w:cs="Tahoma"/>
          <w:sz w:val="22"/>
          <w:szCs w:val="22"/>
          <w:shd w:val="clear" w:color="auto" w:fill="FFFFFF"/>
        </w:rPr>
        <w:t xml:space="preserve">(i) </w:t>
      </w:r>
      <w:r w:rsidR="00EB7221">
        <w:rPr>
          <w:rFonts w:ascii="Tahoma" w:hAnsi="Tahoma" w:cs="Tahoma"/>
          <w:sz w:val="22"/>
          <w:szCs w:val="22"/>
          <w:shd w:val="clear" w:color="auto" w:fill="FFFFFF"/>
        </w:rPr>
        <w:t>30 de setembro de 2020 (inclusive), a observância de tal índice voltará a ser realizada conforme o limite de até 3,0x, conforme originalmente estabelecido na Escritura de Emissão</w:t>
      </w:r>
      <w:r w:rsidR="00FC09CE">
        <w:rPr>
          <w:rFonts w:ascii="Tahoma" w:hAnsi="Tahoma" w:cs="Tahoma"/>
          <w:sz w:val="22"/>
          <w:szCs w:val="22"/>
          <w:shd w:val="clear" w:color="auto" w:fill="FFFFFF"/>
        </w:rPr>
        <w:t>; e (</w:t>
      </w:r>
      <w:proofErr w:type="spellStart"/>
      <w:r w:rsidR="00FC09CE">
        <w:rPr>
          <w:rFonts w:ascii="Tahoma" w:hAnsi="Tahoma" w:cs="Tahoma"/>
          <w:sz w:val="22"/>
          <w:szCs w:val="22"/>
          <w:shd w:val="clear" w:color="auto" w:fill="FFFFFF"/>
        </w:rPr>
        <w:t>ii</w:t>
      </w:r>
      <w:proofErr w:type="spellEnd"/>
      <w:r w:rsidR="00FC09CE">
        <w:rPr>
          <w:rFonts w:ascii="Tahoma" w:hAnsi="Tahoma" w:cs="Tahoma"/>
          <w:sz w:val="22"/>
          <w:szCs w:val="22"/>
          <w:shd w:val="clear" w:color="auto" w:fill="FFFFFF"/>
        </w:rPr>
        <w:t xml:space="preserve">) </w:t>
      </w:r>
      <w:r w:rsidR="009B5276" w:rsidRPr="00D478BF">
        <w:rPr>
          <w:rFonts w:ascii="Tahoma" w:hAnsi="Tahoma" w:cs="Tahoma"/>
          <w:sz w:val="22"/>
          <w:szCs w:val="22"/>
          <w:shd w:val="clear" w:color="auto" w:fill="FFFFFF"/>
        </w:rPr>
        <w:t>31 de março de 2021 (inclusive)</w:t>
      </w:r>
      <w:r w:rsidR="009B5276">
        <w:rPr>
          <w:rFonts w:ascii="Tahoma" w:hAnsi="Tahoma" w:cs="Tahoma"/>
          <w:sz w:val="22"/>
          <w:szCs w:val="22"/>
          <w:shd w:val="clear" w:color="auto" w:fill="FFFFFF"/>
        </w:rPr>
        <w:t xml:space="preserve">, </w:t>
      </w:r>
      <w:r w:rsidR="009B5276">
        <w:rPr>
          <w:rFonts w:ascii="Tahoma" w:hAnsi="Tahoma" w:cs="Tahoma"/>
          <w:sz w:val="22"/>
          <w:szCs w:val="22"/>
          <w:shd w:val="clear" w:color="auto" w:fill="FFFFFF"/>
        </w:rPr>
        <w:t>a observância de tal índice voltará a ser realizada conforme o li</w:t>
      </w:r>
      <w:bookmarkStart w:id="1" w:name="_GoBack"/>
      <w:bookmarkEnd w:id="1"/>
      <w:r w:rsidR="009B5276">
        <w:rPr>
          <w:rFonts w:ascii="Tahoma" w:hAnsi="Tahoma" w:cs="Tahoma"/>
          <w:sz w:val="22"/>
          <w:szCs w:val="22"/>
          <w:shd w:val="clear" w:color="auto" w:fill="FFFFFF"/>
        </w:rPr>
        <w:t xml:space="preserve">mite de até </w:t>
      </w:r>
      <w:r w:rsidR="009B5276">
        <w:rPr>
          <w:rFonts w:ascii="Tahoma" w:hAnsi="Tahoma" w:cs="Tahoma"/>
          <w:sz w:val="22"/>
          <w:szCs w:val="22"/>
          <w:shd w:val="clear" w:color="auto" w:fill="FFFFFF"/>
        </w:rPr>
        <w:t>2,5</w:t>
      </w:r>
      <w:r w:rsidR="009B5276">
        <w:rPr>
          <w:rFonts w:ascii="Tahoma" w:hAnsi="Tahoma" w:cs="Tahoma"/>
          <w:sz w:val="22"/>
          <w:szCs w:val="22"/>
          <w:shd w:val="clear" w:color="auto" w:fill="FFFFFF"/>
        </w:rPr>
        <w:t xml:space="preserve">x, conforme </w:t>
      </w:r>
      <w:r w:rsidR="009B5276">
        <w:rPr>
          <w:rFonts w:ascii="Tahoma" w:hAnsi="Tahoma" w:cs="Tahoma"/>
          <w:sz w:val="22"/>
          <w:szCs w:val="22"/>
          <w:shd w:val="clear" w:color="auto" w:fill="FFFFFF"/>
        </w:rPr>
        <w:t>deliberado nesta AGD</w:t>
      </w:r>
      <w:r w:rsidR="00542E4A">
        <w:rPr>
          <w:rFonts w:ascii="Tahoma" w:hAnsi="Tahoma" w:cs="Tahoma"/>
          <w:sz w:val="22"/>
          <w:szCs w:val="22"/>
          <w:shd w:val="clear" w:color="auto" w:fill="FFFFFF"/>
        </w:rPr>
        <w:t>;</w:t>
      </w:r>
    </w:p>
    <w:p w14:paraId="2F57F4D8" w14:textId="2B94D63A" w:rsidR="005B6376" w:rsidRPr="00C0203F" w:rsidRDefault="00A80024" w:rsidP="00FC0A36">
      <w:pPr>
        <w:widowControl/>
        <w:numPr>
          <w:ilvl w:val="1"/>
          <w:numId w:val="4"/>
        </w:numPr>
        <w:spacing w:after="240" w:line="320" w:lineRule="exact"/>
        <w:ind w:left="1428"/>
        <w:rPr>
          <w:rFonts w:ascii="Tahoma" w:hAnsi="Tahoma" w:cs="Tahoma"/>
          <w:sz w:val="22"/>
          <w:szCs w:val="22"/>
          <w:shd w:val="clear" w:color="auto" w:fill="FFFFFF"/>
        </w:rPr>
      </w:pPr>
      <w:r>
        <w:rPr>
          <w:rFonts w:ascii="Tahoma" w:hAnsi="Tahoma" w:cs="Tahoma"/>
          <w:sz w:val="22"/>
          <w:szCs w:val="22"/>
        </w:rPr>
        <w:t>O</w:t>
      </w:r>
      <w:r w:rsidRPr="00C0203F">
        <w:rPr>
          <w:rFonts w:ascii="Tahoma" w:hAnsi="Tahoma" w:cs="Tahoma"/>
          <w:sz w:val="22"/>
          <w:szCs w:val="22"/>
        </w:rPr>
        <w:t>s Debenturistas, representando [</w:t>
      </w:r>
      <w:r w:rsidRPr="00C0203F">
        <w:rPr>
          <w:rFonts w:ascii="Tahoma" w:hAnsi="Tahoma" w:cs="Tahoma"/>
          <w:sz w:val="22"/>
          <w:szCs w:val="22"/>
          <w:highlight w:val="yellow"/>
        </w:rPr>
        <w:t>●</w:t>
      </w:r>
      <w:r w:rsidRPr="00C0203F">
        <w:rPr>
          <w:rFonts w:ascii="Tahoma" w:hAnsi="Tahoma" w:cs="Tahoma"/>
          <w:sz w:val="22"/>
          <w:szCs w:val="22"/>
        </w:rPr>
        <w:t>]% ([</w:t>
      </w:r>
      <w:r w:rsidRPr="00C0203F">
        <w:rPr>
          <w:rFonts w:ascii="Tahoma" w:hAnsi="Tahoma" w:cs="Tahoma"/>
          <w:sz w:val="22"/>
          <w:szCs w:val="22"/>
          <w:highlight w:val="yellow"/>
        </w:rPr>
        <w:t>●</w:t>
      </w:r>
      <w:r w:rsidRPr="00C0203F">
        <w:rPr>
          <w:rFonts w:ascii="Tahoma" w:hAnsi="Tahoma" w:cs="Tahoma"/>
          <w:sz w:val="22"/>
          <w:szCs w:val="22"/>
        </w:rPr>
        <w:t>] por cento) das Debêntures em circulação, deliberaram por</w:t>
      </w:r>
      <w:r>
        <w:rPr>
          <w:rFonts w:ascii="Tahoma" w:hAnsi="Tahoma" w:cs="Tahoma"/>
          <w:sz w:val="22"/>
          <w:szCs w:val="22"/>
        </w:rPr>
        <w:t xml:space="preserve"> </w:t>
      </w:r>
      <w:r w:rsidR="00905858" w:rsidRPr="00D478BF">
        <w:rPr>
          <w:rFonts w:ascii="Tahoma" w:hAnsi="Tahoma" w:cs="Tahoma"/>
          <w:sz w:val="22"/>
          <w:szCs w:val="22"/>
          <w:shd w:val="clear" w:color="auto" w:fill="FFFFFF"/>
        </w:rPr>
        <w:t>autorizar</w:t>
      </w:r>
      <w:r w:rsidR="00905858" w:rsidRPr="00905858">
        <w:rPr>
          <w:rFonts w:ascii="Tahoma" w:hAnsi="Tahoma" w:cs="Tahoma"/>
          <w:sz w:val="22"/>
          <w:szCs w:val="22"/>
          <w:shd w:val="clear" w:color="auto" w:fill="FFFFFF"/>
        </w:rPr>
        <w:t xml:space="preserve"> </w:t>
      </w:r>
      <w:r w:rsidRPr="00905858">
        <w:rPr>
          <w:rFonts w:ascii="Tahoma" w:hAnsi="Tahoma" w:cs="Tahoma"/>
          <w:sz w:val="22"/>
          <w:szCs w:val="22"/>
          <w:shd w:val="clear" w:color="auto" w:fill="FFFFFF"/>
        </w:rPr>
        <w:t>a</w:t>
      </w:r>
      <w:r>
        <w:rPr>
          <w:rFonts w:ascii="Tahoma" w:hAnsi="Tahoma" w:cs="Tahoma"/>
          <w:sz w:val="22"/>
          <w:szCs w:val="22"/>
          <w:shd w:val="clear" w:color="auto" w:fill="FFFFFF"/>
        </w:rPr>
        <w:t xml:space="preserve"> Emissora, a Fiadora e o Agente Fiduciário a praticar todos os atos necessários à realização e aperfeiçoamento da ordem do dia acima e a celebrar todos os documentos e realizar todos os atos societários necessários à efetivação das deliberações ora todas, inclusive, mas sem limitação, a celebração do aditamento à Escritura de Emissão e a respectiva averbação do aditamento à Escritura de Emissão na JUCEC</w:t>
      </w:r>
      <w:r w:rsidR="009776E2">
        <w:rPr>
          <w:rFonts w:ascii="Tahoma" w:hAnsi="Tahoma" w:cs="Tahoma"/>
          <w:sz w:val="22"/>
          <w:szCs w:val="22"/>
          <w:shd w:val="clear" w:color="auto" w:fill="FFFFFF"/>
        </w:rPr>
        <w:t xml:space="preserve"> no Cartório de Registro de Títulos e Documentos competente</w:t>
      </w:r>
      <w:r>
        <w:rPr>
          <w:rFonts w:ascii="Tahoma" w:hAnsi="Tahoma" w:cs="Tahoma"/>
          <w:sz w:val="22"/>
          <w:szCs w:val="22"/>
          <w:shd w:val="clear" w:color="auto" w:fill="FFFFFF"/>
        </w:rPr>
        <w:t xml:space="preserve">. </w:t>
      </w:r>
    </w:p>
    <w:p w14:paraId="46D494A1" w14:textId="59F09D56" w:rsidR="000C5B7A" w:rsidRDefault="00BB7082" w:rsidP="00A45206">
      <w:pPr>
        <w:widowControl/>
        <w:spacing w:after="240" w:line="320" w:lineRule="exact"/>
        <w:rPr>
          <w:rFonts w:ascii="Tahoma" w:hAnsi="Tahoma" w:cs="Tahoma"/>
          <w:sz w:val="22"/>
          <w:szCs w:val="22"/>
        </w:rPr>
      </w:pPr>
      <w:r>
        <w:rPr>
          <w:rFonts w:ascii="Tahoma" w:hAnsi="Tahoma" w:cs="Tahoma"/>
          <w:sz w:val="22"/>
          <w:szCs w:val="22"/>
        </w:rPr>
        <w:t>O</w:t>
      </w:r>
      <w:r w:rsidR="00A45206" w:rsidRPr="00A45206">
        <w:rPr>
          <w:rFonts w:ascii="Tahoma" w:hAnsi="Tahoma" w:cs="Tahoma"/>
          <w:sz w:val="22"/>
          <w:szCs w:val="22"/>
        </w:rPr>
        <w:t>s Debenturistas condicionam a aprovação</w:t>
      </w:r>
      <w:r w:rsidR="00B31730">
        <w:rPr>
          <w:rFonts w:ascii="Tahoma" w:hAnsi="Tahoma" w:cs="Tahoma"/>
          <w:sz w:val="22"/>
          <w:szCs w:val="22"/>
        </w:rPr>
        <w:t xml:space="preserve"> do item “</w:t>
      </w:r>
      <w:r w:rsidR="00B31730" w:rsidRPr="00E670B5">
        <w:rPr>
          <w:rFonts w:ascii="Tahoma" w:hAnsi="Tahoma" w:cs="Tahoma"/>
          <w:b/>
          <w:sz w:val="22"/>
          <w:szCs w:val="22"/>
        </w:rPr>
        <w:t>b</w:t>
      </w:r>
      <w:r w:rsidR="00B31730">
        <w:rPr>
          <w:rFonts w:ascii="Tahoma" w:hAnsi="Tahoma" w:cs="Tahoma"/>
          <w:sz w:val="22"/>
          <w:szCs w:val="22"/>
        </w:rPr>
        <w:t>”</w:t>
      </w:r>
      <w:r w:rsidR="00905858">
        <w:rPr>
          <w:rFonts w:ascii="Tahoma" w:hAnsi="Tahoma" w:cs="Tahoma"/>
          <w:sz w:val="22"/>
          <w:szCs w:val="22"/>
        </w:rPr>
        <w:t xml:space="preserve"> da Ordem do Dia</w:t>
      </w:r>
      <w:r w:rsidR="00B31730">
        <w:rPr>
          <w:rFonts w:ascii="Tahoma" w:hAnsi="Tahoma" w:cs="Tahoma"/>
          <w:sz w:val="22"/>
          <w:szCs w:val="22"/>
        </w:rPr>
        <w:t>,</w:t>
      </w:r>
      <w:r w:rsidR="00A45206" w:rsidRPr="00A45206">
        <w:rPr>
          <w:rFonts w:ascii="Tahoma" w:hAnsi="Tahoma" w:cs="Tahoma"/>
          <w:sz w:val="22"/>
          <w:szCs w:val="22"/>
        </w:rPr>
        <w:t xml:space="preserve"> </w:t>
      </w:r>
      <w:r w:rsidR="008E25BF">
        <w:rPr>
          <w:rFonts w:ascii="Tahoma" w:hAnsi="Tahoma" w:cs="Tahoma"/>
          <w:sz w:val="22"/>
          <w:szCs w:val="22"/>
        </w:rPr>
        <w:t>a</w:t>
      </w:r>
      <w:r w:rsidR="00A45206" w:rsidRPr="00A45206">
        <w:rPr>
          <w:rFonts w:ascii="Tahoma" w:hAnsi="Tahoma" w:cs="Tahoma"/>
          <w:sz w:val="22"/>
          <w:szCs w:val="22"/>
        </w:rPr>
        <w:t xml:space="preserve">o pagamento, pela </w:t>
      </w:r>
      <w:r w:rsidR="00994E50">
        <w:rPr>
          <w:rFonts w:ascii="Tahoma" w:hAnsi="Tahoma" w:cs="Tahoma"/>
          <w:sz w:val="22"/>
          <w:szCs w:val="22"/>
        </w:rPr>
        <w:t>Companhia</w:t>
      </w:r>
      <w:r w:rsidR="00A45206" w:rsidRPr="00A45206">
        <w:rPr>
          <w:rFonts w:ascii="Tahoma" w:hAnsi="Tahoma" w:cs="Tahoma"/>
          <w:sz w:val="22"/>
          <w:szCs w:val="22"/>
        </w:rPr>
        <w:t xml:space="preserve">, </w:t>
      </w:r>
      <w:r w:rsidR="00905858">
        <w:rPr>
          <w:rFonts w:ascii="Tahoma" w:hAnsi="Tahoma" w:cs="Tahoma"/>
          <w:sz w:val="22"/>
          <w:szCs w:val="22"/>
        </w:rPr>
        <w:t>do Prêmio</w:t>
      </w:r>
      <w:r w:rsidR="00A45206" w:rsidRPr="00A45206">
        <w:rPr>
          <w:rFonts w:ascii="Tahoma" w:hAnsi="Tahoma" w:cs="Tahoma"/>
          <w:sz w:val="22"/>
          <w:szCs w:val="22"/>
        </w:rPr>
        <w:t xml:space="preserve">, a ser pago à vista, em moeda corrente nacional, no prazo de </w:t>
      </w:r>
      <w:r w:rsidR="00813E1F">
        <w:rPr>
          <w:rFonts w:ascii="Tahoma" w:hAnsi="Tahoma" w:cs="Tahoma"/>
          <w:sz w:val="22"/>
          <w:szCs w:val="22"/>
        </w:rPr>
        <w:t xml:space="preserve">até </w:t>
      </w:r>
      <w:r w:rsidR="00905858">
        <w:rPr>
          <w:rFonts w:ascii="Tahoma" w:hAnsi="Tahoma" w:cs="Tahoma"/>
          <w:sz w:val="22"/>
          <w:szCs w:val="22"/>
        </w:rPr>
        <w:t xml:space="preserve">10 </w:t>
      </w:r>
      <w:r w:rsidR="00813E1F">
        <w:rPr>
          <w:rFonts w:ascii="Tahoma" w:hAnsi="Tahoma" w:cs="Tahoma"/>
          <w:sz w:val="22"/>
          <w:szCs w:val="22"/>
        </w:rPr>
        <w:t>(</w:t>
      </w:r>
      <w:r w:rsidR="00905858">
        <w:rPr>
          <w:rFonts w:ascii="Tahoma" w:hAnsi="Tahoma" w:cs="Tahoma"/>
          <w:sz w:val="22"/>
          <w:szCs w:val="22"/>
        </w:rPr>
        <w:t>dez</w:t>
      </w:r>
      <w:r w:rsidR="00813E1F">
        <w:rPr>
          <w:rFonts w:ascii="Tahoma" w:hAnsi="Tahoma" w:cs="Tahoma"/>
          <w:sz w:val="22"/>
          <w:szCs w:val="22"/>
        </w:rPr>
        <w:t xml:space="preserve">) </w:t>
      </w:r>
      <w:r w:rsidR="00A45206" w:rsidRPr="00A45206">
        <w:rPr>
          <w:rFonts w:ascii="Tahoma" w:hAnsi="Tahoma" w:cs="Tahoma"/>
          <w:sz w:val="22"/>
          <w:szCs w:val="22"/>
        </w:rPr>
        <w:t xml:space="preserve">Dias Úteis contados da </w:t>
      </w:r>
      <w:r w:rsidR="00866B55">
        <w:rPr>
          <w:rFonts w:ascii="Tahoma" w:hAnsi="Tahoma" w:cs="Tahoma"/>
          <w:sz w:val="22"/>
          <w:szCs w:val="22"/>
        </w:rPr>
        <w:t>presente data</w:t>
      </w:r>
      <w:r w:rsidR="00B31730">
        <w:rPr>
          <w:rFonts w:ascii="Tahoma" w:hAnsi="Tahoma" w:cs="Tahoma"/>
          <w:sz w:val="22"/>
          <w:szCs w:val="22"/>
        </w:rPr>
        <w:t>.</w:t>
      </w:r>
      <w:r w:rsidR="000C5B7A">
        <w:rPr>
          <w:rFonts w:ascii="Tahoma" w:hAnsi="Tahoma" w:cs="Tahoma"/>
          <w:sz w:val="22"/>
          <w:szCs w:val="22"/>
        </w:rPr>
        <w:t xml:space="preserve"> </w:t>
      </w:r>
    </w:p>
    <w:p w14:paraId="6B3F4535" w14:textId="77777777" w:rsidR="00E44738" w:rsidRP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lastRenderedPageBreak/>
        <w:t>ENCERRAMENTO:</w:t>
      </w:r>
      <w:r w:rsidRPr="003C5487">
        <w:rPr>
          <w:rFonts w:ascii="Tahoma" w:hAnsi="Tahoma" w:cs="Tahoma"/>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71356A3C" w14:textId="5F9F4C27" w:rsidR="00E44738" w:rsidRPr="003C5487" w:rsidRDefault="00E44738" w:rsidP="003C5487">
      <w:pPr>
        <w:widowControl/>
        <w:spacing w:after="240" w:line="320" w:lineRule="exact"/>
        <w:jc w:val="center"/>
        <w:rPr>
          <w:rFonts w:ascii="Tahoma" w:hAnsi="Tahoma" w:cs="Tahoma"/>
          <w:sz w:val="22"/>
          <w:szCs w:val="22"/>
        </w:rPr>
      </w:pPr>
      <w:r w:rsidRPr="003C5487">
        <w:rPr>
          <w:rFonts w:ascii="Tahoma" w:hAnsi="Tahoma" w:cs="Tahoma"/>
          <w:sz w:val="22"/>
          <w:szCs w:val="22"/>
        </w:rPr>
        <w:t xml:space="preserve">São Paulo, </w:t>
      </w:r>
      <w:r w:rsidR="00C272C7">
        <w:rPr>
          <w:rFonts w:ascii="Tahoma" w:hAnsi="Tahoma" w:cs="Tahoma"/>
          <w:sz w:val="22"/>
          <w:szCs w:val="22"/>
        </w:rPr>
        <w:t>21</w:t>
      </w:r>
      <w:r w:rsidR="00805063">
        <w:rPr>
          <w:rFonts w:ascii="Tahoma" w:hAnsi="Tahoma" w:cs="Tahoma"/>
          <w:sz w:val="22"/>
          <w:szCs w:val="22"/>
        </w:rPr>
        <w:t xml:space="preserve"> </w:t>
      </w:r>
      <w:r w:rsidRPr="003C5487">
        <w:rPr>
          <w:rFonts w:ascii="Tahoma" w:hAnsi="Tahoma" w:cs="Tahoma"/>
          <w:sz w:val="22"/>
          <w:szCs w:val="22"/>
        </w:rPr>
        <w:t xml:space="preserve">de </w:t>
      </w:r>
      <w:r w:rsidR="00C272C7">
        <w:rPr>
          <w:rFonts w:ascii="Tahoma" w:hAnsi="Tahoma" w:cs="Tahoma"/>
          <w:sz w:val="22"/>
          <w:szCs w:val="22"/>
        </w:rPr>
        <w:t>fevereiro</w:t>
      </w:r>
      <w:r w:rsidR="00805063">
        <w:rPr>
          <w:rFonts w:ascii="Tahoma" w:hAnsi="Tahoma" w:cs="Tahoma"/>
          <w:sz w:val="22"/>
          <w:szCs w:val="22"/>
        </w:rPr>
        <w:t xml:space="preserve"> </w:t>
      </w:r>
      <w:r w:rsidR="005705F0" w:rsidRPr="003C5487">
        <w:rPr>
          <w:rFonts w:ascii="Tahoma" w:hAnsi="Tahoma" w:cs="Tahoma"/>
          <w:sz w:val="22"/>
          <w:szCs w:val="22"/>
        </w:rPr>
        <w:t>de 20</w:t>
      </w:r>
      <w:r w:rsidR="00C272C7">
        <w:rPr>
          <w:rFonts w:ascii="Tahoma" w:hAnsi="Tahoma" w:cs="Tahoma"/>
          <w:sz w:val="22"/>
          <w:szCs w:val="22"/>
        </w:rPr>
        <w:t>20</w:t>
      </w:r>
      <w:r w:rsidRPr="003C5487">
        <w:rPr>
          <w:rFonts w:ascii="Tahoma" w:hAnsi="Tahoma" w:cs="Tahoma"/>
          <w:sz w:val="22"/>
          <w:szCs w:val="22"/>
        </w:rPr>
        <w:t>.</w:t>
      </w:r>
    </w:p>
    <w:p w14:paraId="1AAEB741" w14:textId="77777777" w:rsidR="003C5487" w:rsidRPr="003C5487" w:rsidRDefault="003C5487" w:rsidP="003C5487">
      <w:pPr>
        <w:widowControl/>
        <w:spacing w:after="240" w:line="320" w:lineRule="exact"/>
        <w:rPr>
          <w:rFonts w:ascii="Tahoma" w:hAnsi="Tahoma" w:cs="Tahoma"/>
          <w:sz w:val="22"/>
          <w:szCs w:val="22"/>
        </w:rPr>
      </w:pPr>
    </w:p>
    <w:tbl>
      <w:tblPr>
        <w:tblW w:w="0" w:type="auto"/>
        <w:tblLook w:val="01E0" w:firstRow="1" w:lastRow="1" w:firstColumn="1" w:lastColumn="1" w:noHBand="0" w:noVBand="0"/>
      </w:tblPr>
      <w:tblGrid>
        <w:gridCol w:w="4464"/>
        <w:gridCol w:w="4464"/>
      </w:tblGrid>
      <w:tr w:rsidR="00E44738" w:rsidRPr="003C5487" w14:paraId="6BDE25E4" w14:textId="77777777" w:rsidTr="00361BDF">
        <w:tc>
          <w:tcPr>
            <w:tcW w:w="4463" w:type="dxa"/>
            <w:hideMark/>
          </w:tcPr>
          <w:p w14:paraId="3BB8F874" w14:textId="77777777" w:rsidR="00E44738" w:rsidRPr="003C5487" w:rsidRDefault="00E44738" w:rsidP="003C5487">
            <w:pPr>
              <w:widowControl/>
              <w:spacing w:after="240" w:line="320" w:lineRule="exact"/>
              <w:ind w:right="44"/>
              <w:jc w:val="center"/>
              <w:rPr>
                <w:rFonts w:ascii="Tahoma" w:hAnsi="Tahoma" w:cs="Tahoma"/>
                <w:sz w:val="22"/>
                <w:szCs w:val="22"/>
              </w:rPr>
            </w:pPr>
            <w:r w:rsidRPr="003C5487">
              <w:rPr>
                <w:rFonts w:ascii="Tahoma" w:hAnsi="Tahoma" w:cs="Tahoma"/>
                <w:sz w:val="22"/>
                <w:szCs w:val="22"/>
              </w:rPr>
              <w:t>___________________________________</w:t>
            </w:r>
          </w:p>
        </w:tc>
        <w:tc>
          <w:tcPr>
            <w:tcW w:w="4464" w:type="dxa"/>
            <w:hideMark/>
          </w:tcPr>
          <w:p w14:paraId="42204AB0" w14:textId="77777777" w:rsidR="00E44738" w:rsidRPr="003C5487" w:rsidRDefault="00E44738" w:rsidP="003C5487">
            <w:pPr>
              <w:widowControl/>
              <w:spacing w:after="240" w:line="320" w:lineRule="exact"/>
              <w:ind w:right="44"/>
              <w:jc w:val="center"/>
              <w:rPr>
                <w:rFonts w:ascii="Tahoma" w:hAnsi="Tahoma" w:cs="Tahoma"/>
                <w:sz w:val="22"/>
                <w:szCs w:val="22"/>
              </w:rPr>
            </w:pPr>
            <w:r w:rsidRPr="003C5487">
              <w:rPr>
                <w:rFonts w:ascii="Tahoma" w:hAnsi="Tahoma" w:cs="Tahoma"/>
                <w:sz w:val="22"/>
                <w:szCs w:val="22"/>
              </w:rPr>
              <w:t>___________________________________</w:t>
            </w:r>
          </w:p>
        </w:tc>
      </w:tr>
      <w:tr w:rsidR="00E44738" w:rsidRPr="003C5487" w14:paraId="6D7D69BB" w14:textId="77777777" w:rsidTr="00361BDF">
        <w:tc>
          <w:tcPr>
            <w:tcW w:w="4463" w:type="dxa"/>
            <w:hideMark/>
          </w:tcPr>
          <w:p w14:paraId="44608182" w14:textId="6D90FD2C" w:rsidR="00E44738" w:rsidRPr="003C5487" w:rsidRDefault="00905858" w:rsidP="003C5487">
            <w:pPr>
              <w:widowControl/>
              <w:spacing w:after="240" w:line="320" w:lineRule="exact"/>
              <w:ind w:right="44"/>
              <w:jc w:val="center"/>
              <w:rPr>
                <w:rFonts w:ascii="Tahoma" w:hAnsi="Tahoma" w:cs="Tahoma"/>
                <w:sz w:val="22"/>
                <w:szCs w:val="22"/>
              </w:rPr>
            </w:pPr>
            <w:r>
              <w:rPr>
                <w:rFonts w:ascii="Tahoma" w:hAnsi="Tahoma" w:cs="Tahoma"/>
                <w:sz w:val="22"/>
                <w:szCs w:val="22"/>
              </w:rPr>
              <w:t>[</w:t>
            </w:r>
            <w:r w:rsidR="008323D3">
              <w:rPr>
                <w:rFonts w:ascii="Tahoma" w:hAnsi="Tahoma" w:cs="Tahoma"/>
                <w:sz w:val="22"/>
                <w:szCs w:val="22"/>
              </w:rPr>
              <w:t>Matheus Gomes Faria</w:t>
            </w:r>
            <w:r>
              <w:rPr>
                <w:rFonts w:ascii="Tahoma" w:hAnsi="Tahoma" w:cs="Tahoma"/>
                <w:sz w:val="22"/>
                <w:szCs w:val="22"/>
              </w:rPr>
              <w:t>]</w:t>
            </w:r>
            <w:r w:rsidR="005C4D75">
              <w:rPr>
                <w:rFonts w:ascii="Tahoma" w:hAnsi="Tahoma" w:cs="Tahoma"/>
                <w:bCs/>
                <w:sz w:val="22"/>
                <w:szCs w:val="22"/>
              </w:rPr>
              <w:br/>
            </w:r>
            <w:r w:rsidR="00E44738" w:rsidRPr="003C5487">
              <w:rPr>
                <w:rFonts w:ascii="Tahoma" w:hAnsi="Tahoma" w:cs="Tahoma"/>
                <w:sz w:val="22"/>
                <w:szCs w:val="22"/>
              </w:rPr>
              <w:t>Presidente</w:t>
            </w:r>
          </w:p>
        </w:tc>
        <w:tc>
          <w:tcPr>
            <w:tcW w:w="4464" w:type="dxa"/>
            <w:hideMark/>
          </w:tcPr>
          <w:p w14:paraId="45551E6F" w14:textId="71C3AB68" w:rsidR="00E44738" w:rsidRPr="003C5487" w:rsidRDefault="0063335E" w:rsidP="003C5487">
            <w:pPr>
              <w:widowControl/>
              <w:spacing w:after="240" w:line="320" w:lineRule="exact"/>
              <w:ind w:right="44"/>
              <w:jc w:val="center"/>
              <w:rPr>
                <w:rFonts w:ascii="Tahoma" w:hAnsi="Tahoma" w:cs="Tahoma"/>
                <w:sz w:val="22"/>
                <w:szCs w:val="22"/>
              </w:rPr>
            </w:pPr>
            <w:r>
              <w:rPr>
                <w:rFonts w:ascii="Tahoma" w:hAnsi="Tahoma" w:cs="Tahoma"/>
                <w:sz w:val="22"/>
                <w:szCs w:val="22"/>
              </w:rPr>
              <w:t>[</w:t>
            </w:r>
            <w:r w:rsidR="00E670B5">
              <w:rPr>
                <w:rFonts w:ascii="Tahoma" w:hAnsi="Tahoma" w:cs="Tahoma"/>
                <w:sz w:val="22"/>
                <w:szCs w:val="22"/>
              </w:rPr>
              <w:t>Luiz Renato Novais</w:t>
            </w:r>
            <w:r w:rsidR="00905858">
              <w:rPr>
                <w:rFonts w:ascii="Tahoma" w:hAnsi="Tahoma" w:cs="Tahoma"/>
                <w:sz w:val="22"/>
                <w:szCs w:val="22"/>
              </w:rPr>
              <w:t>]</w:t>
            </w:r>
            <w:r w:rsidR="005C4D75">
              <w:rPr>
                <w:rFonts w:ascii="Tahoma" w:hAnsi="Tahoma" w:cs="Tahoma"/>
                <w:sz w:val="22"/>
                <w:szCs w:val="22"/>
              </w:rPr>
              <w:br/>
            </w:r>
            <w:r w:rsidR="00E44738" w:rsidRPr="003C5487">
              <w:rPr>
                <w:rFonts w:ascii="Tahoma" w:hAnsi="Tahoma" w:cs="Tahoma"/>
                <w:sz w:val="22"/>
                <w:szCs w:val="22"/>
              </w:rPr>
              <w:t>Secretário</w:t>
            </w:r>
          </w:p>
        </w:tc>
      </w:tr>
    </w:tbl>
    <w:p w14:paraId="6FDD68E1" w14:textId="7E78702A" w:rsidR="00244309" w:rsidRDefault="00244309" w:rsidP="00E95CBB">
      <w:pPr>
        <w:widowControl/>
        <w:tabs>
          <w:tab w:val="left" w:pos="945"/>
        </w:tabs>
        <w:spacing w:after="240" w:line="320" w:lineRule="exact"/>
        <w:ind w:right="44"/>
        <w:rPr>
          <w:rFonts w:ascii="Tahoma" w:hAnsi="Tahoma" w:cs="Tahoma"/>
          <w:sz w:val="22"/>
          <w:szCs w:val="22"/>
        </w:rPr>
      </w:pPr>
      <w:r>
        <w:rPr>
          <w:rFonts w:ascii="Tahoma" w:hAnsi="Tahoma" w:cs="Tahoma"/>
          <w:sz w:val="22"/>
          <w:szCs w:val="22"/>
        </w:rPr>
        <w:tab/>
      </w:r>
      <w:r>
        <w:rPr>
          <w:rFonts w:ascii="Tahoma" w:hAnsi="Tahoma" w:cs="Tahoma"/>
          <w:sz w:val="22"/>
          <w:szCs w:val="22"/>
        </w:rPr>
        <w:br w:type="page"/>
      </w:r>
    </w:p>
    <w:p w14:paraId="07B75B59" w14:textId="04703063" w:rsidR="004A2EFD" w:rsidRDefault="00244309" w:rsidP="004A2EFD">
      <w:pPr>
        <w:tabs>
          <w:tab w:val="left" w:pos="7005"/>
        </w:tabs>
        <w:spacing w:before="240" w:line="288" w:lineRule="auto"/>
        <w:rPr>
          <w:rFonts w:ascii="Tahoma" w:hAnsi="Tahoma" w:cs="Tahoma"/>
          <w:b/>
          <w:smallCaps/>
          <w:sz w:val="22"/>
          <w:szCs w:val="22"/>
        </w:rPr>
      </w:pPr>
      <w:r w:rsidRPr="00200E71">
        <w:rPr>
          <w:rFonts w:ascii="Tahoma" w:hAnsi="Tahoma" w:cs="Tahoma"/>
          <w:b/>
          <w:smallCaps/>
          <w:sz w:val="22"/>
          <w:szCs w:val="22"/>
        </w:rPr>
        <w:lastRenderedPageBreak/>
        <w:t>PÁGINA DE ASSINATURAS DA</w:t>
      </w:r>
      <w:r>
        <w:rPr>
          <w:rFonts w:ascii="Tahoma" w:hAnsi="Tahoma" w:cs="Tahoma"/>
          <w:sz w:val="22"/>
          <w:szCs w:val="22"/>
        </w:rPr>
        <w:t xml:space="preserve"> </w:t>
      </w:r>
      <w:r>
        <w:rPr>
          <w:rFonts w:ascii="Tahoma" w:hAnsi="Tahoma" w:cs="Tahoma"/>
          <w:b/>
          <w:smallCaps/>
          <w:sz w:val="22"/>
          <w:szCs w:val="22"/>
        </w:rPr>
        <w:t xml:space="preserve">ATA DA </w:t>
      </w:r>
      <w:r w:rsidR="004A2EFD" w:rsidRPr="004D045D">
        <w:rPr>
          <w:rFonts w:ascii="Tahoma" w:hAnsi="Tahoma" w:cs="Tahoma"/>
          <w:b/>
          <w:smallCaps/>
          <w:sz w:val="22"/>
          <w:szCs w:val="22"/>
        </w:rPr>
        <w:t xml:space="preserve">ASSEMBLEIA GERAL DE DEBENTURISTAS DA 4ª (QUARTA) EMISSÃO DE DEBÊNTURES SIMPLES, NÃO CONVERSÍVEIS EM AÇÕES, DA ESPÉCIE QUIROGRAFÁRIA, COM GARANTIA ADICIONAL FIDEJUSSÓRIA, EM SÉRIE ÚNICA, PARA DISTRIBUIÇÃO PÚBLICA, COM ESFORÇOS RESTRITOS DE DISTRIBUIÇÃO, DA EMPREENDIMENTOS PAGUE MENOS S.A. </w:t>
      </w:r>
      <w:r w:rsidR="004A2EFD" w:rsidRPr="003C5487">
        <w:rPr>
          <w:rFonts w:ascii="Tahoma" w:hAnsi="Tahoma" w:cs="Tahoma"/>
          <w:b/>
          <w:smallCaps/>
          <w:sz w:val="22"/>
          <w:szCs w:val="22"/>
        </w:rPr>
        <w:t xml:space="preserve">REALIZADA EM </w:t>
      </w:r>
      <w:r w:rsidR="004A2EFD">
        <w:rPr>
          <w:rFonts w:ascii="Tahoma" w:hAnsi="Tahoma" w:cs="Tahoma"/>
          <w:b/>
          <w:smallCaps/>
          <w:sz w:val="22"/>
          <w:szCs w:val="22"/>
        </w:rPr>
        <w:t xml:space="preserve">PRIMEIRA CONVOCAÇÃO EM </w:t>
      </w:r>
      <w:r w:rsidR="007B68FF">
        <w:rPr>
          <w:rFonts w:ascii="Tahoma" w:hAnsi="Tahoma" w:cs="Tahoma"/>
          <w:b/>
          <w:smallCaps/>
          <w:sz w:val="22"/>
          <w:szCs w:val="22"/>
        </w:rPr>
        <w:t>21</w:t>
      </w:r>
      <w:r w:rsidR="004A2EFD">
        <w:rPr>
          <w:rFonts w:ascii="Tahoma" w:hAnsi="Tahoma" w:cs="Tahoma"/>
          <w:b/>
          <w:smallCaps/>
          <w:sz w:val="22"/>
          <w:szCs w:val="22"/>
        </w:rPr>
        <w:t xml:space="preserve"> </w:t>
      </w:r>
      <w:r w:rsidR="004A2EFD" w:rsidRPr="003C5487">
        <w:rPr>
          <w:rFonts w:ascii="Tahoma" w:hAnsi="Tahoma" w:cs="Tahoma"/>
          <w:b/>
          <w:smallCaps/>
          <w:sz w:val="22"/>
          <w:szCs w:val="22"/>
        </w:rPr>
        <w:t xml:space="preserve">DE </w:t>
      </w:r>
      <w:r w:rsidR="007B68FF">
        <w:rPr>
          <w:rFonts w:ascii="Tahoma" w:hAnsi="Tahoma" w:cs="Tahoma"/>
          <w:b/>
          <w:smallCaps/>
          <w:sz w:val="22"/>
          <w:szCs w:val="22"/>
        </w:rPr>
        <w:t>FEVEREIRO</w:t>
      </w:r>
      <w:r w:rsidR="004A2EFD">
        <w:rPr>
          <w:rFonts w:ascii="Tahoma" w:hAnsi="Tahoma" w:cs="Tahoma"/>
          <w:b/>
          <w:smallCaps/>
          <w:sz w:val="22"/>
          <w:szCs w:val="22"/>
        </w:rPr>
        <w:t xml:space="preserve"> </w:t>
      </w:r>
      <w:r w:rsidR="004A2EFD" w:rsidRPr="003C5487">
        <w:rPr>
          <w:rFonts w:ascii="Tahoma" w:hAnsi="Tahoma" w:cs="Tahoma"/>
          <w:b/>
          <w:smallCaps/>
          <w:sz w:val="22"/>
          <w:szCs w:val="22"/>
        </w:rPr>
        <w:t>DE 20</w:t>
      </w:r>
      <w:r w:rsidR="007B68FF">
        <w:rPr>
          <w:rFonts w:ascii="Tahoma" w:hAnsi="Tahoma" w:cs="Tahoma"/>
          <w:b/>
          <w:smallCaps/>
          <w:sz w:val="22"/>
          <w:szCs w:val="22"/>
        </w:rPr>
        <w:t>20</w:t>
      </w:r>
      <w:r w:rsidR="004A2EFD" w:rsidRPr="003C5487">
        <w:rPr>
          <w:rFonts w:ascii="Tahoma" w:hAnsi="Tahoma" w:cs="Tahoma"/>
          <w:b/>
          <w:smallCaps/>
          <w:sz w:val="22"/>
          <w:szCs w:val="22"/>
        </w:rPr>
        <w:t>.</w:t>
      </w:r>
    </w:p>
    <w:p w14:paraId="3300AD67" w14:textId="20381942" w:rsidR="00244309" w:rsidRDefault="00244309" w:rsidP="004A2EFD">
      <w:pPr>
        <w:widowControl/>
        <w:spacing w:after="240" w:line="320" w:lineRule="exact"/>
        <w:jc w:val="center"/>
        <w:rPr>
          <w:b/>
          <w:sz w:val="24"/>
          <w:szCs w:val="24"/>
        </w:rPr>
      </w:pPr>
    </w:p>
    <w:p w14:paraId="3C091F69" w14:textId="77777777" w:rsidR="00244309" w:rsidRPr="00741484" w:rsidRDefault="00244309" w:rsidP="00244309">
      <w:pPr>
        <w:spacing w:line="280" w:lineRule="exact"/>
        <w:ind w:right="44"/>
        <w:rPr>
          <w:bCs/>
          <w:sz w:val="24"/>
          <w:szCs w:val="24"/>
        </w:rPr>
      </w:pPr>
    </w:p>
    <w:p w14:paraId="4506D490" w14:textId="061E4354" w:rsidR="00244309" w:rsidRPr="00244309" w:rsidRDefault="004A2EFD" w:rsidP="00244309">
      <w:pPr>
        <w:widowControl/>
        <w:spacing w:after="240" w:line="320" w:lineRule="exact"/>
        <w:jc w:val="center"/>
        <w:rPr>
          <w:rFonts w:ascii="Tahoma" w:hAnsi="Tahoma" w:cs="Tahoma"/>
          <w:b/>
          <w:sz w:val="22"/>
          <w:szCs w:val="22"/>
        </w:rPr>
      </w:pPr>
      <w:r>
        <w:rPr>
          <w:rFonts w:ascii="Tahoma" w:hAnsi="Tahoma" w:cs="Tahoma"/>
          <w:b/>
          <w:sz w:val="22"/>
          <w:szCs w:val="22"/>
        </w:rPr>
        <w:t>EMPREENDIMENTOS PAGUE MENOS</w:t>
      </w:r>
    </w:p>
    <w:p w14:paraId="321574DA"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p w14:paraId="7C308F2E"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tbl>
      <w:tblPr>
        <w:tblW w:w="0" w:type="auto"/>
        <w:jc w:val="center"/>
        <w:tblLook w:val="04A0" w:firstRow="1" w:lastRow="0" w:firstColumn="1" w:lastColumn="0" w:noHBand="0" w:noVBand="1"/>
      </w:tblPr>
      <w:tblGrid>
        <w:gridCol w:w="4605"/>
        <w:gridCol w:w="4606"/>
      </w:tblGrid>
      <w:tr w:rsidR="00244309" w:rsidRPr="00FD6153" w14:paraId="13C55AC5" w14:textId="77777777" w:rsidTr="00361BDF">
        <w:trPr>
          <w:jc w:val="center"/>
        </w:trPr>
        <w:tc>
          <w:tcPr>
            <w:tcW w:w="4605" w:type="dxa"/>
            <w:shd w:val="clear" w:color="auto" w:fill="auto"/>
          </w:tcPr>
          <w:p w14:paraId="6DF1DC8E" w14:textId="77777777" w:rsidR="00244309" w:rsidRPr="00FD6153" w:rsidRDefault="00244309" w:rsidP="00741484">
            <w:pPr>
              <w:pStyle w:val="p0"/>
              <w:widowControl/>
              <w:pBdr>
                <w:top w:val="single" w:sz="4" w:space="1" w:color="auto"/>
              </w:pBdr>
              <w:tabs>
                <w:tab w:val="clear" w:pos="720"/>
              </w:tabs>
              <w:spacing w:after="240" w:line="320" w:lineRule="exact"/>
              <w:rPr>
                <w:rFonts w:ascii="Tahoma" w:eastAsia="Arial Unicode MS" w:hAnsi="Tahoma" w:cs="Tahoma"/>
              </w:rPr>
            </w:pPr>
            <w:r w:rsidRPr="00FD6153">
              <w:rPr>
                <w:rFonts w:ascii="Tahoma" w:eastAsia="Arial Unicode MS" w:hAnsi="Tahoma" w:cs="Tahoma"/>
              </w:rPr>
              <w:t>Por:</w:t>
            </w:r>
            <w:r>
              <w:rPr>
                <w:rFonts w:ascii="Tahoma" w:eastAsia="Arial Unicode MS" w:hAnsi="Tahoma" w:cs="Tahoma"/>
              </w:rPr>
              <w:br/>
              <w:t>Cargo:</w:t>
            </w:r>
          </w:p>
        </w:tc>
        <w:tc>
          <w:tcPr>
            <w:tcW w:w="4606" w:type="dxa"/>
            <w:shd w:val="clear" w:color="auto" w:fill="auto"/>
          </w:tcPr>
          <w:p w14:paraId="72A735BC" w14:textId="77777777" w:rsidR="00244309" w:rsidRPr="00FD6153" w:rsidRDefault="00244309" w:rsidP="00741484">
            <w:pPr>
              <w:pStyle w:val="p0"/>
              <w:widowControl/>
              <w:pBdr>
                <w:top w:val="single" w:sz="4" w:space="1" w:color="auto"/>
              </w:pBdr>
              <w:tabs>
                <w:tab w:val="clear" w:pos="720"/>
              </w:tabs>
              <w:spacing w:after="240" w:line="320" w:lineRule="exact"/>
              <w:rPr>
                <w:rFonts w:ascii="Tahoma" w:eastAsia="Arial Unicode MS" w:hAnsi="Tahoma" w:cs="Tahoma"/>
              </w:rPr>
            </w:pPr>
            <w:r w:rsidRPr="00FD6153">
              <w:rPr>
                <w:rFonts w:ascii="Tahoma" w:eastAsia="Arial Unicode MS" w:hAnsi="Tahoma" w:cs="Tahoma"/>
              </w:rPr>
              <w:t>Por:</w:t>
            </w:r>
            <w:r>
              <w:rPr>
                <w:rFonts w:ascii="Tahoma" w:eastAsia="Arial Unicode MS" w:hAnsi="Tahoma" w:cs="Tahoma"/>
              </w:rPr>
              <w:br/>
              <w:t>Cargo:</w:t>
            </w:r>
          </w:p>
        </w:tc>
      </w:tr>
    </w:tbl>
    <w:p w14:paraId="1537F995" w14:textId="77777777" w:rsidR="00244309" w:rsidRPr="00741484" w:rsidRDefault="00244309" w:rsidP="00244309">
      <w:pPr>
        <w:spacing w:line="280" w:lineRule="exact"/>
        <w:ind w:right="44"/>
        <w:rPr>
          <w:rFonts w:ascii="Tahoma" w:hAnsi="Tahoma" w:cs="Tahoma"/>
          <w:bCs/>
          <w:smallCaps/>
          <w:sz w:val="22"/>
          <w:szCs w:val="22"/>
        </w:rPr>
      </w:pPr>
    </w:p>
    <w:tbl>
      <w:tblPr>
        <w:tblW w:w="0" w:type="auto"/>
        <w:tblLook w:val="01E0" w:firstRow="1" w:lastRow="1" w:firstColumn="1" w:lastColumn="1" w:noHBand="0" w:noVBand="0"/>
      </w:tblPr>
      <w:tblGrid>
        <w:gridCol w:w="8856"/>
      </w:tblGrid>
      <w:tr w:rsidR="00244309" w:rsidRPr="00A74771" w14:paraId="040491BC" w14:textId="77777777" w:rsidTr="00361BDF">
        <w:tc>
          <w:tcPr>
            <w:tcW w:w="8856" w:type="dxa"/>
          </w:tcPr>
          <w:p w14:paraId="1F6E7D95" w14:textId="77777777" w:rsidR="00244309" w:rsidRPr="00741484" w:rsidRDefault="00244309" w:rsidP="00741484">
            <w:pPr>
              <w:spacing w:line="280" w:lineRule="exact"/>
              <w:ind w:right="44"/>
              <w:jc w:val="center"/>
              <w:rPr>
                <w:rFonts w:ascii="Tahoma" w:hAnsi="Tahoma" w:cs="Tahoma"/>
                <w:bCs/>
                <w:smallCaps/>
                <w:sz w:val="22"/>
                <w:szCs w:val="22"/>
              </w:rPr>
            </w:pPr>
          </w:p>
          <w:p w14:paraId="6CD4764C" w14:textId="77777777" w:rsidR="00244309" w:rsidRPr="00244309" w:rsidRDefault="00ED3AF4" w:rsidP="00244309">
            <w:pPr>
              <w:widowControl/>
              <w:spacing w:after="240" w:line="320" w:lineRule="exact"/>
              <w:jc w:val="center"/>
              <w:rPr>
                <w:rFonts w:ascii="Tahoma" w:hAnsi="Tahoma" w:cs="Tahoma"/>
                <w:b/>
                <w:sz w:val="22"/>
                <w:szCs w:val="22"/>
              </w:rPr>
            </w:pPr>
            <w:r w:rsidRPr="00ED3AF4">
              <w:rPr>
                <w:rFonts w:ascii="Tahoma" w:hAnsi="Tahoma" w:cs="Tahoma"/>
                <w:b/>
                <w:bCs/>
                <w:sz w:val="22"/>
                <w:szCs w:val="22"/>
              </w:rPr>
              <w:t>SIMPLIFIC PAVARINI DISTRIBUIDORA DE TÍTULOS E VALORES MOBILIÁRIOS LTDA.</w:t>
            </w:r>
          </w:p>
          <w:p w14:paraId="2DCB3227"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p w14:paraId="674FD569"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tbl>
            <w:tblPr>
              <w:tblW w:w="0" w:type="auto"/>
              <w:jc w:val="center"/>
              <w:tblLook w:val="04A0" w:firstRow="1" w:lastRow="0" w:firstColumn="1" w:lastColumn="0" w:noHBand="0" w:noVBand="1"/>
            </w:tblPr>
            <w:tblGrid>
              <w:gridCol w:w="4344"/>
            </w:tblGrid>
            <w:tr w:rsidR="00244309" w:rsidRPr="00FD6153" w14:paraId="303F5E11" w14:textId="77777777" w:rsidTr="00244309">
              <w:trPr>
                <w:jc w:val="center"/>
              </w:trPr>
              <w:tc>
                <w:tcPr>
                  <w:tcW w:w="4344" w:type="dxa"/>
                  <w:shd w:val="clear" w:color="auto" w:fill="auto"/>
                </w:tcPr>
                <w:p w14:paraId="7CBB15C7" w14:textId="77777777" w:rsidR="00244309" w:rsidRPr="00FD6153" w:rsidRDefault="00244309" w:rsidP="00244309">
                  <w:pPr>
                    <w:pStyle w:val="p0"/>
                    <w:widowControl/>
                    <w:pBdr>
                      <w:top w:val="single" w:sz="4" w:space="1" w:color="auto"/>
                    </w:pBdr>
                    <w:tabs>
                      <w:tab w:val="clear" w:pos="720"/>
                    </w:tabs>
                    <w:spacing w:after="240" w:line="320" w:lineRule="exact"/>
                    <w:rPr>
                      <w:rFonts w:ascii="Tahoma" w:eastAsia="Arial Unicode MS" w:hAnsi="Tahoma" w:cs="Tahoma"/>
                    </w:rPr>
                  </w:pPr>
                  <w:r w:rsidRPr="00FD6153">
                    <w:rPr>
                      <w:rFonts w:ascii="Tahoma" w:eastAsia="Arial Unicode MS" w:hAnsi="Tahoma" w:cs="Tahoma"/>
                    </w:rPr>
                    <w:t>Por:</w:t>
                  </w:r>
                  <w:r>
                    <w:rPr>
                      <w:rFonts w:ascii="Tahoma" w:eastAsia="Arial Unicode MS" w:hAnsi="Tahoma" w:cs="Tahoma"/>
                    </w:rPr>
                    <w:br/>
                    <w:t>Cargo:</w:t>
                  </w:r>
                </w:p>
              </w:tc>
            </w:tr>
          </w:tbl>
          <w:p w14:paraId="0A0885E0" w14:textId="77777777" w:rsidR="00244309" w:rsidRPr="00741484" w:rsidRDefault="00244309" w:rsidP="00741484">
            <w:pPr>
              <w:spacing w:line="280" w:lineRule="exact"/>
              <w:ind w:right="44"/>
              <w:jc w:val="center"/>
              <w:rPr>
                <w:rFonts w:ascii="Tahoma" w:hAnsi="Tahoma" w:cs="Tahoma"/>
                <w:bCs/>
                <w:smallCaps/>
                <w:sz w:val="22"/>
                <w:szCs w:val="22"/>
              </w:rPr>
            </w:pPr>
          </w:p>
        </w:tc>
      </w:tr>
    </w:tbl>
    <w:p w14:paraId="3E5784FB" w14:textId="77777777" w:rsidR="00244309" w:rsidRDefault="00244309">
      <w:pPr>
        <w:widowControl/>
        <w:spacing w:line="240" w:lineRule="auto"/>
        <w:jc w:val="left"/>
        <w:rPr>
          <w:rFonts w:ascii="Tahoma" w:hAnsi="Tahoma" w:cs="Tahoma"/>
          <w:bCs/>
          <w:smallCaps/>
          <w:sz w:val="22"/>
          <w:szCs w:val="22"/>
        </w:rPr>
      </w:pPr>
      <w:r>
        <w:rPr>
          <w:rFonts w:ascii="Tahoma" w:hAnsi="Tahoma" w:cs="Tahoma"/>
          <w:bCs/>
          <w:smallCaps/>
          <w:sz w:val="22"/>
          <w:szCs w:val="22"/>
        </w:rPr>
        <w:br w:type="page"/>
      </w:r>
    </w:p>
    <w:p w14:paraId="5438DB8D" w14:textId="79776EF4" w:rsidR="004A2EFD" w:rsidRDefault="00244309" w:rsidP="004A2EFD">
      <w:pPr>
        <w:tabs>
          <w:tab w:val="left" w:pos="7005"/>
        </w:tabs>
        <w:spacing w:before="240" w:line="288" w:lineRule="auto"/>
        <w:rPr>
          <w:rFonts w:ascii="Tahoma" w:hAnsi="Tahoma" w:cs="Tahoma"/>
          <w:b/>
          <w:smallCaps/>
          <w:sz w:val="22"/>
          <w:szCs w:val="22"/>
        </w:rPr>
      </w:pPr>
      <w:r>
        <w:rPr>
          <w:rFonts w:ascii="Tahoma" w:hAnsi="Tahoma" w:cs="Tahoma"/>
          <w:b/>
          <w:smallCaps/>
          <w:sz w:val="22"/>
          <w:szCs w:val="22"/>
        </w:rPr>
        <w:lastRenderedPageBreak/>
        <w:t>LISTA DE PRESENÇA DE DEBENTURISTAS</w:t>
      </w:r>
      <w:r w:rsidRPr="00200E71">
        <w:rPr>
          <w:rFonts w:ascii="Tahoma" w:hAnsi="Tahoma" w:cs="Tahoma"/>
          <w:b/>
          <w:smallCaps/>
          <w:sz w:val="22"/>
          <w:szCs w:val="22"/>
        </w:rPr>
        <w:t xml:space="preserve"> DA</w:t>
      </w:r>
      <w:r>
        <w:rPr>
          <w:rFonts w:ascii="Tahoma" w:hAnsi="Tahoma" w:cs="Tahoma"/>
          <w:sz w:val="22"/>
          <w:szCs w:val="22"/>
        </w:rPr>
        <w:t xml:space="preserve"> </w:t>
      </w:r>
      <w:r>
        <w:rPr>
          <w:rFonts w:ascii="Tahoma" w:hAnsi="Tahoma" w:cs="Tahoma"/>
          <w:b/>
          <w:smallCaps/>
          <w:sz w:val="22"/>
          <w:szCs w:val="22"/>
        </w:rPr>
        <w:t xml:space="preserve">ATA DA </w:t>
      </w:r>
      <w:r w:rsidR="004A2EFD" w:rsidRPr="004D045D">
        <w:rPr>
          <w:rFonts w:ascii="Tahoma" w:hAnsi="Tahoma" w:cs="Tahoma"/>
          <w:b/>
          <w:smallCaps/>
          <w:sz w:val="22"/>
          <w:szCs w:val="22"/>
        </w:rPr>
        <w:t xml:space="preserve">ASSEMBLEIA GERAL DE DEBENTURISTAS DA 4ª (QUARTA) EMISSÃO DE DEBÊNTURES SIMPLES, NÃO CONVERSÍVEIS EM AÇÕES, DA ESPÉCIE QUIROGRAFÁRIA, COM GARANTIA ADICIONAL FIDEJUSSÓRIA, EM SÉRIE ÚNICA, PARA DISTRIBUIÇÃO PÚBLICA, COM ESFORÇOS RESTRITOS DE DISTRIBUIÇÃO, DA EMPREENDIMENTOS PAGUE MENOS S.A. </w:t>
      </w:r>
      <w:r w:rsidR="004A2EFD" w:rsidRPr="003C5487">
        <w:rPr>
          <w:rFonts w:ascii="Tahoma" w:hAnsi="Tahoma" w:cs="Tahoma"/>
          <w:b/>
          <w:smallCaps/>
          <w:sz w:val="22"/>
          <w:szCs w:val="22"/>
        </w:rPr>
        <w:t xml:space="preserve">REALIZADA EM </w:t>
      </w:r>
      <w:r w:rsidR="004A2EFD">
        <w:rPr>
          <w:rFonts w:ascii="Tahoma" w:hAnsi="Tahoma" w:cs="Tahoma"/>
          <w:b/>
          <w:smallCaps/>
          <w:sz w:val="22"/>
          <w:szCs w:val="22"/>
        </w:rPr>
        <w:t xml:space="preserve">PRIMEIRA CONVOCAÇÃO EM </w:t>
      </w:r>
      <w:r w:rsidR="007B68FF">
        <w:rPr>
          <w:rFonts w:ascii="Tahoma" w:hAnsi="Tahoma" w:cs="Tahoma"/>
          <w:b/>
          <w:smallCaps/>
          <w:sz w:val="22"/>
          <w:szCs w:val="22"/>
        </w:rPr>
        <w:t>21</w:t>
      </w:r>
      <w:r w:rsidR="004A2EFD">
        <w:rPr>
          <w:rFonts w:ascii="Tahoma" w:hAnsi="Tahoma" w:cs="Tahoma"/>
          <w:b/>
          <w:smallCaps/>
          <w:sz w:val="22"/>
          <w:szCs w:val="22"/>
        </w:rPr>
        <w:t xml:space="preserve"> </w:t>
      </w:r>
      <w:r w:rsidR="004A2EFD" w:rsidRPr="003C5487">
        <w:rPr>
          <w:rFonts w:ascii="Tahoma" w:hAnsi="Tahoma" w:cs="Tahoma"/>
          <w:b/>
          <w:smallCaps/>
          <w:sz w:val="22"/>
          <w:szCs w:val="22"/>
        </w:rPr>
        <w:t>DE</w:t>
      </w:r>
      <w:r w:rsidR="007B68FF">
        <w:rPr>
          <w:rFonts w:ascii="Tahoma" w:hAnsi="Tahoma" w:cs="Tahoma"/>
          <w:b/>
          <w:smallCaps/>
          <w:sz w:val="22"/>
          <w:szCs w:val="22"/>
        </w:rPr>
        <w:t xml:space="preserve"> FEVEREIRO</w:t>
      </w:r>
      <w:r w:rsidR="004A2EFD">
        <w:rPr>
          <w:rFonts w:ascii="Tahoma" w:hAnsi="Tahoma" w:cs="Tahoma"/>
          <w:b/>
          <w:smallCaps/>
          <w:sz w:val="22"/>
          <w:szCs w:val="22"/>
        </w:rPr>
        <w:t xml:space="preserve"> </w:t>
      </w:r>
      <w:r w:rsidR="004A2EFD" w:rsidRPr="003C5487">
        <w:rPr>
          <w:rFonts w:ascii="Tahoma" w:hAnsi="Tahoma" w:cs="Tahoma"/>
          <w:b/>
          <w:smallCaps/>
          <w:sz w:val="22"/>
          <w:szCs w:val="22"/>
        </w:rPr>
        <w:t>DE 20</w:t>
      </w:r>
      <w:r w:rsidR="007B68FF">
        <w:rPr>
          <w:rFonts w:ascii="Tahoma" w:hAnsi="Tahoma" w:cs="Tahoma"/>
          <w:b/>
          <w:smallCaps/>
          <w:sz w:val="22"/>
          <w:szCs w:val="22"/>
        </w:rPr>
        <w:t>20</w:t>
      </w:r>
      <w:r w:rsidR="004A2EFD" w:rsidRPr="003C5487">
        <w:rPr>
          <w:rFonts w:ascii="Tahoma" w:hAnsi="Tahoma" w:cs="Tahoma"/>
          <w:b/>
          <w:smallCaps/>
          <w:sz w:val="22"/>
          <w:szCs w:val="22"/>
        </w:rPr>
        <w:t>.</w:t>
      </w:r>
    </w:p>
    <w:p w14:paraId="3E95670D" w14:textId="244B93F4" w:rsidR="00244309" w:rsidRPr="003C5487" w:rsidRDefault="00244309" w:rsidP="00244309">
      <w:pPr>
        <w:widowControl/>
        <w:spacing w:after="240" w:line="320" w:lineRule="exact"/>
        <w:jc w:val="center"/>
        <w:rPr>
          <w:rFonts w:ascii="Tahoma" w:hAnsi="Tahoma" w:cs="Tahoma"/>
          <w:b/>
          <w:smallCaps/>
          <w:sz w:val="22"/>
          <w:szCs w:val="22"/>
        </w:rPr>
      </w:pPr>
    </w:p>
    <w:p w14:paraId="049F3DB6" w14:textId="77777777" w:rsidR="00244309" w:rsidRPr="003C5487" w:rsidRDefault="00244309" w:rsidP="00244309">
      <w:pPr>
        <w:widowControl/>
        <w:spacing w:after="240" w:line="320" w:lineRule="exact"/>
        <w:ind w:right="44"/>
        <w:rPr>
          <w:rFonts w:ascii="Tahoma" w:hAnsi="Tahoma" w:cs="Tahoma"/>
          <w:sz w:val="22"/>
          <w:szCs w:val="22"/>
        </w:rPr>
      </w:pPr>
    </w:p>
    <w:p w14:paraId="6C0F1661" w14:textId="77777777" w:rsidR="00396A25" w:rsidRPr="003C5487" w:rsidRDefault="00396A25" w:rsidP="00244309">
      <w:pPr>
        <w:widowControl/>
        <w:tabs>
          <w:tab w:val="left" w:pos="945"/>
        </w:tabs>
        <w:spacing w:after="240" w:line="320" w:lineRule="exact"/>
        <w:ind w:right="44"/>
        <w:rPr>
          <w:rFonts w:ascii="Tahoma" w:hAnsi="Tahoma" w:cs="Tahoma"/>
          <w:sz w:val="22"/>
          <w:szCs w:val="22"/>
        </w:rPr>
      </w:pPr>
    </w:p>
    <w:sectPr w:rsidR="00396A25" w:rsidRPr="003C5487" w:rsidSect="00FF5746">
      <w:footerReference w:type="first" r:id="rId8"/>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BA707" w14:textId="77777777" w:rsidR="00F67E12" w:rsidRDefault="00F67E12">
      <w:r>
        <w:separator/>
      </w:r>
    </w:p>
  </w:endnote>
  <w:endnote w:type="continuationSeparator" w:id="0">
    <w:p w14:paraId="664B1326" w14:textId="77777777" w:rsidR="00F67E12" w:rsidRDefault="00F67E12">
      <w:r>
        <w:continuationSeparator/>
      </w:r>
    </w:p>
  </w:endnote>
  <w:endnote w:type="continuationNotice" w:id="1">
    <w:p w14:paraId="1CEE528A" w14:textId="77777777" w:rsidR="00F67E12" w:rsidRDefault="00F67E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D8587" w14:textId="4F35F614" w:rsidR="00116074" w:rsidRPr="00FF5746" w:rsidRDefault="00116074" w:rsidP="00FF5746">
    <w:pPr>
      <w:pStyle w:val="Footer"/>
      <w:jc w:val="left"/>
      <w:rPr>
        <w:rFonts w:ascii="Tahoma" w:hAnsi="Tahoma" w:cs="Tahoma"/>
        <w:sz w:val="12"/>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EAD65" w14:textId="77777777" w:rsidR="00F67E12" w:rsidRDefault="00F67E12">
      <w:r>
        <w:separator/>
      </w:r>
    </w:p>
  </w:footnote>
  <w:footnote w:type="continuationSeparator" w:id="0">
    <w:p w14:paraId="22281DE9" w14:textId="77777777" w:rsidR="00F67E12" w:rsidRDefault="00F67E12">
      <w:r>
        <w:continuationSeparator/>
      </w:r>
    </w:p>
  </w:footnote>
  <w:footnote w:type="continuationNotice" w:id="1">
    <w:p w14:paraId="1F99D7D9" w14:textId="77777777" w:rsidR="00F67E12" w:rsidRDefault="00F67E1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A5F86"/>
    <w:multiLevelType w:val="hybridMultilevel"/>
    <w:tmpl w:val="E37ED7F4"/>
    <w:lvl w:ilvl="0" w:tplc="F3DE1806">
      <w:start w:val="1"/>
      <w:numFmt w:val="lowerRoman"/>
      <w:lvlText w:val="(%1)"/>
      <w:lvlJc w:val="left"/>
      <w:pPr>
        <w:ind w:left="1080" w:hanging="720"/>
      </w:pPr>
      <w:rPr>
        <w:rFonts w:hint="default"/>
        <w:b/>
      </w:rPr>
    </w:lvl>
    <w:lvl w:ilvl="1" w:tplc="04160011">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1E69555C"/>
    <w:multiLevelType w:val="hybridMultilevel"/>
    <w:tmpl w:val="3F8A02F0"/>
    <w:lvl w:ilvl="0" w:tplc="37007EA6">
      <w:start w:val="2"/>
      <w:numFmt w:val="decimal"/>
      <w:lvlText w:val="(%1)"/>
      <w:lvlJc w:val="left"/>
      <w:pPr>
        <w:ind w:left="1788" w:hanging="360"/>
      </w:pPr>
      <w:rPr>
        <w:rFonts w:hint="default"/>
        <w:b/>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2B50613B"/>
    <w:multiLevelType w:val="hybridMultilevel"/>
    <w:tmpl w:val="5E8ED494"/>
    <w:lvl w:ilvl="0" w:tplc="1F50CB0C">
      <w:start w:val="1"/>
      <w:numFmt w:val="lowerRoman"/>
      <w:lvlText w:val="(%1)"/>
      <w:lvlJc w:val="left"/>
      <w:pPr>
        <w:ind w:left="1428" w:hanging="720"/>
      </w:pPr>
      <w:rPr>
        <w:rFonts w:hint="default"/>
        <w:b/>
      </w:rPr>
    </w:lvl>
    <w:lvl w:ilvl="1" w:tplc="E10C446A">
      <w:start w:val="1"/>
      <w:numFmt w:val="lowerLetter"/>
      <w:lvlText w:val="%2."/>
      <w:lvlJc w:val="left"/>
      <w:pPr>
        <w:ind w:left="1788" w:hanging="360"/>
      </w:pPr>
      <w:rPr>
        <w:rFonts w:ascii="Tahoma" w:hAnsi="Tahoma" w:cs="Tahoma" w:hint="default"/>
        <w:i w:val="0"/>
        <w:sz w:val="22"/>
        <w:szCs w:val="22"/>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5D4726F8"/>
    <w:multiLevelType w:val="hybridMultilevel"/>
    <w:tmpl w:val="30F44A6C"/>
    <w:lvl w:ilvl="0" w:tplc="74BE37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811694"/>
    <w:multiLevelType w:val="hybridMultilevel"/>
    <w:tmpl w:val="25521B44"/>
    <w:lvl w:ilvl="0" w:tplc="1F50CB0C">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760F7825"/>
    <w:multiLevelType w:val="hybridMultilevel"/>
    <w:tmpl w:val="A88A2C72"/>
    <w:lvl w:ilvl="0" w:tplc="88F49CD8">
      <w:start w:val="1"/>
      <w:numFmt w:val="decimal"/>
      <w:lvlText w:val="%1."/>
      <w:lvlJc w:val="left"/>
      <w:pPr>
        <w:tabs>
          <w:tab w:val="num" w:pos="0"/>
        </w:tabs>
        <w:ind w:left="0" w:firstLine="0"/>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7ACE7657"/>
    <w:multiLevelType w:val="hybridMultilevel"/>
    <w:tmpl w:val="30F44A6C"/>
    <w:lvl w:ilvl="0" w:tplc="74BE37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embedSystemFont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38"/>
    <w:rsid w:val="000047FA"/>
    <w:rsid w:val="000051ED"/>
    <w:rsid w:val="00005A91"/>
    <w:rsid w:val="0000687A"/>
    <w:rsid w:val="00007530"/>
    <w:rsid w:val="00012CDC"/>
    <w:rsid w:val="000254C2"/>
    <w:rsid w:val="000259A5"/>
    <w:rsid w:val="00025C22"/>
    <w:rsid w:val="00030A02"/>
    <w:rsid w:val="000316BB"/>
    <w:rsid w:val="0004690F"/>
    <w:rsid w:val="00051B4F"/>
    <w:rsid w:val="000539B9"/>
    <w:rsid w:val="000555F8"/>
    <w:rsid w:val="00055F73"/>
    <w:rsid w:val="000629B8"/>
    <w:rsid w:val="00065FF8"/>
    <w:rsid w:val="0007302A"/>
    <w:rsid w:val="00084757"/>
    <w:rsid w:val="00086E23"/>
    <w:rsid w:val="00097640"/>
    <w:rsid w:val="00097D4E"/>
    <w:rsid w:val="000A0AB0"/>
    <w:rsid w:val="000B2529"/>
    <w:rsid w:val="000B2BC6"/>
    <w:rsid w:val="000B4044"/>
    <w:rsid w:val="000B4CAD"/>
    <w:rsid w:val="000B5523"/>
    <w:rsid w:val="000C5B7A"/>
    <w:rsid w:val="000D1E62"/>
    <w:rsid w:val="000D43C4"/>
    <w:rsid w:val="000D4BE0"/>
    <w:rsid w:val="000D56F0"/>
    <w:rsid w:val="000D6DBE"/>
    <w:rsid w:val="000D705A"/>
    <w:rsid w:val="000E0216"/>
    <w:rsid w:val="000E515C"/>
    <w:rsid w:val="000E729B"/>
    <w:rsid w:val="000F15AA"/>
    <w:rsid w:val="000F39E5"/>
    <w:rsid w:val="000F3E12"/>
    <w:rsid w:val="000F4751"/>
    <w:rsid w:val="000F4BD9"/>
    <w:rsid w:val="000F4C9A"/>
    <w:rsid w:val="00100DDD"/>
    <w:rsid w:val="00100F01"/>
    <w:rsid w:val="001028A9"/>
    <w:rsid w:val="0010319E"/>
    <w:rsid w:val="00104A2E"/>
    <w:rsid w:val="001068D5"/>
    <w:rsid w:val="00112B7D"/>
    <w:rsid w:val="00116074"/>
    <w:rsid w:val="00120B20"/>
    <w:rsid w:val="00122448"/>
    <w:rsid w:val="00122852"/>
    <w:rsid w:val="00122CF7"/>
    <w:rsid w:val="0012571D"/>
    <w:rsid w:val="00130D4C"/>
    <w:rsid w:val="00131183"/>
    <w:rsid w:val="00133659"/>
    <w:rsid w:val="00134226"/>
    <w:rsid w:val="001352F1"/>
    <w:rsid w:val="00142303"/>
    <w:rsid w:val="00151632"/>
    <w:rsid w:val="00154A84"/>
    <w:rsid w:val="00156263"/>
    <w:rsid w:val="0016037F"/>
    <w:rsid w:val="001709F8"/>
    <w:rsid w:val="00173F97"/>
    <w:rsid w:val="00174F59"/>
    <w:rsid w:val="00175E81"/>
    <w:rsid w:val="0017692D"/>
    <w:rsid w:val="00176CB0"/>
    <w:rsid w:val="00180AF6"/>
    <w:rsid w:val="00183AFA"/>
    <w:rsid w:val="00187510"/>
    <w:rsid w:val="00187FE5"/>
    <w:rsid w:val="001914D1"/>
    <w:rsid w:val="00193FD4"/>
    <w:rsid w:val="001963C4"/>
    <w:rsid w:val="001977BD"/>
    <w:rsid w:val="001A23DB"/>
    <w:rsid w:val="001A5474"/>
    <w:rsid w:val="001B0300"/>
    <w:rsid w:val="001B0379"/>
    <w:rsid w:val="001B03A1"/>
    <w:rsid w:val="001B105A"/>
    <w:rsid w:val="001B179A"/>
    <w:rsid w:val="001C0D7C"/>
    <w:rsid w:val="001C160C"/>
    <w:rsid w:val="001C71E5"/>
    <w:rsid w:val="001D3054"/>
    <w:rsid w:val="001D347C"/>
    <w:rsid w:val="001D3DCE"/>
    <w:rsid w:val="001D4D03"/>
    <w:rsid w:val="001D7976"/>
    <w:rsid w:val="001E0871"/>
    <w:rsid w:val="001E38C8"/>
    <w:rsid w:val="001E3A8A"/>
    <w:rsid w:val="001E46AC"/>
    <w:rsid w:val="001E6224"/>
    <w:rsid w:val="001F3224"/>
    <w:rsid w:val="001F3F76"/>
    <w:rsid w:val="00205F48"/>
    <w:rsid w:val="00210E38"/>
    <w:rsid w:val="00216960"/>
    <w:rsid w:val="0021729C"/>
    <w:rsid w:val="00221433"/>
    <w:rsid w:val="00223B7B"/>
    <w:rsid w:val="00225095"/>
    <w:rsid w:val="00231C92"/>
    <w:rsid w:val="00231EB1"/>
    <w:rsid w:val="002352F3"/>
    <w:rsid w:val="00236E5D"/>
    <w:rsid w:val="002412A6"/>
    <w:rsid w:val="002417FE"/>
    <w:rsid w:val="00241A59"/>
    <w:rsid w:val="0024230B"/>
    <w:rsid w:val="00244309"/>
    <w:rsid w:val="00246A85"/>
    <w:rsid w:val="00252BAA"/>
    <w:rsid w:val="00256C72"/>
    <w:rsid w:val="00257949"/>
    <w:rsid w:val="00257E65"/>
    <w:rsid w:val="00260245"/>
    <w:rsid w:val="00263274"/>
    <w:rsid w:val="002709F2"/>
    <w:rsid w:val="00272B49"/>
    <w:rsid w:val="00274F1A"/>
    <w:rsid w:val="00280FD3"/>
    <w:rsid w:val="00291BFD"/>
    <w:rsid w:val="0029324D"/>
    <w:rsid w:val="002A1E7C"/>
    <w:rsid w:val="002A3E30"/>
    <w:rsid w:val="002A3E44"/>
    <w:rsid w:val="002A424D"/>
    <w:rsid w:val="002A5A08"/>
    <w:rsid w:val="002A6226"/>
    <w:rsid w:val="002A6EFA"/>
    <w:rsid w:val="002B192F"/>
    <w:rsid w:val="002C5705"/>
    <w:rsid w:val="002D4D1A"/>
    <w:rsid w:val="002E448A"/>
    <w:rsid w:val="002E6C3E"/>
    <w:rsid w:val="002F0E47"/>
    <w:rsid w:val="002F2848"/>
    <w:rsid w:val="002F6056"/>
    <w:rsid w:val="002F71A3"/>
    <w:rsid w:val="00300B20"/>
    <w:rsid w:val="00307011"/>
    <w:rsid w:val="003113D9"/>
    <w:rsid w:val="00314AC1"/>
    <w:rsid w:val="00320058"/>
    <w:rsid w:val="00332777"/>
    <w:rsid w:val="00333053"/>
    <w:rsid w:val="00346072"/>
    <w:rsid w:val="003542CA"/>
    <w:rsid w:val="00354CC3"/>
    <w:rsid w:val="00357BDF"/>
    <w:rsid w:val="00361BDF"/>
    <w:rsid w:val="003627A5"/>
    <w:rsid w:val="003726FF"/>
    <w:rsid w:val="003728A8"/>
    <w:rsid w:val="00374EFC"/>
    <w:rsid w:val="00377267"/>
    <w:rsid w:val="003806D2"/>
    <w:rsid w:val="00381E21"/>
    <w:rsid w:val="00383E4F"/>
    <w:rsid w:val="00392A69"/>
    <w:rsid w:val="00394735"/>
    <w:rsid w:val="00396A25"/>
    <w:rsid w:val="003A620A"/>
    <w:rsid w:val="003C5183"/>
    <w:rsid w:val="003C5487"/>
    <w:rsid w:val="003C7A79"/>
    <w:rsid w:val="003D1459"/>
    <w:rsid w:val="003D5D4A"/>
    <w:rsid w:val="003D689B"/>
    <w:rsid w:val="003E1799"/>
    <w:rsid w:val="003E1FA6"/>
    <w:rsid w:val="003F1A9C"/>
    <w:rsid w:val="003F78A8"/>
    <w:rsid w:val="003F7D1C"/>
    <w:rsid w:val="00406431"/>
    <w:rsid w:val="0041256C"/>
    <w:rsid w:val="00413D25"/>
    <w:rsid w:val="00413D7B"/>
    <w:rsid w:val="00417E07"/>
    <w:rsid w:val="004247B2"/>
    <w:rsid w:val="00430E0F"/>
    <w:rsid w:val="00433A07"/>
    <w:rsid w:val="00443580"/>
    <w:rsid w:val="00451CC7"/>
    <w:rsid w:val="004543B6"/>
    <w:rsid w:val="004546D4"/>
    <w:rsid w:val="00457304"/>
    <w:rsid w:val="0047019F"/>
    <w:rsid w:val="0047271B"/>
    <w:rsid w:val="0047718B"/>
    <w:rsid w:val="00482231"/>
    <w:rsid w:val="0048532D"/>
    <w:rsid w:val="004A0324"/>
    <w:rsid w:val="004A2EFD"/>
    <w:rsid w:val="004B7253"/>
    <w:rsid w:val="004C153A"/>
    <w:rsid w:val="004D045D"/>
    <w:rsid w:val="004D1B45"/>
    <w:rsid w:val="004D3AAD"/>
    <w:rsid w:val="004D4D50"/>
    <w:rsid w:val="004E114A"/>
    <w:rsid w:val="004E2E5E"/>
    <w:rsid w:val="004F6D23"/>
    <w:rsid w:val="00503BB3"/>
    <w:rsid w:val="0050587F"/>
    <w:rsid w:val="00506492"/>
    <w:rsid w:val="00512D76"/>
    <w:rsid w:val="00521CD3"/>
    <w:rsid w:val="00522F89"/>
    <w:rsid w:val="00526FFB"/>
    <w:rsid w:val="005370B4"/>
    <w:rsid w:val="00542E4A"/>
    <w:rsid w:val="00542F9B"/>
    <w:rsid w:val="005505CA"/>
    <w:rsid w:val="00552286"/>
    <w:rsid w:val="00556539"/>
    <w:rsid w:val="00561289"/>
    <w:rsid w:val="005617FD"/>
    <w:rsid w:val="005632E5"/>
    <w:rsid w:val="005705F0"/>
    <w:rsid w:val="00571BF3"/>
    <w:rsid w:val="00574630"/>
    <w:rsid w:val="00580020"/>
    <w:rsid w:val="0058102C"/>
    <w:rsid w:val="005813E1"/>
    <w:rsid w:val="00583040"/>
    <w:rsid w:val="00585507"/>
    <w:rsid w:val="00591CE6"/>
    <w:rsid w:val="00595EE0"/>
    <w:rsid w:val="0059774B"/>
    <w:rsid w:val="005A23F8"/>
    <w:rsid w:val="005A6B3D"/>
    <w:rsid w:val="005B43C4"/>
    <w:rsid w:val="005B6376"/>
    <w:rsid w:val="005C1052"/>
    <w:rsid w:val="005C4766"/>
    <w:rsid w:val="005C4D75"/>
    <w:rsid w:val="005C7319"/>
    <w:rsid w:val="005D0A29"/>
    <w:rsid w:val="005D37E5"/>
    <w:rsid w:val="005D40BF"/>
    <w:rsid w:val="005E40E1"/>
    <w:rsid w:val="005E6BAF"/>
    <w:rsid w:val="005F028A"/>
    <w:rsid w:val="005F7116"/>
    <w:rsid w:val="006028F8"/>
    <w:rsid w:val="00606371"/>
    <w:rsid w:val="006174A0"/>
    <w:rsid w:val="00621341"/>
    <w:rsid w:val="0063335E"/>
    <w:rsid w:val="00634509"/>
    <w:rsid w:val="0063754E"/>
    <w:rsid w:val="00644945"/>
    <w:rsid w:val="00645CD4"/>
    <w:rsid w:val="0064690E"/>
    <w:rsid w:val="00647E8D"/>
    <w:rsid w:val="006544D0"/>
    <w:rsid w:val="0065779F"/>
    <w:rsid w:val="0066493A"/>
    <w:rsid w:val="00666B07"/>
    <w:rsid w:val="00666C83"/>
    <w:rsid w:val="00682ECC"/>
    <w:rsid w:val="0068517C"/>
    <w:rsid w:val="00687488"/>
    <w:rsid w:val="00693776"/>
    <w:rsid w:val="006A537E"/>
    <w:rsid w:val="006A772D"/>
    <w:rsid w:val="006A7B7C"/>
    <w:rsid w:val="006B751C"/>
    <w:rsid w:val="006B7F11"/>
    <w:rsid w:val="006C64D4"/>
    <w:rsid w:val="006D4A8B"/>
    <w:rsid w:val="006E30DD"/>
    <w:rsid w:val="006E34EA"/>
    <w:rsid w:val="006E69BF"/>
    <w:rsid w:val="006F6A6B"/>
    <w:rsid w:val="00701238"/>
    <w:rsid w:val="00704DD6"/>
    <w:rsid w:val="00707249"/>
    <w:rsid w:val="0072010A"/>
    <w:rsid w:val="00721F89"/>
    <w:rsid w:val="00723574"/>
    <w:rsid w:val="0073465F"/>
    <w:rsid w:val="00734EE1"/>
    <w:rsid w:val="00745D9E"/>
    <w:rsid w:val="00745F9C"/>
    <w:rsid w:val="00747FBE"/>
    <w:rsid w:val="007512CB"/>
    <w:rsid w:val="007621DB"/>
    <w:rsid w:val="0076764C"/>
    <w:rsid w:val="00773DC4"/>
    <w:rsid w:val="00774D5E"/>
    <w:rsid w:val="007751DE"/>
    <w:rsid w:val="00775C64"/>
    <w:rsid w:val="007925D0"/>
    <w:rsid w:val="00793FEC"/>
    <w:rsid w:val="0079426F"/>
    <w:rsid w:val="007979CF"/>
    <w:rsid w:val="007A058B"/>
    <w:rsid w:val="007A0D05"/>
    <w:rsid w:val="007A294D"/>
    <w:rsid w:val="007B3251"/>
    <w:rsid w:val="007B68FF"/>
    <w:rsid w:val="007B761E"/>
    <w:rsid w:val="007B797F"/>
    <w:rsid w:val="007D4A03"/>
    <w:rsid w:val="007E027C"/>
    <w:rsid w:val="007E3400"/>
    <w:rsid w:val="007E39BE"/>
    <w:rsid w:val="007E47A5"/>
    <w:rsid w:val="007F0F86"/>
    <w:rsid w:val="00805063"/>
    <w:rsid w:val="0081004D"/>
    <w:rsid w:val="00810E6F"/>
    <w:rsid w:val="00812634"/>
    <w:rsid w:val="0081353F"/>
    <w:rsid w:val="00813AFA"/>
    <w:rsid w:val="00813E1F"/>
    <w:rsid w:val="00814054"/>
    <w:rsid w:val="00814217"/>
    <w:rsid w:val="00817BD1"/>
    <w:rsid w:val="008210A3"/>
    <w:rsid w:val="008245BC"/>
    <w:rsid w:val="008306D6"/>
    <w:rsid w:val="008323D3"/>
    <w:rsid w:val="0083246B"/>
    <w:rsid w:val="00833CC0"/>
    <w:rsid w:val="008428DB"/>
    <w:rsid w:val="00842B22"/>
    <w:rsid w:val="008506D0"/>
    <w:rsid w:val="008533A8"/>
    <w:rsid w:val="00861CF5"/>
    <w:rsid w:val="00861F65"/>
    <w:rsid w:val="008627CB"/>
    <w:rsid w:val="00865296"/>
    <w:rsid w:val="00866B55"/>
    <w:rsid w:val="008701E8"/>
    <w:rsid w:val="0087531B"/>
    <w:rsid w:val="00876A33"/>
    <w:rsid w:val="008775A4"/>
    <w:rsid w:val="0088023A"/>
    <w:rsid w:val="00883672"/>
    <w:rsid w:val="00886D39"/>
    <w:rsid w:val="00892954"/>
    <w:rsid w:val="008935E7"/>
    <w:rsid w:val="00894396"/>
    <w:rsid w:val="00894EB4"/>
    <w:rsid w:val="00897665"/>
    <w:rsid w:val="008A3111"/>
    <w:rsid w:val="008A40E8"/>
    <w:rsid w:val="008A42E9"/>
    <w:rsid w:val="008A441D"/>
    <w:rsid w:val="008A4519"/>
    <w:rsid w:val="008A60B2"/>
    <w:rsid w:val="008B0B1E"/>
    <w:rsid w:val="008B24D9"/>
    <w:rsid w:val="008B3C33"/>
    <w:rsid w:val="008B4CFD"/>
    <w:rsid w:val="008C13C9"/>
    <w:rsid w:val="008C6FBD"/>
    <w:rsid w:val="008D1660"/>
    <w:rsid w:val="008D26BD"/>
    <w:rsid w:val="008D41F6"/>
    <w:rsid w:val="008D662B"/>
    <w:rsid w:val="008E25BF"/>
    <w:rsid w:val="008E4213"/>
    <w:rsid w:val="008E6521"/>
    <w:rsid w:val="008F152C"/>
    <w:rsid w:val="008F2254"/>
    <w:rsid w:val="008F5C0F"/>
    <w:rsid w:val="008F7E06"/>
    <w:rsid w:val="00900F7F"/>
    <w:rsid w:val="00903FDF"/>
    <w:rsid w:val="00905541"/>
    <w:rsid w:val="00905858"/>
    <w:rsid w:val="0090693A"/>
    <w:rsid w:val="00911F71"/>
    <w:rsid w:val="00914508"/>
    <w:rsid w:val="009154A1"/>
    <w:rsid w:val="00920AA0"/>
    <w:rsid w:val="00920B6E"/>
    <w:rsid w:val="0092690C"/>
    <w:rsid w:val="00943AD6"/>
    <w:rsid w:val="009522F2"/>
    <w:rsid w:val="00953AAB"/>
    <w:rsid w:val="009543CC"/>
    <w:rsid w:val="00955588"/>
    <w:rsid w:val="00955C92"/>
    <w:rsid w:val="00957FF0"/>
    <w:rsid w:val="0096286B"/>
    <w:rsid w:val="0096324D"/>
    <w:rsid w:val="0096344A"/>
    <w:rsid w:val="009774CC"/>
    <w:rsid w:val="009776E2"/>
    <w:rsid w:val="0098108E"/>
    <w:rsid w:val="00982FE2"/>
    <w:rsid w:val="0098653F"/>
    <w:rsid w:val="00987D80"/>
    <w:rsid w:val="00990C1E"/>
    <w:rsid w:val="00993DF4"/>
    <w:rsid w:val="00994E50"/>
    <w:rsid w:val="00997179"/>
    <w:rsid w:val="009A0947"/>
    <w:rsid w:val="009A1D92"/>
    <w:rsid w:val="009A5A72"/>
    <w:rsid w:val="009B2C26"/>
    <w:rsid w:val="009B4A56"/>
    <w:rsid w:val="009B4D8A"/>
    <w:rsid w:val="009B5276"/>
    <w:rsid w:val="009B57E5"/>
    <w:rsid w:val="009C028D"/>
    <w:rsid w:val="009C3E62"/>
    <w:rsid w:val="009C5C7B"/>
    <w:rsid w:val="009C5DB1"/>
    <w:rsid w:val="009D080C"/>
    <w:rsid w:val="009D0A46"/>
    <w:rsid w:val="009D25E5"/>
    <w:rsid w:val="009D2FAD"/>
    <w:rsid w:val="009D3AB3"/>
    <w:rsid w:val="009D5B0E"/>
    <w:rsid w:val="009E3B74"/>
    <w:rsid w:val="009F1433"/>
    <w:rsid w:val="009F2846"/>
    <w:rsid w:val="009F5914"/>
    <w:rsid w:val="009F59D1"/>
    <w:rsid w:val="009F6E8D"/>
    <w:rsid w:val="00A01915"/>
    <w:rsid w:val="00A150FB"/>
    <w:rsid w:val="00A26C67"/>
    <w:rsid w:val="00A27C15"/>
    <w:rsid w:val="00A31746"/>
    <w:rsid w:val="00A32542"/>
    <w:rsid w:val="00A45206"/>
    <w:rsid w:val="00A46B13"/>
    <w:rsid w:val="00A51D6E"/>
    <w:rsid w:val="00A534BB"/>
    <w:rsid w:val="00A5423F"/>
    <w:rsid w:val="00A6511B"/>
    <w:rsid w:val="00A67096"/>
    <w:rsid w:val="00A67DC9"/>
    <w:rsid w:val="00A70FD3"/>
    <w:rsid w:val="00A72543"/>
    <w:rsid w:val="00A80024"/>
    <w:rsid w:val="00A87ABA"/>
    <w:rsid w:val="00A94120"/>
    <w:rsid w:val="00A94932"/>
    <w:rsid w:val="00A97E77"/>
    <w:rsid w:val="00AA1F52"/>
    <w:rsid w:val="00AA29CA"/>
    <w:rsid w:val="00AA44D7"/>
    <w:rsid w:val="00AA71AC"/>
    <w:rsid w:val="00AB27FB"/>
    <w:rsid w:val="00AB47BE"/>
    <w:rsid w:val="00AC34C0"/>
    <w:rsid w:val="00AC383D"/>
    <w:rsid w:val="00AC44AE"/>
    <w:rsid w:val="00AC634E"/>
    <w:rsid w:val="00AC7492"/>
    <w:rsid w:val="00AD6D81"/>
    <w:rsid w:val="00AE0598"/>
    <w:rsid w:val="00AE064C"/>
    <w:rsid w:val="00B107AC"/>
    <w:rsid w:val="00B14DB4"/>
    <w:rsid w:val="00B21F56"/>
    <w:rsid w:val="00B25A2D"/>
    <w:rsid w:val="00B31730"/>
    <w:rsid w:val="00B349F2"/>
    <w:rsid w:val="00B3549E"/>
    <w:rsid w:val="00B3567F"/>
    <w:rsid w:val="00B42CB8"/>
    <w:rsid w:val="00B71159"/>
    <w:rsid w:val="00B77D08"/>
    <w:rsid w:val="00B8066B"/>
    <w:rsid w:val="00B957D7"/>
    <w:rsid w:val="00B9695B"/>
    <w:rsid w:val="00BA2D5A"/>
    <w:rsid w:val="00BA7A9C"/>
    <w:rsid w:val="00BB512D"/>
    <w:rsid w:val="00BB7082"/>
    <w:rsid w:val="00BC321A"/>
    <w:rsid w:val="00BD2492"/>
    <w:rsid w:val="00BD3CF2"/>
    <w:rsid w:val="00BD675C"/>
    <w:rsid w:val="00BE515E"/>
    <w:rsid w:val="00BE5E4A"/>
    <w:rsid w:val="00BF0D3E"/>
    <w:rsid w:val="00BF0D94"/>
    <w:rsid w:val="00BF2FEC"/>
    <w:rsid w:val="00BF4127"/>
    <w:rsid w:val="00BF4484"/>
    <w:rsid w:val="00C0143A"/>
    <w:rsid w:val="00C0203F"/>
    <w:rsid w:val="00C034B0"/>
    <w:rsid w:val="00C10F43"/>
    <w:rsid w:val="00C12E33"/>
    <w:rsid w:val="00C139C9"/>
    <w:rsid w:val="00C16793"/>
    <w:rsid w:val="00C2663E"/>
    <w:rsid w:val="00C272C7"/>
    <w:rsid w:val="00C52792"/>
    <w:rsid w:val="00C52F86"/>
    <w:rsid w:val="00C54322"/>
    <w:rsid w:val="00C57791"/>
    <w:rsid w:val="00C65DE1"/>
    <w:rsid w:val="00C704BC"/>
    <w:rsid w:val="00C731AE"/>
    <w:rsid w:val="00C75F5B"/>
    <w:rsid w:val="00C80850"/>
    <w:rsid w:val="00C80C28"/>
    <w:rsid w:val="00C816D7"/>
    <w:rsid w:val="00C839D8"/>
    <w:rsid w:val="00C8660C"/>
    <w:rsid w:val="00C92ECE"/>
    <w:rsid w:val="00C94A60"/>
    <w:rsid w:val="00C972E4"/>
    <w:rsid w:val="00CA1467"/>
    <w:rsid w:val="00CA170A"/>
    <w:rsid w:val="00CA7B29"/>
    <w:rsid w:val="00CB40D5"/>
    <w:rsid w:val="00CB5D71"/>
    <w:rsid w:val="00CB707D"/>
    <w:rsid w:val="00CB758D"/>
    <w:rsid w:val="00CC109F"/>
    <w:rsid w:val="00CC1CB8"/>
    <w:rsid w:val="00CC28C7"/>
    <w:rsid w:val="00CC4870"/>
    <w:rsid w:val="00CC74AF"/>
    <w:rsid w:val="00CD02E3"/>
    <w:rsid w:val="00CD2E81"/>
    <w:rsid w:val="00CD4BF2"/>
    <w:rsid w:val="00CD4EBB"/>
    <w:rsid w:val="00CE4C48"/>
    <w:rsid w:val="00CE52A5"/>
    <w:rsid w:val="00CE6A6F"/>
    <w:rsid w:val="00CE7D80"/>
    <w:rsid w:val="00CF2474"/>
    <w:rsid w:val="00D022B7"/>
    <w:rsid w:val="00D046EA"/>
    <w:rsid w:val="00D05597"/>
    <w:rsid w:val="00D07B81"/>
    <w:rsid w:val="00D352DF"/>
    <w:rsid w:val="00D4342E"/>
    <w:rsid w:val="00D47017"/>
    <w:rsid w:val="00D478BF"/>
    <w:rsid w:val="00D62012"/>
    <w:rsid w:val="00D635A8"/>
    <w:rsid w:val="00D71692"/>
    <w:rsid w:val="00D73FDB"/>
    <w:rsid w:val="00D83257"/>
    <w:rsid w:val="00D91E1B"/>
    <w:rsid w:val="00D92628"/>
    <w:rsid w:val="00DB7959"/>
    <w:rsid w:val="00DC3003"/>
    <w:rsid w:val="00DC345A"/>
    <w:rsid w:val="00DC597D"/>
    <w:rsid w:val="00DD1423"/>
    <w:rsid w:val="00DD2356"/>
    <w:rsid w:val="00DD29C6"/>
    <w:rsid w:val="00DD6C1B"/>
    <w:rsid w:val="00DE5CEC"/>
    <w:rsid w:val="00DE7497"/>
    <w:rsid w:val="00DF1B24"/>
    <w:rsid w:val="00DF2A12"/>
    <w:rsid w:val="00E03A50"/>
    <w:rsid w:val="00E1536D"/>
    <w:rsid w:val="00E207A7"/>
    <w:rsid w:val="00E3397C"/>
    <w:rsid w:val="00E34A40"/>
    <w:rsid w:val="00E34B0A"/>
    <w:rsid w:val="00E41272"/>
    <w:rsid w:val="00E44738"/>
    <w:rsid w:val="00E53B3F"/>
    <w:rsid w:val="00E54EE7"/>
    <w:rsid w:val="00E670B5"/>
    <w:rsid w:val="00E7385E"/>
    <w:rsid w:val="00E7556A"/>
    <w:rsid w:val="00E84281"/>
    <w:rsid w:val="00E87829"/>
    <w:rsid w:val="00E95CBB"/>
    <w:rsid w:val="00E971E5"/>
    <w:rsid w:val="00EA1E02"/>
    <w:rsid w:val="00EA4F79"/>
    <w:rsid w:val="00EB7221"/>
    <w:rsid w:val="00EC6681"/>
    <w:rsid w:val="00EC7D83"/>
    <w:rsid w:val="00ED3AF4"/>
    <w:rsid w:val="00ED67E9"/>
    <w:rsid w:val="00EE3698"/>
    <w:rsid w:val="00EE5519"/>
    <w:rsid w:val="00EE6F8C"/>
    <w:rsid w:val="00EF1EF0"/>
    <w:rsid w:val="00EF31DD"/>
    <w:rsid w:val="00EF5547"/>
    <w:rsid w:val="00F01DBA"/>
    <w:rsid w:val="00F02ACD"/>
    <w:rsid w:val="00F067AB"/>
    <w:rsid w:val="00F118DD"/>
    <w:rsid w:val="00F1460B"/>
    <w:rsid w:val="00F151E8"/>
    <w:rsid w:val="00F171E9"/>
    <w:rsid w:val="00F2110E"/>
    <w:rsid w:val="00F21A3D"/>
    <w:rsid w:val="00F22670"/>
    <w:rsid w:val="00F34725"/>
    <w:rsid w:val="00F356DA"/>
    <w:rsid w:val="00F420B1"/>
    <w:rsid w:val="00F42CCF"/>
    <w:rsid w:val="00F432AD"/>
    <w:rsid w:val="00F44EA7"/>
    <w:rsid w:val="00F452A2"/>
    <w:rsid w:val="00F4574A"/>
    <w:rsid w:val="00F5123A"/>
    <w:rsid w:val="00F514EC"/>
    <w:rsid w:val="00F518C9"/>
    <w:rsid w:val="00F60C7B"/>
    <w:rsid w:val="00F66D94"/>
    <w:rsid w:val="00F67E12"/>
    <w:rsid w:val="00F71B53"/>
    <w:rsid w:val="00F73715"/>
    <w:rsid w:val="00F81185"/>
    <w:rsid w:val="00F8176F"/>
    <w:rsid w:val="00F950BE"/>
    <w:rsid w:val="00F96A7F"/>
    <w:rsid w:val="00FA0B5F"/>
    <w:rsid w:val="00FA1937"/>
    <w:rsid w:val="00FA1D4F"/>
    <w:rsid w:val="00FA2781"/>
    <w:rsid w:val="00FA5BB8"/>
    <w:rsid w:val="00FA6DE3"/>
    <w:rsid w:val="00FA7357"/>
    <w:rsid w:val="00FB106C"/>
    <w:rsid w:val="00FB1773"/>
    <w:rsid w:val="00FB251D"/>
    <w:rsid w:val="00FC09CE"/>
    <w:rsid w:val="00FC1C73"/>
    <w:rsid w:val="00FD02B0"/>
    <w:rsid w:val="00FD0B21"/>
    <w:rsid w:val="00FE3501"/>
    <w:rsid w:val="00FE6E8E"/>
    <w:rsid w:val="00FF0391"/>
    <w:rsid w:val="00FF0BD2"/>
    <w:rsid w:val="00FF3C23"/>
    <w:rsid w:val="00FF57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0B723"/>
  <w15:docId w15:val="{393BE6BA-8648-4C54-BF5C-7C61504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38"/>
    <w:pPr>
      <w:widowControl w:val="0"/>
      <w:spacing w:line="340" w:lineRule="exact"/>
      <w:jc w:val="both"/>
    </w:pPr>
    <w:rPr>
      <w:sz w:val="26"/>
    </w:rPr>
  </w:style>
  <w:style w:type="paragraph" w:styleId="Heading1">
    <w:name w:val="heading 1"/>
    <w:basedOn w:val="Normal"/>
    <w:next w:val="Normal"/>
    <w:link w:val="Heading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8108E"/>
    <w:pPr>
      <w:spacing w:after="100"/>
    </w:pPr>
  </w:style>
  <w:style w:type="paragraph" w:styleId="Title">
    <w:name w:val="Title"/>
    <w:basedOn w:val="Normal"/>
    <w:next w:val="Normal"/>
    <w:link w:val="Title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8108E"/>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eastAsiaTheme="majorEastAsia" w:hAnsi="Tahoma" w:cs="Tahoma"/>
      <w:b/>
      <w:color w:val="000000" w:themeColor="text1"/>
      <w:sz w:val="22"/>
      <w:szCs w:val="22"/>
    </w:rPr>
  </w:style>
  <w:style w:type="table" w:styleId="TableGrid">
    <w:name w:val="Table Grid"/>
    <w:basedOn w:val="Table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Heading1Char">
    <w:name w:val="Heading 1 Char"/>
    <w:basedOn w:val="DefaultParagraphFont"/>
    <w:link w:val="Heading1"/>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spacing w:line="276" w:lineRule="auto"/>
      <w:jc w:val="left"/>
      <w:outlineLvl w:val="9"/>
    </w:pPr>
  </w:style>
  <w:style w:type="character" w:customStyle="1" w:styleId="Heading2Char">
    <w:name w:val="Heading 2 Char"/>
    <w:basedOn w:val="DefaultParagraphFont"/>
    <w:link w:val="Heading2"/>
    <w:semiHidden/>
    <w:rsid w:val="009810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DefaultParagraphFont"/>
    <w:link w:val="Clusula-MattosFilho"/>
    <w:rsid w:val="0098108E"/>
    <w:rPr>
      <w:rFonts w:ascii="Tahoma" w:eastAsiaTheme="majorEastAsia" w:hAnsi="Tahoma" w:cstheme="majorBidi"/>
      <w:b/>
      <w:color w:val="000000" w:themeColor="text1"/>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nhideWhenUsed/>
    <w:rsid w:val="002E0154"/>
    <w:pPr>
      <w:tabs>
        <w:tab w:val="center" w:pos="4252"/>
        <w:tab w:val="right" w:pos="8504"/>
      </w:tabs>
    </w:pPr>
  </w:style>
  <w:style w:type="character" w:customStyle="1" w:styleId="HeaderChar">
    <w:name w:val="Header Char"/>
    <w:basedOn w:val="DefaultParagraphFont"/>
    <w:link w:val="Header"/>
    <w:rsid w:val="002E0154"/>
    <w:rPr>
      <w:rFonts w:ascii="Tahoma" w:hAnsi="Tahoma"/>
      <w:sz w:val="22"/>
      <w:szCs w:val="24"/>
    </w:rPr>
  </w:style>
  <w:style w:type="paragraph" w:styleId="Footer">
    <w:name w:val="footer"/>
    <w:aliases w:val="Rodapé - Mattos Filho"/>
    <w:basedOn w:val="Normal"/>
    <w:link w:val="FooterChar"/>
    <w:uiPriority w:val="99"/>
    <w:qFormat/>
    <w:rsid w:val="0098108E"/>
    <w:pPr>
      <w:tabs>
        <w:tab w:val="center" w:pos="4252"/>
        <w:tab w:val="right" w:pos="8504"/>
      </w:tabs>
      <w:spacing w:line="240" w:lineRule="auto"/>
    </w:pPr>
    <w:rPr>
      <w:sz w:val="18"/>
    </w:rPr>
  </w:style>
  <w:style w:type="character" w:customStyle="1" w:styleId="FooterChar">
    <w:name w:val="Footer Char"/>
    <w:aliases w:val="Rodapé - Mattos Filho Char"/>
    <w:basedOn w:val="DefaultParagraphFont"/>
    <w:link w:val="Footer"/>
    <w:uiPriority w:val="99"/>
    <w:rsid w:val="0098108E"/>
    <w:rPr>
      <w:rFonts w:ascii="Tahoma" w:hAnsi="Tahoma"/>
      <w:sz w:val="18"/>
      <w:szCs w:val="24"/>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nhideWhenUsed/>
    <w:rsid w:val="0098108E"/>
    <w:rPr>
      <w:vertAlign w:val="superscript"/>
    </w:rPr>
  </w:style>
  <w:style w:type="paragraph" w:styleId="BalloonText">
    <w:name w:val="Balloon Text"/>
    <w:basedOn w:val="Normal"/>
    <w:link w:val="BalloonTextChar"/>
    <w:rsid w:val="0098108E"/>
    <w:rPr>
      <w:rFonts w:cs="Tahoma"/>
      <w:sz w:val="16"/>
      <w:szCs w:val="16"/>
    </w:rPr>
  </w:style>
  <w:style w:type="character" w:customStyle="1" w:styleId="BalloonTextChar">
    <w:name w:val="Balloon Text Char"/>
    <w:basedOn w:val="DefaultParagraphFont"/>
    <w:link w:val="BalloonText"/>
    <w:rsid w:val="0098108E"/>
    <w:rPr>
      <w:rFonts w:ascii="Tahoma" w:hAnsi="Tahoma" w:cs="Tahoma"/>
      <w:sz w:val="16"/>
      <w:szCs w:val="16"/>
    </w:rPr>
  </w:style>
  <w:style w:type="paragraph" w:styleId="FootnoteText">
    <w:name w:val="footnote text"/>
    <w:basedOn w:val="Normal"/>
    <w:link w:val="FootnoteTextChar"/>
    <w:unhideWhenUsed/>
    <w:rsid w:val="0098108E"/>
    <w:pPr>
      <w:spacing w:line="240" w:lineRule="auto"/>
    </w:pPr>
    <w:rPr>
      <w:sz w:val="18"/>
    </w:rPr>
  </w:style>
  <w:style w:type="character" w:customStyle="1" w:styleId="FootnoteTextChar">
    <w:name w:val="Footnote Text Char"/>
    <w:basedOn w:val="DefaultParagraphFont"/>
    <w:link w:val="FootnoteText"/>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paragraph" w:styleId="NormalWeb">
    <w:name w:val="Normal (Web)"/>
    <w:basedOn w:val="Normal"/>
    <w:semiHidden/>
    <w:unhideWhenUsed/>
    <w:rsid w:val="00E44738"/>
    <w:pPr>
      <w:widowControl/>
      <w:spacing w:before="100" w:beforeAutospacing="1" w:after="100" w:afterAutospacing="1" w:line="240" w:lineRule="auto"/>
      <w:jc w:val="left"/>
    </w:pPr>
    <w:rPr>
      <w:rFonts w:ascii="Verdana" w:eastAsia="Arial Unicode MS" w:hAnsi="Verdana" w:cs="Verdana"/>
      <w:sz w:val="24"/>
      <w:szCs w:val="24"/>
    </w:rPr>
  </w:style>
  <w:style w:type="paragraph" w:styleId="CommentText">
    <w:name w:val="annotation text"/>
    <w:basedOn w:val="Normal"/>
    <w:link w:val="CommentTextChar"/>
    <w:semiHidden/>
    <w:unhideWhenUsed/>
    <w:rsid w:val="00E44738"/>
    <w:rPr>
      <w:sz w:val="20"/>
    </w:rPr>
  </w:style>
  <w:style w:type="character" w:customStyle="1" w:styleId="CommentTextChar">
    <w:name w:val="Comment Text Char"/>
    <w:basedOn w:val="DefaultParagraphFont"/>
    <w:link w:val="CommentText"/>
    <w:semiHidden/>
    <w:rsid w:val="00E44738"/>
  </w:style>
  <w:style w:type="paragraph" w:styleId="Subtitle">
    <w:name w:val="Subtitle"/>
    <w:basedOn w:val="Normal"/>
    <w:link w:val="SubtitleChar"/>
    <w:qFormat/>
    <w:rsid w:val="00E44738"/>
    <w:pPr>
      <w:widowControl/>
      <w:jc w:val="center"/>
    </w:pPr>
    <w:rPr>
      <w:b/>
      <w:bCs/>
      <w:sz w:val="24"/>
    </w:rPr>
  </w:style>
  <w:style w:type="character" w:customStyle="1" w:styleId="SubtitleChar">
    <w:name w:val="Subtitle Char"/>
    <w:basedOn w:val="DefaultParagraphFont"/>
    <w:link w:val="Subtitle"/>
    <w:rsid w:val="00E44738"/>
    <w:rPr>
      <w:b/>
      <w:bCs/>
      <w:sz w:val="24"/>
    </w:rPr>
  </w:style>
  <w:style w:type="paragraph" w:styleId="ListParagraph">
    <w:name w:val="List Paragraph"/>
    <w:basedOn w:val="Normal"/>
    <w:qFormat/>
    <w:rsid w:val="00E44738"/>
    <w:pPr>
      <w:ind w:left="720"/>
    </w:pPr>
  </w:style>
  <w:style w:type="paragraph" w:customStyle="1" w:styleId="p0">
    <w:name w:val="p0"/>
    <w:basedOn w:val="Normal"/>
    <w:rsid w:val="00E44738"/>
    <w:pPr>
      <w:tabs>
        <w:tab w:val="left" w:pos="720"/>
      </w:tabs>
      <w:spacing w:line="240" w:lineRule="atLeast"/>
    </w:pPr>
    <w:rPr>
      <w:rFonts w:ascii="Times" w:hAnsi="Times"/>
      <w:sz w:val="24"/>
    </w:rPr>
  </w:style>
  <w:style w:type="character" w:styleId="CommentReference">
    <w:name w:val="annotation reference"/>
    <w:semiHidden/>
    <w:unhideWhenUsed/>
    <w:rsid w:val="00E44738"/>
    <w:rPr>
      <w:rFonts w:ascii="Times New Roman" w:hAnsi="Times New Roman" w:cs="Times New Roman" w:hint="default"/>
      <w:sz w:val="16"/>
      <w:szCs w:val="16"/>
    </w:rPr>
  </w:style>
  <w:style w:type="paragraph" w:styleId="Revision">
    <w:name w:val="Revision"/>
    <w:hidden/>
    <w:uiPriority w:val="99"/>
    <w:semiHidden/>
    <w:rsid w:val="00903FDF"/>
    <w:rPr>
      <w:sz w:val="26"/>
    </w:rPr>
  </w:style>
  <w:style w:type="paragraph" w:customStyle="1" w:styleId="Estilo">
    <w:name w:val="Estilo"/>
    <w:rsid w:val="00BF0D3E"/>
    <w:pPr>
      <w:widowControl w:val="0"/>
      <w:autoSpaceDE w:val="0"/>
      <w:autoSpaceDN w:val="0"/>
      <w:adjustRightInd w:val="0"/>
    </w:pPr>
    <w:rPr>
      <w:sz w:val="24"/>
      <w:szCs w:val="24"/>
    </w:rPr>
  </w:style>
  <w:style w:type="paragraph" w:customStyle="1" w:styleId="Default">
    <w:name w:val="Default"/>
    <w:rsid w:val="00BF0D3E"/>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7272">
      <w:bodyDiv w:val="1"/>
      <w:marLeft w:val="0"/>
      <w:marRight w:val="0"/>
      <w:marTop w:val="0"/>
      <w:marBottom w:val="0"/>
      <w:divBdr>
        <w:top w:val="none" w:sz="0" w:space="0" w:color="auto"/>
        <w:left w:val="none" w:sz="0" w:space="0" w:color="auto"/>
        <w:bottom w:val="none" w:sz="0" w:space="0" w:color="auto"/>
        <w:right w:val="none" w:sz="0" w:space="0" w:color="auto"/>
      </w:divBdr>
    </w:div>
    <w:div w:id="1223642990">
      <w:bodyDiv w:val="1"/>
      <w:marLeft w:val="0"/>
      <w:marRight w:val="0"/>
      <w:marTop w:val="0"/>
      <w:marBottom w:val="0"/>
      <w:divBdr>
        <w:top w:val="none" w:sz="0" w:space="0" w:color="auto"/>
        <w:left w:val="none" w:sz="0" w:space="0" w:color="auto"/>
        <w:bottom w:val="none" w:sz="0" w:space="0" w:color="auto"/>
        <w:right w:val="none" w:sz="0" w:space="0" w:color="auto"/>
      </w:divBdr>
    </w:div>
    <w:div w:id="16371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935C-328E-4382-AC40-4F8EBB10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2204</Words>
  <Characters>11907</Characters>
  <Application>Microsoft Office Word</Application>
  <DocSecurity>0</DocSecurity>
  <Lines>99</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Safra S/A</Company>
  <LinksUpToDate>false</LinksUpToDate>
  <CharactersWithSpaces>14083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Lefosse Advogados</cp:lastModifiedBy>
  <cp:revision>3</cp:revision>
  <cp:lastPrinted>2014-10-09T17:03:00Z</cp:lastPrinted>
  <dcterms:created xsi:type="dcterms:W3CDTF">2020-02-17T20:41:00Z</dcterms:created>
  <dcterms:modified xsi:type="dcterms:W3CDTF">2020-02-17T20:41:00Z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- 26643199v1 </vt:lpwstr>
  </property>
</Properties>
</file>