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565EAAE6"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r w:rsidR="00CE479E" w:rsidRPr="00A5732E">
        <w:rPr>
          <w:rFonts w:ascii="Verdana" w:hAnsi="Verdana" w:cs="Calibri Light"/>
          <w:b/>
          <w:sz w:val="20"/>
          <w:szCs w:val="20"/>
          <w:highlight w:val="yellow"/>
        </w:rPr>
        <w:t>[•]</w:t>
      </w:r>
      <w:r w:rsidR="00C01C3C" w:rsidRPr="00A5732E">
        <w:rPr>
          <w:rFonts w:ascii="Verdana" w:hAnsi="Verdana" w:cs="Calibri Light"/>
          <w:b/>
          <w:sz w:val="20"/>
          <w:szCs w:val="20"/>
        </w:rPr>
        <w:t xml:space="preserve"> </w:t>
      </w:r>
      <w:r w:rsidR="006A6776" w:rsidRPr="00A5732E">
        <w:rPr>
          <w:rFonts w:ascii="Verdana" w:hAnsi="Verdana" w:cs="Calibri Light"/>
          <w:b/>
          <w:sz w:val="20"/>
          <w:szCs w:val="20"/>
        </w:rPr>
        <w:t xml:space="preserve">DE </w:t>
      </w:r>
      <w:r w:rsidR="008E2884">
        <w:rPr>
          <w:rFonts w:ascii="Verdana" w:hAnsi="Verdana" w:cs="Calibri Light"/>
          <w:b/>
          <w:caps/>
          <w:sz w:val="20"/>
          <w:szCs w:val="20"/>
        </w:rPr>
        <w:t>outubro</w:t>
      </w:r>
      <w:r w:rsidR="008E2884" w:rsidRPr="00A5732E">
        <w:rPr>
          <w:rFonts w:ascii="Verdana" w:hAnsi="Verdana" w:cs="Calibri Light"/>
          <w:b/>
          <w:sz w:val="20"/>
          <w:szCs w:val="20"/>
        </w:rPr>
        <w:t xml:space="preserve"> </w:t>
      </w:r>
      <w:r w:rsidR="00A721DE" w:rsidRPr="00A5732E">
        <w:rPr>
          <w:rFonts w:ascii="Verdana" w:hAnsi="Verdana" w:cs="Calibri Light"/>
          <w:b/>
          <w:sz w:val="20"/>
          <w:szCs w:val="20"/>
        </w:rPr>
        <w:t>DE 2022.</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08CF28C1" w:rsidR="0082610A" w:rsidRPr="00A5732E"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1" w:name="_Hlk40090359"/>
      <w:r w:rsidR="00A721DE" w:rsidRPr="00A5732E">
        <w:rPr>
          <w:rFonts w:ascii="Verdana" w:hAnsi="Verdana" w:cs="Calibri Light"/>
          <w:snapToGrid w:val="0"/>
          <w:sz w:val="20"/>
          <w:szCs w:val="20"/>
        </w:rPr>
        <w:t xml:space="preserve">No dia </w:t>
      </w:r>
      <w:bookmarkEnd w:id="1"/>
      <w:r w:rsidR="00CE479E" w:rsidRPr="00A5732E">
        <w:rPr>
          <w:rFonts w:ascii="Verdana" w:hAnsi="Verdana" w:cs="Calibri Light"/>
          <w:snapToGrid w:val="0"/>
          <w:sz w:val="20"/>
          <w:szCs w:val="20"/>
          <w:highlight w:val="yellow"/>
        </w:rPr>
        <w:t>[•]</w:t>
      </w:r>
      <w:r w:rsidR="00846589" w:rsidRPr="00A5732E">
        <w:rPr>
          <w:rFonts w:ascii="Verdana" w:hAnsi="Verdana" w:cs="Calibri Light"/>
          <w:snapToGrid w:val="0"/>
          <w:sz w:val="20"/>
          <w:szCs w:val="20"/>
        </w:rPr>
        <w:t xml:space="preserve"> </w:t>
      </w:r>
      <w:r w:rsidRPr="00A5732E">
        <w:rPr>
          <w:rFonts w:ascii="Verdana" w:hAnsi="Verdana" w:cs="Calibri Light"/>
          <w:sz w:val="20"/>
          <w:szCs w:val="20"/>
        </w:rPr>
        <w:t xml:space="preserve">do mês de </w:t>
      </w:r>
      <w:r w:rsidR="008E2884">
        <w:rPr>
          <w:rFonts w:ascii="Verdana" w:hAnsi="Verdana" w:cs="Calibri Light"/>
          <w:sz w:val="20"/>
          <w:szCs w:val="20"/>
        </w:rPr>
        <w:t>outubro</w:t>
      </w:r>
      <w:r w:rsidR="008E2884" w:rsidRPr="00A5732E">
        <w:rPr>
          <w:rFonts w:ascii="Verdana" w:hAnsi="Verdana" w:cs="Calibri Light"/>
          <w:sz w:val="20"/>
          <w:szCs w:val="20"/>
        </w:rPr>
        <w:t xml:space="preserve"> </w:t>
      </w:r>
      <w:r w:rsidR="00A721DE" w:rsidRPr="00A5732E">
        <w:rPr>
          <w:rFonts w:ascii="Verdana" w:hAnsi="Verdana" w:cs="Calibri Light"/>
          <w:sz w:val="20"/>
          <w:szCs w:val="20"/>
        </w:rPr>
        <w:t>de 2022</w:t>
      </w:r>
      <w:r w:rsidRPr="00A5732E">
        <w:rPr>
          <w:rFonts w:ascii="Verdana" w:hAnsi="Verdana" w:cs="Calibri Light"/>
          <w:sz w:val="20"/>
          <w:szCs w:val="20"/>
        </w:rPr>
        <w:t xml:space="preserve">, às </w:t>
      </w:r>
      <w:r w:rsidR="00CE479E" w:rsidRPr="00A5732E">
        <w:rPr>
          <w:rFonts w:ascii="Verdana" w:hAnsi="Verdana" w:cs="Calibri Light"/>
          <w:snapToGrid w:val="0"/>
          <w:sz w:val="20"/>
          <w:szCs w:val="20"/>
          <w:highlight w:val="yellow"/>
        </w:rPr>
        <w:t>[•]</w:t>
      </w:r>
      <w:r w:rsidR="00CE479E" w:rsidRPr="00A5732E">
        <w:rPr>
          <w:rFonts w:ascii="Verdana" w:hAnsi="Verdana" w:cs="Calibri Light"/>
          <w:snapToGrid w:val="0"/>
          <w:sz w:val="20"/>
          <w:szCs w:val="20"/>
        </w:rPr>
        <w:t xml:space="preserve"> </w:t>
      </w:r>
      <w:r w:rsidRPr="00A5732E">
        <w:rPr>
          <w:rFonts w:ascii="Verdana" w:hAnsi="Verdana" w:cs="Calibri Light"/>
          <w:sz w:val="20"/>
          <w:szCs w:val="20"/>
        </w:rPr>
        <w:t xml:space="preserve">horas, </w:t>
      </w:r>
      <w:r w:rsidR="005C5B76" w:rsidRPr="00A5732E">
        <w:rPr>
          <w:rFonts w:ascii="Verdana" w:hAnsi="Verdana" w:cs="Calibri Light"/>
          <w:sz w:val="20"/>
          <w:szCs w:val="20"/>
        </w:rPr>
        <w:t>realizada de forma exclusivamente digital nos termos da Resolução CVM nº 81 (“</w:t>
      </w:r>
      <w:r w:rsidR="005C5B76" w:rsidRPr="00A5732E">
        <w:rPr>
          <w:rFonts w:ascii="Verdana" w:hAnsi="Verdana"/>
          <w:sz w:val="20"/>
          <w:szCs w:val="20"/>
          <w:u w:val="single"/>
        </w:rPr>
        <w:t>Res. CVM 81</w:t>
      </w:r>
      <w:r w:rsidR="005C5B76" w:rsidRPr="00A5732E">
        <w:rPr>
          <w:rFonts w:ascii="Verdana" w:hAnsi="Verdana" w:cs="Calibri Light"/>
          <w:sz w:val="20"/>
          <w:szCs w:val="20"/>
        </w:rPr>
        <w:t xml:space="preserve">”), de 29 de março de 2022, coordenada pela </w:t>
      </w:r>
      <w:r w:rsidR="00CE479E" w:rsidRPr="00A5732E">
        <w:rPr>
          <w:rFonts w:ascii="Verdana" w:hAnsi="Verdana" w:cs="Calibri Light"/>
          <w:sz w:val="20"/>
          <w:szCs w:val="20"/>
        </w:rPr>
        <w:t xml:space="preserve">Energética São Patrício </w:t>
      </w:r>
      <w:r w:rsidR="005C5B76" w:rsidRPr="00A5732E">
        <w:rPr>
          <w:rFonts w:ascii="Verdana" w:hAnsi="Verdana" w:cs="Calibri Light"/>
          <w:sz w:val="20"/>
          <w:szCs w:val="20"/>
        </w:rPr>
        <w:t>S.A.</w:t>
      </w:r>
      <w:r w:rsidR="00D74A1C" w:rsidRPr="00A5732E">
        <w:rPr>
          <w:rFonts w:ascii="Verdana" w:hAnsi="Verdana" w:cs="Calibri Light"/>
          <w:sz w:val="20"/>
          <w:szCs w:val="20"/>
        </w:rPr>
        <w:t xml:space="preserve"> (“</w:t>
      </w:r>
      <w:r w:rsidR="00D74A1C" w:rsidRPr="00A5732E">
        <w:rPr>
          <w:rFonts w:ascii="Verdana" w:hAnsi="Verdana" w:cs="Calibri Light"/>
          <w:sz w:val="20"/>
          <w:szCs w:val="20"/>
          <w:u w:val="single"/>
        </w:rPr>
        <w:t>Emissora</w:t>
      </w:r>
      <w:r w:rsidR="00D74A1C" w:rsidRPr="00A5732E">
        <w:rPr>
          <w:rFonts w:ascii="Verdana" w:hAnsi="Verdana" w:cs="Calibri Light"/>
          <w:sz w:val="20"/>
          <w:szCs w:val="20"/>
        </w:rPr>
        <w:t>”),</w:t>
      </w:r>
      <w:r w:rsidR="0027652B" w:rsidRPr="00A5732E">
        <w:rPr>
          <w:rFonts w:ascii="Verdana" w:hAnsi="Verdana" w:cs="Calibri Light"/>
          <w:sz w:val="20"/>
          <w:szCs w:val="20"/>
        </w:rPr>
        <w:t xml:space="preserve"> </w:t>
      </w:r>
      <w:r w:rsidR="00E019E0" w:rsidRPr="00A5732E">
        <w:rPr>
          <w:rFonts w:ascii="Verdana" w:hAnsi="Verdana" w:cs="Calibri Light"/>
          <w:sz w:val="20"/>
          <w:szCs w:val="20"/>
        </w:rPr>
        <w:t xml:space="preserve">com sede 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PargrafodaLista"/>
        <w:tabs>
          <w:tab w:val="left" w:pos="567"/>
        </w:tabs>
        <w:spacing w:after="0" w:line="320" w:lineRule="exact"/>
        <w:ind w:left="0"/>
        <w:rPr>
          <w:rFonts w:ascii="Verdana" w:hAnsi="Verdana" w:cs="Calibri Light"/>
          <w:sz w:val="20"/>
          <w:szCs w:val="20"/>
        </w:rPr>
      </w:pPr>
    </w:p>
    <w:p w14:paraId="7ABA2E39" w14:textId="573549E8" w:rsidR="004C52DE"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r w:rsidR="002F7C1B" w:rsidRPr="00A5732E">
        <w:rPr>
          <w:rFonts w:ascii="Verdana" w:hAnsi="Verdana" w:cs="Calibri Light"/>
          <w:sz w:val="20"/>
          <w:szCs w:val="20"/>
        </w:rPr>
        <w:t>[</w:t>
      </w:r>
      <w:r w:rsidR="003A5D83" w:rsidRPr="00A5732E">
        <w:rPr>
          <w:rFonts w:ascii="Verdana" w:hAnsi="Verdana" w:cs="Calibri Light"/>
          <w:sz w:val="20"/>
          <w:szCs w:val="20"/>
          <w:highlight w:val="yellow"/>
        </w:rPr>
        <w:t>100% (cem por cento)</w:t>
      </w:r>
      <w:r w:rsidR="002F7C1B" w:rsidRPr="00A5732E">
        <w:rPr>
          <w:rFonts w:ascii="Verdana" w:hAnsi="Verdana" w:cs="Calibri Light"/>
          <w:sz w:val="20"/>
          <w:szCs w:val="20"/>
        </w:rPr>
        <w:t>]</w:t>
      </w:r>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 xml:space="preserve">irculação,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e o Agente Fiduciário, com a interveniência de </w:t>
      </w:r>
      <w:proofErr w:type="spellStart"/>
      <w:r w:rsidR="002F7C1B" w:rsidRPr="00A5732E">
        <w:rPr>
          <w:rFonts w:ascii="Verdana" w:hAnsi="Verdana" w:cs="Calibri Light"/>
          <w:sz w:val="20"/>
          <w:szCs w:val="20"/>
        </w:rPr>
        <w:t>Hy</w:t>
      </w:r>
      <w:proofErr w:type="spellEnd"/>
      <w:r w:rsidR="002F7C1B" w:rsidRPr="00A5732E">
        <w:rPr>
          <w:rFonts w:ascii="Verdana" w:hAnsi="Verdana" w:cs="Calibri Light"/>
          <w:sz w:val="20"/>
          <w:szCs w:val="20"/>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PargrafodaLista"/>
        <w:tabs>
          <w:tab w:val="left" w:pos="567"/>
        </w:tabs>
        <w:spacing w:after="0" w:line="320" w:lineRule="exact"/>
        <w:ind w:left="0"/>
        <w:rPr>
          <w:rFonts w:ascii="Verdana" w:hAnsi="Verdana" w:cs="Calibri Light"/>
          <w:snapToGrid w:val="0"/>
          <w:sz w:val="20"/>
          <w:szCs w:val="20"/>
        </w:rPr>
      </w:pPr>
    </w:p>
    <w:p w14:paraId="0ABA8A12" w14:textId="0E5B1682" w:rsidR="0082610A" w:rsidRPr="00A5732E" w:rsidRDefault="0027652B"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highlight w:val="yellow"/>
        </w:rPr>
        <w:t>100% (cem por cento)</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xml:space="preserve">, todas custodiadas eletronicamente na B3 S.A. – Brasil Bolsa Balcão – </w:t>
      </w:r>
      <w:r w:rsidR="008E2884">
        <w:rPr>
          <w:rFonts w:ascii="Verdana" w:hAnsi="Verdana" w:cs="Calibri Light"/>
          <w:snapToGrid w:val="0"/>
          <w:sz w:val="20"/>
          <w:szCs w:val="20"/>
        </w:rPr>
        <w:t>Balcão B3</w:t>
      </w:r>
      <w:r w:rsidR="00B65E1E" w:rsidRPr="00A5732E">
        <w:rPr>
          <w:rFonts w:ascii="Verdana" w:hAnsi="Verdana" w:cs="Calibri Light"/>
          <w:snapToGrid w:val="0"/>
          <w:sz w:val="20"/>
          <w:szCs w:val="20"/>
        </w:rPr>
        <w:t xml:space="preserve">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a assinatura da Lista de Presença</w:t>
      </w:r>
      <w:r w:rsidR="00B65E1E" w:rsidRPr="00A5732E">
        <w:rPr>
          <w:rFonts w:ascii="Verdana" w:hAnsi="Verdana" w:cs="Calibri Light"/>
          <w:snapToGrid w:val="0"/>
          <w:sz w:val="20"/>
          <w:szCs w:val="20"/>
        </w:rPr>
        <w:t>; (</w:t>
      </w:r>
      <w:proofErr w:type="spellStart"/>
      <w:r w:rsidR="00B65E1E" w:rsidRPr="00A5732E">
        <w:rPr>
          <w:rFonts w:ascii="Verdana" w:hAnsi="Verdana" w:cs="Calibri Light"/>
          <w:snapToGrid w:val="0"/>
          <w:sz w:val="20"/>
          <w:szCs w:val="20"/>
        </w:rPr>
        <w:t>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o representante</w:t>
      </w:r>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r w:rsidR="00384421" w:rsidRPr="00A5732E">
        <w:rPr>
          <w:rFonts w:ascii="Verdana" w:hAnsi="Verdana" w:cs="Calibri Light"/>
          <w:sz w:val="20"/>
          <w:szCs w:val="20"/>
        </w:rPr>
        <w:t xml:space="preserve"> </w:t>
      </w:r>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w:t>
      </w:r>
      <w:proofErr w:type="spellStart"/>
      <w:r w:rsidR="00B65E1E" w:rsidRPr="00A5732E">
        <w:rPr>
          <w:rFonts w:ascii="Verdana" w:hAnsi="Verdana" w:cs="Calibri Light"/>
          <w:snapToGrid w:val="0"/>
          <w:sz w:val="20"/>
          <w:szCs w:val="20"/>
        </w:rPr>
        <w:t>iii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PargrafodaLista"/>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PargrafodaLista"/>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lastRenderedPageBreak/>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PargrafodaLista"/>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correção da numeração da Conta Reserva (conforme definido no Contrato de Cessão Fiduciária)</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Cláusula 1.1 do Contrato de Cessão Fiduciária (conforme definido na Escritura de Emissão); </w:t>
      </w:r>
    </w:p>
    <w:p w14:paraId="1ADC8090" w14:textId="77777777" w:rsidR="00554C8D" w:rsidRPr="00A5732E" w:rsidRDefault="00554C8D" w:rsidP="00A5732E">
      <w:pPr>
        <w:pStyle w:val="PargrafodaLista"/>
        <w:keepNext/>
        <w:tabs>
          <w:tab w:val="left" w:pos="567"/>
        </w:tabs>
        <w:spacing w:after="0" w:line="320" w:lineRule="exact"/>
        <w:ind w:left="0"/>
        <w:rPr>
          <w:rFonts w:ascii="Verdana" w:hAnsi="Verdana" w:cs="Calibri Light"/>
          <w:snapToGrid w:val="0"/>
          <w:sz w:val="20"/>
          <w:szCs w:val="20"/>
        </w:rPr>
      </w:pPr>
    </w:p>
    <w:p w14:paraId="5EA26262" w14:textId="577B3B03" w:rsidR="00554C8D" w:rsidRPr="00A5732E" w:rsidRDefault="00554C8D"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aprovação para alteração na regra de movimentação de recursos existentes na Conta Centralizadora, de modo que o item (v) da Cláusula 4.2. do Contrato de Cessão Fiduciária (conforme definido na Escritura de Emissão) será alterado para prever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(conforme definido na Escritura de Emissão) </w:t>
      </w:r>
      <w:r w:rsidR="00A5732E" w:rsidRPr="00A5732E">
        <w:rPr>
          <w:rFonts w:ascii="Verdana" w:hAnsi="Verdana" w:cs="Calibri Light"/>
          <w:snapToGrid w:val="0"/>
          <w:sz w:val="20"/>
          <w:szCs w:val="20"/>
        </w:rPr>
        <w:t xml:space="preserve">para que o </w:t>
      </w:r>
      <w:r w:rsidR="008E2884">
        <w:rPr>
          <w:rFonts w:ascii="Verdana" w:hAnsi="Verdana" w:cs="Calibri Light"/>
          <w:snapToGrid w:val="0"/>
          <w:sz w:val="20"/>
          <w:szCs w:val="20"/>
        </w:rPr>
        <w:t>Banco Depositário</w:t>
      </w:r>
      <w:r w:rsidR="00A5732E" w:rsidRPr="00A5732E">
        <w:rPr>
          <w:rFonts w:ascii="Verdana" w:hAnsi="Verdana" w:cs="Calibri Light"/>
          <w:snapToGrid w:val="0"/>
          <w:sz w:val="20"/>
          <w:szCs w:val="20"/>
        </w:rPr>
        <w:t xml:space="preserve"> transfira os recursos existentes na Conta Centralizadora para a Conta Movimento</w:t>
      </w:r>
      <w:r w:rsidR="009851FE">
        <w:rPr>
          <w:rFonts w:ascii="Verdana" w:hAnsi="Verdana" w:cs="Calibri Light"/>
          <w:snapToGrid w:val="0"/>
          <w:sz w:val="20"/>
          <w:szCs w:val="20"/>
        </w:rPr>
        <w:t xml:space="preserve"> após o atendimento do Saldo Mínimo da Conta Reserva</w:t>
      </w:r>
      <w:r w:rsidRPr="00A5732E">
        <w:rPr>
          <w:rFonts w:ascii="Verdana" w:hAnsi="Verdana" w:cs="Calibri Light"/>
          <w:snapToGrid w:val="0"/>
          <w:sz w:val="20"/>
          <w:szCs w:val="20"/>
        </w:rPr>
        <w:t xml:space="preserve">; </w:t>
      </w:r>
    </w:p>
    <w:p w14:paraId="6D108B32" w14:textId="77777777" w:rsidR="00E22CE6" w:rsidRPr="00A5732E" w:rsidRDefault="00E22CE6" w:rsidP="00A5732E">
      <w:pPr>
        <w:pStyle w:val="PargrafodaLista"/>
        <w:spacing w:after="0" w:line="320" w:lineRule="exact"/>
        <w:rPr>
          <w:rFonts w:ascii="Verdana" w:hAnsi="Verdana" w:cs="Calibri Light"/>
          <w:snapToGrid w:val="0"/>
          <w:sz w:val="20"/>
          <w:szCs w:val="20"/>
        </w:rPr>
      </w:pPr>
    </w:p>
    <w:p w14:paraId="56405FF5" w14:textId="08C8FA04" w:rsidR="001476E2" w:rsidRPr="00A5732E" w:rsidRDefault="00976538" w:rsidP="00A5732E">
      <w:pPr>
        <w:pStyle w:val="PargrafodaLista"/>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Em decorrência da </w:t>
      </w:r>
      <w:r w:rsidR="00E22CE6" w:rsidRPr="00A5732E">
        <w:rPr>
          <w:rFonts w:ascii="Verdana" w:hAnsi="Verdana" w:cs="Calibri Light"/>
          <w:snapToGrid w:val="0"/>
          <w:sz w:val="20"/>
          <w:szCs w:val="20"/>
        </w:rPr>
        <w:t xml:space="preserve">aprovação </w:t>
      </w:r>
      <w:r w:rsidR="00A5732E" w:rsidRPr="00A5732E">
        <w:rPr>
          <w:rFonts w:ascii="Verdana" w:hAnsi="Verdana" w:cs="Calibri Light"/>
          <w:snapToGrid w:val="0"/>
          <w:sz w:val="20"/>
          <w:szCs w:val="20"/>
        </w:rPr>
        <w:t>dos itens (i) e (</w:t>
      </w:r>
      <w:proofErr w:type="spellStart"/>
      <w:r w:rsidR="00A5732E" w:rsidRPr="00A5732E">
        <w:rPr>
          <w:rFonts w:ascii="Verdana" w:hAnsi="Verdana" w:cs="Calibri Light"/>
          <w:snapToGrid w:val="0"/>
          <w:sz w:val="20"/>
          <w:szCs w:val="20"/>
        </w:rPr>
        <w:t>ii</w:t>
      </w:r>
      <w:proofErr w:type="spellEnd"/>
      <w:r w:rsidR="00A5732E" w:rsidRPr="00A5732E">
        <w:rPr>
          <w:rFonts w:ascii="Verdana" w:hAnsi="Verdana" w:cs="Calibri Light"/>
          <w:snapToGrid w:val="0"/>
          <w:sz w:val="20"/>
          <w:szCs w:val="20"/>
        </w:rPr>
        <w:t xml:space="preserve">) acima, a </w:t>
      </w:r>
      <w:r w:rsidRPr="00A5732E">
        <w:rPr>
          <w:rFonts w:ascii="Verdana" w:hAnsi="Verdana" w:cs="Calibri Light"/>
          <w:snapToGrid w:val="0"/>
          <w:sz w:val="20"/>
          <w:szCs w:val="20"/>
        </w:rPr>
        <w:t xml:space="preserve">aprovação para a Emissora celebrar o </w:t>
      </w:r>
      <w:r w:rsidR="00E22CE6" w:rsidRPr="00A5732E">
        <w:rPr>
          <w:rFonts w:ascii="Verdana" w:hAnsi="Verdana" w:cs="Calibri Light"/>
          <w:snapToGrid w:val="0"/>
          <w:sz w:val="20"/>
          <w:szCs w:val="20"/>
        </w:rPr>
        <w:t xml:space="preserve">aditamento ao Contrato de Cessão Fiduciária (conforme definido na Escritura de Emissão) </w:t>
      </w:r>
      <w:r w:rsidR="0004466E" w:rsidRPr="00A5732E">
        <w:rPr>
          <w:rFonts w:ascii="Verdana" w:hAnsi="Verdana" w:cs="Calibri Light"/>
          <w:snapToGrid w:val="0"/>
          <w:sz w:val="20"/>
          <w:szCs w:val="20"/>
        </w:rPr>
        <w:t>para a formalização da</w:t>
      </w:r>
      <w:r w:rsidR="00E22CE6" w:rsidRPr="00A5732E">
        <w:rPr>
          <w:rFonts w:ascii="Verdana" w:hAnsi="Verdana" w:cs="Calibri Light"/>
          <w:snapToGrid w:val="0"/>
          <w:sz w:val="20"/>
          <w:szCs w:val="20"/>
        </w:rPr>
        <w:t xml:space="preserve">s </w:t>
      </w:r>
      <w:r w:rsidR="00554C8D" w:rsidRPr="00A5732E">
        <w:rPr>
          <w:rFonts w:ascii="Verdana" w:hAnsi="Verdana" w:cs="Calibri Light"/>
          <w:snapToGrid w:val="0"/>
          <w:sz w:val="20"/>
          <w:szCs w:val="20"/>
        </w:rPr>
        <w:t>matérias constantes da Ordem do Dia</w:t>
      </w:r>
      <w:r w:rsidR="00C3625C" w:rsidRPr="00A5732E">
        <w:rPr>
          <w:rFonts w:ascii="Verdana" w:hAnsi="Verdana" w:cs="Calibri Light"/>
          <w:snapToGrid w:val="0"/>
          <w:sz w:val="20"/>
          <w:szCs w:val="20"/>
        </w:rPr>
        <w:t>;</w:t>
      </w:r>
      <w:r w:rsidR="00355546" w:rsidRPr="00A5732E">
        <w:rPr>
          <w:rFonts w:ascii="Verdana" w:hAnsi="Verdana" w:cs="Calibri Light"/>
          <w:snapToGrid w:val="0"/>
          <w:sz w:val="20"/>
          <w:szCs w:val="20"/>
        </w:rPr>
        <w:t> </w:t>
      </w:r>
      <w:r w:rsidR="0031643B" w:rsidRPr="00A5732E">
        <w:rPr>
          <w:rFonts w:ascii="Verdana" w:hAnsi="Verdana" w:cs="Calibri Light"/>
          <w:snapToGrid w:val="0"/>
          <w:sz w:val="20"/>
          <w:szCs w:val="20"/>
        </w:rPr>
        <w:t>e</w:t>
      </w:r>
    </w:p>
    <w:p w14:paraId="4A9D016A" w14:textId="0872249C" w:rsidR="001476E2" w:rsidRPr="00A5732E" w:rsidRDefault="001476E2" w:rsidP="00A5732E">
      <w:pPr>
        <w:pStyle w:val="PargrafodaLista"/>
        <w:tabs>
          <w:tab w:val="left" w:pos="567"/>
        </w:tabs>
        <w:spacing w:after="0" w:line="320" w:lineRule="exact"/>
        <w:ind w:left="0"/>
        <w:rPr>
          <w:rFonts w:ascii="Verdana" w:hAnsi="Verdana" w:cs="Calibri Light"/>
          <w:snapToGrid w:val="0"/>
          <w:sz w:val="20"/>
          <w:szCs w:val="20"/>
        </w:rPr>
      </w:pPr>
    </w:p>
    <w:p w14:paraId="63452AC7" w14:textId="1A608B52" w:rsidR="002E1073" w:rsidRPr="00A5732E" w:rsidRDefault="00C3625C"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w:t>
      </w:r>
      <w:proofErr w:type="spellStart"/>
      <w:r w:rsidRPr="00A5732E">
        <w:rPr>
          <w:rFonts w:ascii="Verdana" w:hAnsi="Verdana" w:cs="Calibri Light"/>
          <w:snapToGrid w:val="0"/>
          <w:sz w:val="20"/>
          <w:szCs w:val="20"/>
        </w:rPr>
        <w:t>i</w:t>
      </w:r>
      <w:r w:rsidR="001619BF">
        <w:rPr>
          <w:rFonts w:ascii="Verdana" w:hAnsi="Verdana" w:cs="Calibri Light"/>
          <w:snapToGrid w:val="0"/>
          <w:sz w:val="20"/>
          <w:szCs w:val="20"/>
        </w:rPr>
        <w:t>v</w:t>
      </w:r>
      <w:proofErr w:type="spellEnd"/>
      <w:r w:rsidRPr="00A5732E">
        <w:rPr>
          <w:rFonts w:ascii="Verdana" w:hAnsi="Verdana" w:cs="Calibri Light"/>
          <w:snapToGrid w:val="0"/>
          <w:sz w:val="20"/>
          <w:szCs w:val="20"/>
        </w:rPr>
        <w:t>)</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a Emissora e o Agente Fiduciário </w:t>
      </w:r>
      <w:r w:rsidR="00642E63" w:rsidRPr="00A5732E">
        <w:rPr>
          <w:rFonts w:ascii="Verdana" w:hAnsi="Verdana" w:cs="Calibri Light"/>
          <w:snapToGrid w:val="0"/>
          <w:sz w:val="20"/>
          <w:szCs w:val="20"/>
        </w:rPr>
        <w:t>pratique quaisquer atos e assinem os documentos necessários para fins de formalização das matérias constantes da Ordem do Dia</w:t>
      </w:r>
      <w:r w:rsidR="002E1073" w:rsidRPr="00A5732E">
        <w:rPr>
          <w:rFonts w:ascii="Verdana" w:hAnsi="Verdana" w:cs="Calibri Light"/>
          <w:snapToGrid w:val="0"/>
          <w:sz w:val="20"/>
          <w:szCs w:val="20"/>
        </w:rPr>
        <w:t>.</w:t>
      </w:r>
    </w:p>
    <w:p w14:paraId="236E60E4" w14:textId="110E0E3E" w:rsidR="000B3F16" w:rsidRPr="00A5732E" w:rsidRDefault="000B3F16" w:rsidP="00A5732E">
      <w:pPr>
        <w:pStyle w:val="PargrafodaLista"/>
        <w:tabs>
          <w:tab w:val="left" w:pos="567"/>
        </w:tabs>
        <w:spacing w:after="0" w:line="320" w:lineRule="exact"/>
        <w:ind w:left="0"/>
        <w:rPr>
          <w:rFonts w:ascii="Verdana" w:hAnsi="Verdana" w:cs="Calibri Light"/>
          <w:snapToGrid w:val="0"/>
          <w:sz w:val="20"/>
          <w:szCs w:val="20"/>
        </w:rPr>
      </w:pPr>
    </w:p>
    <w:p w14:paraId="4E0FD721" w14:textId="69DC72C6" w:rsidR="000A0C9D"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r w:rsidR="00FA24D4" w:rsidRPr="00A5732E">
        <w:rPr>
          <w:rFonts w:ascii="Verdana" w:hAnsi="Verdana" w:cs="Calibri Light"/>
          <w:snapToGrid w:val="0"/>
          <w:sz w:val="20"/>
          <w:szCs w:val="20"/>
        </w:rPr>
        <w:t xml:space="preserve">Abertos os trabalhos, </w:t>
      </w:r>
      <w:r w:rsidR="001C12AF" w:rsidRPr="00A5732E">
        <w:rPr>
          <w:rFonts w:ascii="Verdana" w:hAnsi="Verdana" w:cs="Calibri Light"/>
          <w:snapToGrid w:val="0"/>
          <w:sz w:val="20"/>
          <w:szCs w:val="20"/>
        </w:rPr>
        <w:t xml:space="preserve">examinada e debatida as matérias constantes da Ordem do Dia, os Debenturistas titulares de </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highlight w:val="yellow"/>
        </w:rPr>
        <w:t>100% das Debêntures em Circulação</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rPr>
        <w:t>, aprovam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8E2884">
        <w:rPr>
          <w:rFonts w:ascii="Verdana" w:hAnsi="Verdana" w:cs="Calibri Light"/>
          <w:snapToGrid w:val="0"/>
          <w:sz w:val="20"/>
          <w:szCs w:val="20"/>
        </w:rPr>
        <w:t>:</w:t>
      </w:r>
    </w:p>
    <w:p w14:paraId="241AB59C" w14:textId="3EDA3D9A" w:rsidR="008E2884" w:rsidRDefault="008E2884" w:rsidP="00A5732E">
      <w:pPr>
        <w:pStyle w:val="PargrafodaLista"/>
        <w:tabs>
          <w:tab w:val="left" w:pos="567"/>
        </w:tabs>
        <w:spacing w:after="0" w:line="320" w:lineRule="exact"/>
        <w:ind w:left="0"/>
        <w:rPr>
          <w:rFonts w:ascii="Verdana" w:hAnsi="Verdana" w:cs="Calibri Light"/>
          <w:snapToGrid w:val="0"/>
          <w:sz w:val="20"/>
          <w:szCs w:val="20"/>
        </w:rPr>
      </w:pPr>
    </w:p>
    <w:p w14:paraId="557A1F66" w14:textId="4374FF53" w:rsidR="008E2884" w:rsidRPr="008427F0" w:rsidRDefault="008E2884" w:rsidP="008E2884">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A </w:t>
      </w:r>
      <w:r w:rsidRPr="00A5732E">
        <w:rPr>
          <w:rFonts w:ascii="Verdana" w:hAnsi="Verdana" w:cs="Calibri Light"/>
          <w:snapToGrid w:val="0"/>
          <w:sz w:val="20"/>
          <w:szCs w:val="20"/>
        </w:rPr>
        <w:t xml:space="preserve">correção da numeração da Conta Reserva (conforme definido no Contrato de Cessão Fiduciária) e consequentemente </w:t>
      </w:r>
      <w:r>
        <w:rPr>
          <w:rFonts w:ascii="Verdana" w:hAnsi="Verdana" w:cs="Calibri Light"/>
          <w:snapToGrid w:val="0"/>
          <w:sz w:val="20"/>
          <w:szCs w:val="20"/>
        </w:rPr>
        <w:t>alteração d</w:t>
      </w:r>
      <w:r w:rsidRPr="00A5732E">
        <w:rPr>
          <w:rFonts w:ascii="Verdana" w:hAnsi="Verdana" w:cs="Calibri Light"/>
          <w:snapToGrid w:val="0"/>
          <w:sz w:val="20"/>
          <w:szCs w:val="20"/>
        </w:rPr>
        <w:t>a definição de “Conta Reserva” constante da Cláusula 1.1 do Contrato de Cessão Fiduciária</w:t>
      </w:r>
      <w:r>
        <w:rPr>
          <w:rFonts w:ascii="Verdana" w:hAnsi="Verdana" w:cs="Calibri Light"/>
          <w:snapToGrid w:val="0"/>
          <w:sz w:val="20"/>
          <w:szCs w:val="20"/>
        </w:rPr>
        <w:t xml:space="preserve"> que passará a vigorar com a seguinte redação:</w:t>
      </w:r>
    </w:p>
    <w:p w14:paraId="7A73F9E0" w14:textId="304845A7" w:rsidR="008E2884" w:rsidRDefault="008E2884" w:rsidP="008E2884">
      <w:pPr>
        <w:tabs>
          <w:tab w:val="left" w:pos="567"/>
        </w:tabs>
        <w:spacing w:after="0" w:line="320" w:lineRule="exact"/>
        <w:rPr>
          <w:rFonts w:ascii="Verdana" w:hAnsi="Verdana" w:cs="Calibri Light"/>
          <w:sz w:val="20"/>
          <w:szCs w:val="20"/>
        </w:rPr>
      </w:pPr>
    </w:p>
    <w:tbl>
      <w:tblPr>
        <w:tblW w:w="4415" w:type="pct"/>
        <w:tblInd w:w="851" w:type="dxa"/>
        <w:tblLook w:val="01E0" w:firstRow="1" w:lastRow="1" w:firstColumn="1" w:lastColumn="1" w:noHBand="0" w:noVBand="0"/>
      </w:tblPr>
      <w:tblGrid>
        <w:gridCol w:w="1843"/>
        <w:gridCol w:w="5666"/>
      </w:tblGrid>
      <w:tr w:rsidR="008E2884" w:rsidRPr="008427F0" w14:paraId="0E75170F" w14:textId="77777777" w:rsidTr="008427F0">
        <w:tc>
          <w:tcPr>
            <w:tcW w:w="1227" w:type="pct"/>
            <w:tcMar>
              <w:top w:w="28" w:type="dxa"/>
              <w:left w:w="57" w:type="dxa"/>
              <w:bottom w:w="28" w:type="dxa"/>
              <w:right w:w="57" w:type="dxa"/>
            </w:tcMar>
          </w:tcPr>
          <w:p w14:paraId="50B2E635" w14:textId="77777777" w:rsidR="008E2884" w:rsidRPr="008427F0" w:rsidRDefault="008E2884" w:rsidP="00DF299C">
            <w:pPr>
              <w:spacing w:line="280" w:lineRule="exact"/>
              <w:jc w:val="left"/>
              <w:rPr>
                <w:rFonts w:ascii="Verdana" w:hAnsi="Verdana"/>
                <w:i/>
                <w:iCs/>
                <w:sz w:val="20"/>
                <w:szCs w:val="20"/>
              </w:rPr>
            </w:pPr>
            <w:r w:rsidRPr="008427F0">
              <w:rPr>
                <w:rFonts w:ascii="Verdana" w:hAnsi="Verdana"/>
                <w:i/>
                <w:iCs/>
                <w:sz w:val="20"/>
                <w:szCs w:val="20"/>
                <w:u w:val="single"/>
              </w:rPr>
              <w:t>“Conta Reserva</w:t>
            </w:r>
            <w:r w:rsidRPr="008427F0">
              <w:rPr>
                <w:rFonts w:ascii="Verdana" w:hAnsi="Verdana"/>
                <w:i/>
                <w:iCs/>
                <w:sz w:val="20"/>
                <w:szCs w:val="20"/>
              </w:rPr>
              <w:t>:</w:t>
            </w:r>
          </w:p>
          <w:p w14:paraId="7A36562B" w14:textId="77777777" w:rsidR="008E2884" w:rsidRPr="008427F0" w:rsidRDefault="008E2884" w:rsidP="00DF299C">
            <w:pPr>
              <w:spacing w:line="280" w:lineRule="exact"/>
              <w:jc w:val="left"/>
              <w:rPr>
                <w:rFonts w:ascii="Verdana" w:hAnsi="Verdana"/>
                <w:i/>
                <w:iCs/>
                <w:sz w:val="20"/>
                <w:szCs w:val="20"/>
                <w:u w:val="single"/>
              </w:rPr>
            </w:pPr>
          </w:p>
        </w:tc>
        <w:tc>
          <w:tcPr>
            <w:tcW w:w="3773" w:type="pct"/>
            <w:tcMar>
              <w:top w:w="28" w:type="dxa"/>
              <w:left w:w="57" w:type="dxa"/>
              <w:bottom w:w="28" w:type="dxa"/>
              <w:right w:w="57" w:type="dxa"/>
            </w:tcMar>
          </w:tcPr>
          <w:p w14:paraId="1194A470" w14:textId="77777777" w:rsidR="008E2884" w:rsidRPr="008427F0" w:rsidRDefault="008E2884" w:rsidP="00DF299C">
            <w:pPr>
              <w:spacing w:line="280" w:lineRule="exact"/>
              <w:rPr>
                <w:rFonts w:ascii="Verdana" w:hAnsi="Verdana"/>
                <w:i/>
                <w:iCs/>
                <w:sz w:val="20"/>
                <w:szCs w:val="20"/>
              </w:rPr>
            </w:pPr>
            <w:r w:rsidRPr="008427F0">
              <w:rPr>
                <w:rFonts w:ascii="Verdana" w:hAnsi="Verdana"/>
                <w:i/>
                <w:iCs/>
                <w:sz w:val="20"/>
                <w:szCs w:val="20"/>
              </w:rPr>
              <w:t>é a conta corrente de titularidade da Cedente nº 130107598, não movimentável pela Cedente, mantida na agência nº 2271 do Banco Depositário;”</w:t>
            </w:r>
          </w:p>
        </w:tc>
      </w:tr>
    </w:tbl>
    <w:p w14:paraId="5FA4DABA" w14:textId="075D075A" w:rsidR="008E2884" w:rsidRDefault="008E2884" w:rsidP="008E2884">
      <w:pPr>
        <w:tabs>
          <w:tab w:val="left" w:pos="567"/>
        </w:tabs>
        <w:spacing w:after="0" w:line="320" w:lineRule="exact"/>
        <w:rPr>
          <w:rFonts w:ascii="Verdana" w:hAnsi="Verdana" w:cs="Calibri Light"/>
          <w:sz w:val="20"/>
          <w:szCs w:val="20"/>
        </w:rPr>
      </w:pPr>
    </w:p>
    <w:p w14:paraId="16EFAC0A" w14:textId="50A7D879" w:rsidR="008E2884" w:rsidRPr="008427F0" w:rsidRDefault="008E2884" w:rsidP="008E2884">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sidR="001619BF">
        <w:rPr>
          <w:rFonts w:ascii="Verdana" w:hAnsi="Verdana" w:cs="Calibri Light"/>
          <w:sz w:val="20"/>
          <w:szCs w:val="20"/>
        </w:rPr>
        <w:t xml:space="preserve"> </w:t>
      </w:r>
      <w:r w:rsidR="001619BF" w:rsidRPr="00A5732E">
        <w:rPr>
          <w:rFonts w:ascii="Verdana" w:hAnsi="Verdana" w:cs="Calibri Light"/>
          <w:snapToGrid w:val="0"/>
          <w:sz w:val="20"/>
          <w:szCs w:val="20"/>
        </w:rPr>
        <w:t>alteração na regra de movimentação de recursos existentes na Conta Centralizadora, de modo que o item (v) da Cláusula 4.2. do Contrato de Cessão Fiduciária (conforme definido na Escritura de Emissão)</w:t>
      </w:r>
      <w:r w:rsidR="001619BF">
        <w:rPr>
          <w:rFonts w:ascii="Verdana" w:hAnsi="Verdana" w:cs="Calibri Light"/>
          <w:snapToGrid w:val="0"/>
          <w:sz w:val="20"/>
          <w:szCs w:val="20"/>
        </w:rPr>
        <w:t xml:space="preserve"> </w:t>
      </w:r>
      <w:r w:rsidR="001619BF">
        <w:rPr>
          <w:rFonts w:ascii="Verdana" w:hAnsi="Verdana" w:cs="Calibri Light"/>
          <w:snapToGrid w:val="0"/>
          <w:sz w:val="20"/>
          <w:szCs w:val="20"/>
        </w:rPr>
        <w:t>que passará a vigorar com a seguinte redação</w:t>
      </w:r>
      <w:r w:rsidR="001619BF">
        <w:rPr>
          <w:rFonts w:ascii="Verdana" w:hAnsi="Verdana" w:cs="Calibri Light"/>
          <w:snapToGrid w:val="0"/>
          <w:sz w:val="20"/>
          <w:szCs w:val="20"/>
        </w:rPr>
        <w:t xml:space="preserve">: </w:t>
      </w:r>
    </w:p>
    <w:p w14:paraId="227B3827" w14:textId="77777777" w:rsidR="001619BF" w:rsidRDefault="001619BF" w:rsidP="001619BF">
      <w:pPr>
        <w:tabs>
          <w:tab w:val="left" w:pos="567"/>
        </w:tabs>
        <w:spacing w:after="0" w:line="320" w:lineRule="exact"/>
        <w:rPr>
          <w:rFonts w:ascii="Verdana" w:hAnsi="Verdana" w:cs="Calibri Light"/>
          <w:sz w:val="20"/>
          <w:szCs w:val="20"/>
        </w:rPr>
      </w:pPr>
    </w:p>
    <w:p w14:paraId="7D651B92" w14:textId="5C0CE1B2"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lastRenderedPageBreak/>
        <w:t>“</w:t>
      </w:r>
      <w:r w:rsidRPr="008427F0">
        <w:rPr>
          <w:rFonts w:ascii="Verdana" w:hAnsi="Verdana" w:cs="Calibri Light"/>
          <w:i/>
          <w:iCs/>
          <w:sz w:val="20"/>
          <w:szCs w:val="20"/>
        </w:rPr>
        <w:t xml:space="preserve">(v) </w:t>
      </w:r>
      <w:r w:rsidRPr="008427F0">
        <w:rPr>
          <w:rFonts w:ascii="Verdana" w:hAnsi="Verdana" w:cs="Calibri Light"/>
          <w:i/>
          <w:iCs/>
          <w:sz w:val="20"/>
          <w:szCs w:val="20"/>
        </w:rPr>
        <w:tab/>
        <w:t xml:space="preserve">trimestralmente, em cada data de amortização e/ou Data de Pagamento da Remuneração, o Agente Fiduciário deverá verificar o saldo existente na Conta Centralizadora, observado que: </w:t>
      </w:r>
    </w:p>
    <w:p w14:paraId="2ADFA64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60FABD8B"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(a) caso verifique que o Saldo Mínimo da Conta Reserva, não esteja atendido, o Agente Fiduciário deverá notificar o Banco Depositário para que o mesmo transfira da Conta Centralizadora para a Conta Reserva, observado o disposto no item (</w:t>
      </w:r>
      <w:proofErr w:type="spellStart"/>
      <w:r w:rsidRPr="008427F0">
        <w:rPr>
          <w:rFonts w:ascii="Verdana" w:hAnsi="Verdana" w:cs="Calibri Light"/>
          <w:i/>
          <w:iCs/>
          <w:sz w:val="20"/>
          <w:szCs w:val="20"/>
        </w:rPr>
        <w:t>iii</w:t>
      </w:r>
      <w:proofErr w:type="spellEnd"/>
      <w:r w:rsidRPr="008427F0">
        <w:rPr>
          <w:rFonts w:ascii="Verdana" w:hAnsi="Verdana" w:cs="Calibri Light"/>
          <w:i/>
          <w:iCs/>
          <w:sz w:val="20"/>
          <w:szCs w:val="20"/>
        </w:rPr>
        <w:t xml:space="preserve">) acima, recursos suficientes para a recomposição do Saldo Mínimo da Conta Reserva, em até 1 (um) Dia Útil contado de tal verificação, sendo certo que após a referida recomposição os recursos eventualmente existentes na Conta Centralizadora deverão ser destinados na forma prevista na alínea (b) a seguir; </w:t>
      </w:r>
    </w:p>
    <w:p w14:paraId="0E466FD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52288088" w14:textId="7039C553"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 xml:space="preserve">(b) caso verifique que o Saldo Mínimo da Conta Reserva, esteja atendido, o Agente Fiduciário deverá notificar o Banco Depositário para que </w:t>
      </w:r>
      <w:proofErr w:type="gramStart"/>
      <w:r w:rsidRPr="008427F0">
        <w:rPr>
          <w:rFonts w:ascii="Verdana" w:hAnsi="Verdana" w:cs="Calibri Light"/>
          <w:i/>
          <w:iCs/>
          <w:sz w:val="20"/>
          <w:szCs w:val="20"/>
        </w:rPr>
        <w:t>o mesmo</w:t>
      </w:r>
      <w:proofErr w:type="gramEnd"/>
      <w:r w:rsidRPr="008427F0">
        <w:rPr>
          <w:rFonts w:ascii="Verdana" w:hAnsi="Verdana" w:cs="Calibri Light"/>
          <w:i/>
          <w:iCs/>
          <w:sz w:val="20"/>
          <w:szCs w:val="20"/>
        </w:rPr>
        <w:t xml:space="preserve"> transfira os recursos existentes na Conta Centralizadora para a Conta Movimento.</w:t>
      </w:r>
      <w:r w:rsidRPr="008427F0">
        <w:rPr>
          <w:rFonts w:ascii="Verdana" w:hAnsi="Verdana" w:cs="Calibri Light"/>
          <w:i/>
          <w:iCs/>
          <w:sz w:val="20"/>
          <w:szCs w:val="20"/>
        </w:rPr>
        <w:t>”</w:t>
      </w:r>
    </w:p>
    <w:p w14:paraId="27A703CC" w14:textId="2877352A" w:rsidR="00305425" w:rsidRDefault="00305425" w:rsidP="00A5732E">
      <w:pPr>
        <w:pStyle w:val="PargrafodaLista"/>
        <w:tabs>
          <w:tab w:val="left" w:pos="567"/>
        </w:tabs>
        <w:spacing w:after="0" w:line="320" w:lineRule="exact"/>
        <w:ind w:left="0"/>
        <w:rPr>
          <w:rFonts w:ascii="Verdana" w:hAnsi="Verdana" w:cs="Calibri Light"/>
          <w:sz w:val="20"/>
          <w:szCs w:val="20"/>
        </w:rPr>
      </w:pPr>
    </w:p>
    <w:p w14:paraId="003F64AD" w14:textId="41851665" w:rsidR="001619BF" w:rsidRPr="008427F0" w:rsidRDefault="001619BF" w:rsidP="001619BF">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Pr>
          <w:rFonts w:ascii="Verdana" w:hAnsi="Verdana" w:cs="Calibri Light"/>
          <w:snapToGrid w:val="0"/>
          <w:sz w:val="20"/>
          <w:szCs w:val="20"/>
        </w:rPr>
        <w:t xml:space="preserve"> </w:t>
      </w:r>
      <w:r w:rsidRPr="00A5732E">
        <w:rPr>
          <w:rFonts w:ascii="Verdana" w:hAnsi="Verdana" w:cs="Calibri Light"/>
          <w:snapToGrid w:val="0"/>
          <w:sz w:val="20"/>
          <w:szCs w:val="20"/>
        </w:rPr>
        <w:t>celebra</w:t>
      </w:r>
      <w:r>
        <w:rPr>
          <w:rFonts w:ascii="Verdana" w:hAnsi="Verdana" w:cs="Calibri Light"/>
          <w:snapToGrid w:val="0"/>
          <w:sz w:val="20"/>
          <w:szCs w:val="20"/>
        </w:rPr>
        <w:t>ção, pela Emissora e pelo Agente Fiduciário, d</w:t>
      </w:r>
      <w:r w:rsidRPr="00A5732E">
        <w:rPr>
          <w:rFonts w:ascii="Verdana" w:hAnsi="Verdana" w:cs="Calibri Light"/>
          <w:snapToGrid w:val="0"/>
          <w:sz w:val="20"/>
          <w:szCs w:val="20"/>
        </w:rPr>
        <w:t>o aditamento ao Contrato de Cessão Fiduciária (conforme definido na Escritura de Emissão)</w:t>
      </w:r>
      <w:r>
        <w:rPr>
          <w:rFonts w:ascii="Verdana" w:hAnsi="Verdana" w:cs="Calibri Light"/>
          <w:snapToGrid w:val="0"/>
          <w:sz w:val="20"/>
          <w:szCs w:val="20"/>
        </w:rPr>
        <w:t xml:space="preserve"> em decorrência dos itens (i) e (</w:t>
      </w:r>
      <w:proofErr w:type="spellStart"/>
      <w:r>
        <w:rPr>
          <w:rFonts w:ascii="Verdana" w:hAnsi="Verdana" w:cs="Calibri Light"/>
          <w:snapToGrid w:val="0"/>
          <w:sz w:val="20"/>
          <w:szCs w:val="20"/>
        </w:rPr>
        <w:t>ii</w:t>
      </w:r>
      <w:proofErr w:type="spellEnd"/>
      <w:r>
        <w:rPr>
          <w:rFonts w:ascii="Verdana" w:hAnsi="Verdana" w:cs="Calibri Light"/>
          <w:snapToGrid w:val="0"/>
          <w:sz w:val="20"/>
          <w:szCs w:val="20"/>
        </w:rPr>
        <w:t xml:space="preserve">) acima. </w:t>
      </w:r>
    </w:p>
    <w:p w14:paraId="1A3E0A1B" w14:textId="77777777" w:rsidR="001619BF" w:rsidRPr="008427F0" w:rsidRDefault="001619BF" w:rsidP="008427F0">
      <w:pPr>
        <w:pStyle w:val="PargrafodaLista"/>
        <w:tabs>
          <w:tab w:val="left" w:pos="567"/>
        </w:tabs>
        <w:spacing w:after="0" w:line="320" w:lineRule="exact"/>
        <w:ind w:left="0"/>
        <w:rPr>
          <w:rFonts w:ascii="Verdana" w:hAnsi="Verdana" w:cs="Calibri Light"/>
          <w:sz w:val="20"/>
          <w:szCs w:val="20"/>
        </w:rPr>
      </w:pPr>
    </w:p>
    <w:p w14:paraId="08FE18D2" w14:textId="2B375EB7" w:rsidR="001619BF" w:rsidRPr="008427F0" w:rsidRDefault="001619BF" w:rsidP="001619BF">
      <w:pPr>
        <w:pStyle w:val="PargrafodaLista"/>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Por fim, a </w:t>
      </w:r>
      <w:r w:rsidR="008427F0" w:rsidRPr="00A5732E">
        <w:rPr>
          <w:rFonts w:ascii="Verdana" w:hAnsi="Verdana" w:cs="Calibri Light"/>
          <w:snapToGrid w:val="0"/>
          <w:sz w:val="20"/>
          <w:szCs w:val="20"/>
        </w:rPr>
        <w:t>prática</w:t>
      </w:r>
      <w:r>
        <w:rPr>
          <w:rFonts w:ascii="Verdana" w:hAnsi="Verdana" w:cs="Calibri Light"/>
          <w:snapToGrid w:val="0"/>
          <w:sz w:val="20"/>
          <w:szCs w:val="20"/>
        </w:rPr>
        <w:t>, pela Emissora e pelo Agente Fiduciário, de</w:t>
      </w:r>
      <w:r w:rsidRPr="00A5732E">
        <w:rPr>
          <w:rFonts w:ascii="Verdana" w:hAnsi="Verdana" w:cs="Calibri Light"/>
          <w:snapToGrid w:val="0"/>
          <w:sz w:val="20"/>
          <w:szCs w:val="20"/>
        </w:rPr>
        <w:t xml:space="preserve"> quaisquer atos e assinem os documentos necessários para fins de formalização das matérias constantes da Ordem do Dia</w:t>
      </w:r>
      <w:r>
        <w:rPr>
          <w:rFonts w:ascii="Verdana" w:hAnsi="Verdana" w:cs="Calibri Light"/>
          <w:snapToGrid w:val="0"/>
          <w:sz w:val="20"/>
          <w:szCs w:val="20"/>
        </w:rPr>
        <w:t xml:space="preserve">. </w:t>
      </w:r>
    </w:p>
    <w:p w14:paraId="61BE7153" w14:textId="77777777" w:rsidR="008427F0" w:rsidRDefault="008427F0" w:rsidP="00A5732E">
      <w:pPr>
        <w:pStyle w:val="Corpodetexto"/>
        <w:spacing w:line="320" w:lineRule="exact"/>
        <w:ind w:right="114"/>
        <w:rPr>
          <w:rFonts w:ascii="Verdana" w:hAnsi="Verdana" w:cs="Calibri Light"/>
          <w:sz w:val="20"/>
        </w:rPr>
      </w:pPr>
    </w:p>
    <w:p w14:paraId="3A3C0C06" w14:textId="06395D56" w:rsidR="002E1073" w:rsidRPr="00A5732E" w:rsidRDefault="002E1073" w:rsidP="00A5732E">
      <w:pPr>
        <w:pStyle w:val="Corpodetexto"/>
        <w:spacing w:line="320" w:lineRule="exact"/>
        <w:ind w:right="114"/>
        <w:rPr>
          <w:rFonts w:ascii="Verdana" w:hAnsi="Verdana" w:cs="Calibri Light"/>
          <w:sz w:val="20"/>
        </w:rPr>
      </w:pPr>
      <w:r w:rsidRPr="00A5732E">
        <w:rPr>
          <w:rFonts w:ascii="Verdana" w:hAnsi="Verdana" w:cs="Calibri Light"/>
          <w:sz w:val="20"/>
        </w:rPr>
        <w:t xml:space="preserve">As deliberações e aprovações acima referidas </w:t>
      </w:r>
      <w:r w:rsidR="008E2884">
        <w:rPr>
          <w:rFonts w:ascii="Verdana" w:hAnsi="Verdana" w:cs="Calibri Light"/>
          <w:sz w:val="20"/>
        </w:rPr>
        <w:t xml:space="preserve">se limitam ao aqui previsto e </w:t>
      </w:r>
      <w:r w:rsidRPr="00A5732E">
        <w:rPr>
          <w:rFonts w:ascii="Verdana" w:hAnsi="Verdana" w:cs="Calibri Light"/>
          <w:sz w:val="20"/>
        </w:rPr>
        <w:t xml:space="preserve">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 (conforme definido na Escritura de Emissão)</w:t>
      </w:r>
      <w:r w:rsidRPr="00A5732E">
        <w:rPr>
          <w:rFonts w:ascii="Verdana" w:hAnsi="Verdana" w:cs="Calibri Light"/>
          <w:sz w:val="20"/>
        </w:rPr>
        <w:t xml:space="preserve">, nem quanto ao cumprimento, pela Emissora, de todas e quaisquer obrigações previstas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como qualquer promessa ou compromisso dos Debenturistas de renegociar ou implementar alterações em quaisquer termos e condições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aps/>
          <w:sz w:val="20"/>
        </w:rPr>
        <w:t>g</w:t>
      </w:r>
      <w:r w:rsidRPr="00A5732E">
        <w:rPr>
          <w:rFonts w:ascii="Verdana" w:hAnsi="Verdana" w:cs="Calibri Light"/>
          <w:sz w:val="20"/>
        </w:rPr>
        <w:t>arantia, ou (</w:t>
      </w:r>
      <w:proofErr w:type="spellStart"/>
      <w:r w:rsidRPr="00A5732E">
        <w:rPr>
          <w:rFonts w:ascii="Verdana" w:hAnsi="Verdana" w:cs="Calibri Light"/>
          <w:sz w:val="20"/>
        </w:rPr>
        <w:t>ii</w:t>
      </w:r>
      <w:proofErr w:type="spellEnd"/>
      <w:r w:rsidRPr="00A5732E">
        <w:rPr>
          <w:rFonts w:ascii="Verdana" w:hAnsi="Verdana" w:cs="Calibri Light"/>
          <w:sz w:val="20"/>
        </w:rPr>
        <w:t xml:space="preserve">) impedir, restringir e/ou limitar o exercício, pelos Debenturistas, de qualquer direito, obrigação, recurso, poder ou privilégio pactuado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impedir, restringir e/ ou limitar o direitos dos Debenturistas de cobrar e exigir o cumprimento, nas datas estabelecidas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de quaisquer obrigações pecuniárias e não pecuniárias inadimplidas e/ou não pagas </w:t>
      </w:r>
      <w:r w:rsidRPr="00A5732E">
        <w:rPr>
          <w:rFonts w:ascii="Verdana" w:hAnsi="Verdana" w:cs="Calibri Light"/>
          <w:sz w:val="20"/>
        </w:rPr>
        <w:lastRenderedPageBreak/>
        <w:t xml:space="preserve">nos termos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exceto pelo previsto na</w:t>
      </w:r>
      <w:r w:rsidR="00642E63" w:rsidRPr="00A5732E">
        <w:rPr>
          <w:rFonts w:ascii="Verdana" w:hAnsi="Verdana" w:cs="Calibri Light"/>
          <w:sz w:val="20"/>
        </w:rPr>
        <w:t xml:space="preserve"> Ordem do Dia e aprovado pela </w:t>
      </w:r>
      <w:r w:rsidRPr="00A5732E">
        <w:rPr>
          <w:rFonts w:ascii="Verdana" w:hAnsi="Verdana" w:cs="Calibri Light"/>
          <w:sz w:val="20"/>
        </w:rPr>
        <w:t>presente assembleia.</w:t>
      </w:r>
    </w:p>
    <w:p w14:paraId="5CCFAE37" w14:textId="5EC2A01E" w:rsidR="006F1B72" w:rsidRPr="00A5732E" w:rsidRDefault="006F1B72" w:rsidP="00A5732E">
      <w:pPr>
        <w:pStyle w:val="Corpodetexto"/>
        <w:spacing w:line="320" w:lineRule="exact"/>
        <w:ind w:right="114"/>
        <w:rPr>
          <w:rFonts w:ascii="Verdana" w:hAnsi="Verdana" w:cs="Calibri Light"/>
          <w:sz w:val="20"/>
        </w:rPr>
      </w:pPr>
    </w:p>
    <w:p w14:paraId="6B857DAE" w14:textId="028A0AC4" w:rsidR="006F1B72" w:rsidRPr="00A5732E" w:rsidRDefault="006F1B72" w:rsidP="00A5732E">
      <w:pPr>
        <w:pStyle w:val="Corpodetexto"/>
        <w:spacing w:line="320" w:lineRule="exact"/>
        <w:ind w:right="114"/>
        <w:rPr>
          <w:rFonts w:ascii="Verdana" w:hAnsi="Verdana" w:cs="Calibri Light"/>
          <w:sz w:val="20"/>
        </w:rPr>
      </w:pPr>
      <w:r w:rsidRPr="00A5732E">
        <w:rPr>
          <w:rFonts w:ascii="Verdana" w:hAnsi="Verdana" w:cs="Calibri Light"/>
          <w:sz w:val="20"/>
        </w:rPr>
        <w:t>Esta Assembleia produz efeitos a partir da data nela indicada, ainda que os presentes realizem a assinatura eletrônica em data posterior. Ademais, ainda que os presentes venham a assinar eletronicamente esta ata em local diverso, o local de celebração, para todos os fins, a Cidade de São Paulo, Estado de São Paulo.</w:t>
      </w:r>
    </w:p>
    <w:p w14:paraId="2CA608FD" w14:textId="77777777" w:rsidR="002E1073" w:rsidRPr="00A5732E" w:rsidRDefault="002E1073" w:rsidP="00A5732E">
      <w:pPr>
        <w:pStyle w:val="PargrafodaLista"/>
        <w:spacing w:after="0" w:line="320" w:lineRule="exact"/>
        <w:ind w:left="1080"/>
        <w:rPr>
          <w:rFonts w:ascii="Verdana" w:hAnsi="Verdana" w:cstheme="minorHAnsi"/>
          <w:sz w:val="20"/>
          <w:szCs w:val="20"/>
        </w:rPr>
      </w:pPr>
    </w:p>
    <w:p w14:paraId="78B39E55" w14:textId="12C3B20F" w:rsidR="002E1073" w:rsidRPr="00A5732E" w:rsidRDefault="002E1073" w:rsidP="00A5732E">
      <w:pPr>
        <w:pStyle w:val="PargrafodaLista"/>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PargrafodaLista"/>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492C0353"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2F12DF" w:rsidRPr="00A5732E">
        <w:rPr>
          <w:rFonts w:ascii="Verdana" w:hAnsi="Verdana" w:cs="Calibri Light"/>
          <w:snapToGrid w:val="0"/>
          <w:sz w:val="20"/>
          <w:szCs w:val="20"/>
        </w:rPr>
        <w:t xml:space="preserve"> </w:t>
      </w:r>
      <w:r w:rsidR="00B1353A" w:rsidRPr="00A5732E">
        <w:rPr>
          <w:rFonts w:ascii="Verdana" w:hAnsi="Verdana" w:cs="Calibri Light"/>
          <w:sz w:val="20"/>
          <w:szCs w:val="20"/>
        </w:rPr>
        <w:t xml:space="preserve">de </w:t>
      </w:r>
      <w:r w:rsidR="008E2884">
        <w:rPr>
          <w:rFonts w:ascii="Verdana" w:hAnsi="Verdana" w:cs="Calibri Light"/>
          <w:sz w:val="20"/>
          <w:szCs w:val="20"/>
        </w:rPr>
        <w:t>outubro</w:t>
      </w:r>
      <w:r w:rsidR="008E2884" w:rsidRPr="00A5732E">
        <w:rPr>
          <w:rFonts w:ascii="Verdana" w:hAnsi="Verdana" w:cs="Calibri Light"/>
          <w:sz w:val="20"/>
          <w:szCs w:val="20"/>
        </w:rPr>
        <w:t xml:space="preserve"> </w:t>
      </w:r>
      <w:r w:rsidR="00B1353A" w:rsidRPr="00A5732E">
        <w:rPr>
          <w:rFonts w:ascii="Verdana" w:hAnsi="Verdana" w:cs="Calibri Light"/>
          <w:sz w:val="20"/>
          <w:szCs w:val="20"/>
        </w:rPr>
        <w:t>de 2022</w:t>
      </w:r>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3888687C"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lastRenderedPageBreak/>
        <w:t>(</w:t>
      </w:r>
      <w:r w:rsidR="00D7265C" w:rsidRPr="00A5732E">
        <w:rPr>
          <w:rFonts w:ascii="Verdana" w:hAnsi="Verdana" w:cs="Calibri Light"/>
          <w:i/>
          <w:iCs/>
          <w:sz w:val="20"/>
          <w:szCs w:val="20"/>
        </w:rPr>
        <w:t xml:space="preserve">Página de Assinaturas da Ata da Assembleia Geral de Debenturistas da </w:t>
      </w:r>
      <w:r w:rsidR="002F12DF" w:rsidRPr="00A5732E">
        <w:rPr>
          <w:rFonts w:ascii="Verdana" w:hAnsi="Verdana" w:cs="Calibri Light"/>
          <w:snapToGrid w:val="0"/>
          <w:sz w:val="20"/>
          <w:szCs w:val="20"/>
        </w:rPr>
        <w:t>2</w:t>
      </w:r>
      <w:r w:rsidR="0004466E" w:rsidRPr="00A5732E">
        <w:rPr>
          <w:rFonts w:ascii="Verdana" w:hAnsi="Verdana" w:cs="Calibri Light"/>
          <w:i/>
          <w:iCs/>
          <w:sz w:val="20"/>
          <w:szCs w:val="20"/>
        </w:rPr>
        <w:t xml:space="preserve">ª </w:t>
      </w:r>
      <w:r w:rsidR="00D7265C" w:rsidRPr="00A5732E">
        <w:rPr>
          <w:rFonts w:ascii="Verdana" w:hAnsi="Verdana" w:cs="Calibri Light"/>
          <w:i/>
          <w:iCs/>
          <w:sz w:val="20"/>
          <w:szCs w:val="20"/>
        </w:rPr>
        <w:t>(</w:t>
      </w:r>
      <w:r w:rsidR="002F12DF" w:rsidRPr="00A5732E">
        <w:rPr>
          <w:rFonts w:ascii="Verdana" w:hAnsi="Verdana" w:cs="Calibri Light"/>
          <w:i/>
          <w:iCs/>
          <w:sz w:val="20"/>
          <w:szCs w:val="20"/>
        </w:rPr>
        <w:t>segunda</w:t>
      </w:r>
      <w:r w:rsidR="00D7265C" w:rsidRPr="00A5732E">
        <w:rPr>
          <w:rFonts w:ascii="Verdana" w:hAnsi="Verdana" w:cs="Calibri Light"/>
          <w:i/>
          <w:iCs/>
          <w:sz w:val="20"/>
          <w:szCs w:val="20"/>
        </w:rPr>
        <w:t xml:space="preserve">) </w:t>
      </w:r>
      <w:r w:rsidR="00305425" w:rsidRPr="00A5732E">
        <w:rPr>
          <w:rFonts w:ascii="Verdana" w:hAnsi="Verdana" w:cs="Calibri Light"/>
          <w:i/>
          <w:iCs/>
          <w:sz w:val="20"/>
          <w:szCs w:val="20"/>
        </w:rPr>
        <w:t>E</w:t>
      </w:r>
      <w:r w:rsidR="00D7265C" w:rsidRPr="00A5732E">
        <w:rPr>
          <w:rFonts w:ascii="Verdana" w:hAnsi="Verdana" w:cs="Calibri Light"/>
          <w:i/>
          <w:iCs/>
          <w:sz w:val="20"/>
          <w:szCs w:val="20"/>
        </w:rPr>
        <w:t xml:space="preserve">missão </w:t>
      </w:r>
      <w:r w:rsidR="00B1353A" w:rsidRPr="00A5732E">
        <w:rPr>
          <w:rFonts w:ascii="Verdana" w:hAnsi="Verdana" w:cs="Calibri Light"/>
          <w:i/>
          <w:iCs/>
          <w:sz w:val="20"/>
          <w:szCs w:val="20"/>
        </w:rPr>
        <w:t>P</w:t>
      </w:r>
      <w:r w:rsidR="00D7265C" w:rsidRPr="00A5732E">
        <w:rPr>
          <w:rFonts w:ascii="Verdana" w:hAnsi="Verdana" w:cs="Calibri Light"/>
          <w:i/>
          <w:iCs/>
          <w:sz w:val="20"/>
          <w:szCs w:val="20"/>
        </w:rPr>
        <w:t xml:space="preserve">ública de </w:t>
      </w:r>
      <w:r w:rsidR="00305425" w:rsidRPr="00A5732E">
        <w:rPr>
          <w:rFonts w:ascii="Verdana" w:hAnsi="Verdana" w:cs="Calibri Light"/>
          <w:i/>
          <w:iCs/>
          <w:sz w:val="20"/>
          <w:szCs w:val="20"/>
        </w:rPr>
        <w:t>D</w:t>
      </w:r>
      <w:r w:rsidR="00D7265C" w:rsidRPr="00A5732E">
        <w:rPr>
          <w:rFonts w:ascii="Verdana" w:hAnsi="Verdana" w:cs="Calibri Light"/>
          <w:i/>
          <w:iCs/>
          <w:sz w:val="20"/>
          <w:szCs w:val="20"/>
        </w:rPr>
        <w:t xml:space="preserve">ebêntures da </w:t>
      </w:r>
      <w:r w:rsidR="002F12DF" w:rsidRPr="00A5732E">
        <w:rPr>
          <w:rFonts w:ascii="Verdana" w:hAnsi="Verdana" w:cs="Calibri Light"/>
          <w:i/>
          <w:iCs/>
          <w:sz w:val="20"/>
          <w:szCs w:val="20"/>
        </w:rPr>
        <w:t>Energética São Patrício S.A</w:t>
      </w:r>
      <w:r w:rsidR="0004466E" w:rsidRPr="00A5732E">
        <w:rPr>
          <w:rFonts w:ascii="Verdana" w:hAnsi="Verdana" w:cs="Calibri Light"/>
          <w:i/>
          <w:iCs/>
          <w:sz w:val="20"/>
          <w:szCs w:val="20"/>
        </w:rPr>
        <w:t>.</w:t>
      </w:r>
      <w:r w:rsidR="00D7265C" w:rsidRPr="00A5732E">
        <w:rPr>
          <w:rFonts w:ascii="Verdana" w:hAnsi="Verdana" w:cs="Calibri Light"/>
          <w:i/>
          <w:iCs/>
          <w:sz w:val="20"/>
          <w:szCs w:val="20"/>
        </w:rPr>
        <w:t xml:space="preserve">, realizada em </w:t>
      </w:r>
      <w:r w:rsidR="002F12DF" w:rsidRPr="00A5732E">
        <w:rPr>
          <w:rFonts w:ascii="Verdana" w:hAnsi="Verdana" w:cs="Calibri Light"/>
          <w:snapToGrid w:val="0"/>
          <w:sz w:val="20"/>
          <w:szCs w:val="20"/>
          <w:highlight w:val="yellow"/>
        </w:rPr>
        <w:t>[•]</w:t>
      </w:r>
      <w:r w:rsidR="0004466E" w:rsidRPr="00A5732E">
        <w:rPr>
          <w:rFonts w:ascii="Verdana" w:hAnsi="Verdana" w:cs="Calibri Light"/>
          <w:i/>
          <w:iCs/>
          <w:sz w:val="20"/>
          <w:szCs w:val="20"/>
        </w:rPr>
        <w:t xml:space="preserve"> </w:t>
      </w:r>
      <w:r w:rsidR="00495A3D" w:rsidRPr="00A5732E">
        <w:rPr>
          <w:rFonts w:ascii="Verdana" w:hAnsi="Verdana" w:cs="Calibri Light"/>
          <w:i/>
          <w:iCs/>
          <w:sz w:val="20"/>
          <w:szCs w:val="20"/>
        </w:rPr>
        <w:t xml:space="preserve">de </w:t>
      </w:r>
      <w:r w:rsidR="008E2884">
        <w:rPr>
          <w:rFonts w:ascii="Verdana" w:hAnsi="Verdana" w:cs="Calibri Light"/>
          <w:i/>
          <w:iCs/>
          <w:sz w:val="20"/>
          <w:szCs w:val="20"/>
        </w:rPr>
        <w:t>outubro</w:t>
      </w:r>
      <w:r w:rsidR="008E2884" w:rsidRPr="00A5732E">
        <w:rPr>
          <w:rFonts w:ascii="Verdana" w:hAnsi="Verdana" w:cs="Calibri Light"/>
          <w:i/>
          <w:iCs/>
          <w:sz w:val="20"/>
          <w:szCs w:val="20"/>
        </w:rPr>
        <w:t xml:space="preserve"> </w:t>
      </w:r>
      <w:r w:rsidR="00495A3D" w:rsidRPr="00A5732E">
        <w:rPr>
          <w:rFonts w:ascii="Verdana" w:hAnsi="Verdana" w:cs="Calibri Light"/>
          <w:i/>
          <w:iCs/>
          <w:sz w:val="20"/>
          <w:szCs w:val="20"/>
        </w:rPr>
        <w:t>de 2022.</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7AACF35B" w14:textId="7555D6B6"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tbl>
      <w:tblPr>
        <w:tblStyle w:val="Tabelacomgrad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tblGrid>
      <w:tr w:rsidR="00A5732E" w:rsidRPr="00A5732E" w14:paraId="44FC6348" w14:textId="77777777" w:rsidTr="00A5732E">
        <w:tc>
          <w:tcPr>
            <w:tcW w:w="4302" w:type="dxa"/>
          </w:tcPr>
          <w:p w14:paraId="330E81C8" w14:textId="521F2208" w:rsidR="00A5732E" w:rsidRPr="00A5732E" w:rsidRDefault="00A5732E" w:rsidP="00A5732E">
            <w:pPr>
              <w:spacing w:line="320" w:lineRule="exact"/>
              <w:rPr>
                <w:rFonts w:ascii="Verdana" w:hAnsi="Verdana" w:cs="Calibri Light"/>
                <w:sz w:val="20"/>
                <w:szCs w:val="20"/>
              </w:rPr>
            </w:pPr>
          </w:p>
          <w:p w14:paraId="0F69774F" w14:textId="77777777" w:rsidR="00A5732E" w:rsidRPr="00A5732E" w:rsidRDefault="00A5732E" w:rsidP="00A5732E">
            <w:pPr>
              <w:spacing w:line="320" w:lineRule="exact"/>
              <w:rPr>
                <w:rFonts w:ascii="Verdana" w:hAnsi="Verdana" w:cs="Calibri Light"/>
                <w:sz w:val="20"/>
                <w:szCs w:val="20"/>
              </w:rPr>
            </w:pPr>
          </w:p>
          <w:p w14:paraId="4E95A887" w14:textId="77777777" w:rsidR="00A5732E" w:rsidRPr="00A5732E" w:rsidRDefault="00A5732E"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7B1C2FB" w14:textId="791AF448"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6718A2C1" w14:textId="1A1A6B37"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Cargo: </w:t>
            </w:r>
          </w:p>
        </w:tc>
      </w:tr>
    </w:tbl>
    <w:p w14:paraId="295DC0B0" w14:textId="77777777" w:rsidR="004C52DE" w:rsidRPr="00A5732E" w:rsidRDefault="004C52DE" w:rsidP="00A5732E">
      <w:pPr>
        <w:spacing w:after="0" w:line="320" w:lineRule="exact"/>
        <w:rPr>
          <w:rFonts w:ascii="Verdana" w:hAnsi="Verdana" w:cs="Calibri Light"/>
          <w:sz w:val="20"/>
          <w:szCs w:val="20"/>
        </w:rPr>
      </w:pPr>
    </w:p>
    <w:p w14:paraId="1FDB4323" w14:textId="77777777" w:rsidR="003E10FF" w:rsidRPr="00A5732E" w:rsidRDefault="003E10FF" w:rsidP="00A5732E">
      <w:pPr>
        <w:spacing w:after="0" w:line="320" w:lineRule="exact"/>
        <w:rPr>
          <w:rFonts w:ascii="Verdana" w:hAnsi="Verdana" w:cs="Calibri Light"/>
          <w:sz w:val="20"/>
          <w:szCs w:val="20"/>
          <w:u w:val="single"/>
        </w:rPr>
      </w:pPr>
    </w:p>
    <w:p w14:paraId="54512676" w14:textId="6CA38373" w:rsidR="004C52DE" w:rsidRPr="00A5732E" w:rsidRDefault="001D3C33"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 xml:space="preserve">Representante dos </w:t>
      </w:r>
      <w:r w:rsidR="004C52DE" w:rsidRPr="00A5732E">
        <w:rPr>
          <w:rFonts w:ascii="Verdana" w:hAnsi="Verdana" w:cs="Calibri Light"/>
          <w:sz w:val="20"/>
          <w:szCs w:val="20"/>
          <w:u w:val="single"/>
        </w:rPr>
        <w:t>Debenturista</w:t>
      </w:r>
      <w:r w:rsidR="003E10FF" w:rsidRPr="00A5732E">
        <w:rPr>
          <w:rFonts w:ascii="Verdana" w:hAnsi="Verdana" w:cs="Calibri Light"/>
          <w:sz w:val="20"/>
          <w:szCs w:val="20"/>
          <w:u w:val="single"/>
        </w:rPr>
        <w:t>s</w:t>
      </w:r>
      <w:r w:rsidR="004C52DE" w:rsidRPr="00A5732E">
        <w:rPr>
          <w:rFonts w:ascii="Verdana" w:hAnsi="Verdana" w:cs="Calibri Light"/>
          <w:sz w:val="20"/>
          <w:szCs w:val="20"/>
          <w:u w:val="single"/>
        </w:rPr>
        <w:t>:</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333EC03" w14:textId="620E691F" w:rsidR="00305425" w:rsidRDefault="00305425" w:rsidP="00A5732E">
      <w:pPr>
        <w:spacing w:after="0" w:line="320" w:lineRule="exact"/>
        <w:rPr>
          <w:rFonts w:ascii="Verdana" w:hAnsi="Verdana" w:cs="Calibri Light"/>
          <w:sz w:val="20"/>
          <w:szCs w:val="20"/>
        </w:rPr>
      </w:pPr>
    </w:p>
    <w:sectPr w:rsidR="00305425" w:rsidSect="00A5732E">
      <w:footerReference w:type="default" r:id="rId13"/>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3E3" w14:textId="77777777" w:rsidR="0014069B" w:rsidRDefault="0014069B" w:rsidP="000B1336">
      <w:pPr>
        <w:spacing w:after="0" w:line="240" w:lineRule="auto"/>
      </w:pPr>
      <w:r>
        <w:separator/>
      </w:r>
    </w:p>
  </w:endnote>
  <w:endnote w:type="continuationSeparator" w:id="0">
    <w:p w14:paraId="02AD50B8" w14:textId="77777777" w:rsidR="0014069B" w:rsidRDefault="0014069B" w:rsidP="000B1336">
      <w:pPr>
        <w:spacing w:after="0" w:line="240" w:lineRule="auto"/>
      </w:pPr>
      <w:r>
        <w:continuationSeparator/>
      </w:r>
    </w:p>
  </w:endnote>
  <w:endnote w:type="continuationNotice" w:id="1">
    <w:p w14:paraId="336A40A2" w14:textId="77777777" w:rsidR="0014069B" w:rsidRDefault="0014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7BACFC55" w:rsidR="0063613C" w:rsidRPr="00F22A37" w:rsidRDefault="00822BB7">
    <w:pPr>
      <w:pStyle w:val="Rodap"/>
      <w:jc w:val="right"/>
      <w:rPr>
        <w:rFonts w:ascii="Verdana" w:hAnsi="Verdana"/>
        <w:sz w:val="18"/>
        <w:szCs w:val="18"/>
      </w:rPr>
    </w:pPr>
    <w:r>
      <w:rPr>
        <w:rFonts w:ascii="Calibri Light" w:hAnsi="Calibri Light"/>
        <w:noProof/>
        <w:sz w:val="20"/>
        <w:szCs w:val="20"/>
      </w:rPr>
      <mc:AlternateContent>
        <mc:Choice Requires="wps">
          <w:drawing>
            <wp:anchor distT="0" distB="0" distL="114300" distR="114300" simplePos="0" relativeHeight="251659264" behindDoc="0" locked="0" layoutInCell="0" allowOverlap="1" wp14:anchorId="5932B5FC" wp14:editId="3A2C3527">
              <wp:simplePos x="0" y="0"/>
              <wp:positionH relativeFrom="page">
                <wp:posOffset>0</wp:posOffset>
              </wp:positionH>
              <wp:positionV relativeFrom="page">
                <wp:posOffset>10227945</wp:posOffset>
              </wp:positionV>
              <wp:extent cx="7560310" cy="273050"/>
              <wp:effectExtent l="0" t="0" r="0" b="12700"/>
              <wp:wrapNone/>
              <wp:docPr id="1" name="MSIPCMaad34453b82195d0750548b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F4318" w14:textId="11E36524" w:rsidR="00822BB7" w:rsidRPr="00822BB7" w:rsidRDefault="00822BB7" w:rsidP="00822BB7">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32B5FC" id="_x0000_t202" coordsize="21600,21600" o:spt="202" path="m,l,21600r21600,l21600,xe">
              <v:stroke joinstyle="miter"/>
              <v:path gradientshapeok="t" o:connecttype="rect"/>
            </v:shapetype>
            <v:shape id="MSIPCMaad34453b82195d0750548b8"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69F4318" w14:textId="11E36524" w:rsidR="00822BB7" w:rsidRPr="00822BB7" w:rsidRDefault="00822BB7" w:rsidP="00822BB7">
                    <w:pPr>
                      <w:spacing w:after="0"/>
                      <w:jc w:val="left"/>
                      <w:rPr>
                        <w:rFonts w:ascii="Calibri" w:hAnsi="Calibri" w:cs="Calibri"/>
                        <w:color w:val="000000"/>
                        <w:sz w:val="18"/>
                      </w:rPr>
                    </w:pPr>
                  </w:p>
                </w:txbxContent>
              </v:textbox>
              <w10:wrap anchorx="page" anchory="page"/>
            </v:shape>
          </w:pict>
        </mc:Fallback>
      </mc:AlternateContent>
    </w:r>
    <w:sdt>
      <w:sdtPr>
        <w:rPr>
          <w:rFonts w:ascii="Verdana" w:hAnsi="Verdana"/>
          <w:sz w:val="18"/>
          <w:szCs w:val="18"/>
        </w:rPr>
        <w:id w:val="62835647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DB0" w14:textId="77777777" w:rsidR="0014069B" w:rsidRDefault="0014069B" w:rsidP="000B1336">
      <w:pPr>
        <w:spacing w:after="0" w:line="240" w:lineRule="auto"/>
      </w:pPr>
      <w:r>
        <w:separator/>
      </w:r>
    </w:p>
  </w:footnote>
  <w:footnote w:type="continuationSeparator" w:id="0">
    <w:p w14:paraId="0CB76138" w14:textId="77777777" w:rsidR="0014069B" w:rsidRDefault="0014069B" w:rsidP="000B1336">
      <w:pPr>
        <w:spacing w:after="0" w:line="240" w:lineRule="auto"/>
      </w:pPr>
      <w:r>
        <w:continuationSeparator/>
      </w:r>
    </w:p>
  </w:footnote>
  <w:footnote w:type="continuationNotice" w:id="1">
    <w:p w14:paraId="4FF7980C" w14:textId="77777777" w:rsidR="0014069B" w:rsidRDefault="00140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9D3CC9"/>
    <w:multiLevelType w:val="hybridMultilevel"/>
    <w:tmpl w:val="8E303A0E"/>
    <w:lvl w:ilvl="0" w:tplc="AC06E9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8"/>
  </w:num>
  <w:num w:numId="4" w16cid:durableId="1475296327">
    <w:abstractNumId w:val="0"/>
  </w:num>
  <w:num w:numId="5" w16cid:durableId="342632440">
    <w:abstractNumId w:val="9"/>
  </w:num>
  <w:num w:numId="6" w16cid:durableId="232619434">
    <w:abstractNumId w:val="3"/>
  </w:num>
  <w:num w:numId="7" w16cid:durableId="693194270">
    <w:abstractNumId w:val="4"/>
  </w:num>
  <w:num w:numId="8" w16cid:durableId="699352987">
    <w:abstractNumId w:val="14"/>
  </w:num>
  <w:num w:numId="9" w16cid:durableId="636616939">
    <w:abstractNumId w:val="10"/>
  </w:num>
  <w:num w:numId="10" w16cid:durableId="1438600367">
    <w:abstractNumId w:val="6"/>
  </w:num>
  <w:num w:numId="11" w16cid:durableId="1861968357">
    <w:abstractNumId w:val="11"/>
  </w:num>
  <w:num w:numId="12" w16cid:durableId="487981949">
    <w:abstractNumId w:val="13"/>
  </w:num>
  <w:num w:numId="13" w16cid:durableId="102649250">
    <w:abstractNumId w:val="5"/>
  </w:num>
  <w:num w:numId="14" w16cid:durableId="909467056">
    <w:abstractNumId w:val="1"/>
  </w:num>
  <w:num w:numId="15" w16cid:durableId="986514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698"/>
    <w:rsid w:val="00040F77"/>
    <w:rsid w:val="000425E8"/>
    <w:rsid w:val="00042764"/>
    <w:rsid w:val="00043AF3"/>
    <w:rsid w:val="0004466E"/>
    <w:rsid w:val="000516D6"/>
    <w:rsid w:val="00064582"/>
    <w:rsid w:val="00073B32"/>
    <w:rsid w:val="000844AC"/>
    <w:rsid w:val="000921AC"/>
    <w:rsid w:val="000976E4"/>
    <w:rsid w:val="000A0A63"/>
    <w:rsid w:val="000A0C9D"/>
    <w:rsid w:val="000A1A5A"/>
    <w:rsid w:val="000B0B71"/>
    <w:rsid w:val="000B1336"/>
    <w:rsid w:val="000B1B30"/>
    <w:rsid w:val="000B3F16"/>
    <w:rsid w:val="000B789E"/>
    <w:rsid w:val="000C383C"/>
    <w:rsid w:val="000C713F"/>
    <w:rsid w:val="000D1B79"/>
    <w:rsid w:val="000D7391"/>
    <w:rsid w:val="000E0C76"/>
    <w:rsid w:val="000E767B"/>
    <w:rsid w:val="000F361F"/>
    <w:rsid w:val="000F5DCF"/>
    <w:rsid w:val="00102FB5"/>
    <w:rsid w:val="00105659"/>
    <w:rsid w:val="00116C9E"/>
    <w:rsid w:val="00122EA8"/>
    <w:rsid w:val="0014069B"/>
    <w:rsid w:val="00145CFF"/>
    <w:rsid w:val="001476E2"/>
    <w:rsid w:val="001509D2"/>
    <w:rsid w:val="00151329"/>
    <w:rsid w:val="0015326A"/>
    <w:rsid w:val="001619BF"/>
    <w:rsid w:val="00162239"/>
    <w:rsid w:val="00163379"/>
    <w:rsid w:val="00170824"/>
    <w:rsid w:val="0017248E"/>
    <w:rsid w:val="00182070"/>
    <w:rsid w:val="001869E3"/>
    <w:rsid w:val="00197270"/>
    <w:rsid w:val="001A135A"/>
    <w:rsid w:val="001B0194"/>
    <w:rsid w:val="001B0A47"/>
    <w:rsid w:val="001B322D"/>
    <w:rsid w:val="001B6044"/>
    <w:rsid w:val="001C12AF"/>
    <w:rsid w:val="001D2030"/>
    <w:rsid w:val="001D306F"/>
    <w:rsid w:val="001D3C33"/>
    <w:rsid w:val="001E0104"/>
    <w:rsid w:val="001E2DD8"/>
    <w:rsid w:val="001E561F"/>
    <w:rsid w:val="001F08A6"/>
    <w:rsid w:val="001F34C3"/>
    <w:rsid w:val="00202DD6"/>
    <w:rsid w:val="00205F72"/>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E10FF"/>
    <w:rsid w:val="003E2053"/>
    <w:rsid w:val="003E266A"/>
    <w:rsid w:val="003E4C80"/>
    <w:rsid w:val="003E4F54"/>
    <w:rsid w:val="003E549E"/>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5115"/>
    <w:rsid w:val="004B1051"/>
    <w:rsid w:val="004B1812"/>
    <w:rsid w:val="004B5905"/>
    <w:rsid w:val="004B6AD3"/>
    <w:rsid w:val="004C52DE"/>
    <w:rsid w:val="004C58DF"/>
    <w:rsid w:val="004E6078"/>
    <w:rsid w:val="004F0BC9"/>
    <w:rsid w:val="004F44BD"/>
    <w:rsid w:val="00500B5B"/>
    <w:rsid w:val="00504D4B"/>
    <w:rsid w:val="00506BBF"/>
    <w:rsid w:val="00513608"/>
    <w:rsid w:val="00514ADA"/>
    <w:rsid w:val="005169DC"/>
    <w:rsid w:val="005241F2"/>
    <w:rsid w:val="005447AB"/>
    <w:rsid w:val="00546B40"/>
    <w:rsid w:val="00553916"/>
    <w:rsid w:val="00553EA3"/>
    <w:rsid w:val="00554C8D"/>
    <w:rsid w:val="00562050"/>
    <w:rsid w:val="005665B0"/>
    <w:rsid w:val="0056710B"/>
    <w:rsid w:val="005823DE"/>
    <w:rsid w:val="005824A7"/>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27F0"/>
    <w:rsid w:val="00845F9C"/>
    <w:rsid w:val="00846589"/>
    <w:rsid w:val="00851321"/>
    <w:rsid w:val="008514F1"/>
    <w:rsid w:val="0086021A"/>
    <w:rsid w:val="0087116D"/>
    <w:rsid w:val="00875C20"/>
    <w:rsid w:val="0088138D"/>
    <w:rsid w:val="00891E67"/>
    <w:rsid w:val="008A17A7"/>
    <w:rsid w:val="008B0EAB"/>
    <w:rsid w:val="008C4080"/>
    <w:rsid w:val="008C7B44"/>
    <w:rsid w:val="008D23B6"/>
    <w:rsid w:val="008D7793"/>
    <w:rsid w:val="008E06D9"/>
    <w:rsid w:val="008E2884"/>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738ED"/>
    <w:rsid w:val="00975836"/>
    <w:rsid w:val="00976538"/>
    <w:rsid w:val="0098060A"/>
    <w:rsid w:val="00983A2D"/>
    <w:rsid w:val="009851FE"/>
    <w:rsid w:val="00992EC6"/>
    <w:rsid w:val="009948DD"/>
    <w:rsid w:val="00996475"/>
    <w:rsid w:val="00996691"/>
    <w:rsid w:val="009A2ADA"/>
    <w:rsid w:val="009A572D"/>
    <w:rsid w:val="009B63EB"/>
    <w:rsid w:val="009C0A17"/>
    <w:rsid w:val="009C385B"/>
    <w:rsid w:val="009C744A"/>
    <w:rsid w:val="009C7A58"/>
    <w:rsid w:val="009D2B91"/>
    <w:rsid w:val="00A02C09"/>
    <w:rsid w:val="00A04F39"/>
    <w:rsid w:val="00A06F91"/>
    <w:rsid w:val="00A15D26"/>
    <w:rsid w:val="00A20E90"/>
    <w:rsid w:val="00A21CA0"/>
    <w:rsid w:val="00A2465E"/>
    <w:rsid w:val="00A27E78"/>
    <w:rsid w:val="00A430E5"/>
    <w:rsid w:val="00A54441"/>
    <w:rsid w:val="00A552D6"/>
    <w:rsid w:val="00A5732E"/>
    <w:rsid w:val="00A6074D"/>
    <w:rsid w:val="00A640E7"/>
    <w:rsid w:val="00A6653F"/>
    <w:rsid w:val="00A707CB"/>
    <w:rsid w:val="00A70ED6"/>
    <w:rsid w:val="00A71F06"/>
    <w:rsid w:val="00A721DE"/>
    <w:rsid w:val="00A73DB4"/>
    <w:rsid w:val="00A73FC3"/>
    <w:rsid w:val="00A9046B"/>
    <w:rsid w:val="00A9261E"/>
    <w:rsid w:val="00A96738"/>
    <w:rsid w:val="00AA771D"/>
    <w:rsid w:val="00AC5BD3"/>
    <w:rsid w:val="00AD511B"/>
    <w:rsid w:val="00AE0DF3"/>
    <w:rsid w:val="00AF006A"/>
    <w:rsid w:val="00AF1091"/>
    <w:rsid w:val="00AF5029"/>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C7A"/>
    <w:rsid w:val="00BB7A6D"/>
    <w:rsid w:val="00BC56F2"/>
    <w:rsid w:val="00BD2A1F"/>
    <w:rsid w:val="00BD63FE"/>
    <w:rsid w:val="00BD6B10"/>
    <w:rsid w:val="00BE42A8"/>
    <w:rsid w:val="00BE6020"/>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B0AE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33145"/>
    <w:rsid w:val="00E43064"/>
    <w:rsid w:val="00E45217"/>
    <w:rsid w:val="00E65578"/>
    <w:rsid w:val="00E67F7B"/>
    <w:rsid w:val="00E70520"/>
    <w:rsid w:val="00E755DB"/>
    <w:rsid w:val="00E85A93"/>
    <w:rsid w:val="00E85C7D"/>
    <w:rsid w:val="00E87348"/>
    <w:rsid w:val="00E97D48"/>
    <w:rsid w:val="00EA439C"/>
    <w:rsid w:val="00EB0EED"/>
    <w:rsid w:val="00EB23FB"/>
    <w:rsid w:val="00EB6480"/>
    <w:rsid w:val="00EC133C"/>
    <w:rsid w:val="00EC1F56"/>
    <w:rsid w:val="00EC32F2"/>
    <w:rsid w:val="00EC4AEA"/>
    <w:rsid w:val="00ED59EA"/>
    <w:rsid w:val="00EE1385"/>
    <w:rsid w:val="00EF1770"/>
    <w:rsid w:val="00EF1CA7"/>
    <w:rsid w:val="00EF59A4"/>
    <w:rsid w:val="00F16178"/>
    <w:rsid w:val="00F168EC"/>
    <w:rsid w:val="00F22A37"/>
    <w:rsid w:val="00F25E7D"/>
    <w:rsid w:val="00F33A57"/>
    <w:rsid w:val="00F34101"/>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10A"/>
    <w:pPr>
      <w:ind w:left="720"/>
      <w:contextualSpacing/>
    </w:pPr>
  </w:style>
  <w:style w:type="table" w:styleId="Tabelacomgrade">
    <w:name w:val="Table Grid"/>
    <w:basedOn w:val="Tabela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B1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1336"/>
    <w:rPr>
      <w:sz w:val="24"/>
    </w:rPr>
  </w:style>
  <w:style w:type="paragraph" w:styleId="Rodap">
    <w:name w:val="footer"/>
    <w:basedOn w:val="Normal"/>
    <w:link w:val="RodapChar"/>
    <w:uiPriority w:val="99"/>
    <w:unhideWhenUsed/>
    <w:rsid w:val="000B1336"/>
    <w:pPr>
      <w:tabs>
        <w:tab w:val="center" w:pos="4252"/>
        <w:tab w:val="right" w:pos="8504"/>
      </w:tabs>
      <w:spacing w:after="0" w:line="240" w:lineRule="auto"/>
    </w:pPr>
  </w:style>
  <w:style w:type="character" w:customStyle="1" w:styleId="RodapChar">
    <w:name w:val="Rodapé Char"/>
    <w:basedOn w:val="Fontepargpadro"/>
    <w:link w:val="Rodap"/>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620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27"/>
    <w:rPr>
      <w:rFonts w:ascii="Tahoma" w:hAnsi="Tahoma" w:cs="Tahoma"/>
      <w:sz w:val="16"/>
      <w:szCs w:val="16"/>
    </w:rPr>
  </w:style>
  <w:style w:type="character" w:styleId="Refdecomentrio">
    <w:name w:val="annotation reference"/>
    <w:basedOn w:val="Fontepargpadro"/>
    <w:uiPriority w:val="99"/>
    <w:semiHidden/>
    <w:unhideWhenUsed/>
    <w:rsid w:val="00FA24D4"/>
    <w:rPr>
      <w:sz w:val="16"/>
      <w:szCs w:val="16"/>
    </w:rPr>
  </w:style>
  <w:style w:type="paragraph" w:styleId="Textodecomentrio">
    <w:name w:val="annotation text"/>
    <w:basedOn w:val="Normal"/>
    <w:link w:val="TextodecomentrioChar"/>
    <w:uiPriority w:val="99"/>
    <w:semiHidden/>
    <w:unhideWhenUsed/>
    <w:rsid w:val="00FA24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24D4"/>
    <w:rPr>
      <w:sz w:val="20"/>
      <w:szCs w:val="20"/>
    </w:rPr>
  </w:style>
  <w:style w:type="paragraph" w:styleId="Assuntodocomentrio">
    <w:name w:val="annotation subject"/>
    <w:basedOn w:val="Textodecomentrio"/>
    <w:next w:val="Textodecomentrio"/>
    <w:link w:val="AssuntodocomentrioChar"/>
    <w:uiPriority w:val="99"/>
    <w:semiHidden/>
    <w:unhideWhenUsed/>
    <w:rsid w:val="00FA24D4"/>
    <w:rPr>
      <w:b/>
      <w:bCs/>
    </w:rPr>
  </w:style>
  <w:style w:type="character" w:customStyle="1" w:styleId="AssuntodocomentrioChar">
    <w:name w:val="Assunto do comentário Char"/>
    <w:basedOn w:val="TextodecomentrioChar"/>
    <w:link w:val="Assuntodocomentrio"/>
    <w:uiPriority w:val="99"/>
    <w:semiHidden/>
    <w:rsid w:val="00FA24D4"/>
    <w:rPr>
      <w:b/>
      <w:bCs/>
      <w:sz w:val="20"/>
      <w:szCs w:val="20"/>
    </w:rPr>
  </w:style>
  <w:style w:type="paragraph" w:styleId="Corpodetexto">
    <w:name w:val="Body Text"/>
    <w:basedOn w:val="Normal"/>
    <w:link w:val="Corpodetexto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uiPriority w:val="99"/>
    <w:rsid w:val="002E1073"/>
    <w:rPr>
      <w:rFonts w:ascii="Times New Roman" w:eastAsia="Times New Roman" w:hAnsi="Times New Roman" w:cs="Times New Roman"/>
      <w:sz w:val="24"/>
      <w:szCs w:val="20"/>
      <w:lang w:eastAsia="pt-BR"/>
    </w:rPr>
  </w:style>
  <w:style w:type="paragraph" w:styleId="Reviso">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 T E X T ! 1 0 0 8 8 3 7 9 1 . 4 < / d o c u m e n t i d >  
     < s e n d e r i d > R I L < / s e n d e r i d >  
     < s e n d e r e m a i l > R A L E N C A R @ M A C H A D O M E Y E R . C O M . B R < / s e n d e r e m a i l >  
     < l a s t m o d i f i e d > 2 0 2 2 - 1 0 - 1 9 T 1 8 : 4 1 : 0 0 . 0 0 0 0 0 0 0 - 0 3 : 0 0 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650D5-AAE5-48CB-A1FF-32BD680966D5}">
  <ds:schemaRefs>
    <ds:schemaRef ds:uri="http://schemas.microsoft.com/sharepoint/v3/contenttype/forms"/>
  </ds:schemaRefs>
</ds:datastoreItem>
</file>

<file path=customXml/itemProps2.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3.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3290C-FB81-445C-96F1-54213E29BE85}">
  <ds:schemaRefs>
    <ds:schemaRef ds:uri="http://schemas.microsoft.com/sharepoint/events"/>
  </ds:schemaRefs>
</ds:datastoreItem>
</file>

<file path=customXml/itemProps5.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1319</Words>
  <Characters>7598</Characters>
  <Application>Microsoft Office Word</Application>
  <DocSecurity>0</DocSecurity>
  <Lines>211</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Rafaela Alencar Gomes | Machado Meyer Advogados</cp:lastModifiedBy>
  <cp:revision>4</cp:revision>
  <cp:lastPrinted>2022-10-19T21:40:00Z</cp:lastPrinted>
  <dcterms:created xsi:type="dcterms:W3CDTF">2022-10-19T21:39:00Z</dcterms:created>
  <dcterms:modified xsi:type="dcterms:W3CDTF">2022-10-19T21:41:00Z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ies>
</file>