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320CE94E" w:rsidR="00A57A4B" w:rsidRPr="00FD0FDE" w:rsidRDefault="00901745" w:rsidP="00D27C8A">
      <w:pPr>
        <w:widowControl w:val="0"/>
        <w:spacing w:line="320" w:lineRule="exact"/>
        <w:jc w:val="center"/>
        <w:rPr>
          <w:rFonts w:ascii="Garamond" w:hAnsi="Garamond" w:cs="Tahoma"/>
          <w:b/>
        </w:rPr>
      </w:pPr>
      <w:r>
        <w:rPr>
          <w:rFonts w:ascii="Garamond" w:hAnsi="Garamond" w:cs="Tahoma"/>
          <w:b/>
        </w:rPr>
        <w:t>[=]</w:t>
      </w:r>
      <w:r w:rsidR="00257A16"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março</w:t>
      </w:r>
      <w:r w:rsidR="004E14BF"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Brazil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w:t>
      </w:r>
      <w:r w:rsidRPr="00FD0FDE">
        <w:rPr>
          <w:rFonts w:ascii="Garamond" w:hAnsi="Garamond" w:cs="Tahoma"/>
        </w:rPr>
        <w:lastRenderedPageBreak/>
        <w:t xml:space="preserve">de Debêntures Simples, não Conversíveis em Ações, da Espécie </w:t>
      </w:r>
      <w:r>
        <w:rPr>
          <w:rFonts w:ascii="Garamond" w:hAnsi="Garamond" w:cs="Tahoma"/>
        </w:rPr>
        <w:t xml:space="preserve">Quirografária, </w:t>
      </w:r>
      <w:r w:rsidRPr="00FD0FDE">
        <w:rPr>
          <w:rFonts w:ascii="Garamond" w:hAnsi="Garamond" w:cs="Tahoma"/>
        </w:rPr>
        <w:t xml:space="preserve"> 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26E1848"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901745">
        <w:rPr>
          <w:rFonts w:ascii="Garamond" w:hAnsi="Garamond" w:cs="Tahoma"/>
          <w:b w:val="0"/>
          <w:bCs w:val="0"/>
          <w:sz w:val="24"/>
          <w:szCs w:val="24"/>
        </w:rPr>
        <w:t>[=]</w:t>
      </w:r>
      <w:r w:rsidRPr="00796A6C">
        <w:rPr>
          <w:rFonts w:ascii="Garamond" w:hAnsi="Garamond"/>
          <w:b w:val="0"/>
          <w:sz w:val="24"/>
        </w:rPr>
        <w:t xml:space="preserve"> de </w:t>
      </w:r>
      <w:r w:rsidR="00901745">
        <w:rPr>
          <w:rFonts w:ascii="Garamond" w:hAnsi="Garamond" w:cs="Tahoma"/>
          <w:b w:val="0"/>
          <w:bCs w:val="0"/>
          <w:sz w:val="24"/>
          <w:szCs w:val="24"/>
        </w:rPr>
        <w:t>março</w:t>
      </w:r>
      <w:r w:rsidRPr="00796A6C">
        <w:rPr>
          <w:rFonts w:ascii="Garamond" w:hAnsi="Garamond"/>
          <w:b w:val="0"/>
          <w:sz w:val="24"/>
        </w:rPr>
        <w:t xml:space="preserve"> 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351917C8"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da Alienação Fiduciária de Ações das Controladas da Emissora (conforme definido abaixo) e da Alienação Fiduciária de Quotas da HB Esco (conforme definido abaixo), em favor dos Debenturistas, bem como a prestação da Fiança (conforme definido abaixo) e a assunção, pela </w:t>
      </w:r>
      <w:proofErr w:type="spellStart"/>
      <w:r w:rsidRPr="00796A6C">
        <w:rPr>
          <w:rFonts w:ascii="Garamond" w:hAnsi="Garamond"/>
          <w:b w:val="0"/>
          <w:sz w:val="24"/>
        </w:rPr>
        <w:t>Hy</w:t>
      </w:r>
      <w:proofErr w:type="spellEnd"/>
      <w:r w:rsidRPr="00796A6C">
        <w:rPr>
          <w:rFonts w:ascii="Garamond" w:hAnsi="Garamond"/>
          <w:b w:val="0"/>
          <w:sz w:val="24"/>
        </w:rPr>
        <w:t xml:space="preserve"> Brazil, das demais obrigações previstas na presente Escritura de Emissão e nos Contratos </w:t>
      </w:r>
      <w:r w:rsidRPr="00796A6C">
        <w:rPr>
          <w:rFonts w:ascii="Garamond" w:hAnsi="Garamond"/>
          <w:b w:val="0"/>
          <w:sz w:val="24"/>
        </w:rPr>
        <w:lastRenderedPageBreak/>
        <w:t xml:space="preserve">de Garantia (conforme definido abaixo) foram aprovadas pela </w:t>
      </w:r>
      <w:proofErr w:type="spellStart"/>
      <w:r w:rsidRPr="00796A6C">
        <w:rPr>
          <w:rFonts w:ascii="Garamond" w:hAnsi="Garamond"/>
          <w:b w:val="0"/>
          <w:sz w:val="24"/>
        </w:rPr>
        <w:t>Hy</w:t>
      </w:r>
      <w:proofErr w:type="spellEnd"/>
      <w:r w:rsidRPr="00796A6C">
        <w:rPr>
          <w:rFonts w:ascii="Garamond" w:hAnsi="Garamond"/>
          <w:b w:val="0"/>
          <w:sz w:val="24"/>
        </w:rPr>
        <w:t xml:space="preserve"> Brazil com base nas deliberações da assembleia geral extraordinária de acionistas da </w:t>
      </w:r>
      <w:proofErr w:type="spellStart"/>
      <w:r w:rsidRPr="00796A6C">
        <w:rPr>
          <w:rFonts w:ascii="Garamond" w:hAnsi="Garamond"/>
          <w:b w:val="0"/>
          <w:sz w:val="24"/>
        </w:rPr>
        <w:t>Hy</w:t>
      </w:r>
      <w:proofErr w:type="spellEnd"/>
      <w:r w:rsidRPr="00796A6C">
        <w:rPr>
          <w:rFonts w:ascii="Garamond" w:hAnsi="Garamond"/>
          <w:b w:val="0"/>
          <w:sz w:val="24"/>
        </w:rPr>
        <w:t xml:space="preserve"> Brazil realizada em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 xml:space="preserve">Aprovação Societária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364FDA58"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5D425F">
        <w:rPr>
          <w:rFonts w:ascii="Garamond" w:hAnsi="Garamond"/>
          <w:b w:val="0"/>
          <w:sz w:val="24"/>
          <w:szCs w:val="24"/>
        </w:rPr>
        <w:t>[=]</w:t>
      </w:r>
      <w:r w:rsidR="005A2A18" w:rsidRPr="00796A6C">
        <w:rPr>
          <w:rFonts w:ascii="Garamond" w:hAnsi="Garamond"/>
          <w:b w:val="0"/>
          <w:sz w:val="24"/>
        </w:rPr>
        <w:t xml:space="preserve"> de </w:t>
      </w:r>
      <w:r w:rsidR="005D425F">
        <w:rPr>
          <w:rFonts w:ascii="Garamond" w:hAnsi="Garamond"/>
          <w:b w:val="0"/>
          <w:sz w:val="24"/>
          <w:szCs w:val="24"/>
        </w:rPr>
        <w:t>março</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64DEBE0C"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5D425F">
        <w:rPr>
          <w:rFonts w:ascii="Garamond" w:hAnsi="Garamond"/>
          <w:b w:val="0"/>
          <w:sz w:val="24"/>
          <w:szCs w:val="24"/>
        </w:rPr>
        <w:t>[=]</w:t>
      </w:r>
      <w:r w:rsidR="009001A6" w:rsidRPr="00796A6C">
        <w:rPr>
          <w:rFonts w:ascii="Garamond" w:hAnsi="Garamond"/>
          <w:b w:val="0"/>
          <w:sz w:val="24"/>
        </w:rPr>
        <w:t xml:space="preserve"> de </w:t>
      </w:r>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567B05B"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e a prestação da Fiança em favor dos Debenturistas foram aprovadas pelos sócios da HB Esco com base nas deliberações aprovadas na Reunião de Sócios da HB Esco, de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xml:space="preserve">” e, em conjunto com a Aprovação Societária da </w:t>
      </w:r>
      <w:proofErr w:type="spellStart"/>
      <w:r w:rsidRPr="00796A6C">
        <w:rPr>
          <w:rFonts w:ascii="Garamond" w:hAnsi="Garamond"/>
          <w:b w:val="0"/>
          <w:sz w:val="24"/>
        </w:rPr>
        <w:t>Hy</w:t>
      </w:r>
      <w:proofErr w:type="spellEnd"/>
      <w:r w:rsidRPr="00796A6C">
        <w:rPr>
          <w:rFonts w:ascii="Garamond" w:hAnsi="Garamond"/>
          <w:b w:val="0"/>
          <w:sz w:val="24"/>
        </w:rPr>
        <w:t xml:space="preserve"> Brazil, a Aprovação Societária da Mauá e a Aprovação Societária da DJG, as “</w:t>
      </w:r>
      <w:r w:rsidRPr="00796A6C">
        <w:rPr>
          <w:rFonts w:ascii="Garamond" w:hAnsi="Garamond"/>
          <w:b w:val="0"/>
          <w:sz w:val="24"/>
          <w:u w:val="single"/>
        </w:rPr>
        <w:t xml:space="preserve">Aprovações Societárias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1" w:name="_DV_M18"/>
      <w:bookmarkStart w:id="2" w:name="_DV_M19"/>
      <w:bookmarkEnd w:id="1"/>
      <w:bookmarkEnd w:id="2"/>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xml:space="preserve">”, respectivamente) e desta </w:t>
      </w:r>
      <w:r w:rsidRPr="00FD0FDE">
        <w:rPr>
          <w:rFonts w:ascii="Garamond" w:hAnsi="Garamond"/>
        </w:rPr>
        <w:lastRenderedPageBreak/>
        <w:t>Escritura de Emissão</w:t>
      </w:r>
      <w:bookmarkStart w:id="3" w:name="_DV_C19"/>
      <w:r w:rsidRPr="00FD0FDE">
        <w:rPr>
          <w:rFonts w:ascii="Garamond" w:hAnsi="Garamond"/>
        </w:rPr>
        <w:t>,</w:t>
      </w:r>
      <w:bookmarkStart w:id="4" w:name="_DV_M21"/>
      <w:bookmarkEnd w:id="3"/>
      <w:bookmarkEnd w:id="4"/>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 xml:space="preserve">A ata da Aprovação Societária da </w:t>
      </w:r>
      <w:proofErr w:type="spellStart"/>
      <w:r w:rsidR="00B6216D" w:rsidRPr="00796A6C">
        <w:rPr>
          <w:rFonts w:ascii="Garamond" w:hAnsi="Garamond"/>
        </w:rPr>
        <w:t>Hy</w:t>
      </w:r>
      <w:proofErr w:type="spellEnd"/>
      <w:r w:rsidR="00B6216D" w:rsidRPr="00796A6C">
        <w:rPr>
          <w:rFonts w:ascii="Garamond" w:hAnsi="Garamond"/>
        </w:rPr>
        <w:t xml:space="preserve">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w:t>
      </w:r>
      <w:proofErr w:type="spellStart"/>
      <w:r w:rsidR="00B6216D" w:rsidRPr="00796A6C">
        <w:rPr>
          <w:rFonts w:ascii="Garamond" w:hAnsi="Garamond"/>
          <w:u w:val="single"/>
        </w:rPr>
        <w:t>Hy</w:t>
      </w:r>
      <w:proofErr w:type="spellEnd"/>
      <w:r w:rsidR="00B6216D" w:rsidRPr="00796A6C">
        <w:rPr>
          <w:rFonts w:ascii="Garamond" w:hAnsi="Garamond"/>
          <w:u w:val="single"/>
        </w:rPr>
        <w:t xml:space="preserve">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0C8241F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“Diário da Manhã”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w:t>
      </w:r>
      <w:proofErr w:type="spellStart"/>
      <w:r w:rsidR="00151FA0" w:rsidRPr="00796A6C">
        <w:rPr>
          <w:rFonts w:ascii="Garamond" w:hAnsi="Garamond"/>
        </w:rPr>
        <w:t>Hy</w:t>
      </w:r>
      <w:proofErr w:type="spellEnd"/>
      <w:r w:rsidR="00151FA0" w:rsidRPr="00796A6C">
        <w:rPr>
          <w:rFonts w:ascii="Garamond" w:hAnsi="Garamond"/>
        </w:rPr>
        <w:t xml:space="preserve"> Brazil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 xml:space="preserve">Jornais de Publicação de </w:t>
      </w:r>
      <w:proofErr w:type="spellStart"/>
      <w:r w:rsidR="00151FA0" w:rsidRPr="00796A6C">
        <w:rPr>
          <w:rFonts w:ascii="Garamond" w:hAnsi="Garamond"/>
          <w:u w:val="single"/>
        </w:rPr>
        <w:t>Hy</w:t>
      </w:r>
      <w:proofErr w:type="spellEnd"/>
      <w:r w:rsidR="00151FA0" w:rsidRPr="00796A6C">
        <w:rPr>
          <w:rFonts w:ascii="Garamond" w:hAnsi="Garamond"/>
          <w:u w:val="single"/>
        </w:rPr>
        <w:t xml:space="preserve"> Brazil,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5"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5"/>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w:t>
      </w:r>
      <w:r w:rsidRPr="00796A6C">
        <w:rPr>
          <w:rFonts w:ascii="Garamond" w:hAnsi="Garamond"/>
          <w:b w:val="0"/>
          <w:sz w:val="24"/>
        </w:rPr>
        <w:lastRenderedPageBreak/>
        <w:t>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6" w:name="_DV_M23"/>
      <w:bookmarkEnd w:id="6"/>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7" w:name="_DV_M39"/>
      <w:bookmarkStart w:id="8" w:name="_DV_M41"/>
      <w:bookmarkStart w:id="9" w:name="_DV_M42"/>
      <w:bookmarkStart w:id="10" w:name="_Ref447757275"/>
      <w:bookmarkEnd w:id="7"/>
      <w:bookmarkEnd w:id="8"/>
      <w:bookmarkEnd w:id="9"/>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0"/>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4CFEFC16" w:rsidR="00B255E9" w:rsidRDefault="00340C30" w:rsidP="00FF2624">
      <w:pPr>
        <w:pStyle w:val="Ttulo6"/>
        <w:widowControl w:val="0"/>
        <w:numPr>
          <w:ilvl w:val="2"/>
          <w:numId w:val="11"/>
        </w:numPr>
        <w:spacing w:line="320" w:lineRule="exact"/>
        <w:ind w:left="0" w:firstLine="0"/>
        <w:jc w:val="both"/>
      </w:pPr>
      <w:bookmarkStart w:id="11"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w:t>
      </w:r>
      <w:r w:rsidR="00B140C9">
        <w:rPr>
          <w:rFonts w:ascii="Garamond" w:hAnsi="Garamond"/>
          <w:b w:val="0"/>
          <w:sz w:val="24"/>
        </w:rPr>
        <w:t>s</w:t>
      </w:r>
      <w:r w:rsidRPr="00796A6C">
        <w:rPr>
          <w:rFonts w:ascii="Garamond" w:hAnsi="Garamond"/>
          <w:b w:val="0"/>
          <w:sz w:val="24"/>
        </w:rPr>
        <w:t xml:space="preserve"> Cidade</w:t>
      </w:r>
      <w:r w:rsidR="00B140C9">
        <w:rPr>
          <w:rFonts w:ascii="Garamond" w:hAnsi="Garamond"/>
          <w:b w:val="0"/>
          <w:sz w:val="24"/>
        </w:rPr>
        <w:t>s</w:t>
      </w:r>
      <w:r w:rsidRPr="00796A6C">
        <w:rPr>
          <w:rFonts w:ascii="Garamond" w:hAnsi="Garamond"/>
          <w:b w:val="0"/>
          <w:sz w:val="24"/>
        </w:rPr>
        <w:t xml:space="preserve"> de Belo Horizonte</w:t>
      </w:r>
      <w:r w:rsidR="00B140C9">
        <w:rPr>
          <w:rFonts w:ascii="Garamond" w:hAnsi="Garamond"/>
          <w:b w:val="0"/>
          <w:sz w:val="24"/>
        </w:rPr>
        <w:t xml:space="preserve"> e Nova Lima</w:t>
      </w:r>
      <w:r w:rsidRPr="00796A6C">
        <w:rPr>
          <w:rFonts w:ascii="Garamond" w:hAnsi="Garamond"/>
          <w:b w:val="0"/>
          <w:sz w:val="24"/>
        </w:rPr>
        <w:t xml:space="preserv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1"/>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2"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3" w:name="_DV_M43"/>
      <w:bookmarkEnd w:id="12"/>
      <w:bookmarkEnd w:id="13"/>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4"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4"/>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lastRenderedPageBreak/>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77777777"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 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5"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5"/>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6"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6"/>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7" w:name="_Ref451432350"/>
      <w:r w:rsidRPr="00FD0FDE">
        <w:rPr>
          <w:rFonts w:ascii="Garamond" w:hAnsi="Garamond"/>
          <w:sz w:val="24"/>
          <w:szCs w:val="24"/>
          <w:u w:val="single"/>
        </w:rPr>
        <w:t>Destinação dos Recursos</w:t>
      </w:r>
      <w:bookmarkEnd w:id="17"/>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18" w:name="_Ref447707067"/>
      <w:bookmarkStart w:id="19" w:name="_Ref523754083"/>
      <w:bookmarkStart w:id="20"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1"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2" w:name="_Ref526780676"/>
      <w:r w:rsidR="00721427" w:rsidRPr="001D20FE">
        <w:rPr>
          <w:rFonts w:ascii="Garamond" w:hAnsi="Garamond"/>
          <w:b w:val="0"/>
          <w:sz w:val="24"/>
        </w:rPr>
        <w:t>.</w:t>
      </w:r>
      <w:bookmarkEnd w:id="21"/>
      <w:bookmarkEnd w:id="22"/>
      <w:r w:rsidR="00E46F0B" w:rsidRPr="00182314">
        <w:rPr>
          <w:rFonts w:ascii="Garamond" w:hAnsi="Garamond"/>
          <w:b w:val="0"/>
          <w:sz w:val="24"/>
          <w:szCs w:val="24"/>
        </w:rPr>
        <w:t xml:space="preserve"> </w:t>
      </w:r>
    </w:p>
    <w:bookmarkEnd w:id="18"/>
    <w:bookmarkEnd w:id="19"/>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3" w:name="_DV_M71"/>
      <w:bookmarkStart w:id="24" w:name="_DV_M72"/>
      <w:bookmarkStart w:id="25" w:name="_DV_M75"/>
      <w:bookmarkStart w:id="26" w:name="_DV_M77"/>
      <w:bookmarkEnd w:id="20"/>
      <w:bookmarkEnd w:id="23"/>
      <w:bookmarkEnd w:id="24"/>
      <w:bookmarkEnd w:id="25"/>
      <w:bookmarkEnd w:id="26"/>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77777777"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27"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28"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r w:rsidRPr="00FD0FDE">
        <w:rPr>
          <w:rFonts w:ascii="Garamond" w:hAnsi="Garamond"/>
          <w:b w:val="0"/>
          <w:sz w:val="24"/>
          <w:szCs w:val="24"/>
        </w:rPr>
        <w:t>, conforme</w:t>
      </w:r>
      <w:bookmarkStart w:id="29" w:name="_DV_X82"/>
      <w:bookmarkStart w:id="30" w:name="_DV_C78"/>
      <w:bookmarkEnd w:id="28"/>
      <w:r w:rsidRPr="00FD0FDE">
        <w:rPr>
          <w:rFonts w:ascii="Garamond" w:hAnsi="Garamond"/>
          <w:b w:val="0"/>
          <w:sz w:val="24"/>
          <w:szCs w:val="24"/>
        </w:rPr>
        <w:t xml:space="preserve"> os termos e condições do </w:t>
      </w:r>
      <w:bookmarkEnd w:id="29"/>
      <w:bookmarkEnd w:id="30"/>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convalida 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1" w:name="_DV_M106"/>
      <w:bookmarkEnd w:id="31"/>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2" w:name="_Ref447706989"/>
      <w:bookmarkEnd w:id="27"/>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2"/>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 xml:space="preserve">por meio de lojas, escritórios ou estabelecimentos abertos </w:t>
      </w:r>
      <w:r w:rsidRPr="00FD0FDE">
        <w:rPr>
          <w:rFonts w:ascii="Garamond" w:hAnsi="Garamond"/>
          <w:b w:val="0"/>
          <w:sz w:val="24"/>
          <w:szCs w:val="24"/>
        </w:rPr>
        <w:lastRenderedPageBreak/>
        <w:t>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3" w:name="_DV_M187"/>
      <w:bookmarkStart w:id="34" w:name="_DV_M189"/>
      <w:bookmarkStart w:id="35" w:name="_DV_M190"/>
      <w:bookmarkStart w:id="36" w:name="_DV_M192"/>
      <w:bookmarkStart w:id="37" w:name="_DV_M193"/>
      <w:bookmarkStart w:id="38" w:name="_DV_M195"/>
      <w:bookmarkStart w:id="39" w:name="_DV_M196"/>
      <w:bookmarkStart w:id="40" w:name="_DV_M197"/>
      <w:bookmarkStart w:id="41" w:name="_DV_M198"/>
      <w:bookmarkStart w:id="42" w:name="_DV_M199"/>
      <w:bookmarkStart w:id="43" w:name="_DV_M202"/>
      <w:bookmarkStart w:id="44" w:name="_DV_M203"/>
      <w:bookmarkStart w:id="45" w:name="_DV_M204"/>
      <w:bookmarkStart w:id="46" w:name="_DV_M205"/>
      <w:bookmarkStart w:id="47" w:name="_DV_M206"/>
      <w:bookmarkStart w:id="48" w:name="_DV_M207"/>
      <w:bookmarkStart w:id="49" w:name="_DV_M208"/>
      <w:bookmarkStart w:id="50" w:name="_DV_M209"/>
      <w:bookmarkStart w:id="51" w:name="_DV_M210"/>
      <w:bookmarkStart w:id="52" w:name="_DV_M21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3" w:name="_DV_M213"/>
      <w:bookmarkStart w:id="54" w:name="_DV_M215"/>
      <w:bookmarkStart w:id="55" w:name="_DV_M216"/>
      <w:bookmarkStart w:id="56" w:name="_DV_M217"/>
      <w:bookmarkStart w:id="57" w:name="_DV_M218"/>
      <w:bookmarkStart w:id="58" w:name="_DV_M219"/>
      <w:bookmarkStart w:id="59" w:name="_DV_M220"/>
      <w:bookmarkStart w:id="60" w:name="_DV_M221"/>
      <w:bookmarkStart w:id="61" w:name="_DV_M325"/>
      <w:bookmarkStart w:id="62" w:name="_DV_M326"/>
      <w:bookmarkStart w:id="63" w:name="_DV_M333"/>
      <w:bookmarkEnd w:id="53"/>
      <w:bookmarkEnd w:id="54"/>
      <w:bookmarkEnd w:id="55"/>
      <w:bookmarkEnd w:id="56"/>
      <w:bookmarkEnd w:id="57"/>
      <w:bookmarkEnd w:id="58"/>
      <w:bookmarkEnd w:id="59"/>
      <w:bookmarkEnd w:id="60"/>
      <w:bookmarkEnd w:id="61"/>
      <w:bookmarkEnd w:id="62"/>
      <w:bookmarkEnd w:id="63"/>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 xml:space="preserve">pela </w:t>
      </w:r>
      <w:proofErr w:type="spellStart"/>
      <w:r w:rsidRPr="00FD3B47">
        <w:rPr>
          <w:rFonts w:ascii="Garamond" w:hAnsi="Garamond"/>
          <w:b w:val="0"/>
          <w:color w:val="000000"/>
          <w:sz w:val="24"/>
        </w:rPr>
        <w:t>Hy</w:t>
      </w:r>
      <w:proofErr w:type="spellEnd"/>
      <w:r w:rsidRPr="00FD3B47">
        <w:rPr>
          <w:rFonts w:ascii="Garamond" w:hAnsi="Garamond"/>
          <w:b w:val="0"/>
          <w:color w:val="000000"/>
          <w:sz w:val="24"/>
        </w:rPr>
        <w:t xml:space="preserve">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 xml:space="preserve">Emissora, que sejam ou venham a ser, a qualquer título, de titularidade da </w:t>
      </w:r>
      <w:proofErr w:type="spellStart"/>
      <w:r w:rsidR="00FF047D" w:rsidRPr="00FD0FDE">
        <w:rPr>
          <w:rFonts w:ascii="Garamond" w:hAnsi="Garamond"/>
          <w:b w:val="0"/>
          <w:color w:val="000000"/>
          <w:sz w:val="24"/>
          <w:szCs w:val="24"/>
        </w:rPr>
        <w:t>Hy</w:t>
      </w:r>
      <w:proofErr w:type="spellEnd"/>
      <w:r w:rsidR="00FF047D" w:rsidRPr="00FD0FDE">
        <w:rPr>
          <w:rFonts w:ascii="Garamond" w:hAnsi="Garamond"/>
          <w:b w:val="0"/>
          <w:color w:val="000000"/>
          <w:sz w:val="24"/>
          <w:szCs w:val="24"/>
        </w:rPr>
        <w:t xml:space="preserve"> Brazil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64"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lastRenderedPageBreak/>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64"/>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65" w:name="_Hlk532982141"/>
      <w:r w:rsidR="009875AB" w:rsidRPr="00FD0FDE">
        <w:rPr>
          <w:rFonts w:ascii="Garamond" w:hAnsi="Garamond"/>
          <w:b w:val="0"/>
          <w:color w:val="000000"/>
          <w:sz w:val="24"/>
          <w:szCs w:val="24"/>
          <w:u w:val="single"/>
        </w:rPr>
        <w:t>Contrato de Alienação Fiduciária de Ações</w:t>
      </w:r>
      <w:bookmarkEnd w:id="65"/>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5DF298CB"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lastRenderedPageBreak/>
        <w:t xml:space="preserve">cessão fiduciária, pela Emissora, em favor dos Debenturistas, representados pelo 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[R$500.000,00 (quinhentos mil reais)] considerado em operações individuais ou conjuntas para cada Controlada da Emissora, HB Esco e Vila Real</w:t>
      </w:r>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66"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66"/>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As Garantias Reais referidas acima serão outorgadas em caráter irrevogável e </w:t>
      </w:r>
      <w:r w:rsidRPr="00FD0FDE">
        <w:rPr>
          <w:rFonts w:ascii="Garamond" w:eastAsia="Arial Unicode MS" w:hAnsi="Garamond"/>
          <w:b w:val="0"/>
          <w:sz w:val="24"/>
          <w:szCs w:val="24"/>
        </w:rPr>
        <w:lastRenderedPageBreak/>
        <w:t>irretratável pela Emissora</w:t>
      </w:r>
      <w:r w:rsidR="001F258B">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Hy</w:t>
      </w:r>
      <w:proofErr w:type="spellEnd"/>
      <w:r w:rsidR="00CB6035">
        <w:rPr>
          <w:rFonts w:ascii="Garamond" w:eastAsia="Arial Unicode MS" w:hAnsi="Garamond"/>
          <w:b w:val="0"/>
          <w:sz w:val="24"/>
          <w:szCs w:val="24"/>
        </w:rPr>
        <w:t xml:space="preserve">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Hy</w:t>
      </w:r>
      <w:proofErr w:type="spellEnd"/>
      <w:r w:rsidR="00523F04">
        <w:rPr>
          <w:rFonts w:ascii="Garamond" w:eastAsia="Arial Unicode MS" w:hAnsi="Garamond"/>
          <w:b w:val="0"/>
          <w:sz w:val="24"/>
          <w:szCs w:val="24"/>
        </w:rPr>
        <w:t xml:space="preserve">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682DF0DC"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67"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r>
        <w:rPr>
          <w:rFonts w:ascii="Garamond" w:eastAsia="Arial Unicode MS" w:hAnsi="Garamond"/>
          <w:b w:val="0"/>
          <w:color w:val="000000"/>
          <w:sz w:val="24"/>
        </w:rPr>
        <w:t>[</w:t>
      </w:r>
      <w:r w:rsidRPr="00E9039A">
        <w:rPr>
          <w:rFonts w:ascii="Garamond" w:eastAsia="Arial Unicode MS" w:hAnsi="Garamond"/>
          <w:b w:val="0"/>
          <w:color w:val="000000"/>
          <w:sz w:val="24"/>
        </w:rPr>
        <w:t>I</w:t>
      </w:r>
      <w:r>
        <w:rPr>
          <w:rFonts w:ascii="Garamond" w:eastAsia="Arial Unicode MS" w:hAnsi="Garamond"/>
          <w:b w:val="0"/>
          <w:color w:val="000000"/>
          <w:sz w:val="24"/>
        </w:rPr>
        <w:t>/II]</w:t>
      </w:r>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r w:rsidRPr="00E9039A">
        <w:rPr>
          <w:rFonts w:ascii="Garamond" w:eastAsia="Arial Unicode MS" w:hAnsi="Garamond"/>
          <w:b w:val="0"/>
          <w:color w:val="000000"/>
          <w:sz w:val="24"/>
        </w:rPr>
        <w:t>.</w:t>
      </w:r>
      <w:bookmarkEnd w:id="67"/>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68" w:name="_DV_M311"/>
      <w:bookmarkStart w:id="69" w:name="_DV_M312"/>
      <w:bookmarkStart w:id="70" w:name="_DV_M315"/>
      <w:bookmarkStart w:id="71" w:name="_DV_M316"/>
      <w:bookmarkStart w:id="72" w:name="_DV_M317"/>
      <w:bookmarkStart w:id="73" w:name="_DV_M318"/>
      <w:bookmarkEnd w:id="68"/>
      <w:bookmarkEnd w:id="69"/>
      <w:bookmarkEnd w:id="70"/>
      <w:bookmarkEnd w:id="71"/>
      <w:bookmarkEnd w:id="72"/>
      <w:bookmarkEnd w:id="73"/>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74"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4"/>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t>O Cônjuge Anuente</w:t>
      </w:r>
      <w:r w:rsidR="002F3DDA" w:rsidRPr="003C30BF">
        <w:rPr>
          <w:rFonts w:ascii="Garamond" w:hAnsi="Garamond"/>
          <w:b w:val="0"/>
          <w:sz w:val="24"/>
        </w:rPr>
        <w:t xml:space="preserve"> autoriza o respectivo cônjuge a prestar a presente Fiança, nos 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75" w:name="_DV_M232"/>
      <w:bookmarkStart w:id="76" w:name="_DV_M233"/>
      <w:bookmarkStart w:id="77" w:name="_DV_M234"/>
      <w:bookmarkStart w:id="78" w:name="_DV_M236"/>
      <w:bookmarkStart w:id="79" w:name="_DV_M237"/>
      <w:bookmarkStart w:id="80" w:name="_DV_M238"/>
      <w:bookmarkStart w:id="81" w:name="_DV_M239"/>
      <w:bookmarkStart w:id="82" w:name="_DV_M240"/>
      <w:bookmarkStart w:id="83" w:name="_DV_M243"/>
      <w:bookmarkStart w:id="84" w:name="_DV_M244"/>
      <w:bookmarkStart w:id="85" w:name="_DV_M150"/>
      <w:bookmarkStart w:id="86" w:name="_DV_M152"/>
      <w:bookmarkStart w:id="87" w:name="_DV_M161"/>
      <w:bookmarkStart w:id="88" w:name="_DV_M162"/>
      <w:bookmarkStart w:id="89" w:name="_DV_M163"/>
      <w:bookmarkStart w:id="90" w:name="_DV_M160"/>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77777777"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C30D1A3"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w:t>
      </w:r>
      <w:r w:rsidR="00B140C9" w:rsidRPr="00851C04">
        <w:rPr>
          <w:rFonts w:ascii="Verdana" w:eastAsia="SimSun" w:hAnsi="Verdana" w:cs="Segoe UI"/>
          <w:b w:val="0"/>
          <w:bCs w:val="0"/>
        </w:rPr>
        <w:t xml:space="preserve"> </w:t>
      </w:r>
      <w:r w:rsidR="00B140C9">
        <w:rPr>
          <w:rFonts w:ascii="Garamond" w:hAnsi="Garamond"/>
          <w:b w:val="0"/>
          <w:sz w:val="24"/>
          <w:szCs w:val="24"/>
        </w:rPr>
        <w:t xml:space="preserve"> 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 xml:space="preserve">a ser convolada na espécie com garantia real,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77777777"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77777777"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lastRenderedPageBreak/>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91" w:name="_Ref447704460"/>
    </w:p>
    <w:bookmarkEnd w:id="91"/>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9">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1">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92" w:name="_DV_M176"/>
      <w:bookmarkStart w:id="93" w:name="_DV_M181"/>
      <w:bookmarkStart w:id="94" w:name="_DV_M182"/>
      <w:bookmarkStart w:id="95" w:name="_DV_C240"/>
      <w:bookmarkEnd w:id="92"/>
      <w:bookmarkEnd w:id="93"/>
      <w:bookmarkEnd w:id="94"/>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w:t>
      </w:r>
      <w:r w:rsidRPr="00576EA6">
        <w:rPr>
          <w:rFonts w:ascii="Garamond" w:hAnsi="Garamond"/>
          <w:b w:val="0"/>
          <w:bCs w:val="0"/>
          <w:sz w:val="24"/>
          <w:szCs w:val="24"/>
        </w:rPr>
        <w:lastRenderedPageBreak/>
        <w:t xml:space="preserve">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95"/>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7777777"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96"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009B7EFB" w:rsidRPr="009B7EFB">
        <w:rPr>
          <w:rFonts w:ascii="Garamond" w:hAnsi="Garamond"/>
          <w:b w:val="0"/>
          <w:color w:val="000000"/>
          <w:sz w:val="24"/>
          <w:szCs w:val="24"/>
        </w:rPr>
        <w:t>, 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t xml:space="preserve">Farão jus </w:t>
      </w:r>
      <w:r w:rsidR="00C37820" w:rsidRPr="00C37820">
        <w:rPr>
          <w:rFonts w:ascii="Garamond" w:hAnsi="Garamond"/>
          <w:b w:val="0"/>
          <w:color w:val="000000"/>
          <w:sz w:val="24"/>
          <w:szCs w:val="24"/>
        </w:rPr>
        <w:t>aos pagamentos das Debêntures aqueles que sejam Debenturistas ao final do Dia Útil anterior a respectiva data de pagamento previsto na Escritura de Emissão.</w:t>
      </w:r>
      <w:bookmarkEnd w:id="96"/>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77777777"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97"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w:t>
      </w:r>
      <w:r w:rsidRPr="00C37820">
        <w:rPr>
          <w:rFonts w:ascii="Garamond" w:hAnsi="Garamond"/>
          <w:b w:val="0"/>
          <w:color w:val="000000"/>
          <w:sz w:val="24"/>
          <w:szCs w:val="24"/>
        </w:rPr>
        <w:lastRenderedPageBreak/>
        <w:t xml:space="preserve">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97"/>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77777777" w:rsidR="00B140C9" w:rsidRPr="00FD0FDE" w:rsidRDefault="00B140C9" w:rsidP="00B140C9">
            <w:pPr>
              <w:widowControl w:val="0"/>
              <w:spacing w:line="320" w:lineRule="exact"/>
              <w:jc w:val="center"/>
              <w:rPr>
                <w:rFonts w:ascii="Garamond" w:hAnsi="Garamond" w:cs="Garamond"/>
                <w:color w:val="000000"/>
              </w:rPr>
            </w:pPr>
            <w:r>
              <w:rPr>
                <w:rFonts w:ascii="Garamond" w:hAnsi="Garamond"/>
                <w:color w:val="000000"/>
              </w:rPr>
              <w:t>[=]</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B140C9" w:rsidRPr="00FD0FDE" w14:paraId="75FFFF6F" w14:textId="77777777" w:rsidTr="00E16350">
        <w:trPr>
          <w:jc w:val="center"/>
        </w:trPr>
        <w:tc>
          <w:tcPr>
            <w:tcW w:w="955" w:type="pct"/>
            <w:vAlign w:val="center"/>
          </w:tcPr>
          <w:p w14:paraId="0B479A2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9888917" w14:textId="49388852"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3,9901%</w:t>
            </w:r>
          </w:p>
        </w:tc>
      </w:tr>
      <w:tr w:rsidR="00B140C9" w:rsidRPr="00FD0FDE" w14:paraId="37EF5DD4" w14:textId="77777777" w:rsidTr="00E16350">
        <w:trPr>
          <w:jc w:val="center"/>
        </w:trPr>
        <w:tc>
          <w:tcPr>
            <w:tcW w:w="955" w:type="pct"/>
          </w:tcPr>
          <w:p w14:paraId="78F73B7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82F4178" w14:textId="5E6646A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4,1559%</w:t>
            </w:r>
          </w:p>
        </w:tc>
      </w:tr>
      <w:tr w:rsidR="00B140C9" w:rsidRPr="00FD0FDE" w14:paraId="7079C995" w14:textId="77777777" w:rsidTr="00E16350">
        <w:trPr>
          <w:jc w:val="center"/>
        </w:trPr>
        <w:tc>
          <w:tcPr>
            <w:tcW w:w="955" w:type="pct"/>
          </w:tcPr>
          <w:p w14:paraId="74EF618F"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79C40827" w14:textId="4D96BC1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4,3361%</w:t>
            </w:r>
          </w:p>
        </w:tc>
      </w:tr>
      <w:tr w:rsidR="00B140C9" w:rsidRPr="00FD0FDE" w14:paraId="37A719F1" w14:textId="77777777" w:rsidTr="00E16350">
        <w:trPr>
          <w:jc w:val="center"/>
        </w:trPr>
        <w:tc>
          <w:tcPr>
            <w:tcW w:w="955" w:type="pct"/>
          </w:tcPr>
          <w:p w14:paraId="0B375E6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B5F720D" w14:textId="4CF0129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5,2202%</w:t>
            </w:r>
          </w:p>
        </w:tc>
      </w:tr>
      <w:tr w:rsidR="00B140C9" w:rsidRPr="00FD0FDE" w14:paraId="0CCA6B75" w14:textId="77777777" w:rsidTr="00E16350">
        <w:trPr>
          <w:jc w:val="center"/>
        </w:trPr>
        <w:tc>
          <w:tcPr>
            <w:tcW w:w="955" w:type="pct"/>
          </w:tcPr>
          <w:p w14:paraId="209AF56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BE21EF4" w14:textId="49A22F61"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5,5077%</w:t>
            </w:r>
          </w:p>
        </w:tc>
      </w:tr>
      <w:tr w:rsidR="00B140C9" w:rsidRPr="00FD0FDE" w14:paraId="1EF05CF5" w14:textId="77777777" w:rsidTr="00E16350">
        <w:trPr>
          <w:jc w:val="center"/>
        </w:trPr>
        <w:tc>
          <w:tcPr>
            <w:tcW w:w="955" w:type="pct"/>
          </w:tcPr>
          <w:p w14:paraId="4C8921C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61B2AEFF" w14:textId="20F8836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5,8287%</w:t>
            </w:r>
          </w:p>
        </w:tc>
      </w:tr>
      <w:tr w:rsidR="00B140C9" w:rsidRPr="00FD0FDE" w14:paraId="4F9550FF" w14:textId="77777777" w:rsidTr="00E16350">
        <w:trPr>
          <w:jc w:val="center"/>
        </w:trPr>
        <w:tc>
          <w:tcPr>
            <w:tcW w:w="955" w:type="pct"/>
          </w:tcPr>
          <w:p w14:paraId="062AE133"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3E9E8D0" w14:textId="11D1A9F5"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6,1895%</w:t>
            </w:r>
          </w:p>
        </w:tc>
      </w:tr>
      <w:tr w:rsidR="00B140C9" w:rsidRPr="00FD0FDE" w14:paraId="71E5527F" w14:textId="77777777" w:rsidTr="00E16350">
        <w:trPr>
          <w:jc w:val="center"/>
        </w:trPr>
        <w:tc>
          <w:tcPr>
            <w:tcW w:w="955" w:type="pct"/>
          </w:tcPr>
          <w:p w14:paraId="2E5133E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6C44058" w14:textId="31006A0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7,4654%</w:t>
            </w:r>
          </w:p>
        </w:tc>
      </w:tr>
      <w:tr w:rsidR="00B140C9" w:rsidRPr="00FD0FDE" w14:paraId="44064447" w14:textId="77777777" w:rsidTr="00E16350">
        <w:trPr>
          <w:jc w:val="center"/>
        </w:trPr>
        <w:tc>
          <w:tcPr>
            <w:tcW w:w="955" w:type="pct"/>
          </w:tcPr>
          <w:p w14:paraId="059ACCE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39887BE8" w14:textId="7555EF9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8,0676%</w:t>
            </w:r>
          </w:p>
        </w:tc>
      </w:tr>
      <w:tr w:rsidR="00B140C9" w:rsidRPr="00FD0FDE" w14:paraId="3FBD7877" w14:textId="77777777" w:rsidTr="00E16350">
        <w:trPr>
          <w:jc w:val="center"/>
        </w:trPr>
        <w:tc>
          <w:tcPr>
            <w:tcW w:w="955" w:type="pct"/>
          </w:tcPr>
          <w:p w14:paraId="3F763F3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5ECFD48" w14:textId="2F742F37"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8,7756%</w:t>
            </w:r>
          </w:p>
        </w:tc>
      </w:tr>
      <w:tr w:rsidR="00B140C9" w:rsidRPr="00FD0FDE" w14:paraId="5D0880ED" w14:textId="77777777" w:rsidTr="00E16350">
        <w:trPr>
          <w:jc w:val="center"/>
        </w:trPr>
        <w:tc>
          <w:tcPr>
            <w:tcW w:w="955" w:type="pct"/>
          </w:tcPr>
          <w:p w14:paraId="62C347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D875D06" w14:textId="2C7F13B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9,6198%</w:t>
            </w:r>
          </w:p>
        </w:tc>
      </w:tr>
      <w:tr w:rsidR="00B140C9" w:rsidRPr="00FD0FDE" w14:paraId="52B252ED" w14:textId="77777777" w:rsidTr="00E16350">
        <w:trPr>
          <w:jc w:val="center"/>
        </w:trPr>
        <w:tc>
          <w:tcPr>
            <w:tcW w:w="955" w:type="pct"/>
          </w:tcPr>
          <w:p w14:paraId="2A46E475"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950FACD" w14:textId="6929558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11,8805%</w:t>
            </w:r>
          </w:p>
        </w:tc>
      </w:tr>
      <w:tr w:rsidR="00B140C9" w:rsidRPr="00FD0FDE" w14:paraId="1A913668" w14:textId="77777777" w:rsidTr="00E16350">
        <w:trPr>
          <w:jc w:val="center"/>
        </w:trPr>
        <w:tc>
          <w:tcPr>
            <w:tcW w:w="955" w:type="pct"/>
          </w:tcPr>
          <w:p w14:paraId="1E2440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42CF021F" w14:textId="6BAE230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13,4823%</w:t>
            </w:r>
          </w:p>
        </w:tc>
      </w:tr>
      <w:tr w:rsidR="00B140C9" w:rsidRPr="00FD0FDE" w14:paraId="707F19A3" w14:textId="77777777" w:rsidTr="00E16350">
        <w:trPr>
          <w:jc w:val="center"/>
        </w:trPr>
        <w:tc>
          <w:tcPr>
            <w:tcW w:w="955" w:type="pct"/>
          </w:tcPr>
          <w:p w14:paraId="4FE0F0C6"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77777777" w:rsidR="00B140C9" w:rsidRPr="00FD0FDE" w:rsidRDefault="00B140C9" w:rsidP="00B140C9">
            <w:pPr>
              <w:widowControl w:val="0"/>
              <w:spacing w:line="320" w:lineRule="exact"/>
              <w:jc w:val="center"/>
              <w:rPr>
                <w:rFonts w:ascii="Garamond" w:hAnsi="Garamond" w:cs="Garamond"/>
                <w:color w:val="000000"/>
                <w:highlight w:val="yellow"/>
              </w:rPr>
            </w:pPr>
            <w:r w:rsidRPr="006A3E15">
              <w:rPr>
                <w:rFonts w:ascii="Garamond" w:hAnsi="Garamond"/>
                <w:color w:val="000000"/>
              </w:rPr>
              <w:t>[=]</w:t>
            </w:r>
          </w:p>
        </w:tc>
        <w:tc>
          <w:tcPr>
            <w:tcW w:w="2284" w:type="pct"/>
            <w:vAlign w:val="bottom"/>
          </w:tcPr>
          <w:p w14:paraId="215261D0" w14:textId="3F17B71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15,5833%</w:t>
            </w:r>
          </w:p>
        </w:tc>
      </w:tr>
      <w:tr w:rsidR="00B140C9" w:rsidRPr="00FD0FDE" w14:paraId="1B1420D7" w14:textId="77777777" w:rsidTr="00E16350">
        <w:trPr>
          <w:jc w:val="center"/>
        </w:trPr>
        <w:tc>
          <w:tcPr>
            <w:tcW w:w="955" w:type="pct"/>
          </w:tcPr>
          <w:p w14:paraId="57078171"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14A510D" w14:textId="47B50AF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18,4600%</w:t>
            </w:r>
          </w:p>
        </w:tc>
      </w:tr>
      <w:tr w:rsidR="00B140C9" w:rsidRPr="00FD0FDE" w14:paraId="6CE76B83" w14:textId="77777777" w:rsidTr="00E16350">
        <w:trPr>
          <w:jc w:val="center"/>
        </w:trPr>
        <w:tc>
          <w:tcPr>
            <w:tcW w:w="955" w:type="pct"/>
          </w:tcPr>
          <w:p w14:paraId="6E3C85A9"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D94B4C3" w14:textId="6E58C7D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25,0000%</w:t>
            </w:r>
          </w:p>
        </w:tc>
      </w:tr>
      <w:tr w:rsidR="00B140C9" w:rsidRPr="00FD0FDE" w14:paraId="397544AA" w14:textId="77777777" w:rsidTr="00E16350">
        <w:trPr>
          <w:jc w:val="center"/>
        </w:trPr>
        <w:tc>
          <w:tcPr>
            <w:tcW w:w="955" w:type="pct"/>
          </w:tcPr>
          <w:p w14:paraId="05147628"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596CAEA8" w14:textId="5EBC173A"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33,3333%</w:t>
            </w:r>
          </w:p>
        </w:tc>
      </w:tr>
      <w:tr w:rsidR="00B140C9" w:rsidRPr="00FD0FDE" w14:paraId="59403821" w14:textId="77777777" w:rsidTr="00E16350">
        <w:trPr>
          <w:jc w:val="center"/>
        </w:trPr>
        <w:tc>
          <w:tcPr>
            <w:tcW w:w="955" w:type="pct"/>
          </w:tcPr>
          <w:p w14:paraId="62D7FB3B"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3D3390C" w14:textId="0DE5794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98" w:name="_Toc499990356"/>
      <w:r w:rsidRPr="00634E37">
        <w:rPr>
          <w:rFonts w:ascii="Garamond" w:hAnsi="Garamond"/>
          <w:b w:val="0"/>
          <w:i/>
          <w:sz w:val="24"/>
          <w:u w:val="single"/>
        </w:rPr>
        <w:t>Local de Pagamento</w:t>
      </w:r>
      <w:bookmarkEnd w:id="98"/>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99" w:name="_DV_M188"/>
      <w:bookmarkStart w:id="100" w:name="_Toc499990357"/>
      <w:bookmarkEnd w:id="99"/>
      <w:r w:rsidRPr="00634E37">
        <w:rPr>
          <w:rFonts w:ascii="Garamond" w:hAnsi="Garamond"/>
          <w:b w:val="0"/>
          <w:i/>
          <w:sz w:val="24"/>
          <w:u w:val="single"/>
        </w:rPr>
        <w:t>Prorrogação dos Prazos</w:t>
      </w:r>
      <w:bookmarkEnd w:id="100"/>
      <w:r w:rsidR="00C37820" w:rsidRPr="00BC571D">
        <w:rPr>
          <w:rFonts w:ascii="Garamond" w:hAnsi="Garamond"/>
          <w:b w:val="0"/>
          <w:sz w:val="24"/>
          <w:szCs w:val="24"/>
        </w:rPr>
        <w:t xml:space="preserve">: </w:t>
      </w:r>
      <w:r w:rsidR="00C37820" w:rsidRPr="00BC571D">
        <w:rPr>
          <w:rFonts w:ascii="Garamond" w:hAnsi="Garamond"/>
          <w:b w:val="0"/>
          <w:iCs/>
          <w:sz w:val="24"/>
          <w:szCs w:val="24"/>
        </w:rPr>
        <w:t xml:space="preserve">Considerar-se-ão prorrogados os prazos referentes ao pagamento </w:t>
      </w:r>
      <w:r w:rsidR="00C37820" w:rsidRPr="00BC571D">
        <w:rPr>
          <w:rFonts w:ascii="Garamond" w:hAnsi="Garamond"/>
          <w:b w:val="0"/>
          <w:iCs/>
          <w:sz w:val="24"/>
          <w:szCs w:val="24"/>
        </w:rPr>
        <w:lastRenderedPageBreak/>
        <w:t>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01" w:name="_Toc499990358"/>
      <w:r w:rsidRPr="00CB4CE5">
        <w:rPr>
          <w:rFonts w:ascii="Garamond" w:hAnsi="Garamond"/>
          <w:b w:val="0"/>
          <w:bCs w:val="0"/>
          <w:i/>
          <w:sz w:val="24"/>
          <w:szCs w:val="24"/>
          <w:u w:val="single"/>
        </w:rPr>
        <w:t>Encargos Moratórios</w:t>
      </w:r>
      <w:bookmarkEnd w:id="101"/>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02" w:name="_DV_M194"/>
      <w:bookmarkStart w:id="103" w:name="_Toc499990359"/>
      <w:bookmarkEnd w:id="102"/>
      <w:r w:rsidRPr="00634E37">
        <w:rPr>
          <w:rFonts w:ascii="Garamond" w:hAnsi="Garamond"/>
          <w:b w:val="0"/>
          <w:i/>
          <w:sz w:val="24"/>
          <w:u w:val="single"/>
        </w:rPr>
        <w:t>Decadência dos Direitos aos Acréscimos</w:t>
      </w:r>
      <w:bookmarkEnd w:id="103"/>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w:t>
      </w:r>
      <w:r w:rsidRPr="00FF047D">
        <w:rPr>
          <w:rFonts w:ascii="Garamond" w:hAnsi="Garamond"/>
          <w:b w:val="0"/>
          <w:iCs/>
          <w:sz w:val="24"/>
          <w:szCs w:val="24"/>
          <w:lang w:val="pt-PT"/>
        </w:rPr>
        <w:lastRenderedPageBreak/>
        <w:t>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77777777"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r w:rsidR="00DF734B" w:rsidRPr="00576EA6">
        <w:rPr>
          <w:rFonts w:ascii="Garamond" w:hAnsi="Garamond" w:cs="Tahoma"/>
          <w:b w:val="0"/>
          <w:sz w:val="24"/>
          <w:szCs w:val="24"/>
        </w:rPr>
        <w:t xml:space="preserve"> 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419248EA"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w:t>
      </w:r>
      <w:r w:rsidRPr="00576EA6">
        <w:rPr>
          <w:rFonts w:ascii="Garamond" w:hAnsi="Garamond"/>
          <w:b w:val="0"/>
          <w:sz w:val="24"/>
          <w:szCs w:val="24"/>
        </w:rPr>
        <w:lastRenderedPageBreak/>
        <w:t xml:space="preserve">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77777777"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 xml:space="preserve">A Emissora realizará a Oferta de Resgate Antecipado por meio de comunicação individual enviada aos Debenturistas, com cópia para o Agente Fiduciário, ou publicação de </w:t>
      </w:r>
      <w:r w:rsidRPr="00576EA6">
        <w:rPr>
          <w:rFonts w:ascii="Garamond" w:hAnsi="Garamond"/>
          <w:b w:val="0"/>
          <w:sz w:val="24"/>
          <w:szCs w:val="24"/>
        </w:rPr>
        <w:lastRenderedPageBreak/>
        <w:t>anúncio,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0E611760"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04"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04"/>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B3 e a ANBIMA deverão ser notificadas pela Emissora sobre a realização de resgate antecipado proveniente da Oferta de Resgate Antecipado com antecedência mínima de 3 (três) </w:t>
      </w:r>
      <w:r w:rsidRPr="00576EA6">
        <w:rPr>
          <w:rFonts w:ascii="Garamond" w:hAnsi="Garamond" w:cs="Tahoma"/>
          <w:b w:val="0"/>
          <w:bCs w:val="0"/>
          <w:sz w:val="24"/>
          <w:szCs w:val="24"/>
        </w:rPr>
        <w:lastRenderedPageBreak/>
        <w:t>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05" w:name="_DV_M212"/>
      <w:bookmarkEnd w:id="105"/>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06"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da 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06"/>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07" w:name="_Ref526162235"/>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07"/>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xml:space="preserve">, não sanado no prazo de 1 (um) Dia Útil </w:t>
      </w:r>
      <w:r w:rsidR="00CC371A" w:rsidRPr="00F028FF">
        <w:rPr>
          <w:rFonts w:ascii="Garamond" w:hAnsi="Garamond"/>
          <w:sz w:val="24"/>
          <w:szCs w:val="24"/>
        </w:rPr>
        <w:lastRenderedPageBreak/>
        <w:t>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5CC11786"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08"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r w:rsidR="008356F1">
        <w:rPr>
          <w:rFonts w:ascii="Garamond" w:hAnsi="Garamond"/>
          <w:sz w:val="24"/>
        </w:rPr>
        <w:t xml:space="preserve">da </w:t>
      </w:r>
      <w:proofErr w:type="spellStart"/>
      <w:r w:rsidR="008356F1">
        <w:rPr>
          <w:rFonts w:ascii="Garamond" w:hAnsi="Garamond"/>
          <w:sz w:val="24"/>
        </w:rPr>
        <w:t>Hy</w:t>
      </w:r>
      <w:proofErr w:type="spellEnd"/>
      <w:r w:rsidR="008356F1">
        <w:rPr>
          <w:rFonts w:ascii="Garamond" w:hAnsi="Garamond"/>
          <w:sz w:val="24"/>
        </w:rPr>
        <w:t xml:space="preserve"> Brazil, </w:t>
      </w:r>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08"/>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09" w:name="_Hlk526155053"/>
      <w:bookmarkStart w:id="110"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4CFFEACC"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lastRenderedPageBreak/>
        <w:t xml:space="preserve">assunção do controle (conforme definição de controle prevista no artigo 116 </w:t>
      </w:r>
      <w:bookmarkStart w:id="111"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11"/>
      <w:r w:rsidR="0040636B">
        <w:rPr>
          <w:rFonts w:ascii="Garamond" w:hAnsi="Garamond"/>
          <w:sz w:val="24"/>
          <w:szCs w:val="24"/>
        </w:rPr>
        <w:t xml:space="preserve">, exceto pela </w:t>
      </w:r>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exclusiva de seus respectivos herdeiros</w:t>
      </w:r>
      <w:r w:rsidR="008250CE">
        <w:rPr>
          <w:rFonts w:ascii="Garamond" w:hAnsi="Garamond"/>
          <w:sz w:val="24"/>
          <w:szCs w:val="24"/>
        </w:rPr>
        <w:t xml:space="preserve"> aqui mencionados</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09"/>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10"/>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182ABFF3"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C17B0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5E6A296A"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C17B07">
        <w:rPr>
          <w:rFonts w:ascii="Garamond" w:hAnsi="Garamond"/>
          <w:sz w:val="24"/>
          <w:szCs w:val="24"/>
        </w:rPr>
        <w:t>(</w:t>
      </w:r>
      <w:proofErr w:type="spellStart"/>
      <w:r w:rsidR="00C17B07">
        <w:rPr>
          <w:rFonts w:ascii="Garamond" w:hAnsi="Garamond"/>
          <w:sz w:val="24"/>
          <w:szCs w:val="24"/>
        </w:rPr>
        <w:t>vii</w:t>
      </w:r>
      <w:proofErr w:type="spellEnd"/>
      <w:r w:rsidR="00C17B0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xml:space="preserve">, de quaisquer termos e </w:t>
      </w:r>
      <w:r w:rsidRPr="00FD0FDE">
        <w:rPr>
          <w:rFonts w:ascii="Garamond" w:hAnsi="Garamond"/>
          <w:sz w:val="24"/>
          <w:szCs w:val="24"/>
        </w:rPr>
        <w:lastRenderedPageBreak/>
        <w:t>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0F06DFA3"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xml:space="preserve">)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 exclusivamente para fins de remeter recursos oriundos da Emissão para a </w:t>
      </w:r>
      <w:proofErr w:type="spellStart"/>
      <w:r w:rsidR="00115173">
        <w:rPr>
          <w:rFonts w:ascii="Garamond" w:hAnsi="Garamond"/>
          <w:sz w:val="24"/>
          <w:szCs w:val="24"/>
        </w:rPr>
        <w:t>Hy</w:t>
      </w:r>
      <w:proofErr w:type="spellEnd"/>
      <w:r w:rsidR="00115173">
        <w:rPr>
          <w:rFonts w:ascii="Garamond" w:hAnsi="Garamond"/>
          <w:sz w:val="24"/>
          <w:szCs w:val="24"/>
        </w:rPr>
        <w:t xml:space="preserve"> Brazil para [incluir destinação]</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12"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12"/>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08089E17" w14:textId="5EC4D2DA" w:rsidR="00CF0A09" w:rsidRPr="00FD0FDE"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Emissora, Controladas,</w:t>
      </w:r>
      <w:r w:rsidR="00013026">
        <w:rPr>
          <w:rFonts w:ascii="Garamond" w:hAnsi="Garamond"/>
          <w:sz w:val="24"/>
          <w:szCs w:val="24"/>
        </w:rPr>
        <w:t xml:space="preserve"> </w:t>
      </w:r>
      <w:proofErr w:type="spellStart"/>
      <w:r w:rsidR="00013026">
        <w:rPr>
          <w:rFonts w:ascii="Garamond" w:hAnsi="Garamond"/>
          <w:sz w:val="24"/>
          <w:szCs w:val="24"/>
        </w:rPr>
        <w:t>Hy</w:t>
      </w:r>
      <w:proofErr w:type="spellEnd"/>
      <w:r w:rsidR="00013026">
        <w:rPr>
          <w:rFonts w:ascii="Garamond" w:hAnsi="Garamond"/>
          <w:sz w:val="24"/>
          <w:szCs w:val="24"/>
        </w:rPr>
        <w:t xml:space="preserve"> Brazil, </w:t>
      </w:r>
      <w:r w:rsidR="00D746A3">
        <w:rPr>
          <w:rFonts w:ascii="Garamond" w:hAnsi="Garamond"/>
          <w:sz w:val="24"/>
          <w:szCs w:val="24"/>
        </w:rPr>
        <w:t xml:space="preserve">da </w:t>
      </w:r>
      <w:r w:rsidR="00013026">
        <w:rPr>
          <w:rFonts w:ascii="Garamond" w:hAnsi="Garamond"/>
          <w:sz w:val="24"/>
          <w:szCs w:val="24"/>
        </w:rPr>
        <w:t>Mau</w:t>
      </w:r>
      <w:r w:rsidR="00013026" w:rsidRPr="00E47295">
        <w:rPr>
          <w:rFonts w:ascii="Garamond" w:hAnsi="Garamond"/>
          <w:sz w:val="24"/>
          <w:szCs w:val="24"/>
        </w:rPr>
        <w:t>á</w:t>
      </w:r>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w:t>
      </w:r>
      <w:proofErr w:type="spellStart"/>
      <w:r w:rsidRPr="00A143D7">
        <w:rPr>
          <w:rFonts w:ascii="Garamond" w:hAnsi="Garamond"/>
          <w:sz w:val="24"/>
        </w:rPr>
        <w:t>Hy</w:t>
      </w:r>
      <w:proofErr w:type="spellEnd"/>
      <w:r w:rsidRPr="00A143D7">
        <w:rPr>
          <w:rFonts w:ascii="Garamond" w:hAnsi="Garamond"/>
          <w:sz w:val="24"/>
        </w:rPr>
        <w:t xml:space="preserve"> Brazil,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w:t>
      </w:r>
      <w:r w:rsidRPr="00472C4A">
        <w:rPr>
          <w:rFonts w:ascii="Garamond" w:hAnsi="Garamond"/>
          <w:sz w:val="24"/>
        </w:rPr>
        <w:lastRenderedPageBreak/>
        <w:t>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lastRenderedPageBreak/>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atividades novos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Brazil</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13"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13"/>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Brazil,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w:t>
      </w:r>
      <w:r w:rsidRPr="0081353E">
        <w:rPr>
          <w:rFonts w:ascii="Garamond" w:hAnsi="Garamond"/>
          <w:sz w:val="24"/>
          <w:szCs w:val="24"/>
        </w:rPr>
        <w:lastRenderedPageBreak/>
        <w:t xml:space="preserve">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77777777" w:rsidR="00BB4268" w:rsidRDefault="00BB4268" w:rsidP="00BB4268">
      <w:pPr>
        <w:pStyle w:val="PargrafodaLista"/>
        <w:rPr>
          <w:rFonts w:ascii="Garamond" w:hAnsi="Garamond" w:cs="Tahoma"/>
        </w:rPr>
      </w:pPr>
    </w:p>
    <w:p w14:paraId="16CBE11E" w14:textId="30C15232"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w:t>
      </w:r>
      <w:proofErr w:type="spellStart"/>
      <w:r>
        <w:rPr>
          <w:rFonts w:ascii="Garamond" w:hAnsi="Garamond" w:cs="Tahoma"/>
          <w:sz w:val="24"/>
          <w:szCs w:val="24"/>
        </w:rPr>
        <w:t>Hy</w:t>
      </w:r>
      <w:proofErr w:type="spellEnd"/>
      <w:r>
        <w:rPr>
          <w:rFonts w:ascii="Garamond" w:hAnsi="Garamond" w:cs="Tahoma"/>
          <w:sz w:val="24"/>
          <w:szCs w:val="24"/>
        </w:rPr>
        <w:t xml:space="preserve"> Brazil em garantia de obrigações assumidas por terceiros que não sejam pertencentes ao Grupo Econômico do </w:t>
      </w:r>
      <w:proofErr w:type="spellStart"/>
      <w:r>
        <w:rPr>
          <w:rFonts w:ascii="Garamond" w:hAnsi="Garamond" w:cs="Tahoma"/>
          <w:sz w:val="24"/>
          <w:szCs w:val="24"/>
        </w:rPr>
        <w:t>Hy</w:t>
      </w:r>
      <w:proofErr w:type="spellEnd"/>
      <w:r>
        <w:rPr>
          <w:rFonts w:ascii="Garamond" w:hAnsi="Garamond" w:cs="Tahoma"/>
          <w:sz w:val="24"/>
          <w:szCs w:val="24"/>
        </w:rPr>
        <w:t xml:space="preserve"> Brazil,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w:t>
      </w:r>
      <w:r w:rsidRPr="00D20F36">
        <w:rPr>
          <w:rFonts w:ascii="Garamond" w:hAnsi="Garamond" w:cs="Tahoma"/>
          <w:sz w:val="24"/>
          <w:szCs w:val="24"/>
        </w:rPr>
        <w:lastRenderedPageBreak/>
        <w:t xml:space="preserve">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7F03DBE5"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observado que, para fins do exercício social encerrado em 31 de dezembro de 2022, as despesas relativas à 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4A67796F"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[incluir sociedade do grupo que presta serviços de O&amp;M]</w:t>
      </w:r>
      <w:r>
        <w:rPr>
          <w:rFonts w:ascii="Garamond" w:hAnsi="Garamond"/>
          <w:sz w:val="24"/>
          <w:szCs w:val="24"/>
        </w:rPr>
        <w:t xml:space="preserve"> </w:t>
      </w:r>
      <w:r w:rsidR="00D44621">
        <w:rPr>
          <w:rFonts w:ascii="Garamond" w:hAnsi="Garamond"/>
          <w:sz w:val="24"/>
          <w:szCs w:val="24"/>
        </w:rPr>
        <w:t xml:space="preserve">ou, ainda, quaisquer terceiros fora do Grupo Econômico da </w:t>
      </w:r>
      <w:proofErr w:type="spellStart"/>
      <w:r w:rsidR="00D44621">
        <w:rPr>
          <w:rFonts w:ascii="Garamond" w:hAnsi="Garamond"/>
          <w:sz w:val="24"/>
          <w:szCs w:val="24"/>
        </w:rPr>
        <w:t>Hy</w:t>
      </w:r>
      <w:proofErr w:type="spellEnd"/>
      <w:r w:rsidR="00D44621">
        <w:rPr>
          <w:rFonts w:ascii="Garamond" w:hAnsi="Garamond"/>
          <w:sz w:val="24"/>
          <w:szCs w:val="24"/>
        </w:rPr>
        <w:t xml:space="preserve"> Brazil, em valor igual ou superior a R$3.500.000,00 (três milhões e quinhentos mil reais), atualizados anualmente, a partir da Data de Emissão, pela variação positiva do IPCA,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14" w:name="_Hlk526416047"/>
    </w:p>
    <w:p w14:paraId="2D8A50DA" w14:textId="1D284DBA"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ou com o objetivo de expansão na Emissora,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 xml:space="preserve">igual ou superior a </w:t>
      </w:r>
      <w:r w:rsidR="006957CE">
        <w:rPr>
          <w:rFonts w:ascii="Garamond" w:hAnsi="Garamond" w:cs="Tahoma"/>
          <w:sz w:val="24"/>
          <w:szCs w:val="24"/>
        </w:rPr>
        <w:t>[</w:t>
      </w:r>
      <w:r w:rsidR="008727E0" w:rsidRPr="0033536C">
        <w:rPr>
          <w:rFonts w:ascii="Garamond" w:hAnsi="Garamond" w:cs="Tahoma"/>
          <w:sz w:val="24"/>
          <w:szCs w:val="24"/>
        </w:rPr>
        <w:t>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w:t>
      </w:r>
      <w:r w:rsidR="006957CE">
        <w:rPr>
          <w:rFonts w:ascii="Garamond" w:hAnsi="Garamond" w:cs="Tahoma"/>
          <w:sz w:val="24"/>
          <w:szCs w:val="24"/>
        </w:rPr>
        <w:t>]</w:t>
      </w:r>
      <w:r w:rsidR="008727E0" w:rsidRPr="0033536C">
        <w:rPr>
          <w:rFonts w:ascii="Garamond" w:hAnsi="Garamond" w:cs="Tahoma"/>
          <w:sz w:val="24"/>
          <w:szCs w:val="24"/>
        </w:rPr>
        <w:t>,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14"/>
      <w:r w:rsidR="00DA47B4" w:rsidRPr="00FA184F">
        <w:rPr>
          <w:rFonts w:ascii="Garamond" w:hAnsi="Garamond"/>
          <w:sz w:val="24"/>
          <w:szCs w:val="24"/>
        </w:rPr>
        <w:t xml:space="preserve"> </w:t>
      </w:r>
      <w:r w:rsidR="00D44621">
        <w:rPr>
          <w:rFonts w:ascii="Garamond" w:hAnsi="Garamond"/>
          <w:sz w:val="24"/>
          <w:szCs w:val="24"/>
        </w:rPr>
        <w:t>[</w:t>
      </w:r>
      <w:proofErr w:type="spellStart"/>
      <w:r w:rsidR="00D44621" w:rsidRPr="00CF7D6C">
        <w:rPr>
          <w:rFonts w:ascii="Garamond" w:hAnsi="Garamond"/>
          <w:sz w:val="24"/>
          <w:szCs w:val="24"/>
          <w:highlight w:val="yellow"/>
        </w:rPr>
        <w:t>Threshold</w:t>
      </w:r>
      <w:proofErr w:type="spellEnd"/>
      <w:r w:rsidR="00D44621" w:rsidRPr="00CF7D6C">
        <w:rPr>
          <w:rFonts w:ascii="Garamond" w:hAnsi="Garamond"/>
          <w:sz w:val="24"/>
          <w:szCs w:val="24"/>
          <w:highlight w:val="yellow"/>
        </w:rPr>
        <w:t xml:space="preserve"> em validação</w:t>
      </w:r>
      <w:r w:rsidR="00D44621">
        <w:rPr>
          <w:rFonts w:ascii="Garamond" w:hAnsi="Garamond"/>
          <w:sz w:val="24"/>
          <w:szCs w:val="24"/>
        </w:rPr>
        <w:t>]</w:t>
      </w:r>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lastRenderedPageBreak/>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7180D824"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w:t>
      </w:r>
      <w:r w:rsidRPr="00FD0FDE">
        <w:rPr>
          <w:rFonts w:ascii="Garamond" w:hAnsi="Garamond" w:cs="Tahoma"/>
          <w:sz w:val="24"/>
          <w:szCs w:val="24"/>
        </w:rPr>
        <w:lastRenderedPageBreak/>
        <w:t xml:space="preserve">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w:t>
      </w:r>
      <w:proofErr w:type="spellStart"/>
      <w:r w:rsidR="00E100BB">
        <w:rPr>
          <w:rFonts w:ascii="Garamond" w:hAnsi="Garamond"/>
          <w:sz w:val="24"/>
          <w:szCs w:val="24"/>
        </w:rPr>
        <w:t>Hy</w:t>
      </w:r>
      <w:proofErr w:type="spellEnd"/>
      <w:r w:rsidR="00E100BB">
        <w:rPr>
          <w:rFonts w:ascii="Garamond" w:hAnsi="Garamond"/>
          <w:sz w:val="24"/>
          <w:szCs w:val="24"/>
        </w:rPr>
        <w:t xml:space="preserve">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3BB8ED62"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As Controladas</w:t>
      </w:r>
      <w:r w:rsidR="00376C2E">
        <w:rPr>
          <w:rFonts w:ascii="Garamond" w:hAnsi="Garamond"/>
          <w:sz w:val="24"/>
          <w:szCs w:val="24"/>
        </w:rPr>
        <w:t xml:space="preserve"> e</w:t>
      </w:r>
      <w:r>
        <w:rPr>
          <w:rFonts w:ascii="Garamond" w:hAnsi="Garamond"/>
          <w:sz w:val="24"/>
          <w:szCs w:val="24"/>
        </w:rPr>
        <w:t xml:space="preserve"> a HB Esco,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5889F529"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w:t>
      </w:r>
      <w:proofErr w:type="spellStart"/>
      <w:r w:rsidR="00C17B07">
        <w:rPr>
          <w:rFonts w:ascii="Garamond" w:hAnsi="Garamond"/>
          <w:sz w:val="24"/>
          <w:szCs w:val="26"/>
        </w:rPr>
        <w:t>vii</w:t>
      </w:r>
      <w:proofErr w:type="spellEnd"/>
      <w:r w:rsidR="00C17B0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w:t>
      </w:r>
      <w:r w:rsidR="0029361C">
        <w:rPr>
          <w:rFonts w:ascii="Garamond" w:hAnsi="Garamond"/>
          <w:sz w:val="24"/>
          <w:szCs w:val="24"/>
        </w:rPr>
        <w:lastRenderedPageBreak/>
        <w:t xml:space="preserve">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7CF84123"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Pr>
          <w:rFonts w:ascii="Garamond" w:hAnsi="Garamond"/>
          <w:sz w:val="24"/>
          <w:szCs w:val="24"/>
        </w:rPr>
        <w:t>.</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15" w:name="_Ref447751619"/>
    </w:p>
    <w:p w14:paraId="5674C6B0" w14:textId="77777777"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r w:rsidR="008C39B3">
        <w:rPr>
          <w:rFonts w:ascii="Garamond" w:eastAsia="Calibri" w:hAnsi="Garamond" w:cs="Arial"/>
          <w:lang w:eastAsia="en-US"/>
        </w:rPr>
        <w:t>[</w:t>
      </w:r>
      <w:r w:rsidR="008C39B3" w:rsidRPr="008C39B3">
        <w:rPr>
          <w:rFonts w:ascii="Garamond" w:eastAsia="Calibri" w:hAnsi="Garamond" w:cs="Arial"/>
          <w:highlight w:val="yellow"/>
          <w:lang w:eastAsia="en-US"/>
        </w:rPr>
        <w:t xml:space="preserve">Nota: Redação dos </w:t>
      </w:r>
      <w:proofErr w:type="spellStart"/>
      <w:r w:rsidR="008C39B3" w:rsidRPr="008C39B3">
        <w:rPr>
          <w:rFonts w:ascii="Garamond" w:eastAsia="Calibri" w:hAnsi="Garamond" w:cs="Arial"/>
          <w:highlight w:val="yellow"/>
          <w:lang w:eastAsia="en-US"/>
        </w:rPr>
        <w:t>covenants</w:t>
      </w:r>
      <w:proofErr w:type="spellEnd"/>
      <w:r w:rsidR="008C39B3" w:rsidRPr="008C39B3">
        <w:rPr>
          <w:rFonts w:ascii="Garamond" w:eastAsia="Calibri" w:hAnsi="Garamond" w:cs="Arial"/>
          <w:highlight w:val="yellow"/>
          <w:lang w:eastAsia="en-US"/>
        </w:rPr>
        <w:t xml:space="preserve"> permanece sujeita a comentários e revisão adicional</w:t>
      </w:r>
      <w:r w:rsidR="008C39B3">
        <w:rPr>
          <w:rFonts w:ascii="Garamond" w:eastAsia="Calibri" w:hAnsi="Garamond" w:cs="Arial"/>
          <w:lang w:eastAsia="en-US"/>
        </w:rPr>
        <w:t>]</w:t>
      </w:r>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6C975F7B"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26F826E4" w:rsidR="00BF06CB" w:rsidRPr="001C0422" w:rsidRDefault="00BF06CB" w:rsidP="00BF06CB">
      <w:pPr>
        <w:widowControl w:val="0"/>
        <w:spacing w:line="320" w:lineRule="exact"/>
        <w:ind w:left="709"/>
        <w:jc w:val="both"/>
        <w:rPr>
          <w:rFonts w:ascii="Garamond" w:eastAsia="Calibri" w:hAnsi="Garamond"/>
          <w:highlight w:val="yellow"/>
        </w:rPr>
      </w:pPr>
      <w:r w:rsidRPr="001C0422">
        <w:rPr>
          <w:rFonts w:ascii="Garamond" w:eastAsia="Calibri" w:hAnsi="Garamond"/>
          <w:highlight w:val="yellow"/>
        </w:rPr>
        <w:t>“</w:t>
      </w:r>
      <w:r w:rsidRPr="001C0422">
        <w:rPr>
          <w:rFonts w:ascii="Garamond" w:eastAsia="Calibri" w:hAnsi="Garamond"/>
          <w:highlight w:val="yellow"/>
          <w:u w:val="single"/>
        </w:rPr>
        <w:t>Dívida Líquida</w:t>
      </w:r>
      <w:r w:rsidRPr="001C0422">
        <w:rPr>
          <w:rFonts w:ascii="Garamond" w:eastAsia="Calibri" w:hAnsi="Garamond"/>
          <w:highlight w:val="yellow"/>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1C0422">
        <w:rPr>
          <w:rFonts w:ascii="Garamond" w:eastAsia="Calibri" w:hAnsi="Garamond"/>
          <w:highlight w:val="yellow"/>
          <w:u w:val="single"/>
        </w:rPr>
        <w:t>Operações Financeiras</w:t>
      </w:r>
      <w:r w:rsidRPr="001C0422">
        <w:rPr>
          <w:rFonts w:ascii="Garamond" w:eastAsia="Calibri" w:hAnsi="Garamond"/>
          <w:highlight w:val="yellow"/>
        </w:rPr>
        <w:t>”); e quaisquer dívidas com partes relacionadas, avais e todas as garantias prestadas pela Emissora no âmbito de Operações Financeiras, sem dupla contagem entre devedor e garantidor; menos as disponibilidade em caixa</w:t>
      </w:r>
      <w:r w:rsidR="006C5C07">
        <w:rPr>
          <w:rFonts w:ascii="Garamond" w:eastAsia="Calibri" w:hAnsi="Garamond"/>
          <w:highlight w:val="yellow"/>
        </w:rPr>
        <w:t>,</w:t>
      </w:r>
      <w:r w:rsidRPr="001C0422">
        <w:rPr>
          <w:rFonts w:ascii="Garamond" w:eastAsia="Calibri" w:hAnsi="Garamond"/>
          <w:highlight w:val="yellow"/>
        </w:rPr>
        <w:t xml:space="preserve"> aplicações financeiras equivalentes a caixa</w:t>
      </w:r>
      <w:r w:rsidR="006C5C07">
        <w:rPr>
          <w:rFonts w:ascii="Garamond" w:eastAsia="Calibri" w:hAnsi="Garamond"/>
          <w:highlight w:val="yellow"/>
        </w:rPr>
        <w:t xml:space="preserve"> e montantes em contas vinculadas às dívidas (incluindo, mas não se limitando, à Conta Reserva e Conta Centralizadora), </w:t>
      </w:r>
      <w:r w:rsidRPr="001C0422">
        <w:rPr>
          <w:rFonts w:ascii="Garamond" w:eastAsia="Calibri" w:hAnsi="Garamond"/>
          <w:highlight w:val="yellow"/>
        </w:rPr>
        <w:t xml:space="preserve">incluindo os rendimentos de tais montantes. </w:t>
      </w:r>
    </w:p>
    <w:p w14:paraId="59BE498F" w14:textId="77777777" w:rsidR="00BF06CB" w:rsidRPr="001C0422" w:rsidRDefault="00BF06CB" w:rsidP="00BF06CB">
      <w:pPr>
        <w:widowControl w:val="0"/>
        <w:spacing w:line="320" w:lineRule="exact"/>
        <w:ind w:left="709"/>
        <w:jc w:val="both"/>
        <w:rPr>
          <w:rFonts w:ascii="Garamond" w:eastAsia="Calibri" w:hAnsi="Garamond"/>
          <w:highlight w:val="yellow"/>
        </w:rPr>
      </w:pPr>
    </w:p>
    <w:p w14:paraId="7418D0E8" w14:textId="7F69AB7D" w:rsidR="00BF06CB" w:rsidRPr="00FD0FDE" w:rsidRDefault="00BF06CB" w:rsidP="00BF06CB">
      <w:pPr>
        <w:widowControl w:val="0"/>
        <w:spacing w:line="320" w:lineRule="exact"/>
        <w:ind w:left="709"/>
        <w:jc w:val="both"/>
        <w:rPr>
          <w:rFonts w:ascii="Garamond" w:eastAsia="Calibri" w:hAnsi="Garamond" w:cs="Arial"/>
          <w:lang w:eastAsia="en-US"/>
        </w:rPr>
      </w:pPr>
      <w:r w:rsidRPr="001C0422">
        <w:rPr>
          <w:rFonts w:ascii="Garamond" w:eastAsia="Calibri" w:hAnsi="Garamond"/>
          <w:highlight w:val="yellow"/>
          <w:u w:val="single"/>
        </w:rPr>
        <w:t>EBITDA</w:t>
      </w:r>
      <w:r w:rsidRPr="001C0422">
        <w:rPr>
          <w:rFonts w:ascii="Garamond" w:eastAsia="Calibri" w:hAnsi="Garamond"/>
          <w:highlight w:val="yellow"/>
        </w:rPr>
        <w:t>: Significa o resultado acumulado no</w:t>
      </w:r>
      <w:r w:rsidR="00717363">
        <w:rPr>
          <w:rFonts w:ascii="Garamond" w:eastAsia="Calibri" w:hAnsi="Garamond"/>
          <w:highlight w:val="yellow"/>
        </w:rPr>
        <w:t>s últimos 12 (doze) meses</w:t>
      </w:r>
      <w:r w:rsidRPr="001C0422">
        <w:rPr>
          <w:rFonts w:ascii="Garamond" w:eastAsia="Calibri" w:hAnsi="Garamond"/>
          <w:highlight w:val="yellow"/>
        </w:rPr>
        <w:t>, antes do resultado financeiro, do imposto de renda e contribuição social, da depreciação e amortização, do resultado não operacional, da equivalência patrimonial e da participação de acionistas minoritários, dentre outras. O EBITDA será calculado com base nas demonstrações financeiras consolidadas e auditadas da Emissora, as quais deverão conter todas as rubricas necessárias para o acompanhamento dos Índices Financeiros.</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w:t>
      </w:r>
      <w:r w:rsidR="00453FA4">
        <w:rPr>
          <w:rFonts w:ascii="Garamond" w:hAnsi="Garamond"/>
          <w:sz w:val="24"/>
          <w:szCs w:val="24"/>
        </w:rPr>
        <w:lastRenderedPageBreak/>
        <w:t>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2B458586"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r w:rsidR="006C0EB2" w:rsidRPr="008727E0" w:rsidDel="006C0EB2">
        <w:rPr>
          <w:rFonts w:ascii="Garamond" w:hAnsi="Garamond"/>
          <w:sz w:val="24"/>
          <w:szCs w:val="24"/>
        </w:rPr>
        <w:t xml:space="preserve"> </w:t>
      </w:r>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lastRenderedPageBreak/>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15"/>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16"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16"/>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17"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17"/>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18"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18"/>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765F2224"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19"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w:t>
      </w:r>
      <w:r w:rsidRPr="00FD0FDE">
        <w:rPr>
          <w:rFonts w:ascii="Garamond" w:hAnsi="Garamond"/>
          <w:b w:val="0"/>
          <w:sz w:val="24"/>
          <w:szCs w:val="24"/>
        </w:rPr>
        <w:lastRenderedPageBreak/>
        <w:t xml:space="preserve">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00BE2DE2">
        <w:rPr>
          <w:rFonts w:ascii="Garamond" w:hAnsi="Garamond"/>
          <w:b w:val="0"/>
          <w:sz w:val="24"/>
          <w:szCs w:val="24"/>
        </w:rPr>
        <w:t>[</w:t>
      </w:r>
      <w:r w:rsidRPr="00BE2DE2">
        <w:rPr>
          <w:rFonts w:ascii="Garamond" w:hAnsi="Garamond"/>
          <w:b w:val="0"/>
          <w:sz w:val="24"/>
          <w:szCs w:val="24"/>
          <w:highlight w:val="yellow"/>
        </w:rPr>
        <w:t xml:space="preserve">, </w:t>
      </w:r>
      <w:r w:rsidR="008C39B3">
        <w:rPr>
          <w:rFonts w:ascii="Garamond" w:hAnsi="Garamond"/>
          <w:b w:val="0"/>
          <w:sz w:val="24"/>
          <w:szCs w:val="24"/>
          <w:highlight w:val="yellow"/>
        </w:rPr>
        <w:t>no</w:t>
      </w:r>
      <w:r w:rsidR="00C03EB8" w:rsidRPr="001F7CB4">
        <w:rPr>
          <w:rFonts w:ascii="Garamond" w:hAnsi="Garamond"/>
          <w:b w:val="0"/>
          <w:sz w:val="24"/>
          <w:highlight w:val="yellow"/>
        </w:rPr>
        <w:t xml:space="preserve"> âmbito da B3</w:t>
      </w:r>
      <w:r w:rsidR="00BE2DE2">
        <w:rPr>
          <w:rFonts w:ascii="Garamond" w:hAnsi="Garamond"/>
          <w:b w:val="0"/>
          <w:sz w:val="24"/>
          <w:szCs w:val="24"/>
          <w:highlight w:val="yellow"/>
        </w:rPr>
        <w:t>]</w:t>
      </w:r>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19"/>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20" w:name="_DV_M1483"/>
      <w:bookmarkStart w:id="121" w:name="_DV_M1484"/>
      <w:bookmarkEnd w:id="120"/>
      <w:bookmarkEnd w:id="121"/>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122"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22"/>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23" w:name="_DV_M400"/>
      <w:bookmarkEnd w:id="123"/>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019E1FBA"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124"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ou </w:t>
      </w:r>
      <w:r w:rsidR="00CF7D6C">
        <w:rPr>
          <w:rFonts w:ascii="Garamond" w:hAnsi="Garamond" w:cs="Tahoma"/>
        </w:rPr>
        <w:t>para geração distribuída</w:t>
      </w:r>
      <w:r w:rsidRPr="00FD0FDE">
        <w:rPr>
          <w:rFonts w:ascii="Garamond" w:hAnsi="Garamond" w:cs="Tahoma"/>
        </w:rPr>
        <w:t>) que represe</w:t>
      </w:r>
      <w:r w:rsidRPr="00005E5B">
        <w:rPr>
          <w:rFonts w:ascii="Garamond" w:hAnsi="Garamond" w:cs="Tahoma"/>
        </w:rPr>
        <w:t xml:space="preserve">ntem, </w:t>
      </w:r>
      <w:r w:rsidRPr="00005E5B">
        <w:rPr>
          <w:rFonts w:ascii="Garamond" w:hAnsi="Garamond" w:cs="Tahoma"/>
        </w:rPr>
        <w:lastRenderedPageBreak/>
        <w:t xml:space="preserve">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124"/>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w:t>
      </w:r>
      <w:proofErr w:type="spellStart"/>
      <w:r w:rsidR="007F7798">
        <w:rPr>
          <w:rFonts w:ascii="Garamond" w:hAnsi="Garamond"/>
        </w:rPr>
        <w:t>ii</w:t>
      </w:r>
      <w:proofErr w:type="spellEnd"/>
      <w:r w:rsidR="007F7798">
        <w:rPr>
          <w:rFonts w:ascii="Garamond" w:hAnsi="Garamond"/>
        </w:rPr>
        <w:t>)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25"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25"/>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25D0C415"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26"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w:t>
      </w:r>
      <w:r w:rsidRPr="00FD0FDE">
        <w:rPr>
          <w:rFonts w:ascii="Garamond" w:eastAsia="Arial Unicode MS" w:hAnsi="Garamond"/>
          <w:w w:val="0"/>
        </w:rPr>
        <w:lastRenderedPageBreak/>
        <w:t xml:space="preserve">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r w:rsidR="00C07EC7">
        <w:rPr>
          <w:rFonts w:ascii="Garamond" w:eastAsia="Arial Unicode MS" w:hAnsi="Garamond"/>
          <w:w w:val="0"/>
        </w:rPr>
        <w:t>xl</w:t>
      </w:r>
      <w:r w:rsidR="000745EA">
        <w:rPr>
          <w:rFonts w:ascii="Garamond" w:eastAsia="Arial Unicode MS" w:hAnsi="Garamond"/>
          <w:w w:val="0"/>
        </w:rPr>
        <w:t>i</w:t>
      </w:r>
      <w:r w:rsidR="00C07EC7">
        <w:rPr>
          <w:rFonts w:ascii="Garamond" w:eastAsia="Arial Unicode MS" w:hAnsi="Garamond"/>
          <w:w w:val="0"/>
        </w:rPr>
        <w:t>i</w:t>
      </w:r>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26"/>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27"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127"/>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w:t>
      </w:r>
      <w:r w:rsidRPr="00425313">
        <w:rPr>
          <w:rFonts w:ascii="Garamond" w:eastAsia="Arial Unicode MS" w:hAnsi="Garamond"/>
          <w:w w:val="0"/>
        </w:rPr>
        <w:lastRenderedPageBreak/>
        <w:t>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Dias Úteis contados da 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28" w:name="_DV_M404"/>
      <w:bookmarkStart w:id="129" w:name="_DV_M405"/>
      <w:bookmarkStart w:id="130" w:name="_DV_M407"/>
      <w:bookmarkStart w:id="131" w:name="_DV_M408"/>
      <w:bookmarkEnd w:id="128"/>
      <w:bookmarkEnd w:id="129"/>
      <w:bookmarkEnd w:id="130"/>
      <w:bookmarkEnd w:id="131"/>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549C0492"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w:t>
      </w:r>
      <w:r w:rsidR="00A03592" w:rsidRPr="00A03592">
        <w:rPr>
          <w:rFonts w:ascii="Garamond" w:eastAsia="Arial Unicode MS" w:hAnsi="Garamond"/>
          <w:w w:val="0"/>
        </w:rPr>
        <w:t>bem como não realizar operações com partes relacionadas, exceto se tais operações com partes relacionadas observarem práticas e condições de mercado e o disposto nesta Escritura de Emissão</w:t>
      </w:r>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32" w:name="_DV_M223"/>
      <w:bookmarkEnd w:id="132"/>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133" w:name="_Hlk98139169"/>
      <w:bookmarkStart w:id="134" w:name="_Hlk98139177"/>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134"/>
    </w:p>
    <w:bookmarkEnd w:id="133"/>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135" w:name="_Hlk98139196"/>
      <w:r w:rsidRPr="00FD0FDE">
        <w:rPr>
          <w:rFonts w:ascii="Garamond" w:eastAsia="Arial Unicode MS" w:hAnsi="Garamond"/>
          <w:w w:val="0"/>
        </w:rPr>
        <w:lastRenderedPageBreak/>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135"/>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lastRenderedPageBreak/>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não oferecer, prometer, dar, autorizar, solicitar ou aceitar, direta ou indiretamente, qualquer vantagem indevida, pecuniária ou de qualquer natureza, relacionada de </w:t>
      </w:r>
      <w:r w:rsidRPr="00FD0FDE">
        <w:rPr>
          <w:rFonts w:ascii="Garamond" w:hAnsi="Garamond"/>
        </w:rPr>
        <w:lastRenderedPageBreak/>
        <w:t>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xml:space="preserve">, preservando o meio ambiente e atendendo às determinações dos Órgãos Municipais, Estaduais e Federais que subsidiariamente venham a legislar ou regulamentar as normas ambientais em vigor, bem como (b) a legislação e regulamentação trabalhista, </w:t>
      </w:r>
      <w:r w:rsidRPr="00FD0FDE">
        <w:rPr>
          <w:rFonts w:ascii="Garamond" w:hAnsi="Garamond"/>
        </w:rPr>
        <w:lastRenderedPageBreak/>
        <w:t>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723A6628" w:rsidR="00C04E7B" w:rsidRPr="00FD0FDE" w:rsidRDefault="00E76DA9" w:rsidP="00FD0FDE">
      <w:pPr>
        <w:widowControl w:val="0"/>
        <w:spacing w:line="320" w:lineRule="exact"/>
        <w:rPr>
          <w:rFonts w:ascii="Garamond" w:hAnsi="Garamond"/>
        </w:rPr>
      </w:pPr>
      <w:r>
        <w:rPr>
          <w:rFonts w:ascii="Garamond" w:hAnsi="Garamond"/>
        </w:rPr>
        <w:t>[</w:t>
      </w:r>
      <w:r w:rsidRPr="00576EA6">
        <w:rPr>
          <w:rFonts w:ascii="Garamond" w:hAnsi="Garamond"/>
          <w:highlight w:val="yellow"/>
        </w:rPr>
        <w:t>Nota: A ser revisado pelo agente fiduciário</w:t>
      </w:r>
      <w:r>
        <w:rPr>
          <w:rFonts w:ascii="Garamond" w:hAnsi="Garamond"/>
        </w:rPr>
        <w:t>]</w:t>
      </w: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136" w:name="_DV_M241"/>
      <w:bookmarkStart w:id="137" w:name="_DV_M242"/>
      <w:bookmarkStart w:id="138" w:name="_DV_M246"/>
      <w:bookmarkStart w:id="139" w:name="_DV_M247"/>
      <w:bookmarkStart w:id="140" w:name="_DV_M250"/>
      <w:bookmarkEnd w:id="136"/>
      <w:bookmarkEnd w:id="137"/>
      <w:bookmarkEnd w:id="138"/>
      <w:bookmarkEnd w:id="139"/>
      <w:bookmarkEnd w:id="140"/>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ou, em caso de alteração, a que vier a substituí-la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w:t>
      </w:r>
      <w:r w:rsidRPr="00FD0FDE">
        <w:rPr>
          <w:rFonts w:ascii="Garamond" w:hAnsi="Garamond"/>
        </w:rPr>
        <w:lastRenderedPageBreak/>
        <w:t>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141" w:name="_DV_M304"/>
      <w:bookmarkStart w:id="142" w:name="_DV_M305"/>
      <w:bookmarkStart w:id="143" w:name="_DV_M306"/>
      <w:bookmarkStart w:id="144" w:name="_DV_M307"/>
      <w:bookmarkStart w:id="145" w:name="_DV_M308"/>
      <w:bookmarkStart w:id="146" w:name="_DV_M309"/>
      <w:bookmarkStart w:id="147" w:name="_DV_M310"/>
      <w:bookmarkStart w:id="148" w:name="_DV_M313"/>
      <w:bookmarkEnd w:id="141"/>
      <w:bookmarkEnd w:id="142"/>
      <w:bookmarkEnd w:id="143"/>
      <w:bookmarkEnd w:id="144"/>
      <w:bookmarkEnd w:id="145"/>
      <w:bookmarkEnd w:id="146"/>
      <w:bookmarkEnd w:id="147"/>
      <w:bookmarkEnd w:id="148"/>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49" w:name="_DV_M314"/>
      <w:bookmarkEnd w:id="149"/>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lastRenderedPageBreak/>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execução das garantias, nos termos dos Contratos de Garantia, caso necessário, na qualidade de representante dos Debenturistas; (v)</w:t>
      </w:r>
      <w:r w:rsidRPr="00BF6AC7">
        <w:rPr>
          <w:rFonts w:ascii="Garamond" w:hAnsi="Garamond"/>
          <w:bCs/>
        </w:rPr>
        <w:tab/>
        <w:t>participação em reuniões formais ou virtuais com a Emissora, Garantidores e/ou Debenturistas, após a integralização da Emissão; (vi) realização de 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lastRenderedPageBreak/>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50" w:name="_Ref447757338"/>
      <w:r w:rsidRPr="00FD0FDE">
        <w:rPr>
          <w:rFonts w:ascii="Garamond" w:hAnsi="Garamond"/>
          <w:sz w:val="24"/>
          <w:szCs w:val="24"/>
          <w:u w:val="single"/>
        </w:rPr>
        <w:t>Substituição</w:t>
      </w:r>
      <w:bookmarkEnd w:id="150"/>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151"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52" w:name="_DV_M337"/>
      <w:bookmarkStart w:id="153" w:name="_DV_M338"/>
      <w:bookmarkStart w:id="154" w:name="_DV_M339"/>
      <w:bookmarkStart w:id="155" w:name="_DV_M340"/>
      <w:bookmarkStart w:id="156" w:name="_DV_M341"/>
      <w:bookmarkStart w:id="157" w:name="_DV_M342"/>
      <w:bookmarkStart w:id="158" w:name="_DV_M343"/>
      <w:bookmarkStart w:id="159" w:name="_DV_M344"/>
      <w:bookmarkStart w:id="160" w:name="_DV_M345"/>
      <w:bookmarkStart w:id="161" w:name="_DV_M346"/>
      <w:bookmarkStart w:id="162" w:name="_DV_M347"/>
      <w:bookmarkStart w:id="163" w:name="_DV_M348"/>
      <w:bookmarkStart w:id="164" w:name="_DV_M349"/>
      <w:bookmarkStart w:id="165" w:name="_DV_M350"/>
      <w:bookmarkStart w:id="166" w:name="_DV_M35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167"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w:t>
      </w:r>
      <w:r w:rsidRPr="00FD0FDE">
        <w:rPr>
          <w:rFonts w:ascii="Garamond" w:hAnsi="Garamond"/>
        </w:rPr>
        <w:lastRenderedPageBreak/>
        <w:t>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167"/>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168" w:name="_Ref264236616"/>
      <w:bookmarkStart w:id="169"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 xml:space="preserve">e dos artigos aplicáveis da Lei das </w:t>
      </w:r>
      <w:r w:rsidRPr="00FD0FDE">
        <w:rPr>
          <w:rFonts w:ascii="Garamond" w:hAnsi="Garamond"/>
          <w:color w:val="000000"/>
        </w:rPr>
        <w:lastRenderedPageBreak/>
        <w:t>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168"/>
    <w:bookmarkEnd w:id="169"/>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170" w:name="_Toc499990378"/>
      <w:r w:rsidRPr="00FD0FDE">
        <w:rPr>
          <w:rFonts w:ascii="Garamond" w:hAnsi="Garamond"/>
          <w:smallCaps/>
          <w:sz w:val="24"/>
          <w:szCs w:val="24"/>
        </w:rPr>
        <w:t>CLÁUSULA IX - ASSEMBLEIA GERAL DE DEBENTURISTAS</w:t>
      </w:r>
      <w:bookmarkEnd w:id="170"/>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171" w:name="_DV_M384"/>
      <w:bookmarkStart w:id="172" w:name="_Ref447756814"/>
      <w:bookmarkEnd w:id="171"/>
      <w:r w:rsidRPr="00FD0FDE">
        <w:rPr>
          <w:rFonts w:ascii="Garamond" w:hAnsi="Garamond"/>
          <w:sz w:val="24"/>
          <w:szCs w:val="24"/>
          <w:u w:val="single"/>
        </w:rPr>
        <w:t>Disposições Gerais</w:t>
      </w:r>
      <w:bookmarkEnd w:id="172"/>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3" w:name="_DV_M387"/>
      <w:bookmarkEnd w:id="173"/>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74" w:name="_DV_M388"/>
      <w:bookmarkEnd w:id="174"/>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w:t>
      </w:r>
      <w:r w:rsidR="00AF424A" w:rsidRPr="00FD0FDE">
        <w:rPr>
          <w:rFonts w:ascii="Garamond" w:hAnsi="Garamond"/>
          <w:b w:val="0"/>
          <w:sz w:val="24"/>
          <w:szCs w:val="24"/>
        </w:rPr>
        <w:lastRenderedPageBreak/>
        <w:t xml:space="preserve">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5" w:name="_DV_M389"/>
      <w:bookmarkEnd w:id="175"/>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76" w:name="_DV_M390"/>
      <w:bookmarkEnd w:id="176"/>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7" w:name="_DV_M391"/>
      <w:bookmarkStart w:id="178" w:name="_DV_M392"/>
      <w:bookmarkStart w:id="179" w:name="_DV_M393"/>
      <w:bookmarkStart w:id="180" w:name="_Ref447756836"/>
      <w:bookmarkEnd w:id="177"/>
      <w:bookmarkEnd w:id="178"/>
      <w:bookmarkEnd w:id="179"/>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180"/>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81"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181"/>
    </w:p>
    <w:p w14:paraId="43C5BA5C" w14:textId="77777777" w:rsidR="00F41245" w:rsidRPr="00FD0FDE" w:rsidRDefault="00F41245" w:rsidP="00FD0FDE">
      <w:pPr>
        <w:widowControl w:val="0"/>
        <w:spacing w:line="320" w:lineRule="exact"/>
        <w:rPr>
          <w:rFonts w:ascii="Garamond" w:hAnsi="Garamond"/>
        </w:rPr>
      </w:pPr>
    </w:p>
    <w:p w14:paraId="138B4047" w14:textId="6DC3F110"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182" w:name="_Ref447758418"/>
      <w:r w:rsidRPr="00FD0FDE">
        <w:rPr>
          <w:rFonts w:ascii="Garamond" w:hAnsi="Garamond"/>
          <w:b w:val="0"/>
          <w:sz w:val="24"/>
          <w:szCs w:val="24"/>
        </w:rPr>
        <w:lastRenderedPageBreak/>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85140A" w:rsidRPr="00FD0FDE">
        <w:rPr>
          <w:rFonts w:ascii="Garamond" w:hAnsi="Garamond"/>
          <w:b w:val="0"/>
          <w:sz w:val="24"/>
          <w:szCs w:val="24"/>
        </w:rPr>
        <w:t xml:space="preserve"> </w:t>
      </w:r>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182"/>
      <w:r w:rsidR="00717363" w:rsidRPr="00FD0FDE">
        <w:rPr>
          <w:rFonts w:ascii="Garamond" w:hAnsi="Garamond"/>
          <w:b w:val="0"/>
          <w:sz w:val="24"/>
          <w:szCs w:val="24"/>
        </w:rPr>
        <w:t xml:space="preserve">da criação e/ou alteração de evento de 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lastRenderedPageBreak/>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lastRenderedPageBreak/>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77777777"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008B0795">
        <w:rPr>
          <w:rFonts w:ascii="Garamond" w:hAnsi="Garamond"/>
          <w:color w:val="000000"/>
        </w:rPr>
        <w:t>[</w:t>
      </w:r>
      <w:r w:rsidRPr="00CC64E8">
        <w:rPr>
          <w:rFonts w:ascii="Garamond" w:hAnsi="Garamond"/>
          <w:color w:val="000000"/>
          <w:highlight w:val="yellow"/>
        </w:rPr>
        <w:t>20</w:t>
      </w:r>
      <w:r w:rsidR="00E4255A" w:rsidRPr="00CC64E8">
        <w:rPr>
          <w:rFonts w:ascii="Garamond" w:hAnsi="Garamond"/>
          <w:color w:val="000000"/>
          <w:highlight w:val="yellow"/>
        </w:rPr>
        <w:t>18</w:t>
      </w:r>
      <w:r w:rsidRPr="00CC64E8">
        <w:rPr>
          <w:rFonts w:ascii="Garamond" w:hAnsi="Garamond"/>
          <w:color w:val="000000"/>
          <w:highlight w:val="yellow"/>
        </w:rPr>
        <w:t>, 201</w:t>
      </w:r>
      <w:r w:rsidR="00E4255A" w:rsidRPr="00CC64E8">
        <w:rPr>
          <w:rFonts w:ascii="Garamond" w:hAnsi="Garamond"/>
          <w:color w:val="000000"/>
          <w:highlight w:val="yellow"/>
        </w:rPr>
        <w:t>9</w:t>
      </w:r>
      <w:r w:rsidR="0030065F">
        <w:rPr>
          <w:rFonts w:ascii="Garamond" w:hAnsi="Garamond"/>
          <w:color w:val="000000"/>
          <w:highlight w:val="yellow"/>
        </w:rPr>
        <w:t>,</w:t>
      </w:r>
      <w:r w:rsidRPr="00CC64E8">
        <w:rPr>
          <w:rFonts w:ascii="Garamond" w:hAnsi="Garamond"/>
          <w:color w:val="000000"/>
          <w:highlight w:val="yellow"/>
        </w:rPr>
        <w:t xml:space="preserve"> 20</w:t>
      </w:r>
      <w:r w:rsidR="00E4255A" w:rsidRPr="00CC64E8">
        <w:rPr>
          <w:rFonts w:ascii="Garamond" w:hAnsi="Garamond"/>
          <w:color w:val="000000"/>
          <w:highlight w:val="yellow"/>
        </w:rPr>
        <w:t>20</w:t>
      </w:r>
      <w:r w:rsidR="0030065F">
        <w:rPr>
          <w:rFonts w:ascii="Garamond" w:hAnsi="Garamond"/>
          <w:color w:val="000000"/>
        </w:rPr>
        <w:t xml:space="preserve"> e 2021</w:t>
      </w:r>
      <w:r w:rsidR="008B0795">
        <w:rPr>
          <w:rFonts w:ascii="Garamond" w:hAnsi="Garamond"/>
          <w:color w:val="000000"/>
        </w:rPr>
        <w:t>]</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Brazil;</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lastRenderedPageBreak/>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w:t>
      </w:r>
      <w:r>
        <w:rPr>
          <w:rFonts w:ascii="Garamond" w:hAnsi="Garamond"/>
        </w:rPr>
        <w:lastRenderedPageBreak/>
        <w:t xml:space="preserve">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 xml:space="preserve">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w:t>
      </w:r>
      <w:r w:rsidRPr="00FD0FDE">
        <w:rPr>
          <w:rFonts w:ascii="Garamond" w:hAnsi="Garamond"/>
        </w:rPr>
        <w:lastRenderedPageBreak/>
        <w:t>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w:t>
      </w:r>
      <w:r w:rsidRPr="00FD0FDE">
        <w:rPr>
          <w:rStyle w:val="DeltaViewInsertion"/>
          <w:rFonts w:ascii="Garamond" w:hAnsi="Garamond"/>
          <w:color w:val="000000"/>
          <w:u w:val="none"/>
        </w:rPr>
        <w:lastRenderedPageBreak/>
        <w:t xml:space="preserve">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183" w:name="_DV_M619"/>
            <w:bookmarkEnd w:id="183"/>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2" w:history="1">
              <w:r>
                <w:rPr>
                  <w:rStyle w:val="Hyperlink"/>
                  <w:rFonts w:ascii="Garamond" w:hAnsi="Garamond"/>
                </w:rPr>
                <w:t>bruno.menezes@hybrazil.com</w:t>
              </w:r>
            </w:hyperlink>
            <w:bookmarkStart w:id="184" w:name="_DV_M621"/>
            <w:bookmarkStart w:id="185" w:name="_DV_M622"/>
            <w:bookmarkStart w:id="186" w:name="_DV_M623"/>
            <w:bookmarkStart w:id="187" w:name="_DV_M624"/>
            <w:bookmarkStart w:id="188" w:name="_DV_M625"/>
            <w:bookmarkStart w:id="189" w:name="_DV_M627"/>
            <w:bookmarkEnd w:id="184"/>
            <w:bookmarkEnd w:id="185"/>
            <w:bookmarkEnd w:id="186"/>
            <w:bookmarkEnd w:id="187"/>
            <w:bookmarkEnd w:id="188"/>
            <w:bookmarkEnd w:id="189"/>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lastRenderedPageBreak/>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4"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5"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26"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28"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29"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0"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77777777" w:rsidR="004648FA" w:rsidRPr="00FD0FDE" w:rsidRDefault="004648FA" w:rsidP="00FD0FDE">
      <w:pPr>
        <w:widowControl w:val="0"/>
        <w:spacing w:line="320" w:lineRule="exact"/>
        <w:rPr>
          <w:rFonts w:ascii="Garamond" w:hAnsi="Garamond"/>
        </w:rPr>
      </w:pPr>
    </w:p>
    <w:p w14:paraId="3330B455" w14:textId="77777777"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D86AA3" w:rsidRPr="008B484C">
        <w:rPr>
          <w:rFonts w:ascii="Garamond" w:hAnsi="Garamond" w:cs="Tahoma"/>
        </w:rPr>
        <w:t>8</w:t>
      </w:r>
      <w:r w:rsidR="006330A7" w:rsidRPr="008B484C">
        <w:rPr>
          <w:rFonts w:ascii="Garamond" w:hAnsi="Garamond" w:cs="Tahoma"/>
        </w:rPr>
        <w:t xml:space="preserve"> </w:t>
      </w:r>
      <w:r w:rsidR="00615279" w:rsidRPr="008B484C">
        <w:rPr>
          <w:rFonts w:ascii="Garamond" w:hAnsi="Garamond" w:cs="Tahoma"/>
        </w:rPr>
        <w:t>(</w:t>
      </w:r>
      <w:r w:rsidR="00D86AA3" w:rsidRPr="008B484C">
        <w:rPr>
          <w:rFonts w:ascii="Garamond" w:hAnsi="Garamond" w:cs="Tahoma"/>
        </w:rPr>
        <w:t>oito</w:t>
      </w:r>
      <w:r w:rsidR="00615279" w:rsidRPr="008B484C">
        <w:rPr>
          <w:rFonts w:ascii="Garamond" w:hAnsi="Garamond" w:cs="Tahoma"/>
        </w:rPr>
        <w:t xml:space="preserve">) </w:t>
      </w:r>
      <w:r w:rsidRPr="008B484C">
        <w:rPr>
          <w:rFonts w:ascii="Garamond" w:hAnsi="Garamond" w:cs="Tahoma"/>
        </w:rPr>
        <w:t>vias</w:t>
      </w:r>
      <w:r w:rsidR="00505BE3" w:rsidRPr="00D86AA3">
        <w:rPr>
          <w:rFonts w:ascii="Garamond" w:hAnsi="Garamond" w:cs="Tahoma"/>
        </w:rPr>
        <w:t xml:space="preserve"> </w:t>
      </w:r>
      <w:r w:rsidRPr="00D86AA3">
        <w:rPr>
          <w:rFonts w:ascii="Garamond" w:hAnsi="Garamond" w:cs="Tahoma"/>
        </w:rPr>
        <w:t>d</w:t>
      </w:r>
      <w:r w:rsidRPr="00FD0FDE">
        <w:rPr>
          <w:rFonts w:ascii="Garamond" w:hAnsi="Garamond" w:cs="Tahoma"/>
        </w:rPr>
        <w:t>e igual teor e forma,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58557C24"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233766">
        <w:rPr>
          <w:rFonts w:ascii="Garamond" w:hAnsi="Garamond" w:cs="Tahoma"/>
          <w:bCs/>
        </w:rPr>
        <w:t>[DATA]</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77777777"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r w:rsidR="00027DBA" w:rsidRPr="00FD0FDE">
        <w:rPr>
          <w:rFonts w:ascii="Garamond" w:hAnsi="Garamond" w:cs="Tahoma"/>
          <w:i/>
        </w:rPr>
        <w:t xml:space="preserve"> com Garantia Fidejussória Adicional, </w:t>
      </w:r>
      <w:r w:rsidR="00027DBA">
        <w:rPr>
          <w:rFonts w:ascii="Garamond" w:hAnsi="Garamond" w:cs="Tahoma"/>
          <w:i/>
        </w:rPr>
        <w:t xml:space="preserve">a ser convolada na Espécie com Garantia Real, </w:t>
      </w:r>
      <w:r w:rsidR="00027DBA" w:rsidRPr="00FD0FDE">
        <w:rPr>
          <w:rFonts w:ascii="Garamond" w:hAnsi="Garamond" w:cs="Tahoma"/>
          <w:i/>
        </w:rPr>
        <w:t xml:space="preserve"> 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77777777"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796A6C" w:rsidRPr="00DE69CB" w14:paraId="52CB8F1F" w14:textId="77777777" w:rsidTr="00C23728">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1184F91F"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r>
      <w:tr w:rsidR="00796A6C" w:rsidRPr="00DE69CB" w14:paraId="79062C1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796A6C" w:rsidRPr="00DE69CB" w14:paraId="62A689B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796A6C" w:rsidRPr="00DE69CB" w14:paraId="169B4039"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796A6C" w:rsidRPr="00DE69CB" w14:paraId="56882D1A"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796A6C" w:rsidRPr="00DE69CB" w14:paraId="08DA47B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796A6C" w:rsidRPr="00DE69CB" w14:paraId="09903874"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Cachoeirinha</w:t>
            </w:r>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Cachoeirinha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r>
      <w:tr w:rsidR="00796A6C" w:rsidRPr="00DE69CB" w14:paraId="5B45B85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796A6C" w:rsidRPr="00DE69CB" w14:paraId="31FF0835"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796A6C" w:rsidRPr="00DE69CB" w14:paraId="477EED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796A6C" w:rsidRPr="00DE69CB" w14:paraId="7091492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796A6C" w:rsidRPr="00DE69CB" w14:paraId="6E8EFF4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Limoeiro</w:t>
            </w:r>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Limoeiro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r>
      <w:tr w:rsidR="00796A6C" w:rsidRPr="00DE69CB" w14:paraId="61BD467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796A6C" w:rsidRPr="00DE69CB" w14:paraId="0040507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796A6C" w:rsidRPr="00DE69CB" w14:paraId="10127D5E"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Simonésia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Simonésia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r>
      <w:tr w:rsidR="00796A6C" w:rsidRPr="00DE69CB" w14:paraId="47A1BA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796A6C" w:rsidRPr="00DE69CB" w14:paraId="7B9D7D1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796A6C" w:rsidRPr="00DE69CB" w14:paraId="0FB77D4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Fumaça</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Maynart</w:t>
            </w:r>
            <w:proofErr w:type="spellEnd"/>
            <w:r w:rsidRPr="008B484C">
              <w:rPr>
                <w:rFonts w:ascii="Garamond" w:hAnsi="Garamond"/>
                <w:color w:val="000000"/>
              </w:rPr>
              <w:t xml:space="preserve"> Energética LTDA.</w:t>
            </w:r>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18,04</w:t>
            </w:r>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32,5%</w:t>
            </w:r>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5,86</w:t>
            </w:r>
          </w:p>
        </w:tc>
      </w:tr>
      <w:tr w:rsidR="003C30BF" w:rsidRPr="00DE69CB" w14:paraId="174A8BA1"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Furquim</w:t>
            </w:r>
          </w:p>
        </w:tc>
        <w:tc>
          <w:tcPr>
            <w:tcW w:w="2977" w:type="dxa"/>
            <w:vMerge/>
            <w:tcBorders>
              <w:top w:val="nil"/>
              <w:left w:val="single" w:sz="4" w:space="0" w:color="auto"/>
              <w:bottom w:val="single" w:sz="4" w:space="0" w:color="000000"/>
              <w:right w:val="single" w:sz="4" w:space="0" w:color="auto"/>
            </w:tcBorders>
            <w:vAlign w:val="center"/>
            <w:hideMark/>
          </w:tcPr>
          <w:p w14:paraId="0084674E"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77777777" w:rsidR="00DE69CB" w:rsidRPr="008B484C" w:rsidRDefault="00DE69CB" w:rsidP="008B484C">
            <w:pPr>
              <w:autoSpaceDE/>
              <w:autoSpaceDN/>
              <w:adjustRightInd/>
              <w:spacing w:line="320" w:lineRule="exact"/>
              <w:jc w:val="center"/>
              <w:rPr>
                <w:rFonts w:ascii="Garamond" w:hAnsi="Garamond"/>
                <w:color w:val="000000"/>
              </w:rPr>
            </w:pPr>
          </w:p>
        </w:tc>
      </w:tr>
      <w:tr w:rsidR="003C30BF" w:rsidRPr="00DE69CB" w14:paraId="07C0C716"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Caboclo</w:t>
            </w:r>
          </w:p>
        </w:tc>
        <w:tc>
          <w:tcPr>
            <w:tcW w:w="2977" w:type="dxa"/>
            <w:vMerge/>
            <w:tcBorders>
              <w:top w:val="nil"/>
              <w:left w:val="single" w:sz="4" w:space="0" w:color="auto"/>
              <w:bottom w:val="single" w:sz="4" w:space="0" w:color="000000"/>
              <w:right w:val="single" w:sz="4" w:space="0" w:color="auto"/>
            </w:tcBorders>
            <w:vAlign w:val="center"/>
            <w:hideMark/>
          </w:tcPr>
          <w:p w14:paraId="780A5F62"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77777777" w:rsidR="00DE69CB" w:rsidRPr="008B484C" w:rsidRDefault="00DE69CB" w:rsidP="008B484C">
            <w:pPr>
              <w:autoSpaceDE/>
              <w:autoSpaceDN/>
              <w:adjustRightInd/>
              <w:spacing w:line="320" w:lineRule="exact"/>
              <w:jc w:val="center"/>
              <w:rPr>
                <w:rFonts w:ascii="Garamond" w:hAnsi="Garamond"/>
                <w:color w:val="000000"/>
              </w:rPr>
            </w:pPr>
          </w:p>
        </w:tc>
      </w:tr>
      <w:tr w:rsidR="003C30BF" w:rsidRPr="00DE69CB" w14:paraId="55414901"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Salto</w:t>
            </w:r>
          </w:p>
        </w:tc>
        <w:tc>
          <w:tcPr>
            <w:tcW w:w="2977" w:type="dxa"/>
            <w:vMerge/>
            <w:tcBorders>
              <w:top w:val="nil"/>
              <w:left w:val="single" w:sz="4" w:space="0" w:color="auto"/>
              <w:bottom w:val="single" w:sz="4" w:space="0" w:color="000000"/>
              <w:right w:val="single" w:sz="4" w:space="0" w:color="auto"/>
            </w:tcBorders>
            <w:vAlign w:val="center"/>
            <w:hideMark/>
          </w:tcPr>
          <w:p w14:paraId="32128F23"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77777777" w:rsidR="00DE69CB" w:rsidRPr="008B484C" w:rsidRDefault="00DE69CB" w:rsidP="008B484C">
            <w:pPr>
              <w:autoSpaceDE/>
              <w:autoSpaceDN/>
              <w:adjustRightInd/>
              <w:spacing w:line="320" w:lineRule="exact"/>
              <w:jc w:val="center"/>
              <w:rPr>
                <w:rFonts w:ascii="Garamond" w:hAnsi="Garamond"/>
                <w:color w:val="000000"/>
              </w:rPr>
            </w:pPr>
          </w:p>
        </w:tc>
      </w:tr>
      <w:tr w:rsidR="003C30BF" w:rsidRPr="00DE69CB" w14:paraId="3F1F6FE2"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Funil</w:t>
            </w:r>
          </w:p>
        </w:tc>
        <w:tc>
          <w:tcPr>
            <w:tcW w:w="2977" w:type="dxa"/>
            <w:vMerge/>
            <w:tcBorders>
              <w:top w:val="nil"/>
              <w:left w:val="single" w:sz="4" w:space="0" w:color="auto"/>
              <w:bottom w:val="single" w:sz="4" w:space="0" w:color="000000"/>
              <w:right w:val="single" w:sz="4" w:space="0" w:color="auto"/>
            </w:tcBorders>
            <w:vAlign w:val="center"/>
            <w:hideMark/>
          </w:tcPr>
          <w:p w14:paraId="784AFE2B"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77777777" w:rsidR="00DE69CB" w:rsidRPr="008B484C" w:rsidRDefault="00DE69CB" w:rsidP="008B484C">
            <w:pPr>
              <w:autoSpaceDE/>
              <w:autoSpaceDN/>
              <w:adjustRightInd/>
              <w:spacing w:line="320" w:lineRule="exact"/>
              <w:jc w:val="center"/>
              <w:rPr>
                <w:rFonts w:ascii="Garamond" w:hAnsi="Garamond"/>
                <w:color w:val="000000"/>
              </w:rPr>
            </w:pPr>
          </w:p>
        </w:tc>
      </w:tr>
      <w:tr w:rsidR="003C30BF" w:rsidRPr="00DE69CB" w14:paraId="73DC536F"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Prazeres</w:t>
            </w:r>
          </w:p>
        </w:tc>
        <w:tc>
          <w:tcPr>
            <w:tcW w:w="2977" w:type="dxa"/>
            <w:vMerge/>
            <w:tcBorders>
              <w:top w:val="nil"/>
              <w:left w:val="single" w:sz="4" w:space="0" w:color="auto"/>
              <w:bottom w:val="single" w:sz="4" w:space="0" w:color="000000"/>
              <w:right w:val="single" w:sz="4" w:space="0" w:color="auto"/>
            </w:tcBorders>
            <w:vAlign w:val="center"/>
            <w:hideMark/>
          </w:tcPr>
          <w:p w14:paraId="7F4DD8B8"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804309F" w14:textId="77777777" w:rsidTr="003C30BF">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7777777" w:rsidR="00DE69CB" w:rsidRPr="008B484C" w:rsidRDefault="00DE69CB" w:rsidP="008B484C">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77777777" w:rsidR="00DE69CB" w:rsidRPr="008B484C" w:rsidRDefault="00DE69CB" w:rsidP="008B484C">
            <w:pPr>
              <w:autoSpaceDE/>
              <w:autoSpaceDN/>
              <w:adjustRightInd/>
              <w:spacing w:line="320" w:lineRule="exact"/>
              <w:jc w:val="center"/>
              <w:rPr>
                <w:rFonts w:ascii="Garamond" w:hAnsi="Garamond"/>
                <w:b/>
                <w:bCs/>
                <w:color w:val="000000"/>
              </w:rPr>
            </w:pPr>
            <w:r w:rsidRPr="008B484C">
              <w:rPr>
                <w:rFonts w:ascii="Garamond" w:hAnsi="Garamond"/>
                <w:b/>
                <w:bCs/>
                <w:color w:val="000000"/>
              </w:rPr>
              <w:t>36,09</w:t>
            </w:r>
          </w:p>
        </w:tc>
      </w:tr>
    </w:tbl>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FA95FCD" w14:textId="2552967D" w:rsidR="00343356" w:rsidRPr="008B484C" w:rsidRDefault="00343356" w:rsidP="008B484C">
      <w:pPr>
        <w:widowControl w:val="0"/>
        <w:spacing w:line="320" w:lineRule="exact"/>
        <w:jc w:val="center"/>
        <w:rPr>
          <w:rFonts w:ascii="Garamond" w:hAnsi="Garamond" w:cs="Tahoma"/>
          <w:b/>
        </w:rPr>
      </w:pPr>
      <w:r>
        <w:rPr>
          <w:rFonts w:ascii="Garamond" w:hAnsi="Garamond" w:cs="Tahoma"/>
          <w:b/>
        </w:rPr>
        <w:t>[A ser inserido]</w:t>
      </w:r>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262" w14:textId="77777777" w:rsidR="006F131F" w:rsidRDefault="006F131F">
      <w:r>
        <w:separator/>
      </w:r>
    </w:p>
  </w:endnote>
  <w:endnote w:type="continuationSeparator" w:id="0">
    <w:p w14:paraId="3980D234" w14:textId="77777777" w:rsidR="006F131F" w:rsidRDefault="006F131F">
      <w:r>
        <w:continuationSeparator/>
      </w:r>
    </w:p>
  </w:endnote>
  <w:endnote w:type="continuationNotice" w:id="1">
    <w:p w14:paraId="6E32B001" w14:textId="77777777" w:rsidR="006F131F" w:rsidRDefault="006F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Optimum">
    <w:altName w:val="Calibri"/>
    <w:charset w:val="00"/>
    <w:family w:val="auto"/>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1696566">
              <v:stroke joinstyle="miter"/>
              <v:path gradientshapeok="t" o:connecttype="rect"/>
            </v:shapetype>
            <v:shape id="MSIPCM30aa454fb4893de02a00d577"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771708764,&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">
              <v:fill o:detectmouseclick="t"/>
              <v:textbox inset="20pt,0,,0">
                <w:txbxContent>
                  <w:p w:rsidRPr="00E137E2" w:rsidR="00E137E2" w:rsidP="00E137E2" w:rsidRDefault="00E137E2" w14:paraId="71613EF3" w14:textId="10473B87">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9514845">
              <v:stroke joinstyle="miter"/>
              <v:path gradientshapeok="t" o:connecttype="rect"/>
            </v:shapetype>
            <v:shape id="MSIPCM6ef344f7a288af41368bac52"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771708764,&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">
              <v:fill o:detectmouseclick="t"/>
              <v:textbox inset="20pt,0,,0">
                <w:txbxContent>
                  <w:p w:rsidRPr="00E137E2" w:rsidR="00E137E2" w:rsidP="00E137E2" w:rsidRDefault="00E137E2" w14:paraId="41700E87" w14:textId="60335004">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D28" w14:textId="77777777" w:rsidR="006F131F" w:rsidRDefault="006F131F">
      <w:r>
        <w:separator/>
      </w:r>
    </w:p>
  </w:footnote>
  <w:footnote w:type="continuationSeparator" w:id="0">
    <w:p w14:paraId="60C5DE8B" w14:textId="77777777" w:rsidR="006F131F" w:rsidRDefault="006F131F">
      <w:r>
        <w:continuationSeparator/>
      </w:r>
    </w:p>
  </w:footnote>
  <w:footnote w:type="continuationNotice" w:id="1">
    <w:p w14:paraId="2CE9052F" w14:textId="77777777" w:rsidR="006F131F" w:rsidRDefault="006F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5D6" w14:textId="77777777" w:rsidR="00E95206" w:rsidRDefault="00E95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2E46B9C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1"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7"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9"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7"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8"/>
  </w:num>
  <w:num w:numId="4">
    <w:abstractNumId w:val="32"/>
  </w:num>
  <w:num w:numId="5">
    <w:abstractNumId w:val="2"/>
  </w:num>
  <w:num w:numId="6">
    <w:abstractNumId w:val="11"/>
  </w:num>
  <w:num w:numId="7">
    <w:abstractNumId w:val="38"/>
  </w:num>
  <w:num w:numId="8">
    <w:abstractNumId w:val="37"/>
  </w:num>
  <w:num w:numId="9">
    <w:abstractNumId w:val="10"/>
  </w:num>
  <w:num w:numId="10">
    <w:abstractNumId w:val="21"/>
  </w:num>
  <w:num w:numId="11">
    <w:abstractNumId w:val="14"/>
  </w:num>
  <w:num w:numId="12">
    <w:abstractNumId w:val="15"/>
  </w:num>
  <w:num w:numId="13">
    <w:abstractNumId w:val="24"/>
  </w:num>
  <w:num w:numId="14">
    <w:abstractNumId w:val="6"/>
  </w:num>
  <w:num w:numId="15">
    <w:abstractNumId w:val="40"/>
  </w:num>
  <w:num w:numId="16">
    <w:abstractNumId w:val="29"/>
  </w:num>
  <w:num w:numId="17">
    <w:abstractNumId w:val="31"/>
  </w:num>
  <w:num w:numId="18">
    <w:abstractNumId w:val="18"/>
  </w:num>
  <w:num w:numId="19">
    <w:abstractNumId w:val="19"/>
  </w:num>
  <w:num w:numId="20">
    <w:abstractNumId w:val="13"/>
  </w:num>
  <w:num w:numId="21">
    <w:abstractNumId w:val="41"/>
  </w:num>
  <w:num w:numId="22">
    <w:abstractNumId w:val="3"/>
  </w:num>
  <w:num w:numId="23">
    <w:abstractNumId w:val="9"/>
  </w:num>
  <w:num w:numId="24">
    <w:abstractNumId w:val="1"/>
  </w:num>
  <w:num w:numId="25">
    <w:abstractNumId w:val="30"/>
  </w:num>
  <w:num w:numId="26">
    <w:abstractNumId w:val="16"/>
  </w:num>
  <w:num w:numId="27">
    <w:abstractNumId w:val="3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8"/>
  </w:num>
  <w:num w:numId="32">
    <w:abstractNumId w:val="20"/>
  </w:num>
  <w:num w:numId="33">
    <w:abstractNumId w:val="36"/>
  </w:num>
  <w:num w:numId="34">
    <w:abstractNumId w:val="26"/>
  </w:num>
  <w:num w:numId="35">
    <w:abstractNumId w:val="5"/>
  </w:num>
  <w:num w:numId="36">
    <w:abstractNumId w:val="22"/>
  </w:num>
  <w:num w:numId="37">
    <w:abstractNumId w:val="33"/>
  </w:num>
  <w:num w:numId="38">
    <w:abstractNumId w:val="17"/>
  </w:num>
  <w:num w:numId="39">
    <w:abstractNumId w:val="34"/>
  </w:num>
  <w:num w:numId="40">
    <w:abstractNumId w:val="23"/>
  </w:num>
  <w:num w:numId="41">
    <w:abstractNumId w:val="35"/>
  </w:num>
  <w:num w:numId="42">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F86"/>
    <w:rsid w:val="00280022"/>
    <w:rsid w:val="002802BF"/>
    <w:rsid w:val="00280620"/>
    <w:rsid w:val="00280652"/>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mailto:toctao@toctao.com.br" TargetMode="External" Id="rId26"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yperlink" Target="mailto:daniela.gontijo@tfaplantio.com.br" TargetMode="Externa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3.wmf" Id="rId20" /><Relationship Type="http://schemas.openxmlformats.org/officeDocument/2006/relationships/hyperlink" Target="mailto:julia.gontijo@hybrazil.com"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toctao@toctao.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mailto:bruno.menezes@hybrazil.com" TargetMode="External" Id="rId23" /><Relationship Type="http://schemas.openxmlformats.org/officeDocument/2006/relationships/hyperlink" Target="mailto:daniela.gontijo@tfaplantio.com.br" TargetMode="External" Id="rId28" /><Relationship Type="http://schemas.openxmlformats.org/officeDocument/2006/relationships/webSettings" Target="webSettings.xml" Id="rId10" /><Relationship Type="http://schemas.openxmlformats.org/officeDocument/2006/relationships/image" Target="media/image2.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yperlink" Target="mailto:bruno.menezes@hybrazil.com" TargetMode="External" Id="rId22" /><Relationship Type="http://schemas.openxmlformats.org/officeDocument/2006/relationships/hyperlink" Target="mailto:toctao@toctao.com.br" TargetMode="External" Id="rId27" /><Relationship Type="http://schemas.openxmlformats.org/officeDocument/2006/relationships/hyperlink" Target="mailto:gustavo@edificaempreendimentos.com.br" TargetMode="External" Id="rId30" /><Relationship Type="http://schemas.openxmlformats.org/officeDocument/2006/relationships/customXml" Target="/customXML/item7.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 T E X T ! 5 6 4 5 2 9 1 0 . 5 < / d o c u m e n t i d >  
     < s e n d e r i d > A M E < / s e n d e r i d >  
     < s e n d e r e m a i l > A G O I S @ M A C H A D O M E Y E R . C O M . B R < / s e n d e r e m a i l >  
     < l a s t m o d i f i e d > 2 0 2 2 - 0 3 - 1 4 T 1 4 : 0 5 : 0 0 . 0 0 0 0 0 0 0 - 0 3 : 0 0 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2.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4.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5.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3F790884-59C8-420D-84BC-5C1E9548D9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87</Pages>
  <Words>27625</Words>
  <Characters>157883</Characters>
  <Application>Microsoft Office Word</Application>
  <DocSecurity>0</DocSecurity>
  <Lines>6315</Lines>
  <Paragraphs>3091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182417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Andre Moretti de Gois | Machado Meyer Advogados</cp:lastModifiedBy>
  <cp:revision>9</cp:revision>
  <cp:lastPrinted>2018-12-19T22:39:00Z</cp:lastPrinted>
  <dcterms:created xsi:type="dcterms:W3CDTF">2022-03-10T13:27:00Z</dcterms:created>
  <dcterms:modified xsi:type="dcterms:W3CDTF">2022-03-14T17:05:00Z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MSIP_Label_2d75b7db-71d4-4cc1-8b1d-184309ef2b29_Enabled">
    <vt:lpwstr>true</vt:lpwstr>
  </property>
  <property fmtid="{D5CDD505-2E9C-101B-9397-08002B2CF9AE}" pid="21" name="MSIP_Label_2d75b7db-71d4-4cc1-8b1d-184309ef2b29_SetDate">
    <vt:lpwstr>2022-03-14T00:18:13Z</vt:lpwstr>
  </property>
  <property fmtid="{D5CDD505-2E9C-101B-9397-08002B2CF9AE}" pid="22" name="MSIP_Label_2d75b7db-71d4-4cc1-8b1d-184309ef2b29_Method">
    <vt:lpwstr>Standard</vt:lpwstr>
  </property>
  <property fmtid="{D5CDD505-2E9C-101B-9397-08002B2CF9AE}" pid="23" name="MSIP_Label_2d75b7db-71d4-4cc1-8b1d-184309ef2b29_Name">
    <vt:lpwstr>2d75b7db-71d4-4cc1-8b1d-184309ef2b29</vt:lpwstr>
  </property>
  <property fmtid="{D5CDD505-2E9C-101B-9397-08002B2CF9AE}" pid="24" name="MSIP_Label_2d75b7db-71d4-4cc1-8b1d-184309ef2b29_SiteId">
    <vt:lpwstr>591669a0-183f-49a5-98f4-9aa0d0b63d81</vt:lpwstr>
  </property>
  <property fmtid="{D5CDD505-2E9C-101B-9397-08002B2CF9AE}" pid="25" name="MSIP_Label_2d75b7db-71d4-4cc1-8b1d-184309ef2b29_ActionId">
    <vt:lpwstr>5b94735d-9d46-4ed5-bc6e-87572c7180cd</vt:lpwstr>
  </property>
  <property fmtid="{D5CDD505-2E9C-101B-9397-08002B2CF9AE}" pid="26" name="MSIP_Label_2d75b7db-71d4-4cc1-8b1d-184309ef2b29_ContentBits">
    <vt:lpwstr>2</vt:lpwstr>
  </property>
  <property fmtid="{D5CDD505-2E9C-101B-9397-08002B2CF9AE}" pid="27" name="iManageFooter">
    <vt:lpwstr>TEXT-56452910v5</vt:lpwstr>
  </property>
</Properties>
</file>