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21B2500" w:rsidR="00AB4058" w:rsidRPr="00A062F1" w:rsidRDefault="00D74BC5" w:rsidP="00F1481E">
      <w:pPr>
        <w:pStyle w:val="ContratoTexto"/>
        <w:spacing w:before="0" w:after="0" w:line="320" w:lineRule="exact"/>
        <w:jc w:val="center"/>
        <w:rPr>
          <w:b/>
          <w:caps/>
        </w:rPr>
      </w:pPr>
      <w:r>
        <w:rPr>
          <w:b/>
        </w:rPr>
        <w:t xml:space="preserve">TERCEIRO </w:t>
      </w:r>
      <w:r w:rsidR="00E22CB6">
        <w:rPr>
          <w:b/>
        </w:rPr>
        <w:t xml:space="preserve">ADITAMENTO AO </w:t>
      </w:r>
      <w:r w:rsidR="00A062F1" w:rsidRPr="009758D0">
        <w:rPr>
          <w:b/>
        </w:rPr>
        <w:t>CONTRATO DE ALIENAÇÃO FIDUCIÁRIA DE AÇÕES E</w:t>
      </w:r>
      <w:r w:rsidR="00E22CB6">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323E2B79"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57E54" w:rsidRPr="00BC1C5D">
        <w:rPr>
          <w:highlight w:val="yellow"/>
          <w:lang w:val="pt-BR"/>
        </w:rPr>
        <w:t>[*]</w:t>
      </w:r>
      <w:r w:rsidR="00557E54">
        <w:rPr>
          <w:lang w:val="pt-BR"/>
        </w:rPr>
        <w:t xml:space="preserve"> </w:t>
      </w:r>
      <w:r w:rsidR="00304821">
        <w:rPr>
          <w:lang w:val="pt-BR"/>
        </w:rPr>
        <w:t xml:space="preserve">de </w:t>
      </w:r>
      <w:r w:rsidR="00557E54">
        <w:rPr>
          <w:lang w:val="pt-BR"/>
        </w:rPr>
        <w:t xml:space="preserve">junho </w:t>
      </w:r>
      <w:r>
        <w:rPr>
          <w:lang w:val="pt-BR"/>
        </w:rPr>
        <w:t xml:space="preserve">de 2022, </w:t>
      </w:r>
      <w:r w:rsidR="007144D9">
        <w:rPr>
          <w:lang w:val="pt-BR"/>
        </w:rPr>
        <w:t xml:space="preserve">a </w:t>
      </w:r>
      <w:r>
        <w:rPr>
          <w:lang w:val="pt-BR"/>
        </w:rPr>
        <w:t xml:space="preserve">Companhia e </w:t>
      </w:r>
      <w:r w:rsidR="007144D9">
        <w:rPr>
          <w:lang w:val="pt-BR"/>
        </w:rPr>
        <w:t xml:space="preserve">o </w:t>
      </w:r>
      <w:r w:rsidR="00533762">
        <w:rPr>
          <w:lang w:val="pt-BR"/>
        </w:rPr>
        <w:t xml:space="preserve">Credor </w:t>
      </w:r>
      <w:proofErr w:type="spellStart"/>
      <w:r w:rsidR="00533762">
        <w:rPr>
          <w:lang w:val="pt-BR"/>
        </w:rPr>
        <w:t>CCBs</w:t>
      </w:r>
      <w:proofErr w:type="spellEnd"/>
      <w:r w:rsidR="00BC1C5D">
        <w:rPr>
          <w:lang w:val="pt-BR"/>
        </w:rPr>
        <w:t xml:space="preserve"> </w:t>
      </w:r>
      <w:r w:rsidR="007144D9">
        <w:rPr>
          <w:lang w:val="pt-BR"/>
        </w:rPr>
        <w:t xml:space="preserve">celebraram o </w:t>
      </w:r>
      <w:r w:rsidR="00557E54">
        <w:rPr>
          <w:lang w:val="pt-BR"/>
        </w:rPr>
        <w:t xml:space="preserve">Sexto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w:t>
      </w:r>
      <w:r w:rsidR="00FC7A23">
        <w:rPr>
          <w:bCs/>
          <w:iCs/>
          <w:color w:val="000000"/>
          <w:u w:val="single"/>
          <w:lang w:val="pt-BR"/>
        </w:rPr>
        <w:t xml:space="preserve">Sexto </w:t>
      </w:r>
      <w:r w:rsidRPr="00E432CD">
        <w:rPr>
          <w:bCs/>
          <w:iCs/>
          <w:color w:val="000000"/>
          <w:u w:val="single"/>
          <w:lang w:val="pt-BR"/>
        </w:rPr>
        <w:t>Aditamento à CCB</w:t>
      </w:r>
      <w:r>
        <w:rPr>
          <w:bCs/>
          <w:iCs/>
          <w:color w:val="000000"/>
          <w:lang w:val="pt-BR"/>
        </w:rPr>
        <w:t>”)</w:t>
      </w:r>
      <w:r>
        <w:rPr>
          <w:lang w:val="pt-BR"/>
        </w:rPr>
        <w:t>, de modo a alterar a data de vencimentos nela prevista;</w:t>
      </w:r>
    </w:p>
    <w:p w14:paraId="0A74DA15" w14:textId="77777777" w:rsidR="00FC7A23" w:rsidRDefault="00FC7A23" w:rsidP="00BC1C5D">
      <w:pPr>
        <w:pStyle w:val="PargrafodaLista"/>
      </w:pPr>
    </w:p>
    <w:p w14:paraId="75564A7F" w14:textId="598BFA91" w:rsidR="00FC7A23" w:rsidRDefault="00FC7A23" w:rsidP="00B7435C">
      <w:pPr>
        <w:pStyle w:val="Normala"/>
        <w:numPr>
          <w:ilvl w:val="0"/>
          <w:numId w:val="9"/>
        </w:numPr>
        <w:spacing w:before="0" w:line="320" w:lineRule="exact"/>
        <w:ind w:left="0" w:firstLine="0"/>
        <w:rPr>
          <w:lang w:val="pt-BR"/>
        </w:rPr>
      </w:pPr>
      <w:r>
        <w:rPr>
          <w:lang w:val="pt-BR"/>
        </w:rPr>
        <w:t>CONSIDERANDO QUE, em 29 de junho de 2022, a CCB nº 000270500720 foi quitada pela Emitente;</w:t>
      </w:r>
    </w:p>
    <w:p w14:paraId="5576EDFA" w14:textId="77777777" w:rsidR="00B7435C" w:rsidRDefault="00B7435C" w:rsidP="00B7435C">
      <w:pPr>
        <w:pStyle w:val="PargrafodaLista"/>
      </w:pPr>
    </w:p>
    <w:p w14:paraId="4E9482D6" w14:textId="4A6CCFD9"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w:t>
      </w:r>
      <w:r w:rsidR="003671D6">
        <w:rPr>
          <w:lang w:val="pt-BR"/>
        </w:rPr>
        <w:t>tiveram</w:t>
      </w:r>
      <w:r w:rsidR="003671D6" w:rsidRPr="000B3853">
        <w:rPr>
          <w:lang w:val="pt-BR"/>
        </w:rPr>
        <w:t xml:space="preserve"> </w:t>
      </w:r>
      <w:r w:rsidR="00304821">
        <w:rPr>
          <w:lang w:val="pt-BR"/>
        </w:rPr>
        <w:t>su</w:t>
      </w:r>
      <w:r w:rsidRPr="000B3853">
        <w:rPr>
          <w:lang w:val="pt-BR"/>
        </w:rPr>
        <w:t>a data de vencimento postergada para</w:t>
      </w:r>
      <w:r w:rsidR="007144D9">
        <w:rPr>
          <w:lang w:val="pt-BR"/>
        </w:rPr>
        <w:t xml:space="preserve"> </w:t>
      </w:r>
      <w:bookmarkStart w:id="12" w:name="_Hlk103143844"/>
      <w:r w:rsidR="00BC1C5D">
        <w:rPr>
          <w:lang w:val="pt-BR"/>
        </w:rPr>
        <w:t xml:space="preserve">27 de agosto de 2022, </w:t>
      </w:r>
      <w:r w:rsidR="00446AF4">
        <w:rPr>
          <w:lang w:val="pt-BR"/>
        </w:rPr>
        <w:t>conforme aprovado em assembleia geral de debenturistas em</w:t>
      </w:r>
      <w:r w:rsidR="007144D9">
        <w:rPr>
          <w:lang w:val="pt-BR"/>
        </w:rPr>
        <w:t xml:space="preserve"> </w:t>
      </w:r>
      <w:bookmarkEnd w:id="12"/>
      <w:r w:rsidR="00BC1C5D">
        <w:rPr>
          <w:lang w:val="pt-BR"/>
        </w:rPr>
        <w:t>23 de junho de 2022;</w:t>
      </w:r>
    </w:p>
    <w:p w14:paraId="326C1E9D" w14:textId="77777777" w:rsidR="00B7435C" w:rsidRDefault="00B7435C" w:rsidP="00B7435C"/>
    <w:p w14:paraId="3DEF9C82" w14:textId="73D98517"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3671D6">
        <w:rPr>
          <w:bCs/>
          <w:iCs/>
          <w:color w:val="000000"/>
          <w:lang w:val="pt-BR"/>
        </w:rPr>
        <w:t xml:space="preserve">Sexto </w:t>
      </w:r>
      <w:r>
        <w:rPr>
          <w:bCs/>
          <w:iCs/>
          <w:color w:val="000000"/>
          <w:lang w:val="pt-BR"/>
        </w:rPr>
        <w:t>Aditamento à CCB</w:t>
      </w:r>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20D49212" w:rsidR="006655E9" w:rsidRDefault="00831863" w:rsidP="00F1481E">
      <w:pPr>
        <w:spacing w:line="320" w:lineRule="exact"/>
        <w:jc w:val="both"/>
      </w:pPr>
      <w:bookmarkStart w:id="13" w:name="_DV_M26"/>
      <w:bookmarkEnd w:id="13"/>
      <w:r>
        <w:rPr>
          <w:b/>
        </w:rPr>
        <w:lastRenderedPageBreak/>
        <w:t xml:space="preserve">RESOLVEM </w:t>
      </w:r>
      <w:r>
        <w:rPr>
          <w:bCs/>
        </w:rPr>
        <w:t>as Partes celebrar</w:t>
      </w:r>
      <w:r w:rsidR="00E45B4A" w:rsidRPr="00861F54">
        <w:t xml:space="preserve"> o presente </w:t>
      </w:r>
      <w:r w:rsidR="003671D6">
        <w:t xml:space="preserve">Terceiro </w:t>
      </w:r>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4" w:name="_Hlk1507589"/>
      <w:bookmarkStart w:id="15"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6" w:name="_DV_M35"/>
      <w:bookmarkEnd w:id="16"/>
    </w:p>
    <w:p w14:paraId="6809BAFE" w14:textId="77777777" w:rsidR="000A5CC5" w:rsidRDefault="000A5CC5" w:rsidP="00865866">
      <w:pPr>
        <w:pStyle w:val="PargrafodaLista"/>
      </w:pPr>
      <w:bookmarkStart w:id="17" w:name="_Toc143582470"/>
      <w:bookmarkStart w:id="18" w:name="_Toc175568531"/>
      <w:bookmarkStart w:id="19" w:name="_Toc204699434"/>
      <w:bookmarkStart w:id="20" w:name="_Toc259396499"/>
      <w:bookmarkStart w:id="21" w:name="_Toc263587931"/>
      <w:bookmarkEnd w:id="14"/>
      <w:bookmarkEnd w:id="15"/>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2"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3" w:name="_DV_M290"/>
      <w:bookmarkStart w:id="24" w:name="_DV_M291"/>
      <w:bookmarkEnd w:id="23"/>
      <w:bookmarkEnd w:id="24"/>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2"/>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7"/>
      <w:bookmarkEnd w:id="18"/>
      <w:bookmarkEnd w:id="19"/>
      <w:bookmarkEnd w:id="20"/>
      <w:bookmarkEnd w:id="21"/>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5" w:name="_Toc80174430"/>
      <w:bookmarkStart w:id="26" w:name="_Toc82867919"/>
      <w:bookmarkStart w:id="27"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8" w:name="_DV_M287"/>
      <w:bookmarkStart w:id="29" w:name="_DV_M288"/>
      <w:bookmarkStart w:id="30" w:name="_DV_M289"/>
      <w:bookmarkEnd w:id="28"/>
      <w:bookmarkEnd w:id="29"/>
      <w:bookmarkEnd w:id="30"/>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 xml:space="preserve">ratificam, expressa e integralmente, todas as declarações, garantias, procurações e avenças, respectivamente prestadas, outorgadas e contratadas </w:t>
      </w:r>
      <w:r w:rsidRPr="001958E1">
        <w:rPr>
          <w:rFonts w:eastAsia="SimSun"/>
          <w:color w:val="000000"/>
        </w:rPr>
        <w:lastRenderedPageBreak/>
        <w:t>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1" w:name="_DV_M293"/>
      <w:bookmarkEnd w:id="31"/>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2" w:name="_DV_M294"/>
      <w:bookmarkStart w:id="33" w:name="_DV_M295"/>
      <w:bookmarkEnd w:id="32"/>
      <w:bookmarkEnd w:id="33"/>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4" w:name="_Toc80174431"/>
      <w:bookmarkStart w:id="35" w:name="_Toc82867920"/>
      <w:bookmarkEnd w:id="25"/>
      <w:bookmarkEnd w:id="26"/>
      <w:r w:rsidRPr="00C04B5F">
        <w:rPr>
          <w:b/>
          <w:bCs/>
        </w:rPr>
        <w:t>Lei Aplicável</w:t>
      </w:r>
      <w:bookmarkEnd w:id="34"/>
      <w:bookmarkEnd w:id="35"/>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7"/>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6070D4BA" w:rsidR="00766DCA" w:rsidRPr="00766DCA" w:rsidRDefault="00766DCA" w:rsidP="00F1481E">
      <w:pPr>
        <w:pStyle w:val="Remetente"/>
        <w:spacing w:line="320" w:lineRule="exact"/>
        <w:jc w:val="center"/>
        <w:rPr>
          <w:lang w:val="pt-BR"/>
        </w:rPr>
      </w:pPr>
      <w:r>
        <w:rPr>
          <w:lang w:val="pt-BR"/>
        </w:rPr>
        <w:t xml:space="preserve">São Paulo, </w:t>
      </w:r>
      <w:bookmarkStart w:id="36" w:name="_Hlk71076526"/>
      <w:r w:rsidR="007144D9" w:rsidRPr="00C6072D">
        <w:rPr>
          <w:highlight w:val="yellow"/>
          <w:lang w:val="pt-BR"/>
        </w:rPr>
        <w:t>[</w:t>
      </w:r>
      <w:r w:rsidR="007144D9" w:rsidRPr="00E50BCB">
        <w:rPr>
          <w:highlight w:val="yellow"/>
          <w:lang w:val="pt-BR"/>
        </w:rPr>
        <w:t>•</w:t>
      </w:r>
      <w:r w:rsidR="007144D9" w:rsidRPr="00C6072D">
        <w:rPr>
          <w:highlight w:val="yellow"/>
          <w:lang w:val="pt-BR"/>
        </w:rPr>
        <w:t>]</w:t>
      </w:r>
      <w:r w:rsidR="007144D9">
        <w:rPr>
          <w:lang w:val="pt-BR"/>
        </w:rPr>
        <w:t xml:space="preserve"> </w:t>
      </w:r>
      <w:r w:rsidR="00304821">
        <w:rPr>
          <w:lang w:val="pt-BR"/>
        </w:rPr>
        <w:t xml:space="preserve">de </w:t>
      </w:r>
      <w:r w:rsidR="00F36080">
        <w:rPr>
          <w:lang w:val="pt-BR"/>
        </w:rPr>
        <w:t xml:space="preserve">junho </w:t>
      </w:r>
      <w:r w:rsidR="00627859">
        <w:rPr>
          <w:lang w:val="pt-BR"/>
        </w:rPr>
        <w:t xml:space="preserve">de </w:t>
      </w:r>
      <w:bookmarkEnd w:id="36"/>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D79EE0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4972D89"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 xml:space="preserve">Nome: </w:t>
            </w:r>
          </w:p>
          <w:p w14:paraId="544CD06C" w14:textId="534F10B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58C30BBB" w14:textId="77777777" w:rsidR="00A758CF" w:rsidRPr="00224C53" w:rsidRDefault="00A758CF" w:rsidP="007144D9">
            <w:pPr>
              <w:pStyle w:val="xmsonormal"/>
              <w:rPr>
                <w:rFonts w:ascii="Times New Roman" w:hAnsi="Times New Roman" w:cs="Times New Roman"/>
                <w:sz w:val="24"/>
                <w:szCs w:val="24"/>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078D1ACE"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30C8BC74" w14:textId="3DC537AC"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29AE0619"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7"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5B711F4D" w:rsidR="00A83364" w:rsidRDefault="00A83364" w:rsidP="00A83364">
                  <w:pPr>
                    <w:rPr>
                      <w:rStyle w:val="Nmerodepgina"/>
                    </w:rPr>
                  </w:pPr>
                  <w:r w:rsidRPr="009372EA">
                    <w:rPr>
                      <w:rStyle w:val="Nmerodepgina"/>
                    </w:rPr>
                    <w:t>Nome:</w:t>
                  </w:r>
                  <w:r>
                    <w:rPr>
                      <w:rStyle w:val="Nmerodepgina"/>
                    </w:rPr>
                    <w:t xml:space="preserve"> </w:t>
                  </w:r>
                </w:p>
                <w:p w14:paraId="79362244" w14:textId="60117B10" w:rsidR="00A83364" w:rsidRPr="009372EA" w:rsidRDefault="00A83364" w:rsidP="00A83364">
                  <w:pPr>
                    <w:rPr>
                      <w:rStyle w:val="Nmerodepgina"/>
                    </w:rPr>
                  </w:pPr>
                  <w:r>
                    <w:rPr>
                      <w:rStyle w:val="Nmerodepgina"/>
                    </w:rPr>
                    <w:t xml:space="preserve">CPF: </w:t>
                  </w:r>
                </w:p>
                <w:p w14:paraId="60FE1E91" w14:textId="77777777" w:rsidR="00A83364" w:rsidRPr="009372EA" w:rsidRDefault="00A83364" w:rsidP="007144D9">
                  <w:pPr>
                    <w:pStyle w:val="NormalWeb"/>
                    <w:spacing w:before="0" w:beforeAutospacing="0" w:after="0" w:afterAutospacing="0"/>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40DB2F2A" w:rsidR="00707773" w:rsidRPr="00E04E12" w:rsidRDefault="00707773" w:rsidP="00707773">
                  <w:pPr>
                    <w:rPr>
                      <w:rStyle w:val="Nmerodepgina"/>
                    </w:rPr>
                  </w:pPr>
                  <w:r w:rsidRPr="00E04E12">
                    <w:rPr>
                      <w:rStyle w:val="Nmerodepgina"/>
                    </w:rPr>
                    <w:t xml:space="preserve">Nome: </w:t>
                  </w:r>
                </w:p>
                <w:p w14:paraId="07C013E2" w14:textId="417154D9" w:rsidR="00707773" w:rsidRPr="00E04E12" w:rsidRDefault="00707773" w:rsidP="00707773">
                  <w:pPr>
                    <w:rPr>
                      <w:rStyle w:val="Nmerodepgina"/>
                    </w:rPr>
                  </w:pPr>
                  <w:r w:rsidRPr="00E04E12">
                    <w:rPr>
                      <w:rStyle w:val="Nmerodepgina"/>
                    </w:rPr>
                    <w:t xml:space="preserve">CPF: </w:t>
                  </w:r>
                </w:p>
                <w:p w14:paraId="1988ADC8" w14:textId="77777777" w:rsidR="00A83364" w:rsidRPr="00E04E12" w:rsidRDefault="00A83364" w:rsidP="007144D9">
                  <w:pPr>
                    <w:pStyle w:val="NormalWeb"/>
                    <w:spacing w:before="0" w:beforeAutospacing="0" w:after="0" w:afterAutospacing="0"/>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142CA85A"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67F6A133"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 xml:space="preserve">Nome: </w:t>
            </w:r>
          </w:p>
          <w:p w14:paraId="082F68F6" w14:textId="6651BEDF"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p>
          <w:p w14:paraId="5E04D754" w14:textId="02509B7C"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213C9AD9"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 xml:space="preserve">Nome: </w:t>
            </w:r>
          </w:p>
          <w:p w14:paraId="56D84F46" w14:textId="68E048BE"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 xml:space="preserve">CPF: </w:t>
            </w:r>
          </w:p>
          <w:p w14:paraId="3EC6F22B" w14:textId="589F2A78"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Cargo: </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1043522D"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29EB9118"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 xml:space="preserve">Nome: </w:t>
            </w:r>
          </w:p>
          <w:p w14:paraId="33E86692" w14:textId="70FC2F1D"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2DDE69CB" w14:textId="77777777" w:rsidR="00A83364" w:rsidDel="00A83364" w:rsidRDefault="00A83364" w:rsidP="007144D9">
            <w:pPr>
              <w:pStyle w:val="xmsonormal"/>
              <w:rPr>
                <w:rFonts w:ascii="Times New Roman" w:hAnsi="Times New Roman" w:cs="Times New Roman"/>
                <w:sz w:val="24"/>
                <w:szCs w:val="24"/>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611D7CC2"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1D70E93D" w14:textId="1309FB5A"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01B434C9"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22A15D66" w:rsidR="00A83364" w:rsidRDefault="00A83364" w:rsidP="00F87FE3">
            <w:pPr>
              <w:rPr>
                <w:rStyle w:val="Nmerodepgina"/>
              </w:rPr>
            </w:pPr>
            <w:r w:rsidRPr="009372EA">
              <w:rPr>
                <w:rStyle w:val="Nmerodepgina"/>
              </w:rPr>
              <w:t>Nome:</w:t>
            </w:r>
            <w:r>
              <w:rPr>
                <w:rStyle w:val="Nmerodepgina"/>
              </w:rPr>
              <w:t xml:space="preserve"> </w:t>
            </w:r>
          </w:p>
          <w:p w14:paraId="09675FDC" w14:textId="59BA1229" w:rsidR="00A83364" w:rsidRPr="009372EA" w:rsidRDefault="00A83364" w:rsidP="00F87FE3">
            <w:pPr>
              <w:rPr>
                <w:rStyle w:val="Nmerodepgina"/>
              </w:rPr>
            </w:pPr>
            <w:r>
              <w:rPr>
                <w:rStyle w:val="Nmerodepgina"/>
              </w:rPr>
              <w:t xml:space="preserve">CPF: </w:t>
            </w:r>
          </w:p>
          <w:p w14:paraId="584D5A9C" w14:textId="77777777" w:rsidR="00A83364" w:rsidRPr="009372EA" w:rsidRDefault="00A83364" w:rsidP="007144D9">
            <w:pPr>
              <w:pStyle w:val="NormalWeb"/>
              <w:spacing w:before="0" w:beforeAutospacing="0" w:after="0" w:afterAutospacing="0"/>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3DC1D566" w:rsidR="00707773" w:rsidRPr="00E04E12" w:rsidRDefault="00707773" w:rsidP="00707773">
            <w:pPr>
              <w:rPr>
                <w:rStyle w:val="Nmerodepgina"/>
              </w:rPr>
            </w:pPr>
            <w:r w:rsidRPr="00E04E12">
              <w:rPr>
                <w:rStyle w:val="Nmerodepgina"/>
              </w:rPr>
              <w:t xml:space="preserve">Nome: </w:t>
            </w:r>
          </w:p>
          <w:p w14:paraId="62AC9D6C" w14:textId="7A61B6E1" w:rsidR="00707773" w:rsidRPr="00E04E12" w:rsidRDefault="00707773" w:rsidP="00707773">
            <w:pPr>
              <w:rPr>
                <w:rStyle w:val="Nmerodepgina"/>
              </w:rPr>
            </w:pPr>
            <w:r w:rsidRPr="00E04E12">
              <w:rPr>
                <w:rStyle w:val="Nmerodepgina"/>
              </w:rPr>
              <w:t xml:space="preserve">CPF: </w:t>
            </w:r>
          </w:p>
          <w:p w14:paraId="25378A70" w14:textId="77777777" w:rsidR="00A83364" w:rsidRPr="00E04E12" w:rsidRDefault="00A83364" w:rsidP="007144D9">
            <w:pPr>
              <w:pStyle w:val="NormalWeb"/>
              <w:spacing w:before="0" w:beforeAutospacing="0" w:after="0" w:afterAutospacing="0"/>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7959AB7A"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5FE3008C" w:rsidR="00183B87" w:rsidRPr="00A11DE4" w:rsidRDefault="00183B87" w:rsidP="00183B87">
            <w:r w:rsidRPr="00A11DE4">
              <w:t xml:space="preserve">Nome: </w:t>
            </w:r>
          </w:p>
          <w:p w14:paraId="05E697DF" w14:textId="34248321" w:rsidR="00183B87" w:rsidRPr="00A11DE4" w:rsidRDefault="00183B87" w:rsidP="00183B87">
            <w:r w:rsidRPr="00A11DE4">
              <w:t xml:space="preserve">CPF: </w:t>
            </w:r>
          </w:p>
          <w:p w14:paraId="7A5D03C0" w14:textId="25FE32B6" w:rsidR="00183B87" w:rsidRPr="00A11DE4" w:rsidRDefault="00183B87" w:rsidP="00183B87"/>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0146AD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8" w:name="_DV_M477"/>
      <w:bookmarkStart w:id="39" w:name="_Hlk104557878"/>
      <w:bookmarkEnd w:id="37"/>
      <w:bookmarkEnd w:id="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4BB7CBDF" w:rsidR="00C709EA" w:rsidRPr="00A57376" w:rsidRDefault="00C709EA" w:rsidP="00C709EA">
      <w:pPr>
        <w:rPr>
          <w:sz w:val="22"/>
          <w:szCs w:val="22"/>
        </w:rPr>
      </w:pPr>
      <w:bookmarkStart w:id="40" w:name="_DV_M478"/>
      <w:bookmarkEnd w:id="40"/>
      <w:r w:rsidRPr="00861F54">
        <w:rPr>
          <w:color w:val="000000"/>
          <w:w w:val="0"/>
        </w:rPr>
        <w:t>Nome:</w:t>
      </w:r>
      <w:r w:rsidRPr="00861F54">
        <w:rPr>
          <w:color w:val="000000"/>
          <w:w w:val="0"/>
        </w:rPr>
        <w:tab/>
      </w:r>
      <w:r w:rsidRPr="00861F54">
        <w:rPr>
          <w:color w:val="000000"/>
          <w:w w:val="0"/>
        </w:rPr>
        <w:tab/>
      </w:r>
      <w:r w:rsidR="007144D9">
        <w:rPr>
          <w:color w:val="000000"/>
          <w:w w:val="0"/>
        </w:rPr>
        <w:tab/>
      </w:r>
      <w:r w:rsidR="007144D9">
        <w:rPr>
          <w:color w:val="000000"/>
          <w:w w:val="0"/>
        </w:rPr>
        <w:tab/>
      </w:r>
      <w:r w:rsidR="007144D9">
        <w:rPr>
          <w:color w:val="000000"/>
          <w:w w:val="0"/>
        </w:rPr>
        <w:tab/>
      </w:r>
      <w:r w:rsidR="007144D9">
        <w:rPr>
          <w:color w:val="000000"/>
          <w:w w:val="0"/>
        </w:rPr>
        <w:tab/>
      </w:r>
      <w:r w:rsidRPr="00861F54">
        <w:rPr>
          <w:color w:val="000000"/>
          <w:w w:val="0"/>
        </w:rPr>
        <w:tab/>
      </w:r>
      <w:r w:rsidR="00BF7256">
        <w:rPr>
          <w:color w:val="000000"/>
          <w:w w:val="0"/>
        </w:rPr>
        <w:t xml:space="preserve">Nome: </w:t>
      </w:r>
    </w:p>
    <w:p w14:paraId="6B4E0D35" w14:textId="01377EBD" w:rsidR="00C709EA" w:rsidRDefault="00C709EA" w:rsidP="00C709EA">
      <w:pPr>
        <w:spacing w:line="320" w:lineRule="exact"/>
        <w:rPr>
          <w:color w:val="000000"/>
          <w:w w:val="0"/>
        </w:rPr>
      </w:pPr>
      <w:bookmarkStart w:id="41" w:name="_DV_M479"/>
      <w:bookmarkEnd w:id="41"/>
      <w:r w:rsidRPr="00861F54">
        <w:rPr>
          <w:color w:val="000000"/>
          <w:w w:val="0"/>
        </w:rPr>
        <w:t>CPF:</w:t>
      </w:r>
      <w:r w:rsidRPr="00861F54">
        <w:rPr>
          <w:color w:val="000000"/>
          <w:w w:val="0"/>
        </w:rPr>
        <w:tab/>
      </w:r>
      <w:r>
        <w:rPr>
          <w:color w:val="000000"/>
          <w:w w:val="0"/>
        </w:rPr>
        <w:t xml:space="preserve">      </w:t>
      </w:r>
      <w:r w:rsidR="007144D9">
        <w:rPr>
          <w:color w:val="000000"/>
          <w:w w:val="0"/>
        </w:rPr>
        <w:tab/>
      </w:r>
      <w:r w:rsidR="007144D9">
        <w:rPr>
          <w:color w:val="000000"/>
          <w:w w:val="0"/>
        </w:rPr>
        <w:tab/>
      </w:r>
      <w:r w:rsidR="007144D9">
        <w:rPr>
          <w:color w:val="000000"/>
          <w:w w:val="0"/>
        </w:rPr>
        <w:tab/>
      </w:r>
      <w:r>
        <w:rPr>
          <w:color w:val="000000"/>
          <w:w w:val="0"/>
        </w:rPr>
        <w:t xml:space="preserve">                                   </w:t>
      </w:r>
      <w:r w:rsidRPr="00861F54">
        <w:rPr>
          <w:color w:val="000000"/>
          <w:w w:val="0"/>
        </w:rPr>
        <w:t>CPF</w:t>
      </w:r>
      <w:r>
        <w:rPr>
          <w:color w:val="000000"/>
          <w:w w:val="0"/>
        </w:rPr>
        <w:t xml:space="preserve">: </w:t>
      </w:r>
      <w:r w:rsidR="007144D9">
        <w:tab/>
      </w:r>
    </w:p>
    <w:bookmarkEnd w:id="39"/>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2" w:name="_Hlk80818483"/>
            <w:bookmarkStart w:id="43"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44"/>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2"/>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45" w:name="_Hlk51603386"/>
            <w:bookmarkStart w:id="46" w:name="_Hlk47097034"/>
            <w:r w:rsidRPr="00B0112A">
              <w:rPr>
                <w:smallCaps/>
              </w:rPr>
              <w:t>R$12.000.000,00 (</w:t>
            </w:r>
            <w:r w:rsidRPr="00B0112A">
              <w:t>doze milhões de reais</w:t>
            </w:r>
            <w:r w:rsidRPr="00B0112A">
              <w:rPr>
                <w:smallCaps/>
              </w:rPr>
              <w:t>)</w:t>
            </w:r>
            <w:bookmarkEnd w:id="45"/>
            <w:r w:rsidRPr="00B0112A">
              <w:rPr>
                <w:smallCaps/>
              </w:rPr>
              <w:t xml:space="preserve"> </w:t>
            </w:r>
            <w:bookmarkEnd w:id="46"/>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4498180B" w:rsidR="00553256" w:rsidRPr="00B0112A" w:rsidRDefault="004555A6" w:rsidP="00160CD4">
            <w:pPr>
              <w:spacing w:line="320" w:lineRule="exact"/>
              <w:jc w:val="both"/>
            </w:pPr>
            <w:r>
              <w:t xml:space="preserve">29 de </w:t>
            </w:r>
            <w:r w:rsidR="0026138A">
              <w:t xml:space="preserve">julho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19DF4254" w:rsidR="00553256" w:rsidRPr="00B0112A" w:rsidRDefault="00553256" w:rsidP="00160CD4">
            <w:pPr>
              <w:spacing w:line="320" w:lineRule="exact"/>
              <w:ind w:left="-90"/>
              <w:jc w:val="both"/>
              <w:rPr>
                <w:i/>
              </w:rPr>
            </w:pPr>
            <w:r w:rsidRPr="00B0112A">
              <w:rPr>
                <w:i/>
              </w:rPr>
              <w:t xml:space="preserve">Juros referentes ao período entre a data de emissão da CCB original e o </w:t>
            </w:r>
            <w:r w:rsidR="0026138A">
              <w:rPr>
                <w:i/>
              </w:rPr>
              <w:t>Terceiro</w:t>
            </w:r>
            <w:r w:rsidR="0026138A"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2E19E279" w14:textId="6C560078" w:rsidR="00553256" w:rsidRPr="00B0112A" w:rsidRDefault="000F6C50" w:rsidP="00160CD4">
            <w:pPr>
              <w:pStyle w:val="PargrafodaLista"/>
              <w:autoSpaceDE/>
              <w:autoSpaceDN/>
              <w:adjustRightInd/>
              <w:spacing w:line="320" w:lineRule="exact"/>
              <w:ind w:left="0"/>
              <w:contextualSpacing/>
              <w:jc w:val="both"/>
            </w:pPr>
            <w:r w:rsidRPr="000F6C50">
              <w:rPr>
                <w:color w:val="000000"/>
                <w:lang w:eastAsia="pt-BR"/>
              </w:rPr>
              <w:t xml:space="preserve">R$ </w:t>
            </w:r>
            <w:r w:rsidR="007144D9" w:rsidRPr="00C6072D">
              <w:rPr>
                <w:highlight w:val="yellow"/>
              </w:rPr>
              <w:t>[</w:t>
            </w:r>
            <w:r w:rsidR="007144D9" w:rsidRPr="00E50BCB">
              <w:rPr>
                <w:highlight w:val="yellow"/>
              </w:rPr>
              <w:t>•</w:t>
            </w:r>
            <w:r w:rsidR="007144D9" w:rsidRPr="00C6072D">
              <w:rPr>
                <w:highlight w:val="yellow"/>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18C476C6" w:rsidR="00E55ADB" w:rsidRDefault="00BC1C5D" w:rsidP="0074290C">
            <w:pPr>
              <w:spacing w:line="320" w:lineRule="exact"/>
              <w:jc w:val="both"/>
            </w:pPr>
            <w:r>
              <w:t>27 de agosto de 2022</w:t>
            </w:r>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w:t>
            </w:r>
            <w:r>
              <w:lastRenderedPageBreak/>
              <w:t xml:space="preserve">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77777777" w:rsidR="00E55ADB" w:rsidRDefault="00E55ADB" w:rsidP="0074290C">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43"/>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00B"/>
    <w:rsid w:val="000F3A4A"/>
    <w:rsid w:val="000F3E6F"/>
    <w:rsid w:val="000F4204"/>
    <w:rsid w:val="000F58E0"/>
    <w:rsid w:val="000F6C5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2FC7"/>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138A"/>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4821"/>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671D6"/>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5A6"/>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57E5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D9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4D9"/>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A7EDD"/>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0BB"/>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1C5D"/>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256"/>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408"/>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2A40"/>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4BC5"/>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DE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6080"/>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C7A23"/>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 G E D ! 5 2 5 3 2 7 2 . 1 < / d o c u m e n t i d >  
     < s e n d e r i d > P G O N Z A L E Z < / s e n d e r i d >  
     < s e n d e r e m a i l > P G O N Z A L E Z @ V I E I R A R E Z E N D E . C O M . B R < / s e n d e r e m a i l >  
     < l a s t m o d i f i e d > 2 0 2 2 - 0 6 - 2 8 T 1 1 : 2 1 : 0 0 . 0 0 0 0 0 0 0 - 0 3 : 0 0 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F947-532F-4729-8E7C-2393BB08538B}">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3676</Words>
  <Characters>21227</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Afonso Borges Gonzalez | Vieira Rezende</cp:lastModifiedBy>
  <cp:revision>8</cp:revision>
  <cp:lastPrinted>2014-09-12T17:33:00Z</cp:lastPrinted>
  <dcterms:created xsi:type="dcterms:W3CDTF">2022-06-27T14:11:00Z</dcterms:created>
  <dcterms:modified xsi:type="dcterms:W3CDTF">2022-06-28T14:21:00Z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5253272v1</vt:lpwstr>
  </property>
</Properties>
</file>