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1AC65" w14:textId="77777777" w:rsidR="00184BAB" w:rsidRPr="0006264D" w:rsidRDefault="00184BAB" w:rsidP="00184BAB">
      <w:pPr>
        <w:pBdr>
          <w:bottom w:val="single" w:sz="12" w:space="1" w:color="auto"/>
        </w:pBdr>
        <w:spacing w:before="120" w:after="120" w:line="276" w:lineRule="auto"/>
        <w:rPr>
          <w:b/>
          <w:bCs/>
        </w:rPr>
      </w:pPr>
    </w:p>
    <w:p w14:paraId="2B6F668D" w14:textId="77777777" w:rsidR="00184BAB" w:rsidRPr="0006264D" w:rsidRDefault="00184BAB" w:rsidP="00184BAB">
      <w:pPr>
        <w:spacing w:before="120" w:after="120" w:line="276" w:lineRule="auto"/>
        <w:rPr>
          <w:b/>
          <w:bCs/>
        </w:rPr>
      </w:pPr>
    </w:p>
    <w:p w14:paraId="6BBDEA1D" w14:textId="07E390ED" w:rsidR="00184BAB" w:rsidRPr="00623AB3" w:rsidRDefault="00184BAB" w:rsidP="00184BAB">
      <w:pPr>
        <w:widowControl w:val="0"/>
        <w:spacing w:before="120" w:after="120" w:line="276" w:lineRule="auto"/>
        <w:jc w:val="center"/>
        <w:rPr>
          <w:rFonts w:ascii="Tahoma" w:hAnsi="Tahoma" w:cs="Tahoma"/>
          <w:i/>
        </w:rPr>
      </w:pPr>
      <w:r>
        <w:rPr>
          <w:rFonts w:ascii="Tahoma" w:hAnsi="Tahoma" w:cs="Tahoma"/>
          <w:b/>
        </w:rPr>
        <w:t xml:space="preserve">PRIMEIRO ADITAMENTO AO </w:t>
      </w:r>
      <w:r w:rsidRPr="00623AB3">
        <w:rPr>
          <w:rFonts w:ascii="Tahoma" w:hAnsi="Tahoma" w:cs="Tahoma"/>
          <w:b/>
        </w:rPr>
        <w:t>INSTRUMENTO PARTICULAR DE ESCRITURA DA 16ª (DÉCIMA SEXTA) EMISSÃO DE DEBÊNTURES CONVERSÍVEIS EM AÇÕES ORDINÁRIAS, DA ESPÉCIE QUIROGRAFÁRIA</w:t>
      </w:r>
      <w:r w:rsidRPr="00623AB3">
        <w:rPr>
          <w:rFonts w:ascii="Tahoma" w:hAnsi="Tahoma" w:cs="Tahoma"/>
        </w:rPr>
        <w:t xml:space="preserve">, </w:t>
      </w:r>
      <w:r w:rsidRPr="00623AB3">
        <w:rPr>
          <w:rFonts w:ascii="Tahoma" w:hAnsi="Tahoma" w:cs="Tahoma"/>
          <w:b/>
        </w:rPr>
        <w:t>EM 2 (DUAS) SÉRIES, PARA DISTRIBUIÇÃO PÚBLICA, COM ESFORÇOS RESTRITOS DE DISTRIBUIÇÃO, DA GAFISA S.A.</w:t>
      </w:r>
    </w:p>
    <w:p w14:paraId="6FCB51E5" w14:textId="77777777" w:rsidR="00184BAB" w:rsidRPr="00623AB3" w:rsidRDefault="00184BAB" w:rsidP="00184BAB">
      <w:pPr>
        <w:widowControl w:val="0"/>
        <w:spacing w:before="120" w:after="120" w:line="276" w:lineRule="auto"/>
        <w:jc w:val="center"/>
        <w:rPr>
          <w:rFonts w:ascii="Tahoma" w:hAnsi="Tahoma" w:cs="Tahoma"/>
          <w:i/>
        </w:rPr>
      </w:pPr>
    </w:p>
    <w:p w14:paraId="6611A5AA" w14:textId="77777777" w:rsidR="00184BAB" w:rsidRPr="00623AB3" w:rsidRDefault="00184BAB" w:rsidP="00184BAB">
      <w:pPr>
        <w:widowControl w:val="0"/>
        <w:spacing w:before="120" w:after="120" w:line="276" w:lineRule="auto"/>
        <w:jc w:val="center"/>
        <w:rPr>
          <w:rFonts w:ascii="Tahoma" w:hAnsi="Tahoma" w:cs="Tahoma"/>
          <w:i/>
        </w:rPr>
      </w:pPr>
      <w:r w:rsidRPr="00623AB3">
        <w:rPr>
          <w:rFonts w:ascii="Tahoma" w:hAnsi="Tahoma" w:cs="Tahoma"/>
          <w:i/>
        </w:rPr>
        <w:t>Celebrado entre</w:t>
      </w:r>
    </w:p>
    <w:p w14:paraId="4E0D651D" w14:textId="77777777" w:rsidR="00184BAB" w:rsidRPr="00623AB3" w:rsidRDefault="00184BAB" w:rsidP="00184BAB">
      <w:pPr>
        <w:widowControl w:val="0"/>
        <w:spacing w:before="120" w:after="120" w:line="276" w:lineRule="auto"/>
        <w:jc w:val="center"/>
        <w:rPr>
          <w:rFonts w:ascii="Tahoma" w:hAnsi="Tahoma" w:cs="Tahoma"/>
          <w:i/>
        </w:rPr>
      </w:pPr>
    </w:p>
    <w:p w14:paraId="72ECFB20" w14:textId="77777777" w:rsidR="00184BAB" w:rsidRPr="00623AB3" w:rsidRDefault="00184BAB" w:rsidP="00184BAB">
      <w:pPr>
        <w:spacing w:before="120" w:after="120" w:line="276" w:lineRule="auto"/>
        <w:jc w:val="center"/>
        <w:rPr>
          <w:rFonts w:ascii="Tahoma" w:hAnsi="Tahoma" w:cs="Tahoma"/>
          <w:b/>
        </w:rPr>
      </w:pPr>
      <w:r w:rsidRPr="00623AB3">
        <w:rPr>
          <w:rFonts w:ascii="Tahoma" w:hAnsi="Tahoma" w:cs="Tahoma"/>
          <w:b/>
        </w:rPr>
        <w:t>GAFISA S.A.,</w:t>
      </w:r>
    </w:p>
    <w:p w14:paraId="086AE28E" w14:textId="77777777" w:rsidR="00184BAB" w:rsidRPr="00623AB3" w:rsidRDefault="00184BAB" w:rsidP="00184BAB">
      <w:pPr>
        <w:spacing w:before="120" w:after="120" w:line="276" w:lineRule="auto"/>
        <w:jc w:val="center"/>
        <w:rPr>
          <w:rFonts w:ascii="Tahoma" w:hAnsi="Tahoma" w:cs="Tahoma"/>
          <w:i/>
          <w:iCs/>
        </w:rPr>
      </w:pPr>
      <w:r w:rsidRPr="00623AB3">
        <w:rPr>
          <w:rFonts w:ascii="Tahoma" w:hAnsi="Tahoma" w:cs="Tahoma"/>
          <w:i/>
          <w:iCs/>
        </w:rPr>
        <w:t>na qualidade de Emissora,</w:t>
      </w:r>
    </w:p>
    <w:p w14:paraId="078212AB" w14:textId="77777777" w:rsidR="00184BAB" w:rsidRPr="00623AB3" w:rsidRDefault="00184BAB" w:rsidP="00184BAB">
      <w:pPr>
        <w:spacing w:before="120" w:after="120" w:line="276" w:lineRule="auto"/>
        <w:jc w:val="center"/>
        <w:rPr>
          <w:rFonts w:ascii="Tahoma" w:hAnsi="Tahoma" w:cs="Tahoma"/>
          <w:i/>
          <w:iCs/>
        </w:rPr>
      </w:pPr>
    </w:p>
    <w:p w14:paraId="2412DCA0" w14:textId="77777777" w:rsidR="00184BAB" w:rsidRPr="00623AB3" w:rsidRDefault="00184BAB" w:rsidP="00184BAB">
      <w:pPr>
        <w:spacing w:before="120" w:after="120" w:line="276" w:lineRule="auto"/>
        <w:jc w:val="center"/>
        <w:rPr>
          <w:rFonts w:ascii="Tahoma" w:hAnsi="Tahoma" w:cs="Tahoma"/>
          <w:i/>
          <w:iCs/>
        </w:rPr>
      </w:pPr>
      <w:r w:rsidRPr="00623AB3">
        <w:rPr>
          <w:rFonts w:ascii="Tahoma" w:hAnsi="Tahoma" w:cs="Tahoma"/>
          <w:i/>
          <w:iCs/>
        </w:rPr>
        <w:t>e, ainda,</w:t>
      </w:r>
    </w:p>
    <w:p w14:paraId="4ED21E6C" w14:textId="77777777" w:rsidR="00184BAB" w:rsidRPr="00623AB3" w:rsidRDefault="00184BAB" w:rsidP="00184BAB">
      <w:pPr>
        <w:spacing w:before="120" w:after="120" w:line="276" w:lineRule="auto"/>
        <w:rPr>
          <w:rFonts w:ascii="Tahoma" w:hAnsi="Tahoma" w:cs="Tahoma"/>
          <w:i/>
          <w:iCs/>
        </w:rPr>
      </w:pPr>
    </w:p>
    <w:p w14:paraId="6DE604F4" w14:textId="77777777" w:rsidR="00184BAB" w:rsidRPr="00623AB3" w:rsidRDefault="00184BAB" w:rsidP="00184BAB">
      <w:pPr>
        <w:spacing w:before="120" w:after="120" w:line="276" w:lineRule="auto"/>
        <w:jc w:val="center"/>
        <w:rPr>
          <w:rFonts w:ascii="Tahoma" w:hAnsi="Tahoma" w:cs="Tahoma"/>
          <w:b/>
          <w:bCs/>
        </w:rPr>
      </w:pPr>
      <w:r w:rsidRPr="00623AB3">
        <w:rPr>
          <w:rFonts w:ascii="Tahoma" w:hAnsi="Tahoma" w:cs="Tahoma"/>
          <w:b/>
          <w:bCs/>
        </w:rPr>
        <w:t xml:space="preserve">SIMPLIFIC PAVARINI DISTRIBUIDORA DE TÍTULOS E VALORES MOBILIÁRIOS LTDA. </w:t>
      </w:r>
    </w:p>
    <w:p w14:paraId="2C58EED1" w14:textId="77777777" w:rsidR="00184BAB" w:rsidRPr="00623AB3" w:rsidRDefault="00184BAB" w:rsidP="00184BAB">
      <w:pPr>
        <w:spacing w:before="120" w:after="120" w:line="276" w:lineRule="auto"/>
        <w:jc w:val="center"/>
        <w:rPr>
          <w:rFonts w:ascii="Tahoma" w:hAnsi="Tahoma" w:cs="Tahoma"/>
          <w:i/>
          <w:iCs/>
        </w:rPr>
      </w:pPr>
      <w:r w:rsidRPr="00623AB3">
        <w:rPr>
          <w:rFonts w:ascii="Tahoma" w:hAnsi="Tahoma" w:cs="Tahoma"/>
          <w:i/>
          <w:iCs/>
        </w:rPr>
        <w:t xml:space="preserve">como Agente Fiduciário, representando a comunhão dos Debenturistas, </w:t>
      </w:r>
    </w:p>
    <w:p w14:paraId="6ACE8A3C" w14:textId="77777777" w:rsidR="00184BAB" w:rsidRPr="00623AB3" w:rsidRDefault="00184BAB" w:rsidP="00184BAB">
      <w:pPr>
        <w:spacing w:before="120" w:after="120" w:line="276" w:lineRule="auto"/>
        <w:jc w:val="center"/>
        <w:rPr>
          <w:rFonts w:ascii="Tahoma" w:hAnsi="Tahoma" w:cs="Tahoma"/>
          <w:i/>
          <w:iCs/>
        </w:rPr>
      </w:pPr>
    </w:p>
    <w:p w14:paraId="109A167D" w14:textId="77777777" w:rsidR="00184BAB" w:rsidRPr="00623AB3" w:rsidRDefault="00184BAB" w:rsidP="00184BAB">
      <w:pPr>
        <w:spacing w:before="120" w:after="120" w:line="276" w:lineRule="auto"/>
        <w:jc w:val="center"/>
        <w:rPr>
          <w:rFonts w:ascii="Tahoma" w:hAnsi="Tahoma" w:cs="Tahoma"/>
          <w:i/>
          <w:iCs/>
        </w:rPr>
      </w:pPr>
    </w:p>
    <w:p w14:paraId="025D621A" w14:textId="675214BD" w:rsidR="00184BAB" w:rsidRPr="00184BAB" w:rsidRDefault="00184BAB" w:rsidP="00184BAB">
      <w:pPr>
        <w:pBdr>
          <w:bottom w:val="single" w:sz="12" w:space="1" w:color="auto"/>
        </w:pBdr>
        <w:spacing w:before="120" w:after="120" w:line="276" w:lineRule="auto"/>
        <w:jc w:val="center"/>
        <w:rPr>
          <w:rFonts w:ascii="Tahoma" w:eastAsia="MS Mincho" w:hAnsi="Tahoma" w:cs="Tahoma"/>
        </w:rPr>
      </w:pPr>
      <w:r w:rsidRPr="00623AB3">
        <w:rPr>
          <w:rFonts w:ascii="Tahoma" w:eastAsia="MS Mincho" w:hAnsi="Tahoma" w:cs="Tahoma"/>
        </w:rPr>
        <w:t xml:space="preserve">São Paulo, </w:t>
      </w:r>
      <w:r>
        <w:rPr>
          <w:rFonts w:ascii="Tahoma" w:eastAsia="MS Mincho" w:hAnsi="Tahoma" w:cs="Tahoma"/>
        </w:rPr>
        <w:t>[</w:t>
      </w:r>
      <w:r w:rsidRPr="00184BAB">
        <w:rPr>
          <w:rFonts w:ascii="Tahoma" w:eastAsia="MS Mincho" w:hAnsi="Tahoma" w:cs="Tahoma"/>
          <w:highlight w:val="yellow"/>
        </w:rPr>
        <w:t>.</w:t>
      </w:r>
      <w:r>
        <w:rPr>
          <w:rFonts w:ascii="Tahoma" w:eastAsia="MS Mincho" w:hAnsi="Tahoma" w:cs="Tahoma"/>
        </w:rPr>
        <w:t>]</w:t>
      </w:r>
      <w:r w:rsidRPr="00623AB3">
        <w:rPr>
          <w:rFonts w:ascii="Tahoma" w:eastAsia="MS Mincho" w:hAnsi="Tahoma" w:cs="Tahoma"/>
        </w:rPr>
        <w:t xml:space="preserve"> de </w:t>
      </w:r>
      <w:r>
        <w:rPr>
          <w:rFonts w:ascii="Tahoma" w:eastAsia="MS Mincho" w:hAnsi="Tahoma" w:cs="Tahoma"/>
        </w:rPr>
        <w:t>abril</w:t>
      </w:r>
      <w:r w:rsidRPr="00623AB3">
        <w:rPr>
          <w:rFonts w:ascii="Tahoma" w:eastAsia="MS Mincho" w:hAnsi="Tahoma" w:cs="Tahoma"/>
        </w:rPr>
        <w:t xml:space="preserve"> </w:t>
      </w:r>
      <w:r w:rsidRPr="00623AB3">
        <w:rPr>
          <w:rFonts w:ascii="Tahoma" w:hAnsi="Tahoma" w:cs="Tahoma"/>
        </w:rPr>
        <w:t>de 202</w:t>
      </w:r>
      <w:r>
        <w:rPr>
          <w:rFonts w:ascii="Tahoma" w:hAnsi="Tahoma" w:cs="Tahoma"/>
        </w:rPr>
        <w:t>1</w:t>
      </w:r>
    </w:p>
    <w:p w14:paraId="538924C2" w14:textId="77777777" w:rsidR="00184BAB" w:rsidRPr="00623AB3" w:rsidRDefault="00184BAB" w:rsidP="00184BAB">
      <w:pPr>
        <w:pBdr>
          <w:bottom w:val="single" w:sz="12" w:space="1" w:color="auto"/>
        </w:pBdr>
        <w:spacing w:before="120" w:after="120" w:line="276" w:lineRule="auto"/>
        <w:jc w:val="center"/>
        <w:rPr>
          <w:rFonts w:ascii="Tahoma" w:hAnsi="Tahoma" w:cs="Tahoma"/>
        </w:rPr>
      </w:pPr>
    </w:p>
    <w:p w14:paraId="35F9CECD" w14:textId="3644DA38" w:rsidR="00184BAB" w:rsidRPr="00184BAB" w:rsidRDefault="00184BAB" w:rsidP="00184BAB">
      <w:pPr>
        <w:autoSpaceDE/>
        <w:autoSpaceDN/>
        <w:adjustRightInd/>
        <w:spacing w:before="120" w:after="120" w:line="276" w:lineRule="auto"/>
        <w:rPr>
          <w:rFonts w:ascii="Tahoma" w:hAnsi="Tahoma" w:cs="Tahoma"/>
          <w:b/>
          <w:bCs/>
        </w:rPr>
      </w:pPr>
      <w:bookmarkStart w:id="0" w:name="_DV_M11"/>
      <w:bookmarkEnd w:id="0"/>
    </w:p>
    <w:p w14:paraId="72C5EBBD" w14:textId="77777777" w:rsidR="00184BAB" w:rsidRDefault="00184BAB">
      <w:pPr>
        <w:pStyle w:val="NormalPlain"/>
        <w:spacing w:line="300" w:lineRule="auto"/>
        <w:jc w:val="both"/>
        <w:rPr>
          <w:rFonts w:ascii="Verdana" w:hAnsi="Verdana"/>
          <w:b/>
          <w:color w:val="000000"/>
          <w:sz w:val="20"/>
          <w:szCs w:val="20"/>
          <w:lang w:val="pt-BR"/>
        </w:rPr>
      </w:pPr>
    </w:p>
    <w:p w14:paraId="47A1818D" w14:textId="2D81392F" w:rsidR="00184BAB" w:rsidRPr="00623AB3" w:rsidRDefault="00184BAB" w:rsidP="00184BAB">
      <w:pPr>
        <w:widowControl w:val="0"/>
        <w:spacing w:before="120" w:after="120" w:line="276" w:lineRule="auto"/>
        <w:jc w:val="both"/>
        <w:rPr>
          <w:rFonts w:ascii="Tahoma" w:hAnsi="Tahoma" w:cs="Tahoma"/>
        </w:rPr>
      </w:pPr>
      <w:r>
        <w:rPr>
          <w:rFonts w:ascii="Tahoma" w:hAnsi="Tahoma" w:cs="Tahoma"/>
          <w:b/>
        </w:rPr>
        <w:lastRenderedPageBreak/>
        <w:t xml:space="preserve">PRIMEIRO ADITAMENTO AO </w:t>
      </w:r>
      <w:r w:rsidRPr="00623AB3">
        <w:rPr>
          <w:rFonts w:ascii="Tahoma" w:hAnsi="Tahoma" w:cs="Tahoma"/>
          <w:b/>
        </w:rPr>
        <w:t>INSTRUMENTO PARTICULAR DE ESCRITURA DA 16ª (DÉCIMA SEXTA) EMISSÃO DE DEBÊNTURES CONVERSÍVEIS EM AÇÕES ORDINÁRIAS, DA ESPÉCIE QUIROGRAFÁRIA</w:t>
      </w:r>
      <w:r w:rsidRPr="00623AB3">
        <w:rPr>
          <w:rFonts w:ascii="Tahoma" w:hAnsi="Tahoma" w:cs="Tahoma"/>
        </w:rPr>
        <w:t xml:space="preserve">, </w:t>
      </w:r>
      <w:r w:rsidRPr="00623AB3">
        <w:rPr>
          <w:rFonts w:ascii="Tahoma" w:hAnsi="Tahoma" w:cs="Tahoma"/>
          <w:b/>
        </w:rPr>
        <w:t>EM 2 (DUAS) SÉRIES, PARA DISTRIBUIÇÃO PÚBLICA, COM ESFORÇOS RESTRITOS DE DISTRIBUIÇÃO, DA GAFISA S.A.</w:t>
      </w:r>
    </w:p>
    <w:p w14:paraId="19F3DD9C" w14:textId="77777777" w:rsidR="00184BAB" w:rsidRPr="00623AB3" w:rsidRDefault="00184BAB" w:rsidP="00184BAB">
      <w:pPr>
        <w:spacing w:before="120" w:after="120" w:line="276" w:lineRule="auto"/>
        <w:rPr>
          <w:rFonts w:ascii="Tahoma" w:hAnsi="Tahoma" w:cs="Tahoma"/>
        </w:rPr>
      </w:pPr>
      <w:bookmarkStart w:id="1" w:name="_Ref3370362"/>
      <w:r w:rsidRPr="00623AB3">
        <w:rPr>
          <w:rFonts w:ascii="Tahoma" w:hAnsi="Tahoma" w:cs="Tahoma"/>
        </w:rPr>
        <w:t>Pelo presente instrumento particular:</w:t>
      </w:r>
      <w:bookmarkEnd w:id="1"/>
    </w:p>
    <w:p w14:paraId="34FBE495" w14:textId="77777777" w:rsidR="00184BAB" w:rsidRPr="00623AB3" w:rsidRDefault="00184BAB" w:rsidP="00184BAB">
      <w:pPr>
        <w:pStyle w:val="PargrafodaLista"/>
        <w:numPr>
          <w:ilvl w:val="0"/>
          <w:numId w:val="41"/>
        </w:numPr>
        <w:spacing w:before="120" w:after="120" w:line="276" w:lineRule="auto"/>
        <w:jc w:val="both"/>
        <w:rPr>
          <w:rFonts w:ascii="Tahoma" w:hAnsi="Tahoma" w:cs="Tahoma"/>
        </w:rPr>
      </w:pPr>
      <w:bookmarkStart w:id="2" w:name="_Hlk51588761"/>
      <w:r w:rsidRPr="00623AB3">
        <w:rPr>
          <w:rFonts w:ascii="Tahoma" w:hAnsi="Tahoma" w:cs="Tahoma"/>
          <w:b/>
          <w:bCs/>
        </w:rPr>
        <w:t>GAFISA S.A.</w:t>
      </w:r>
      <w:bookmarkEnd w:id="2"/>
      <w:r w:rsidRPr="00623AB3">
        <w:rPr>
          <w:rFonts w:ascii="Tahoma" w:hAnsi="Tahoma" w:cs="Tahoma"/>
          <w:bCs/>
        </w:rPr>
        <w:t xml:space="preserve">, sociedade anônima de capital aberto, com sede na Avenida Presidente Juscelino Kubitschek, n.º 1830, 3º andar, </w:t>
      </w:r>
      <w:proofErr w:type="spellStart"/>
      <w:r w:rsidRPr="00623AB3">
        <w:rPr>
          <w:rFonts w:ascii="Tahoma" w:hAnsi="Tahoma" w:cs="Tahoma"/>
          <w:bCs/>
        </w:rPr>
        <w:t>cj</w:t>
      </w:r>
      <w:proofErr w:type="spellEnd"/>
      <w:r w:rsidRPr="00623AB3">
        <w:rPr>
          <w:rFonts w:ascii="Tahoma" w:hAnsi="Tahoma" w:cs="Tahoma"/>
          <w:bCs/>
        </w:rPr>
        <w:t xml:space="preserve">. 32, bloco 2, Edifício São Luiz, Vila Nova Conceição, CEP 04543-900, na Cidade de São Paulo, Estado de São Paulo, inscrita no CNPJ/ME sob o n.º 01.545.826/0001-07, </w:t>
      </w:r>
      <w:r w:rsidRPr="00623AB3">
        <w:rPr>
          <w:rFonts w:ascii="Tahoma" w:hAnsi="Tahoma" w:cs="Tahoma"/>
        </w:rPr>
        <w:t>com registro de companhia aberta perante a CVM sob o n.º 16101 com seus atos constitutivos devidamente arquivados na Junta Comercial do Estado de São Paulo (“</w:t>
      </w:r>
      <w:r w:rsidRPr="00623AB3">
        <w:rPr>
          <w:rFonts w:ascii="Tahoma" w:hAnsi="Tahoma" w:cs="Tahoma"/>
          <w:u w:val="single"/>
        </w:rPr>
        <w:t>JUCESP</w:t>
      </w:r>
      <w:r w:rsidRPr="00623AB3">
        <w:rPr>
          <w:rFonts w:ascii="Tahoma" w:hAnsi="Tahoma" w:cs="Tahoma"/>
        </w:rPr>
        <w:t xml:space="preserve">”) sob o NIRE n.º 35.300.147.952, </w:t>
      </w:r>
      <w:r w:rsidRPr="00623AB3">
        <w:rPr>
          <w:rFonts w:ascii="Tahoma" w:eastAsia="MS Mincho" w:hAnsi="Tahoma" w:cs="Tahoma"/>
        </w:rPr>
        <w:t>neste ato representada na forma de seu estatuto social</w:t>
      </w:r>
      <w:r w:rsidRPr="00623AB3">
        <w:rPr>
          <w:rFonts w:ascii="Tahoma" w:hAnsi="Tahoma" w:cs="Tahoma"/>
        </w:rPr>
        <w:t xml:space="preserve"> ("</w:t>
      </w:r>
      <w:r w:rsidRPr="00623AB3">
        <w:rPr>
          <w:rFonts w:ascii="Tahoma" w:hAnsi="Tahoma" w:cs="Tahoma"/>
          <w:u w:val="single"/>
        </w:rPr>
        <w:t>Emissora</w:t>
      </w:r>
      <w:r w:rsidRPr="00623AB3">
        <w:rPr>
          <w:rFonts w:ascii="Tahoma" w:hAnsi="Tahoma" w:cs="Tahoma"/>
        </w:rPr>
        <w:t>")</w:t>
      </w:r>
      <w:r w:rsidRPr="00623AB3">
        <w:rPr>
          <w:rFonts w:ascii="Tahoma" w:eastAsia="MS Mincho" w:hAnsi="Tahoma" w:cs="Tahoma"/>
        </w:rPr>
        <w:t>; e</w:t>
      </w:r>
    </w:p>
    <w:p w14:paraId="3E7CEEA3" w14:textId="77777777" w:rsidR="00184BAB" w:rsidRPr="00623AB3" w:rsidRDefault="00184BAB" w:rsidP="00184BAB">
      <w:pPr>
        <w:pStyle w:val="PargrafodaLista"/>
        <w:numPr>
          <w:ilvl w:val="0"/>
          <w:numId w:val="41"/>
        </w:numPr>
        <w:spacing w:before="120" w:after="240" w:line="276" w:lineRule="auto"/>
        <w:ind w:left="1077"/>
        <w:jc w:val="both"/>
        <w:rPr>
          <w:rFonts w:ascii="Tahoma" w:hAnsi="Tahoma" w:cs="Tahoma"/>
        </w:rPr>
      </w:pPr>
      <w:r w:rsidRPr="00623AB3">
        <w:rPr>
          <w:rFonts w:ascii="Tahoma" w:eastAsia="MS Mincho" w:hAnsi="Tahoma" w:cs="Tahoma"/>
          <w:b/>
          <w:bCs/>
        </w:rPr>
        <w:t>SIMPLIFIC PAVARINI DISTRIBUIDORA DE TÍTULOS E VALORES MOBILIÁRIOS LTDA.</w:t>
      </w:r>
      <w:r w:rsidRPr="00623AB3">
        <w:rPr>
          <w:rFonts w:ascii="Tahoma" w:eastAsia="MS Mincho" w:hAnsi="Tahoma" w:cs="Tahoma"/>
        </w:rPr>
        <w:t>, sociedade empresária limitada atuando por sua filial na cidade de São Paulo, estado de São Paulo, na Rua Joaquim Floriano 466, sala 1401, Bairro Itaim Bibi, CEP 04534-002,inscrita no CNPJ/ME sob o nº 15.227.994/0004-01, neste ato representada na forma de seu contrato social ("</w:t>
      </w:r>
      <w:r w:rsidRPr="00623AB3">
        <w:rPr>
          <w:rFonts w:ascii="Tahoma" w:eastAsia="MS Mincho" w:hAnsi="Tahoma" w:cs="Tahoma"/>
          <w:bCs/>
          <w:u w:val="single"/>
        </w:rPr>
        <w:t>Agente Fiduciário</w:t>
      </w:r>
      <w:r w:rsidRPr="00623AB3">
        <w:rPr>
          <w:rFonts w:ascii="Tahoma" w:eastAsia="MS Mincho" w:hAnsi="Tahoma" w:cs="Tahoma"/>
        </w:rPr>
        <w:t xml:space="preserve">"), nomeada neste instrumento para representar, perante a Emissora, a comunhão </w:t>
      </w:r>
      <w:r w:rsidRPr="00623AB3">
        <w:rPr>
          <w:rFonts w:ascii="Tahoma" w:hAnsi="Tahoma" w:cs="Tahoma"/>
        </w:rPr>
        <w:t>dos interesses dos titulares das debêntures desta emissão (“</w:t>
      </w:r>
      <w:r w:rsidRPr="00623AB3">
        <w:rPr>
          <w:rFonts w:ascii="Tahoma" w:hAnsi="Tahoma" w:cs="Tahoma"/>
          <w:u w:val="single"/>
        </w:rPr>
        <w:t>Debenturistas</w:t>
      </w:r>
      <w:r w:rsidRPr="00623AB3">
        <w:rPr>
          <w:rFonts w:ascii="Tahoma" w:hAnsi="Tahoma" w:cs="Tahoma"/>
        </w:rPr>
        <w:t>”), nos termos da Lei nº 6.404, de 15 de dezembro de 1976, conforme alterada (“</w:t>
      </w:r>
      <w:r w:rsidRPr="00623AB3">
        <w:rPr>
          <w:rFonts w:ascii="Tahoma" w:hAnsi="Tahoma" w:cs="Tahoma"/>
          <w:u w:val="single"/>
        </w:rPr>
        <w:t>Lei das Sociedades por Ações</w:t>
      </w:r>
      <w:r w:rsidRPr="00623AB3">
        <w:rPr>
          <w:rFonts w:ascii="Tahoma" w:hAnsi="Tahoma" w:cs="Tahoma"/>
        </w:rPr>
        <w:t>”);</w:t>
      </w:r>
    </w:p>
    <w:p w14:paraId="52A3664D" w14:textId="6EF01E00" w:rsidR="005454C4" w:rsidRPr="0016026E" w:rsidRDefault="0016026E" w:rsidP="0016026E">
      <w:pPr>
        <w:spacing w:line="300" w:lineRule="auto"/>
        <w:jc w:val="both"/>
        <w:rPr>
          <w:rFonts w:ascii="Verdana" w:eastAsia="Arial Unicode MS" w:hAnsi="Verdana"/>
          <w:bCs/>
          <w:w w:val="0"/>
          <w:sz w:val="20"/>
          <w:szCs w:val="20"/>
        </w:rPr>
      </w:pPr>
      <w:r w:rsidRPr="0016026E">
        <w:rPr>
          <w:rFonts w:ascii="Verdana" w:eastAsia="Arial Unicode MS" w:hAnsi="Verdana"/>
          <w:b/>
          <w:w w:val="0"/>
          <w:sz w:val="20"/>
          <w:szCs w:val="20"/>
        </w:rPr>
        <w:t>RESOLVEM</w:t>
      </w:r>
      <w:r w:rsidRPr="0016026E">
        <w:rPr>
          <w:rFonts w:ascii="Verdana" w:eastAsia="Arial Unicode MS" w:hAnsi="Verdana"/>
          <w:bCs/>
          <w:w w:val="0"/>
          <w:sz w:val="20"/>
          <w:szCs w:val="20"/>
        </w:rPr>
        <w:t>, por meio desta e na melhor forma de direito, celebrar este Aditamento à Escritura de Emissão, de acordo com os termos e condições abaixo.</w:t>
      </w:r>
    </w:p>
    <w:p w14:paraId="16FB5AA7" w14:textId="77777777" w:rsidR="0016026E" w:rsidRDefault="0016026E">
      <w:pPr>
        <w:spacing w:line="300" w:lineRule="auto"/>
        <w:jc w:val="both"/>
        <w:rPr>
          <w:rFonts w:ascii="Verdana" w:eastAsia="Arial Unicode MS" w:hAnsi="Verdana"/>
          <w:bCs/>
          <w:w w:val="0"/>
          <w:sz w:val="20"/>
          <w:szCs w:val="20"/>
        </w:rPr>
      </w:pPr>
    </w:p>
    <w:p w14:paraId="2FE8AF05" w14:textId="285BBCF6" w:rsidR="005454C4" w:rsidRDefault="006A3FE4" w:rsidP="0016026E">
      <w:pPr>
        <w:spacing w:line="300" w:lineRule="auto"/>
        <w:jc w:val="both"/>
        <w:rPr>
          <w:rFonts w:ascii="Verdana" w:eastAsia="Arial Unicode MS" w:hAnsi="Verdana"/>
          <w:b/>
          <w:w w:val="0"/>
          <w:sz w:val="20"/>
          <w:szCs w:val="20"/>
        </w:rPr>
      </w:pPr>
      <w:r w:rsidRPr="0016026E">
        <w:rPr>
          <w:rFonts w:ascii="Verdana" w:eastAsia="Arial Unicode MS" w:hAnsi="Verdana"/>
          <w:b/>
          <w:w w:val="0"/>
          <w:sz w:val="20"/>
          <w:szCs w:val="20"/>
        </w:rPr>
        <w:t>Considerando que:</w:t>
      </w:r>
    </w:p>
    <w:p w14:paraId="626CE47C" w14:textId="77777777" w:rsidR="0016026E" w:rsidRPr="0016026E" w:rsidRDefault="0016026E" w:rsidP="0016026E">
      <w:pPr>
        <w:spacing w:line="300" w:lineRule="auto"/>
        <w:jc w:val="both"/>
        <w:rPr>
          <w:rFonts w:ascii="Verdana" w:eastAsia="Arial Unicode MS" w:hAnsi="Verdana"/>
          <w:b/>
          <w:w w:val="0"/>
          <w:sz w:val="20"/>
          <w:szCs w:val="20"/>
        </w:rPr>
      </w:pPr>
    </w:p>
    <w:p w14:paraId="0C8F2B3C" w14:textId="6278DA46" w:rsidR="005454C4" w:rsidRDefault="006A3FE4">
      <w:pPr>
        <w:autoSpaceDE/>
        <w:autoSpaceDN/>
        <w:adjustRightInd/>
        <w:spacing w:after="200" w:line="300" w:lineRule="auto"/>
        <w:jc w:val="both"/>
        <w:rPr>
          <w:rFonts w:ascii="Verdana" w:hAnsi="Verdana"/>
          <w:sz w:val="20"/>
          <w:szCs w:val="20"/>
        </w:rPr>
      </w:pPr>
      <w:r>
        <w:rPr>
          <w:rFonts w:ascii="Verdana" w:hAnsi="Verdana"/>
          <w:sz w:val="20"/>
          <w:szCs w:val="20"/>
        </w:rPr>
        <w:t>(a)</w:t>
      </w:r>
      <w:r>
        <w:rPr>
          <w:rFonts w:ascii="Verdana" w:hAnsi="Verdana"/>
          <w:sz w:val="20"/>
          <w:szCs w:val="20"/>
        </w:rPr>
        <w:tab/>
      </w:r>
      <w:r w:rsidR="0016026E" w:rsidRPr="0016026E">
        <w:rPr>
          <w:rFonts w:ascii="Verdana" w:hAnsi="Verdana"/>
          <w:sz w:val="20"/>
          <w:szCs w:val="20"/>
        </w:rPr>
        <w:t xml:space="preserve">A 16ª (décima sexta) emissão de debêntures conversíveis em ações, da espécie quirografária, em 02 (duas) séries, para distribuição pública, com esforços restritos de distribuição, da Emissora ("Emissão" e "Debêntures", respectivamente), nos termos do artigo 59 da Lei das Sociedades por Ações, nos termos da Instrução da Comissão de Valores Mobiliários (“CVM”) nº 476, de 16 de janeiro de 2009, conforme alterada (“Instrução CVM 476”), e demais leis e regulamentações aplicáveis (“Oferta Restrita”), a celebração </w:t>
      </w:r>
      <w:r w:rsidR="0016026E">
        <w:rPr>
          <w:rFonts w:ascii="Verdana" w:hAnsi="Verdana"/>
          <w:sz w:val="20"/>
          <w:szCs w:val="20"/>
        </w:rPr>
        <w:t>da</w:t>
      </w:r>
      <w:r w:rsidR="0016026E" w:rsidRPr="0016026E">
        <w:rPr>
          <w:rFonts w:ascii="Verdana" w:hAnsi="Verdana"/>
          <w:sz w:val="20"/>
          <w:szCs w:val="20"/>
        </w:rPr>
        <w:t xml:space="preserve"> Escritura de Emissão e dos demais documentos relativos são realizados com base nas deliberações da Reunião do Conselho de Administração da Emissora, realizada em 21 de outubro de 2020 ("Aprovação da Emissora").</w:t>
      </w:r>
    </w:p>
    <w:p w14:paraId="6B7A5D28" w14:textId="2E2C48A2" w:rsidR="005454C4" w:rsidRDefault="006A3FE4">
      <w:pPr>
        <w:autoSpaceDE/>
        <w:autoSpaceDN/>
        <w:adjustRightInd/>
        <w:spacing w:after="200" w:line="300" w:lineRule="auto"/>
        <w:jc w:val="both"/>
        <w:rPr>
          <w:rFonts w:ascii="Verdana" w:hAnsi="Verdana"/>
          <w:sz w:val="20"/>
          <w:szCs w:val="20"/>
        </w:rPr>
      </w:pPr>
      <w:r>
        <w:rPr>
          <w:rFonts w:ascii="Verdana" w:hAnsi="Verdana"/>
          <w:sz w:val="20"/>
          <w:szCs w:val="20"/>
        </w:rPr>
        <w:t>(b)</w:t>
      </w:r>
      <w:r>
        <w:rPr>
          <w:rFonts w:ascii="Verdana" w:hAnsi="Verdana"/>
          <w:sz w:val="20"/>
          <w:szCs w:val="20"/>
        </w:rPr>
        <w:tab/>
      </w:r>
      <w:r w:rsidR="0016026E" w:rsidRPr="0016026E">
        <w:rPr>
          <w:rFonts w:ascii="Verdana" w:hAnsi="Verdana"/>
          <w:sz w:val="20"/>
          <w:szCs w:val="20"/>
        </w:rPr>
        <w:t xml:space="preserve">em </w:t>
      </w:r>
      <w:r w:rsidR="0016026E">
        <w:rPr>
          <w:rFonts w:ascii="Verdana" w:hAnsi="Verdana"/>
          <w:sz w:val="20"/>
          <w:szCs w:val="20"/>
        </w:rPr>
        <w:t>21</w:t>
      </w:r>
      <w:r w:rsidR="0016026E" w:rsidRPr="0016026E">
        <w:rPr>
          <w:rFonts w:ascii="Verdana" w:hAnsi="Verdana"/>
          <w:sz w:val="20"/>
          <w:szCs w:val="20"/>
        </w:rPr>
        <w:t xml:space="preserve"> de </w:t>
      </w:r>
      <w:r w:rsidR="0016026E">
        <w:rPr>
          <w:rFonts w:ascii="Verdana" w:hAnsi="Verdana"/>
          <w:sz w:val="20"/>
          <w:szCs w:val="20"/>
        </w:rPr>
        <w:t>outubro</w:t>
      </w:r>
      <w:r w:rsidR="0016026E" w:rsidRPr="0016026E">
        <w:rPr>
          <w:rFonts w:ascii="Verdana" w:hAnsi="Verdana"/>
          <w:sz w:val="20"/>
          <w:szCs w:val="20"/>
        </w:rPr>
        <w:t xml:space="preserve"> de 2020, a</w:t>
      </w:r>
      <w:r w:rsidR="0016026E">
        <w:rPr>
          <w:rFonts w:ascii="Verdana" w:hAnsi="Verdana"/>
          <w:sz w:val="20"/>
          <w:szCs w:val="20"/>
        </w:rPr>
        <w:t xml:space="preserve"> Emissora e o Agente </w:t>
      </w:r>
      <w:r w:rsidR="0016026E" w:rsidRPr="0016026E">
        <w:rPr>
          <w:rFonts w:ascii="Verdana" w:hAnsi="Verdana"/>
          <w:sz w:val="20"/>
          <w:szCs w:val="20"/>
        </w:rPr>
        <w:t xml:space="preserve">Fiduciário celebraram o “Instrumento Particular de Escritura da </w:t>
      </w:r>
      <w:r w:rsidR="0016026E">
        <w:rPr>
          <w:rFonts w:ascii="Verdana" w:hAnsi="Verdana"/>
          <w:sz w:val="20"/>
          <w:szCs w:val="20"/>
        </w:rPr>
        <w:t>16</w:t>
      </w:r>
      <w:r w:rsidR="0016026E" w:rsidRPr="0016026E">
        <w:rPr>
          <w:rFonts w:ascii="Verdana" w:hAnsi="Verdana"/>
          <w:sz w:val="20"/>
          <w:szCs w:val="20"/>
        </w:rPr>
        <w:t>ª (</w:t>
      </w:r>
      <w:r w:rsidR="0016026E">
        <w:rPr>
          <w:rFonts w:ascii="Verdana" w:hAnsi="Verdana"/>
          <w:sz w:val="20"/>
          <w:szCs w:val="20"/>
        </w:rPr>
        <w:t>Décima Sexta)</w:t>
      </w:r>
      <w:r w:rsidR="0016026E" w:rsidRPr="0016026E">
        <w:rPr>
          <w:rFonts w:ascii="Verdana" w:hAnsi="Verdana"/>
          <w:sz w:val="20"/>
          <w:szCs w:val="20"/>
        </w:rPr>
        <w:t xml:space="preserve"> Emissão de Debêntures </w:t>
      </w:r>
      <w:r w:rsidR="00FF5C71">
        <w:rPr>
          <w:rFonts w:ascii="Verdana" w:hAnsi="Verdana"/>
          <w:sz w:val="20"/>
          <w:szCs w:val="20"/>
        </w:rPr>
        <w:t xml:space="preserve">Conversíveis em Ações Ordinárias, da </w:t>
      </w:r>
      <w:r w:rsidR="0016026E" w:rsidRPr="0016026E">
        <w:rPr>
          <w:rFonts w:ascii="Verdana" w:hAnsi="Verdana"/>
          <w:sz w:val="20"/>
          <w:szCs w:val="20"/>
        </w:rPr>
        <w:t xml:space="preserve">Espécie </w:t>
      </w:r>
      <w:r w:rsidR="00FF5C71">
        <w:rPr>
          <w:rFonts w:ascii="Verdana" w:hAnsi="Verdana"/>
          <w:sz w:val="20"/>
          <w:szCs w:val="20"/>
        </w:rPr>
        <w:t>Quirografária</w:t>
      </w:r>
      <w:r w:rsidR="0016026E" w:rsidRPr="0016026E">
        <w:rPr>
          <w:rFonts w:ascii="Verdana" w:hAnsi="Verdana"/>
          <w:sz w:val="20"/>
          <w:szCs w:val="20"/>
        </w:rPr>
        <w:t>, em</w:t>
      </w:r>
      <w:r w:rsidR="00FF5C71">
        <w:rPr>
          <w:rFonts w:ascii="Verdana" w:hAnsi="Verdana"/>
          <w:sz w:val="20"/>
          <w:szCs w:val="20"/>
        </w:rPr>
        <w:t xml:space="preserve"> e (duas) </w:t>
      </w:r>
      <w:r w:rsidR="0016026E" w:rsidRPr="0016026E">
        <w:rPr>
          <w:rFonts w:ascii="Verdana" w:hAnsi="Verdana"/>
          <w:sz w:val="20"/>
          <w:szCs w:val="20"/>
        </w:rPr>
        <w:t>Série</w:t>
      </w:r>
      <w:r w:rsidR="00FF5C71">
        <w:rPr>
          <w:rFonts w:ascii="Verdana" w:hAnsi="Verdana"/>
          <w:sz w:val="20"/>
          <w:szCs w:val="20"/>
        </w:rPr>
        <w:t>s</w:t>
      </w:r>
      <w:r w:rsidR="0016026E" w:rsidRPr="0016026E">
        <w:rPr>
          <w:rFonts w:ascii="Verdana" w:hAnsi="Verdana"/>
          <w:sz w:val="20"/>
          <w:szCs w:val="20"/>
        </w:rPr>
        <w:t xml:space="preserve">, Para Distribuição Pública, com Esforços </w:t>
      </w:r>
      <w:r w:rsidR="0016026E" w:rsidRPr="0016026E">
        <w:rPr>
          <w:rFonts w:ascii="Verdana" w:hAnsi="Verdana"/>
          <w:sz w:val="20"/>
          <w:szCs w:val="20"/>
        </w:rPr>
        <w:lastRenderedPageBreak/>
        <w:t xml:space="preserve">Restritos de Distribuição, da </w:t>
      </w:r>
      <w:r w:rsidR="0081678F">
        <w:rPr>
          <w:rFonts w:ascii="Verdana" w:hAnsi="Verdana"/>
          <w:sz w:val="20"/>
          <w:szCs w:val="20"/>
        </w:rPr>
        <w:t>G</w:t>
      </w:r>
      <w:r w:rsidR="00FF5C71">
        <w:rPr>
          <w:rFonts w:ascii="Verdana" w:hAnsi="Verdana"/>
          <w:sz w:val="20"/>
          <w:szCs w:val="20"/>
        </w:rPr>
        <w:t>afisa</w:t>
      </w:r>
      <w:r w:rsidR="0016026E" w:rsidRPr="0016026E">
        <w:rPr>
          <w:rFonts w:ascii="Verdana" w:hAnsi="Verdana"/>
          <w:sz w:val="20"/>
          <w:szCs w:val="20"/>
        </w:rPr>
        <w:t xml:space="preserve"> S.A.”, o qual foi devidamente registrado na JUCESP, em </w:t>
      </w:r>
      <w:r w:rsidR="00FF5C71">
        <w:rPr>
          <w:rFonts w:ascii="Verdana" w:hAnsi="Verdana"/>
          <w:sz w:val="20"/>
          <w:szCs w:val="20"/>
        </w:rPr>
        <w:t>26</w:t>
      </w:r>
      <w:r w:rsidR="0016026E" w:rsidRPr="0016026E">
        <w:rPr>
          <w:rFonts w:ascii="Verdana" w:hAnsi="Verdana"/>
          <w:sz w:val="20"/>
          <w:szCs w:val="20"/>
        </w:rPr>
        <w:t xml:space="preserve"> de </w:t>
      </w:r>
      <w:r w:rsidR="00FF5C71">
        <w:rPr>
          <w:rFonts w:ascii="Verdana" w:hAnsi="Verdana"/>
          <w:sz w:val="20"/>
          <w:szCs w:val="20"/>
        </w:rPr>
        <w:t>novembro</w:t>
      </w:r>
      <w:r w:rsidR="0016026E" w:rsidRPr="0016026E">
        <w:rPr>
          <w:rFonts w:ascii="Verdana" w:hAnsi="Verdana"/>
          <w:sz w:val="20"/>
          <w:szCs w:val="20"/>
        </w:rPr>
        <w:t xml:space="preserve"> de 2020, sob nº ED</w:t>
      </w:r>
      <w:r w:rsidR="00FF5C71">
        <w:rPr>
          <w:rFonts w:ascii="Verdana" w:hAnsi="Verdana"/>
          <w:sz w:val="20"/>
          <w:szCs w:val="20"/>
        </w:rPr>
        <w:t>003616</w:t>
      </w:r>
      <w:r w:rsidR="0016026E" w:rsidRPr="0016026E">
        <w:rPr>
          <w:rFonts w:ascii="Verdana" w:hAnsi="Verdana"/>
          <w:sz w:val="20"/>
          <w:szCs w:val="20"/>
        </w:rPr>
        <w:t>-3/000 (“Escritura de Emissão”);</w:t>
      </w:r>
    </w:p>
    <w:p w14:paraId="3B0E5A2A" w14:textId="63B690A2" w:rsidR="00FF5C71" w:rsidRDefault="006A3FE4">
      <w:pPr>
        <w:autoSpaceDE/>
        <w:autoSpaceDN/>
        <w:adjustRightInd/>
        <w:spacing w:after="200" w:line="300" w:lineRule="auto"/>
        <w:jc w:val="both"/>
        <w:rPr>
          <w:rFonts w:ascii="Verdana" w:hAnsi="Verdana"/>
          <w:sz w:val="20"/>
          <w:szCs w:val="20"/>
        </w:rPr>
      </w:pPr>
      <w:r>
        <w:rPr>
          <w:rFonts w:ascii="Verdana" w:hAnsi="Verdana"/>
          <w:sz w:val="20"/>
          <w:szCs w:val="20"/>
        </w:rPr>
        <w:t>(c)</w:t>
      </w:r>
      <w:r>
        <w:rPr>
          <w:rFonts w:ascii="Verdana" w:hAnsi="Verdana"/>
          <w:sz w:val="20"/>
          <w:szCs w:val="20"/>
        </w:rPr>
        <w:tab/>
      </w:r>
      <w:r w:rsidR="00FF5C71" w:rsidRPr="00FF5C71">
        <w:rPr>
          <w:rFonts w:ascii="Verdana" w:hAnsi="Verdana"/>
          <w:sz w:val="20"/>
          <w:szCs w:val="20"/>
        </w:rPr>
        <w:t xml:space="preserve">em Assembleia Geral Debenturistas realizada, em </w:t>
      </w:r>
      <w:r w:rsidR="00FF5C71">
        <w:rPr>
          <w:rFonts w:ascii="Verdana" w:hAnsi="Verdana"/>
          <w:sz w:val="20"/>
          <w:szCs w:val="20"/>
        </w:rPr>
        <w:t>30</w:t>
      </w:r>
      <w:r w:rsidR="00FF5C71" w:rsidRPr="00FF5C71">
        <w:rPr>
          <w:rFonts w:ascii="Verdana" w:hAnsi="Verdana"/>
          <w:sz w:val="20"/>
          <w:szCs w:val="20"/>
        </w:rPr>
        <w:t xml:space="preserve"> de </w:t>
      </w:r>
      <w:r w:rsidR="00FF5C71">
        <w:rPr>
          <w:rFonts w:ascii="Verdana" w:hAnsi="Verdana"/>
          <w:sz w:val="20"/>
          <w:szCs w:val="20"/>
        </w:rPr>
        <w:t>março</w:t>
      </w:r>
      <w:r w:rsidR="00FF5C71" w:rsidRPr="00FF5C71">
        <w:rPr>
          <w:rFonts w:ascii="Verdana" w:hAnsi="Verdana"/>
          <w:sz w:val="20"/>
          <w:szCs w:val="20"/>
        </w:rPr>
        <w:t xml:space="preserve"> de 202</w:t>
      </w:r>
      <w:r w:rsidR="00FF5C71">
        <w:rPr>
          <w:rFonts w:ascii="Verdana" w:hAnsi="Verdana"/>
          <w:sz w:val="20"/>
          <w:szCs w:val="20"/>
        </w:rPr>
        <w:t>1</w:t>
      </w:r>
      <w:r w:rsidR="00FF5C71" w:rsidRPr="00FF5C71">
        <w:rPr>
          <w:rFonts w:ascii="Verdana" w:hAnsi="Verdana"/>
          <w:sz w:val="20"/>
          <w:szCs w:val="20"/>
        </w:rPr>
        <w:t xml:space="preserve">, foi deliberado e aprovado, </w:t>
      </w:r>
      <w:r w:rsidR="00FF5C71">
        <w:rPr>
          <w:rFonts w:ascii="Verdana" w:hAnsi="Verdana"/>
          <w:sz w:val="20"/>
          <w:szCs w:val="20"/>
        </w:rPr>
        <w:t xml:space="preserve">a alteração da </w:t>
      </w:r>
      <w:r w:rsidR="00FF5C71" w:rsidRPr="00FF5C71">
        <w:rPr>
          <w:rFonts w:ascii="Verdana" w:hAnsi="Verdana"/>
          <w:sz w:val="20"/>
          <w:szCs w:val="20"/>
        </w:rPr>
        <w:t xml:space="preserve">Cláusula 6.2 da </w:t>
      </w:r>
      <w:r w:rsidR="00FF5C71">
        <w:rPr>
          <w:rFonts w:ascii="Verdana" w:hAnsi="Verdana"/>
          <w:sz w:val="20"/>
          <w:szCs w:val="20"/>
        </w:rPr>
        <w:t>E</w:t>
      </w:r>
      <w:r w:rsidR="00FF5C71" w:rsidRPr="00FF5C71">
        <w:rPr>
          <w:rFonts w:ascii="Verdana" w:hAnsi="Verdana"/>
          <w:sz w:val="20"/>
          <w:szCs w:val="20"/>
        </w:rPr>
        <w:t xml:space="preserve">scritura de </w:t>
      </w:r>
      <w:r w:rsidR="00FF5C71">
        <w:rPr>
          <w:rFonts w:ascii="Verdana" w:hAnsi="Verdana"/>
          <w:sz w:val="20"/>
          <w:szCs w:val="20"/>
        </w:rPr>
        <w:t>E</w:t>
      </w:r>
      <w:r w:rsidR="00FF5C71" w:rsidRPr="00FF5C71">
        <w:rPr>
          <w:rFonts w:ascii="Verdana" w:hAnsi="Verdana"/>
          <w:sz w:val="20"/>
          <w:szCs w:val="20"/>
        </w:rPr>
        <w:t>missão</w:t>
      </w:r>
      <w:r w:rsidR="00FF5C71">
        <w:rPr>
          <w:rFonts w:ascii="Verdana" w:hAnsi="Verdana"/>
          <w:sz w:val="20"/>
          <w:szCs w:val="20"/>
        </w:rPr>
        <w:t xml:space="preserve"> e da </w:t>
      </w:r>
      <w:r w:rsidR="00FF5C71" w:rsidRPr="00FF5C71">
        <w:rPr>
          <w:rFonts w:ascii="Verdana" w:hAnsi="Verdana"/>
          <w:sz w:val="20"/>
          <w:szCs w:val="20"/>
        </w:rPr>
        <w:t xml:space="preserve">Cláusula </w:t>
      </w:r>
      <w:r w:rsidR="00FF5C71">
        <w:rPr>
          <w:rFonts w:ascii="Verdana" w:hAnsi="Verdana"/>
          <w:sz w:val="20"/>
          <w:szCs w:val="20"/>
        </w:rPr>
        <w:t>8.1</w:t>
      </w:r>
      <w:r w:rsidR="00FF5C71" w:rsidRPr="00FF5C71">
        <w:rPr>
          <w:rFonts w:ascii="Verdana" w:hAnsi="Verdana"/>
          <w:sz w:val="20"/>
          <w:szCs w:val="20"/>
        </w:rPr>
        <w:t xml:space="preserve"> da </w:t>
      </w:r>
      <w:r w:rsidR="00FF5C71">
        <w:rPr>
          <w:rFonts w:ascii="Verdana" w:hAnsi="Verdana"/>
          <w:sz w:val="20"/>
          <w:szCs w:val="20"/>
        </w:rPr>
        <w:t>E</w:t>
      </w:r>
      <w:r w:rsidR="00FF5C71" w:rsidRPr="00FF5C71">
        <w:rPr>
          <w:rFonts w:ascii="Verdana" w:hAnsi="Verdana"/>
          <w:sz w:val="20"/>
          <w:szCs w:val="20"/>
        </w:rPr>
        <w:t xml:space="preserve">scritura de </w:t>
      </w:r>
      <w:r w:rsidR="00FF5C71">
        <w:rPr>
          <w:rFonts w:ascii="Verdana" w:hAnsi="Verdana"/>
          <w:sz w:val="20"/>
          <w:szCs w:val="20"/>
        </w:rPr>
        <w:t>E</w:t>
      </w:r>
      <w:r w:rsidR="00FF5C71" w:rsidRPr="00FF5C71">
        <w:rPr>
          <w:rFonts w:ascii="Verdana" w:hAnsi="Verdana"/>
          <w:sz w:val="20"/>
          <w:szCs w:val="20"/>
        </w:rPr>
        <w:t>missão</w:t>
      </w:r>
      <w:r w:rsidR="00FF5C71">
        <w:rPr>
          <w:rFonts w:ascii="Verdana" w:hAnsi="Verdana"/>
          <w:sz w:val="20"/>
          <w:szCs w:val="20"/>
        </w:rPr>
        <w:t>, conforme abaixo (“AGD 30.03.2021”).</w:t>
      </w:r>
    </w:p>
    <w:p w14:paraId="7F61B6CA" w14:textId="29B7CEC4" w:rsidR="00184BAB" w:rsidRDefault="006A3FE4">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w:t>
      </w:r>
      <w:r w:rsidR="00FF5C71">
        <w:rPr>
          <w:rFonts w:ascii="Verdana" w:hAnsi="Verdana"/>
          <w:sz w:val="20"/>
          <w:szCs w:val="20"/>
        </w:rPr>
        <w:t>Primeiro</w:t>
      </w:r>
      <w:r w:rsidR="00295F6F">
        <w:rPr>
          <w:rFonts w:ascii="Verdana" w:hAnsi="Verdana"/>
          <w:sz w:val="20"/>
          <w:szCs w:val="20"/>
        </w:rPr>
        <w:t xml:space="preserve"> </w:t>
      </w:r>
      <w:r>
        <w:rPr>
          <w:rFonts w:ascii="Verdana" w:hAnsi="Verdana"/>
          <w:sz w:val="20"/>
          <w:szCs w:val="20"/>
        </w:rPr>
        <w:t xml:space="preserve">Aditamento, que será regido pelas seguintes cláusulas e condições: </w:t>
      </w:r>
    </w:p>
    <w:p w14:paraId="551B7B3D" w14:textId="77777777" w:rsidR="00184BAB" w:rsidRDefault="00184BAB">
      <w:pPr>
        <w:spacing w:line="300" w:lineRule="auto"/>
        <w:jc w:val="both"/>
        <w:rPr>
          <w:rFonts w:ascii="Verdana" w:hAnsi="Verdana"/>
          <w:sz w:val="20"/>
          <w:szCs w:val="20"/>
        </w:rPr>
      </w:pPr>
    </w:p>
    <w:p w14:paraId="316D4220" w14:textId="77777777" w:rsidR="005454C4" w:rsidRDefault="006A3FE4">
      <w:pPr>
        <w:spacing w:line="300" w:lineRule="auto"/>
        <w:jc w:val="both"/>
        <w:rPr>
          <w:rFonts w:ascii="Verdana" w:hAnsi="Verdana"/>
          <w:b/>
          <w:sz w:val="20"/>
          <w:szCs w:val="20"/>
        </w:rPr>
      </w:pPr>
      <w:r>
        <w:rPr>
          <w:rFonts w:ascii="Verdana" w:hAnsi="Verdana"/>
          <w:b/>
          <w:sz w:val="20"/>
          <w:szCs w:val="20"/>
        </w:rPr>
        <w:t xml:space="preserve">CLAUSULA I – AUTORIZAÇÃO </w:t>
      </w:r>
    </w:p>
    <w:p w14:paraId="478E8863" w14:textId="77777777" w:rsidR="005454C4" w:rsidRDefault="005454C4">
      <w:pPr>
        <w:spacing w:line="300" w:lineRule="auto"/>
        <w:jc w:val="both"/>
        <w:rPr>
          <w:rFonts w:ascii="Verdana" w:hAnsi="Verdana"/>
          <w:b/>
          <w:sz w:val="20"/>
          <w:szCs w:val="20"/>
        </w:rPr>
      </w:pPr>
    </w:p>
    <w:p w14:paraId="585A7AFD" w14:textId="041A8187" w:rsidR="005454C4" w:rsidRPr="009B3EB3" w:rsidRDefault="006A3FE4" w:rsidP="0016026E">
      <w:pPr>
        <w:widowControl w:val="0"/>
        <w:numPr>
          <w:ilvl w:val="1"/>
          <w:numId w:val="3"/>
        </w:numPr>
        <w:autoSpaceDE/>
        <w:autoSpaceDN/>
        <w:adjustRightInd/>
        <w:spacing w:line="300" w:lineRule="auto"/>
        <w:ind w:left="0" w:firstLine="0"/>
        <w:jc w:val="both"/>
        <w:rPr>
          <w:rFonts w:ascii="Verdana" w:hAnsi="Verdana"/>
          <w:b/>
          <w:sz w:val="20"/>
          <w:szCs w:val="20"/>
        </w:rPr>
      </w:pPr>
      <w:r w:rsidRPr="009B3EB3">
        <w:rPr>
          <w:rFonts w:ascii="Verdana" w:hAnsi="Verdana"/>
          <w:sz w:val="20"/>
          <w:szCs w:val="20"/>
        </w:rPr>
        <w:t xml:space="preserve">A celebração do presente Aditamento será realizada </w:t>
      </w:r>
      <w:r w:rsidR="00295F6F" w:rsidRPr="009B3EB3">
        <w:rPr>
          <w:rFonts w:ascii="Verdana" w:hAnsi="Verdana"/>
          <w:sz w:val="20"/>
          <w:szCs w:val="20"/>
        </w:rPr>
        <w:t>nos termos da</w:t>
      </w:r>
      <w:r w:rsidR="00FF5C71">
        <w:rPr>
          <w:rFonts w:ascii="Verdana" w:hAnsi="Verdana"/>
          <w:sz w:val="20"/>
          <w:szCs w:val="20"/>
        </w:rPr>
        <w:t xml:space="preserve"> AGD 30.03.2021</w:t>
      </w:r>
      <w:r w:rsidR="005B472D">
        <w:rPr>
          <w:rFonts w:ascii="Verdana" w:hAnsi="Verdana"/>
          <w:sz w:val="20"/>
          <w:szCs w:val="20"/>
        </w:rPr>
        <w:t>.</w:t>
      </w:r>
    </w:p>
    <w:p w14:paraId="222D1B4C" w14:textId="77777777" w:rsidR="005454C4" w:rsidRDefault="005454C4">
      <w:pPr>
        <w:spacing w:line="300" w:lineRule="auto"/>
        <w:jc w:val="both"/>
        <w:rPr>
          <w:rFonts w:ascii="Verdana" w:hAnsi="Verdana"/>
          <w:b/>
          <w:sz w:val="20"/>
          <w:szCs w:val="20"/>
        </w:rPr>
      </w:pPr>
    </w:p>
    <w:p w14:paraId="377CEEDA" w14:textId="77777777" w:rsidR="005454C4" w:rsidRDefault="005454C4">
      <w:pPr>
        <w:spacing w:line="300" w:lineRule="auto"/>
        <w:jc w:val="both"/>
        <w:rPr>
          <w:rFonts w:ascii="Verdana" w:hAnsi="Verdana"/>
          <w:b/>
          <w:sz w:val="20"/>
          <w:szCs w:val="20"/>
        </w:rPr>
      </w:pPr>
    </w:p>
    <w:p w14:paraId="4EE3FC88" w14:textId="77777777" w:rsidR="005454C4" w:rsidRDefault="006A3FE4">
      <w:pPr>
        <w:spacing w:line="300" w:lineRule="auto"/>
        <w:jc w:val="both"/>
        <w:rPr>
          <w:rFonts w:ascii="Verdana" w:hAnsi="Verdana"/>
          <w:b/>
          <w:sz w:val="20"/>
          <w:szCs w:val="20"/>
        </w:rPr>
      </w:pPr>
      <w:r>
        <w:rPr>
          <w:rFonts w:ascii="Verdana" w:hAnsi="Verdana"/>
          <w:b/>
          <w:sz w:val="20"/>
          <w:szCs w:val="20"/>
        </w:rPr>
        <w:t>CLAUSULA II – REQUISITOS</w:t>
      </w:r>
    </w:p>
    <w:p w14:paraId="1B5BD75B" w14:textId="77777777" w:rsidR="005454C4" w:rsidRDefault="005454C4">
      <w:pPr>
        <w:spacing w:line="300" w:lineRule="auto"/>
        <w:jc w:val="both"/>
        <w:rPr>
          <w:rFonts w:ascii="Verdana" w:hAnsi="Verdana"/>
          <w:sz w:val="20"/>
          <w:szCs w:val="20"/>
        </w:rPr>
      </w:pPr>
    </w:p>
    <w:p w14:paraId="2D6191C1" w14:textId="77777777" w:rsidR="005454C4" w:rsidRDefault="006A3FE4">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14:paraId="13216ED6" w14:textId="77777777" w:rsidR="005454C4" w:rsidRDefault="005454C4">
      <w:pPr>
        <w:spacing w:line="300" w:lineRule="auto"/>
        <w:rPr>
          <w:rFonts w:ascii="Verdana" w:hAnsi="Verdana"/>
          <w:b/>
          <w:sz w:val="20"/>
          <w:szCs w:val="20"/>
        </w:rPr>
      </w:pPr>
    </w:p>
    <w:p w14:paraId="57CE6BC2" w14:textId="58B6FB5E" w:rsidR="00FF5C71" w:rsidRDefault="00FF5C71" w:rsidP="00FF5C71">
      <w:pPr>
        <w:pStyle w:val="Level3"/>
        <w:tabs>
          <w:tab w:val="left" w:pos="1134"/>
        </w:tabs>
        <w:spacing w:line="300" w:lineRule="auto"/>
        <w:ind w:left="567" w:hanging="567"/>
        <w:rPr>
          <w:rFonts w:ascii="Verdana" w:hAnsi="Verdana"/>
          <w:kern w:val="0"/>
          <w:szCs w:val="20"/>
          <w:lang w:val="pt-BR"/>
        </w:rPr>
      </w:pPr>
      <w:r w:rsidRPr="00FF5C71">
        <w:rPr>
          <w:rFonts w:ascii="Verdana" w:hAnsi="Verdana"/>
          <w:kern w:val="0"/>
          <w:szCs w:val="20"/>
          <w:lang w:val="pt-BR"/>
        </w:rPr>
        <w:t xml:space="preserve">O presente </w:t>
      </w:r>
      <w:r>
        <w:rPr>
          <w:rFonts w:ascii="Verdana" w:hAnsi="Verdana"/>
          <w:kern w:val="0"/>
          <w:szCs w:val="20"/>
          <w:lang w:val="pt-BR"/>
        </w:rPr>
        <w:t xml:space="preserve">Primeiro </w:t>
      </w:r>
      <w:r w:rsidRPr="00FF5C71">
        <w:rPr>
          <w:rFonts w:ascii="Verdana" w:hAnsi="Verdana"/>
          <w:kern w:val="0"/>
          <w:szCs w:val="20"/>
          <w:lang w:val="pt-BR"/>
        </w:rPr>
        <w:t xml:space="preserve">Aditamento à Escritura de Emissão será inscrito na JUCESP, conforme disposto no artigo 62, inciso II, e parágrafo 3º da Lei das Sociedades por Ações, e observado o disposto na Lei nº 14.030, de 28 de julho de 2020, conforme alterada (“Lei 14.030”). A Emissora deverá, no prazo de até 1 (um) Dia Útil (conforme abaixo definido) da presente data, ou da data de celebração de seus eventuais aditamentos, protocolar este Aditamento à Escritura de Emissão para inscrição na JUCESP. </w:t>
      </w:r>
    </w:p>
    <w:p w14:paraId="04A5B36E" w14:textId="5C0F9688" w:rsidR="005454C4" w:rsidRPr="00FF5C71" w:rsidRDefault="00FF5C71" w:rsidP="00FF5C71">
      <w:pPr>
        <w:pStyle w:val="Level3"/>
        <w:tabs>
          <w:tab w:val="left" w:pos="1134"/>
        </w:tabs>
        <w:spacing w:line="300" w:lineRule="auto"/>
        <w:ind w:left="567" w:hanging="567"/>
        <w:rPr>
          <w:rFonts w:ascii="Verdana" w:hAnsi="Verdana"/>
          <w:kern w:val="0"/>
          <w:szCs w:val="20"/>
          <w:lang w:val="pt-BR"/>
        </w:rPr>
      </w:pPr>
      <w:r w:rsidRPr="00FF5C71">
        <w:rPr>
          <w:rFonts w:ascii="Verdana" w:hAnsi="Verdana"/>
          <w:kern w:val="0"/>
          <w:szCs w:val="20"/>
          <w:lang w:val="pt-BR"/>
        </w:rPr>
        <w:t>A Emissora deverá entregar ao Agente Fiduciário, no prazo de até 3 (três) Dias Úteis contados da data do efetivo registro 1 (uma) via original deste Aditamento à Escritura de Emissão, e seus eventuais aditamentos, devidamente inscritos na JUCESP.</w:t>
      </w:r>
    </w:p>
    <w:p w14:paraId="64C9A570" w14:textId="77777777" w:rsidR="009B3EB3" w:rsidRDefault="009B3EB3">
      <w:pPr>
        <w:pStyle w:val="PargrafodaLista"/>
        <w:spacing w:line="300" w:lineRule="auto"/>
        <w:ind w:left="0"/>
        <w:jc w:val="both"/>
        <w:rPr>
          <w:rFonts w:ascii="Verdana" w:hAnsi="Verdana"/>
          <w:sz w:val="20"/>
          <w:szCs w:val="20"/>
        </w:rPr>
      </w:pPr>
    </w:p>
    <w:p w14:paraId="2BCCA086" w14:textId="77777777" w:rsidR="005454C4" w:rsidRDefault="006A3FE4">
      <w:pPr>
        <w:spacing w:line="300" w:lineRule="auto"/>
        <w:jc w:val="both"/>
        <w:rPr>
          <w:rFonts w:ascii="Verdana" w:hAnsi="Verdana"/>
          <w:b/>
          <w:sz w:val="20"/>
          <w:szCs w:val="20"/>
        </w:rPr>
      </w:pPr>
      <w:r>
        <w:rPr>
          <w:rFonts w:ascii="Verdana" w:hAnsi="Verdana"/>
          <w:b/>
          <w:sz w:val="20"/>
          <w:szCs w:val="20"/>
        </w:rPr>
        <w:t>CLAUSULA III – DEFINIÇÕES</w:t>
      </w:r>
    </w:p>
    <w:p w14:paraId="6436FB09" w14:textId="77777777" w:rsidR="005454C4" w:rsidRDefault="005454C4">
      <w:pPr>
        <w:spacing w:line="300" w:lineRule="auto"/>
        <w:jc w:val="both"/>
        <w:rPr>
          <w:rFonts w:ascii="Verdana" w:hAnsi="Verdana"/>
          <w:b/>
          <w:sz w:val="20"/>
          <w:szCs w:val="20"/>
        </w:rPr>
      </w:pPr>
    </w:p>
    <w:p w14:paraId="197E98BB" w14:textId="31F53429" w:rsidR="005454C4" w:rsidRDefault="006A3FE4">
      <w:pPr>
        <w:spacing w:line="300" w:lineRule="auto"/>
        <w:jc w:val="both"/>
        <w:rPr>
          <w:rFonts w:ascii="Verdana" w:hAnsi="Verdana"/>
          <w:sz w:val="20"/>
          <w:szCs w:val="20"/>
        </w:rPr>
      </w:pPr>
      <w:r>
        <w:rPr>
          <w:rFonts w:ascii="Verdana" w:hAnsi="Verdana"/>
          <w:sz w:val="20"/>
          <w:szCs w:val="20"/>
        </w:rPr>
        <w:t>3.1.</w:t>
      </w:r>
      <w:r>
        <w:rPr>
          <w:rFonts w:ascii="Verdana" w:hAnsi="Verdana"/>
          <w:sz w:val="20"/>
          <w:szCs w:val="20"/>
        </w:rPr>
        <w:tab/>
        <w:t xml:space="preserve">Os termos utilizados neste </w:t>
      </w:r>
      <w:r w:rsidR="00FF5C71">
        <w:rPr>
          <w:rFonts w:ascii="Verdana" w:hAnsi="Verdana"/>
          <w:sz w:val="20"/>
          <w:szCs w:val="20"/>
        </w:rPr>
        <w:t>Primeiro</w:t>
      </w:r>
      <w:r w:rsidR="00295F6F" w:rsidRPr="00295F6F">
        <w:rPr>
          <w:rFonts w:ascii="Verdana" w:hAnsi="Verdana"/>
          <w:sz w:val="20"/>
          <w:szCs w:val="20"/>
        </w:rPr>
        <w:t xml:space="preserve"> </w:t>
      </w:r>
      <w:r>
        <w:rPr>
          <w:rFonts w:ascii="Verdana" w:hAnsi="Verdana"/>
          <w:sz w:val="20"/>
          <w:szCs w:val="20"/>
        </w:rPr>
        <w:t>Aditamento que não estiverem aqui definidos têm o mesmo significado que lhes foi atribuído</w:t>
      </w:r>
      <w:r w:rsidR="004B20BE">
        <w:rPr>
          <w:rFonts w:ascii="Verdana" w:hAnsi="Verdana"/>
          <w:sz w:val="20"/>
          <w:szCs w:val="20"/>
        </w:rPr>
        <w:t xml:space="preserve"> na </w:t>
      </w:r>
      <w:r>
        <w:rPr>
          <w:rFonts w:ascii="Verdana" w:hAnsi="Verdana"/>
          <w:sz w:val="20"/>
          <w:szCs w:val="20"/>
        </w:rPr>
        <w:t xml:space="preserve">Escritura </w:t>
      </w:r>
      <w:r w:rsidR="004B20BE">
        <w:rPr>
          <w:rFonts w:ascii="Verdana" w:hAnsi="Verdana"/>
          <w:sz w:val="20"/>
          <w:szCs w:val="20"/>
        </w:rPr>
        <w:t>de Emissão.</w:t>
      </w:r>
    </w:p>
    <w:p w14:paraId="26DEE1FC" w14:textId="77777777" w:rsidR="004B20BE" w:rsidRDefault="004B20BE">
      <w:pPr>
        <w:spacing w:line="300" w:lineRule="auto"/>
        <w:jc w:val="both"/>
        <w:rPr>
          <w:rFonts w:ascii="Verdana" w:hAnsi="Verdana"/>
          <w:sz w:val="20"/>
          <w:szCs w:val="20"/>
        </w:rPr>
      </w:pPr>
    </w:p>
    <w:p w14:paraId="28B5F77B" w14:textId="77777777" w:rsidR="005454C4" w:rsidRDefault="006A3FE4">
      <w:pPr>
        <w:spacing w:line="300" w:lineRule="auto"/>
        <w:jc w:val="both"/>
        <w:rPr>
          <w:rFonts w:ascii="Verdana" w:hAnsi="Verdana"/>
          <w:b/>
          <w:sz w:val="20"/>
          <w:szCs w:val="20"/>
        </w:rPr>
      </w:pPr>
      <w:r>
        <w:rPr>
          <w:rFonts w:ascii="Verdana" w:hAnsi="Verdana"/>
          <w:b/>
          <w:sz w:val="20"/>
          <w:szCs w:val="20"/>
        </w:rPr>
        <w:t>CLAUSULA IV – ALTERAÇÕES</w:t>
      </w:r>
    </w:p>
    <w:p w14:paraId="67E3F057" w14:textId="77777777" w:rsidR="005454C4" w:rsidRDefault="005454C4">
      <w:pPr>
        <w:spacing w:line="300" w:lineRule="auto"/>
        <w:jc w:val="both"/>
        <w:rPr>
          <w:rFonts w:ascii="Verdana" w:hAnsi="Verdana"/>
          <w:b/>
          <w:sz w:val="20"/>
          <w:szCs w:val="20"/>
        </w:rPr>
      </w:pPr>
    </w:p>
    <w:p w14:paraId="1C13EB3B" w14:textId="371CE4C7" w:rsidR="005B472D" w:rsidRDefault="006A3FE4" w:rsidP="005B472D">
      <w:pPr>
        <w:tabs>
          <w:tab w:val="left" w:pos="709"/>
        </w:tabs>
        <w:spacing w:line="300" w:lineRule="auto"/>
        <w:jc w:val="both"/>
        <w:rPr>
          <w:rFonts w:ascii="Verdana" w:hAnsi="Verdana"/>
          <w:sz w:val="20"/>
          <w:szCs w:val="20"/>
        </w:rPr>
      </w:pPr>
      <w:r>
        <w:rPr>
          <w:rFonts w:ascii="Verdana" w:hAnsi="Verdana"/>
          <w:sz w:val="20"/>
          <w:szCs w:val="20"/>
        </w:rPr>
        <w:t xml:space="preserve">4.1. </w:t>
      </w:r>
      <w:r w:rsidR="005B472D" w:rsidRPr="005B472D">
        <w:rPr>
          <w:rFonts w:ascii="Verdana" w:hAnsi="Verdana"/>
          <w:sz w:val="20"/>
          <w:szCs w:val="20"/>
        </w:rPr>
        <w:t xml:space="preserve">As Partes acordam em alterar </w:t>
      </w:r>
      <w:r w:rsidR="004B20BE">
        <w:rPr>
          <w:rFonts w:ascii="Verdana" w:hAnsi="Verdana"/>
          <w:sz w:val="20"/>
          <w:szCs w:val="20"/>
        </w:rPr>
        <w:t xml:space="preserve">a Cláusula 6.2, </w:t>
      </w:r>
      <w:r w:rsidR="005B472D" w:rsidRPr="005B472D">
        <w:rPr>
          <w:rFonts w:ascii="Verdana" w:hAnsi="Verdana"/>
          <w:sz w:val="20"/>
          <w:szCs w:val="20"/>
        </w:rPr>
        <w:t xml:space="preserve">que passa a vigorar conforme </w:t>
      </w:r>
      <w:r w:rsidR="004B20BE">
        <w:rPr>
          <w:rFonts w:ascii="Verdana" w:hAnsi="Verdana"/>
          <w:sz w:val="20"/>
          <w:szCs w:val="20"/>
        </w:rPr>
        <w:t>a seguinte redação.</w:t>
      </w:r>
    </w:p>
    <w:p w14:paraId="6A816A2D" w14:textId="01D32FEC" w:rsidR="004B20BE" w:rsidRDefault="004B20BE" w:rsidP="005B472D">
      <w:pPr>
        <w:tabs>
          <w:tab w:val="left" w:pos="709"/>
        </w:tabs>
        <w:spacing w:line="300" w:lineRule="auto"/>
        <w:jc w:val="both"/>
        <w:rPr>
          <w:rFonts w:ascii="Verdana" w:hAnsi="Verdana"/>
          <w:sz w:val="20"/>
          <w:szCs w:val="20"/>
        </w:rPr>
      </w:pPr>
    </w:p>
    <w:p w14:paraId="1935C98E" w14:textId="2C2BCFCF" w:rsidR="004B20BE" w:rsidRPr="004B20BE" w:rsidRDefault="004B20BE" w:rsidP="004B20BE">
      <w:pPr>
        <w:tabs>
          <w:tab w:val="left" w:pos="709"/>
        </w:tabs>
        <w:spacing w:line="300" w:lineRule="auto"/>
        <w:jc w:val="both"/>
        <w:rPr>
          <w:rFonts w:ascii="Verdana" w:hAnsi="Verdana"/>
          <w:sz w:val="20"/>
          <w:szCs w:val="20"/>
        </w:rPr>
      </w:pPr>
      <w:r w:rsidRPr="004B20BE">
        <w:rPr>
          <w:rFonts w:ascii="Verdana" w:hAnsi="Verdana"/>
          <w:sz w:val="20"/>
          <w:szCs w:val="20"/>
        </w:rPr>
        <w:t xml:space="preserve">“Destinação dos Recursos das Debêntures Série II. Os recursos líquidos obtidos </w:t>
      </w:r>
      <w:r>
        <w:rPr>
          <w:rFonts w:ascii="Verdana" w:hAnsi="Verdana"/>
          <w:sz w:val="20"/>
          <w:szCs w:val="20"/>
        </w:rPr>
        <w:t xml:space="preserve"> </w:t>
      </w:r>
      <w:r w:rsidRPr="004B20BE">
        <w:rPr>
          <w:rFonts w:ascii="Verdana" w:hAnsi="Verdana"/>
          <w:sz w:val="20"/>
          <w:szCs w:val="20"/>
        </w:rPr>
        <w:t xml:space="preserve">pela Emissora com a Emissão das Debêntures Série II (“Recursos das Debêntures </w:t>
      </w:r>
      <w:r>
        <w:rPr>
          <w:rFonts w:ascii="Verdana" w:hAnsi="Verdana"/>
          <w:sz w:val="20"/>
          <w:szCs w:val="20"/>
        </w:rPr>
        <w:t xml:space="preserve"> </w:t>
      </w:r>
      <w:r w:rsidRPr="004B20BE">
        <w:rPr>
          <w:rFonts w:ascii="Verdana" w:hAnsi="Verdana"/>
          <w:sz w:val="20"/>
          <w:szCs w:val="20"/>
        </w:rPr>
        <w:t xml:space="preserve">Série II” e, em conjunto com os Recursos das Debêntures Série I, os “Recursos”) </w:t>
      </w:r>
      <w:r>
        <w:rPr>
          <w:rFonts w:ascii="Verdana" w:hAnsi="Verdana"/>
          <w:sz w:val="20"/>
          <w:szCs w:val="20"/>
        </w:rPr>
        <w:t xml:space="preserve"> </w:t>
      </w:r>
      <w:r w:rsidRPr="004B20BE">
        <w:rPr>
          <w:rFonts w:ascii="Verdana" w:hAnsi="Verdana"/>
          <w:sz w:val="20"/>
          <w:szCs w:val="20"/>
        </w:rPr>
        <w:t xml:space="preserve">serão utilizados integralmente para aquisição (i) de até R$ </w:t>
      </w:r>
      <w:r w:rsidRPr="004B20BE">
        <w:rPr>
          <w:rFonts w:ascii="Verdana" w:hAnsi="Verdana"/>
          <w:sz w:val="20"/>
          <w:szCs w:val="20"/>
        </w:rPr>
        <w:lastRenderedPageBreak/>
        <w:t>50.000.000,00</w:t>
      </w:r>
      <w:r>
        <w:rPr>
          <w:rFonts w:ascii="Verdana" w:hAnsi="Verdana"/>
          <w:sz w:val="20"/>
          <w:szCs w:val="20"/>
        </w:rPr>
        <w:t xml:space="preserve"> </w:t>
      </w:r>
      <w:r w:rsidRPr="004B20BE">
        <w:rPr>
          <w:rFonts w:ascii="Verdana" w:hAnsi="Verdana"/>
          <w:sz w:val="20"/>
          <w:szCs w:val="20"/>
        </w:rPr>
        <w:t>(cinquenta milhões de reais) em cotas do IRON CAPITAL REAL ESTATE I –</w:t>
      </w:r>
      <w:r>
        <w:rPr>
          <w:rFonts w:ascii="Verdana" w:hAnsi="Verdana"/>
          <w:sz w:val="20"/>
          <w:szCs w:val="20"/>
        </w:rPr>
        <w:t xml:space="preserve"> </w:t>
      </w:r>
      <w:r w:rsidRPr="004B20BE">
        <w:rPr>
          <w:rFonts w:ascii="Verdana" w:hAnsi="Verdana"/>
          <w:sz w:val="20"/>
          <w:szCs w:val="20"/>
        </w:rPr>
        <w:t xml:space="preserve">FUNDO DE INVESTIMENTO IMOBILIÁRIO, fundo de investimento imobiliário </w:t>
      </w:r>
      <w:r>
        <w:rPr>
          <w:rFonts w:ascii="Verdana" w:hAnsi="Verdana"/>
          <w:sz w:val="20"/>
          <w:szCs w:val="20"/>
        </w:rPr>
        <w:t xml:space="preserve"> </w:t>
      </w:r>
      <w:r w:rsidRPr="004B20BE">
        <w:rPr>
          <w:rFonts w:ascii="Verdana" w:hAnsi="Verdana"/>
          <w:sz w:val="20"/>
          <w:szCs w:val="20"/>
        </w:rPr>
        <w:t>inscrito no CNPJ/ME sob o no</w:t>
      </w:r>
      <w:r>
        <w:rPr>
          <w:rFonts w:ascii="Verdana" w:hAnsi="Verdana"/>
          <w:sz w:val="20"/>
          <w:szCs w:val="20"/>
        </w:rPr>
        <w:t xml:space="preserve"> </w:t>
      </w:r>
      <w:r w:rsidRPr="004B20BE">
        <w:rPr>
          <w:rFonts w:ascii="Verdana" w:hAnsi="Verdana"/>
          <w:sz w:val="20"/>
          <w:szCs w:val="20"/>
        </w:rPr>
        <w:t xml:space="preserve">24.976.492/0001-13, detentor de imóvel cuja </w:t>
      </w:r>
      <w:r>
        <w:rPr>
          <w:rFonts w:ascii="Verdana" w:hAnsi="Verdana"/>
          <w:sz w:val="20"/>
          <w:szCs w:val="20"/>
        </w:rPr>
        <w:t xml:space="preserve"> </w:t>
      </w:r>
      <w:r w:rsidRPr="004B20BE">
        <w:rPr>
          <w:rFonts w:ascii="Verdana" w:hAnsi="Verdana"/>
          <w:sz w:val="20"/>
          <w:szCs w:val="20"/>
        </w:rPr>
        <w:t>aquisição foi aprovada na Assembleia Geral</w:t>
      </w:r>
      <w:r>
        <w:rPr>
          <w:rFonts w:ascii="Verdana" w:hAnsi="Verdana"/>
          <w:sz w:val="20"/>
          <w:szCs w:val="20"/>
        </w:rPr>
        <w:t xml:space="preserve"> </w:t>
      </w:r>
      <w:r w:rsidRPr="004B20BE">
        <w:rPr>
          <w:rFonts w:ascii="Verdana" w:hAnsi="Verdana"/>
          <w:sz w:val="20"/>
          <w:szCs w:val="20"/>
        </w:rPr>
        <w:t xml:space="preserve">Extraordinária da Emissora realizada </w:t>
      </w:r>
      <w:r>
        <w:rPr>
          <w:rFonts w:ascii="Verdana" w:hAnsi="Verdana"/>
          <w:sz w:val="20"/>
          <w:szCs w:val="20"/>
        </w:rPr>
        <w:t xml:space="preserve"> </w:t>
      </w:r>
      <w:r w:rsidRPr="004B20BE">
        <w:rPr>
          <w:rFonts w:ascii="Verdana" w:hAnsi="Verdana"/>
          <w:sz w:val="20"/>
          <w:szCs w:val="20"/>
        </w:rPr>
        <w:t>em 07 de agosto de 2020; e (</w:t>
      </w:r>
      <w:proofErr w:type="spellStart"/>
      <w:r w:rsidRPr="004B20BE">
        <w:rPr>
          <w:rFonts w:ascii="Verdana" w:hAnsi="Verdana"/>
          <w:sz w:val="20"/>
          <w:szCs w:val="20"/>
        </w:rPr>
        <w:t>ii</w:t>
      </w:r>
      <w:proofErr w:type="spellEnd"/>
      <w:r w:rsidRPr="004B20BE">
        <w:rPr>
          <w:rFonts w:ascii="Verdana" w:hAnsi="Verdana"/>
          <w:sz w:val="20"/>
          <w:szCs w:val="20"/>
        </w:rPr>
        <w:t xml:space="preserve">) dos imóveis matriculados sob os nº 856ª e 2692A </w:t>
      </w:r>
      <w:r>
        <w:rPr>
          <w:rFonts w:ascii="Verdana" w:hAnsi="Verdana"/>
          <w:sz w:val="20"/>
          <w:szCs w:val="20"/>
        </w:rPr>
        <w:t xml:space="preserve"> </w:t>
      </w:r>
      <w:r w:rsidRPr="004B20BE">
        <w:rPr>
          <w:rFonts w:ascii="Verdana" w:hAnsi="Verdana"/>
          <w:sz w:val="20"/>
          <w:szCs w:val="20"/>
        </w:rPr>
        <w:t xml:space="preserve">do 2º Ofício de Justiça de Angra dos Reis, Estado do Rio de Janeiro (“Destinação </w:t>
      </w:r>
    </w:p>
    <w:p w14:paraId="1DE20F9B" w14:textId="3C94ECF4" w:rsidR="004B20BE" w:rsidRDefault="004B20BE" w:rsidP="004B20BE">
      <w:pPr>
        <w:tabs>
          <w:tab w:val="left" w:pos="709"/>
        </w:tabs>
        <w:spacing w:line="300" w:lineRule="auto"/>
        <w:jc w:val="both"/>
        <w:rPr>
          <w:rFonts w:ascii="Verdana" w:hAnsi="Verdana"/>
          <w:sz w:val="20"/>
          <w:szCs w:val="20"/>
        </w:rPr>
      </w:pPr>
      <w:r w:rsidRPr="004B20BE">
        <w:rPr>
          <w:rFonts w:ascii="Verdana" w:hAnsi="Verdana"/>
          <w:sz w:val="20"/>
          <w:szCs w:val="20"/>
        </w:rPr>
        <w:t>dos Recursos das Debêntures Série II” e, em conjunto com a Destinação de</w:t>
      </w:r>
      <w:r>
        <w:rPr>
          <w:rFonts w:ascii="Verdana" w:hAnsi="Verdana"/>
          <w:sz w:val="20"/>
          <w:szCs w:val="20"/>
        </w:rPr>
        <w:t xml:space="preserve"> </w:t>
      </w:r>
      <w:r w:rsidRPr="004B20BE">
        <w:rPr>
          <w:rFonts w:ascii="Verdana" w:hAnsi="Verdana"/>
          <w:sz w:val="20"/>
          <w:szCs w:val="20"/>
        </w:rPr>
        <w:t>Recursos das Debêntures Série I, a “Destinação de Recursos”).”</w:t>
      </w:r>
    </w:p>
    <w:p w14:paraId="16661E24" w14:textId="669F0C7D" w:rsidR="004B20BE" w:rsidRDefault="004B20BE" w:rsidP="004B20BE">
      <w:pPr>
        <w:tabs>
          <w:tab w:val="left" w:pos="709"/>
        </w:tabs>
        <w:spacing w:line="300" w:lineRule="auto"/>
        <w:jc w:val="both"/>
        <w:rPr>
          <w:rFonts w:ascii="Verdana" w:hAnsi="Verdana"/>
          <w:sz w:val="20"/>
          <w:szCs w:val="20"/>
        </w:rPr>
      </w:pPr>
    </w:p>
    <w:p w14:paraId="1BB43008" w14:textId="5585C2AF" w:rsidR="004B20BE" w:rsidRDefault="004B20BE" w:rsidP="004B20BE">
      <w:pPr>
        <w:tabs>
          <w:tab w:val="left" w:pos="709"/>
        </w:tabs>
        <w:spacing w:line="300" w:lineRule="auto"/>
        <w:jc w:val="both"/>
        <w:rPr>
          <w:rFonts w:ascii="Verdana" w:hAnsi="Verdana"/>
          <w:sz w:val="20"/>
          <w:szCs w:val="20"/>
        </w:rPr>
      </w:pPr>
      <w:r>
        <w:rPr>
          <w:rFonts w:ascii="Verdana" w:hAnsi="Verdana"/>
          <w:sz w:val="20"/>
          <w:szCs w:val="20"/>
        </w:rPr>
        <w:t xml:space="preserve">4.2. </w:t>
      </w:r>
      <w:r w:rsidRPr="005B472D">
        <w:rPr>
          <w:rFonts w:ascii="Verdana" w:hAnsi="Verdana"/>
          <w:sz w:val="20"/>
          <w:szCs w:val="20"/>
        </w:rPr>
        <w:t xml:space="preserve">As Partes acordam em alterar </w:t>
      </w:r>
      <w:r>
        <w:rPr>
          <w:rFonts w:ascii="Verdana" w:hAnsi="Verdana"/>
          <w:sz w:val="20"/>
          <w:szCs w:val="20"/>
        </w:rPr>
        <w:t xml:space="preserve">a Cláusula 8.1, </w:t>
      </w:r>
      <w:r w:rsidRPr="005B472D">
        <w:rPr>
          <w:rFonts w:ascii="Verdana" w:hAnsi="Verdana"/>
          <w:sz w:val="20"/>
          <w:szCs w:val="20"/>
        </w:rPr>
        <w:t xml:space="preserve">que passa a vigorar conforme </w:t>
      </w:r>
      <w:r>
        <w:rPr>
          <w:rFonts w:ascii="Verdana" w:hAnsi="Verdana"/>
          <w:sz w:val="20"/>
          <w:szCs w:val="20"/>
        </w:rPr>
        <w:t>a seguinte redação.</w:t>
      </w:r>
    </w:p>
    <w:p w14:paraId="7EAF0733" w14:textId="77777777" w:rsidR="004B20BE" w:rsidRDefault="004B20BE" w:rsidP="004B20BE">
      <w:pPr>
        <w:tabs>
          <w:tab w:val="left" w:pos="709"/>
        </w:tabs>
        <w:spacing w:line="300" w:lineRule="auto"/>
        <w:jc w:val="both"/>
        <w:rPr>
          <w:rFonts w:ascii="Verdana" w:hAnsi="Verdana"/>
          <w:sz w:val="20"/>
          <w:szCs w:val="20"/>
        </w:rPr>
      </w:pPr>
    </w:p>
    <w:p w14:paraId="6FBD3B93" w14:textId="7A895D9E" w:rsidR="004B20BE" w:rsidRPr="005B472D" w:rsidRDefault="004B20BE" w:rsidP="004B20BE">
      <w:pPr>
        <w:tabs>
          <w:tab w:val="left" w:pos="709"/>
        </w:tabs>
        <w:spacing w:line="300" w:lineRule="auto"/>
        <w:jc w:val="both"/>
        <w:rPr>
          <w:rFonts w:ascii="Verdana" w:hAnsi="Verdana"/>
          <w:sz w:val="20"/>
          <w:szCs w:val="20"/>
        </w:rPr>
      </w:pPr>
      <w:r w:rsidRPr="004B20BE">
        <w:rPr>
          <w:rFonts w:ascii="Verdana" w:hAnsi="Verdana"/>
          <w:sz w:val="20"/>
          <w:szCs w:val="20"/>
        </w:rPr>
        <w:t xml:space="preserve">“Prazo e Data de Vencimento das Debêntures Série II. As Debêntures Série II </w:t>
      </w:r>
      <w:proofErr w:type="gramStart"/>
      <w:r w:rsidRPr="004B20BE">
        <w:rPr>
          <w:rFonts w:ascii="Verdana" w:hAnsi="Verdana"/>
          <w:sz w:val="20"/>
          <w:szCs w:val="20"/>
        </w:rPr>
        <w:t xml:space="preserve">terão </w:t>
      </w:r>
      <w:r>
        <w:rPr>
          <w:rFonts w:ascii="Verdana" w:hAnsi="Verdana"/>
          <w:sz w:val="20"/>
          <w:szCs w:val="20"/>
        </w:rPr>
        <w:t xml:space="preserve"> </w:t>
      </w:r>
      <w:r w:rsidRPr="004B20BE">
        <w:rPr>
          <w:rFonts w:ascii="Verdana" w:hAnsi="Verdana"/>
          <w:sz w:val="20"/>
          <w:szCs w:val="20"/>
        </w:rPr>
        <w:t>o</w:t>
      </w:r>
      <w:proofErr w:type="gramEnd"/>
      <w:r w:rsidRPr="004B20BE">
        <w:rPr>
          <w:rFonts w:ascii="Verdana" w:hAnsi="Verdana"/>
          <w:sz w:val="20"/>
          <w:szCs w:val="20"/>
        </w:rPr>
        <w:t xml:space="preserve"> prazo de 191 dias contados da Data de Emissão, sendo o vencimento final das </w:t>
      </w:r>
      <w:r>
        <w:rPr>
          <w:rFonts w:ascii="Verdana" w:hAnsi="Verdana"/>
          <w:sz w:val="20"/>
          <w:szCs w:val="20"/>
        </w:rPr>
        <w:t xml:space="preserve"> </w:t>
      </w:r>
      <w:r w:rsidRPr="004B20BE">
        <w:rPr>
          <w:rFonts w:ascii="Verdana" w:hAnsi="Verdana"/>
          <w:sz w:val="20"/>
          <w:szCs w:val="20"/>
        </w:rPr>
        <w:t xml:space="preserve">Debêntures Série II em 30 de abril de 2021 (“Data de Vencimento das Debêntures </w:t>
      </w:r>
      <w:r>
        <w:rPr>
          <w:rFonts w:ascii="Verdana" w:hAnsi="Verdana"/>
          <w:sz w:val="20"/>
          <w:szCs w:val="20"/>
        </w:rPr>
        <w:t xml:space="preserve"> </w:t>
      </w:r>
      <w:r w:rsidRPr="004B20BE">
        <w:rPr>
          <w:rFonts w:ascii="Verdana" w:hAnsi="Verdana"/>
          <w:sz w:val="20"/>
          <w:szCs w:val="20"/>
        </w:rPr>
        <w:t>Série II”), ressalvada a hipótese de Vencimento Antecipado das Debêntures, nos termos desta Escritura de Emissão.”</w:t>
      </w:r>
    </w:p>
    <w:p w14:paraId="37055B13" w14:textId="4333FC7E" w:rsidR="005454C4" w:rsidRDefault="005454C4">
      <w:pPr>
        <w:spacing w:line="300" w:lineRule="auto"/>
        <w:jc w:val="both"/>
        <w:rPr>
          <w:rFonts w:ascii="Verdana" w:hAnsi="Verdana"/>
          <w:sz w:val="20"/>
          <w:szCs w:val="20"/>
        </w:rPr>
      </w:pPr>
    </w:p>
    <w:p w14:paraId="6383C94F" w14:textId="77777777" w:rsidR="005454C4" w:rsidRDefault="006A3FE4">
      <w:pPr>
        <w:spacing w:line="300" w:lineRule="auto"/>
        <w:jc w:val="both"/>
        <w:rPr>
          <w:rFonts w:ascii="Verdana" w:hAnsi="Verdana"/>
          <w:b/>
          <w:sz w:val="20"/>
          <w:szCs w:val="20"/>
        </w:rPr>
      </w:pPr>
      <w:r>
        <w:rPr>
          <w:rFonts w:ascii="Verdana" w:hAnsi="Verdana"/>
          <w:b/>
          <w:sz w:val="20"/>
          <w:szCs w:val="20"/>
        </w:rPr>
        <w:t>CLAUSULA V – DISPOSIÇÕES GERAIS</w:t>
      </w:r>
    </w:p>
    <w:p w14:paraId="51CEBAA2" w14:textId="77777777" w:rsidR="005454C4" w:rsidRDefault="005454C4">
      <w:pPr>
        <w:spacing w:line="300" w:lineRule="auto"/>
        <w:jc w:val="both"/>
        <w:rPr>
          <w:rFonts w:ascii="Verdana" w:hAnsi="Verdana"/>
          <w:b/>
          <w:sz w:val="20"/>
          <w:szCs w:val="20"/>
        </w:rPr>
      </w:pPr>
    </w:p>
    <w:p w14:paraId="02DAB804" w14:textId="1CF5A883" w:rsidR="005454C4" w:rsidRDefault="006A3FE4">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Todos os termos e condições d</w:t>
      </w:r>
      <w:r w:rsidR="004B20BE">
        <w:rPr>
          <w:rFonts w:ascii="Verdana" w:hAnsi="Verdana"/>
          <w:sz w:val="20"/>
          <w:szCs w:val="20"/>
        </w:rPr>
        <w:t xml:space="preserve">a Escritura de Emissão </w:t>
      </w:r>
      <w:r>
        <w:rPr>
          <w:rFonts w:ascii="Verdana" w:hAnsi="Verdana"/>
          <w:sz w:val="20"/>
          <w:szCs w:val="20"/>
        </w:rPr>
        <w:t xml:space="preserve">que não tenham sido expressamente alterados pelo presente </w:t>
      </w:r>
      <w:r w:rsidR="004B20BE">
        <w:rPr>
          <w:rFonts w:ascii="Verdana" w:hAnsi="Verdana"/>
          <w:sz w:val="20"/>
          <w:szCs w:val="20"/>
        </w:rPr>
        <w:t>Primeiro</w:t>
      </w:r>
      <w:r w:rsidR="00D8627D">
        <w:rPr>
          <w:rFonts w:ascii="Verdana" w:hAnsi="Verdana"/>
          <w:sz w:val="20"/>
          <w:szCs w:val="20"/>
        </w:rPr>
        <w:t xml:space="preserve"> </w:t>
      </w:r>
      <w:r>
        <w:rPr>
          <w:rFonts w:ascii="Verdana" w:hAnsi="Verdana"/>
          <w:sz w:val="20"/>
          <w:szCs w:val="20"/>
        </w:rPr>
        <w:t xml:space="preserve">Aditamento são neste ato ratificados e permanecem em pleno vigor e efeito. </w:t>
      </w:r>
    </w:p>
    <w:p w14:paraId="1BD218CB" w14:textId="77777777" w:rsidR="005454C4" w:rsidRDefault="005454C4">
      <w:pPr>
        <w:tabs>
          <w:tab w:val="left" w:pos="709"/>
        </w:tabs>
        <w:spacing w:line="300" w:lineRule="auto"/>
        <w:jc w:val="both"/>
        <w:rPr>
          <w:rFonts w:ascii="Verdana" w:hAnsi="Verdana"/>
          <w:sz w:val="20"/>
          <w:szCs w:val="20"/>
        </w:rPr>
      </w:pPr>
    </w:p>
    <w:p w14:paraId="660DE515" w14:textId="274B46D2" w:rsidR="005454C4" w:rsidRDefault="006A3FE4">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w:t>
      </w:r>
      <w:r w:rsidR="004B20BE">
        <w:rPr>
          <w:rFonts w:ascii="Verdana" w:hAnsi="Verdana"/>
          <w:sz w:val="20"/>
          <w:szCs w:val="20"/>
        </w:rPr>
        <w:t>Primeiro</w:t>
      </w:r>
      <w:r w:rsidR="00D8627D">
        <w:rPr>
          <w:rFonts w:ascii="Verdana" w:hAnsi="Verdana"/>
          <w:sz w:val="20"/>
          <w:szCs w:val="20"/>
        </w:rPr>
        <w:t xml:space="preserve"> </w:t>
      </w:r>
      <w:r>
        <w:rPr>
          <w:rFonts w:ascii="Verdana" w:hAnsi="Verdana"/>
          <w:sz w:val="20"/>
          <w:szCs w:val="20"/>
        </w:rPr>
        <w:t xml:space="preserve">Aditamento é celebrado em caráter irrevogável e irretratável, obrigando-se as Partes ao seu fiel, pontual e integral cumprimento por si e por seus sucessores e cessionários, a qualquer título. </w:t>
      </w:r>
    </w:p>
    <w:p w14:paraId="3E1A5675" w14:textId="77777777" w:rsidR="005454C4" w:rsidRDefault="005454C4">
      <w:pPr>
        <w:tabs>
          <w:tab w:val="left" w:pos="709"/>
        </w:tabs>
        <w:spacing w:line="300" w:lineRule="auto"/>
        <w:jc w:val="both"/>
        <w:rPr>
          <w:rFonts w:ascii="Verdana" w:hAnsi="Verdana"/>
          <w:sz w:val="20"/>
          <w:szCs w:val="20"/>
        </w:rPr>
      </w:pPr>
    </w:p>
    <w:p w14:paraId="13739BB3" w14:textId="5D6AC963" w:rsidR="005454C4" w:rsidRDefault="006A3FE4">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w:t>
      </w:r>
      <w:r w:rsidR="004B20BE">
        <w:rPr>
          <w:rFonts w:ascii="Verdana" w:hAnsi="Verdana"/>
          <w:sz w:val="20"/>
          <w:szCs w:val="20"/>
        </w:rPr>
        <w:t>Primeiro</w:t>
      </w:r>
      <w:r w:rsidR="00D8627D">
        <w:rPr>
          <w:rFonts w:ascii="Verdana" w:hAnsi="Verdana"/>
          <w:sz w:val="20"/>
          <w:szCs w:val="20"/>
        </w:rPr>
        <w:t xml:space="preserve"> </w:t>
      </w:r>
      <w:r>
        <w:rPr>
          <w:rFonts w:ascii="Verdana" w:hAnsi="Verdana"/>
          <w:sz w:val="20"/>
          <w:szCs w:val="20"/>
        </w:rPr>
        <w:t xml:space="preserve">Aditamento como título executivo extrajudicial, nos termos do artigo 784, do Código de Processo Civil. </w:t>
      </w:r>
    </w:p>
    <w:p w14:paraId="5528E9A8" w14:textId="77777777" w:rsidR="005454C4" w:rsidRDefault="005454C4">
      <w:pPr>
        <w:tabs>
          <w:tab w:val="left" w:pos="709"/>
        </w:tabs>
        <w:spacing w:line="300" w:lineRule="auto"/>
        <w:jc w:val="both"/>
        <w:rPr>
          <w:rFonts w:ascii="Verdana" w:hAnsi="Verdana"/>
          <w:sz w:val="20"/>
          <w:szCs w:val="20"/>
        </w:rPr>
      </w:pPr>
    </w:p>
    <w:p w14:paraId="1D98C4C0" w14:textId="69BCB227" w:rsidR="005454C4" w:rsidRDefault="006A3FE4">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w:t>
      </w:r>
      <w:r w:rsidR="004B20BE">
        <w:rPr>
          <w:rFonts w:ascii="Verdana" w:hAnsi="Verdana"/>
          <w:sz w:val="20"/>
          <w:szCs w:val="20"/>
        </w:rPr>
        <w:t xml:space="preserve">Primeiro </w:t>
      </w:r>
      <w:r>
        <w:rPr>
          <w:rFonts w:ascii="Verdana" w:hAnsi="Verdana"/>
          <w:sz w:val="20"/>
          <w:szCs w:val="20"/>
        </w:rPr>
        <w:t xml:space="preserve">Aditamento é regido pelas Leis da República Federativa do Brasil. </w:t>
      </w:r>
    </w:p>
    <w:p w14:paraId="08C0B0C0" w14:textId="77777777" w:rsidR="005454C4" w:rsidRDefault="005454C4">
      <w:pPr>
        <w:tabs>
          <w:tab w:val="left" w:pos="709"/>
        </w:tabs>
        <w:spacing w:line="300" w:lineRule="auto"/>
        <w:jc w:val="both"/>
        <w:rPr>
          <w:rFonts w:ascii="Verdana" w:hAnsi="Verdana"/>
          <w:sz w:val="20"/>
          <w:szCs w:val="20"/>
        </w:rPr>
      </w:pPr>
    </w:p>
    <w:p w14:paraId="634975A9" w14:textId="5FEE642C" w:rsidR="005454C4" w:rsidRDefault="006A3FE4">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sidR="004B20BE">
        <w:rPr>
          <w:rFonts w:ascii="Verdana" w:hAnsi="Verdana"/>
          <w:sz w:val="20"/>
          <w:szCs w:val="20"/>
        </w:rPr>
        <w:t xml:space="preserve">Primeiro </w:t>
      </w:r>
      <w:r>
        <w:rPr>
          <w:rFonts w:ascii="Verdana" w:hAnsi="Verdana"/>
          <w:sz w:val="20"/>
          <w:szCs w:val="20"/>
        </w:rPr>
        <w:t>Aditamento</w:t>
      </w:r>
      <w:r>
        <w:rPr>
          <w:rFonts w:ascii="Verdana" w:eastAsia="Arial Unicode MS" w:hAnsi="Verdana"/>
          <w:w w:val="0"/>
          <w:sz w:val="20"/>
          <w:szCs w:val="20"/>
        </w:rPr>
        <w:t>, com renúncia a qualquer outro, por mais privilegiado que seja ou possa vir a ser.</w:t>
      </w:r>
    </w:p>
    <w:p w14:paraId="1433D247" w14:textId="77777777" w:rsidR="005454C4" w:rsidRDefault="005454C4">
      <w:pPr>
        <w:tabs>
          <w:tab w:val="left" w:pos="709"/>
        </w:tabs>
        <w:spacing w:line="300" w:lineRule="auto"/>
        <w:jc w:val="both"/>
        <w:rPr>
          <w:rFonts w:ascii="Verdana" w:hAnsi="Verdana"/>
          <w:sz w:val="20"/>
          <w:szCs w:val="20"/>
        </w:rPr>
      </w:pPr>
    </w:p>
    <w:p w14:paraId="2316A744" w14:textId="45CBB5BE" w:rsidR="005454C4" w:rsidRDefault="006A3FE4">
      <w:pPr>
        <w:spacing w:line="300" w:lineRule="auto"/>
        <w:jc w:val="both"/>
        <w:rPr>
          <w:rFonts w:ascii="Verdana" w:hAnsi="Verdana"/>
          <w:sz w:val="20"/>
          <w:szCs w:val="20"/>
        </w:rPr>
      </w:pPr>
      <w:r>
        <w:rPr>
          <w:rFonts w:ascii="Verdana" w:hAnsi="Verdana"/>
          <w:sz w:val="20"/>
          <w:szCs w:val="20"/>
        </w:rPr>
        <w:t xml:space="preserve">E, por estarem assim justas e contratadas, as Partes firmam este </w:t>
      </w:r>
      <w:r w:rsidR="004B20BE">
        <w:rPr>
          <w:rFonts w:ascii="Verdana" w:hAnsi="Verdana"/>
          <w:sz w:val="20"/>
          <w:szCs w:val="20"/>
        </w:rPr>
        <w:t xml:space="preserve">Primeiro </w:t>
      </w:r>
      <w:r>
        <w:rPr>
          <w:rFonts w:ascii="Verdana" w:hAnsi="Verdana"/>
          <w:sz w:val="20"/>
          <w:szCs w:val="20"/>
        </w:rPr>
        <w:t xml:space="preserve">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14:paraId="371B9B65" w14:textId="77777777" w:rsidR="005454C4" w:rsidRDefault="005454C4">
      <w:pPr>
        <w:spacing w:line="300" w:lineRule="auto"/>
        <w:jc w:val="both"/>
        <w:rPr>
          <w:rFonts w:ascii="Verdana" w:hAnsi="Verdana"/>
          <w:sz w:val="20"/>
          <w:szCs w:val="20"/>
        </w:rPr>
      </w:pPr>
    </w:p>
    <w:p w14:paraId="3925344E" w14:textId="541827F3" w:rsidR="005454C4" w:rsidRDefault="006A3FE4">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sidR="005F462B" w:rsidRPr="005F462B">
        <w:rPr>
          <w:rFonts w:ascii="Verdana" w:eastAsia="Arial Unicode MS" w:hAnsi="Verdana"/>
          <w:sz w:val="20"/>
          <w:szCs w:val="20"/>
          <w:highlight w:val="yellow"/>
        </w:rPr>
        <w:t>[.]</w:t>
      </w:r>
      <w:r w:rsidR="007057FF">
        <w:rPr>
          <w:rFonts w:ascii="Verdana" w:eastAsia="Arial Unicode MS" w:hAnsi="Verdana"/>
          <w:sz w:val="20"/>
          <w:szCs w:val="20"/>
        </w:rPr>
        <w:t xml:space="preserve"> </w:t>
      </w:r>
      <w:r>
        <w:rPr>
          <w:rFonts w:ascii="Verdana" w:eastAsia="Arial Unicode MS" w:hAnsi="Verdana"/>
          <w:sz w:val="20"/>
          <w:szCs w:val="20"/>
        </w:rPr>
        <w:t xml:space="preserve">de </w:t>
      </w:r>
      <w:r w:rsidR="004B20BE">
        <w:rPr>
          <w:rFonts w:ascii="Verdana" w:eastAsia="Arial Unicode MS" w:hAnsi="Verdana"/>
          <w:sz w:val="20"/>
          <w:szCs w:val="20"/>
        </w:rPr>
        <w:t>abril</w:t>
      </w:r>
      <w:r w:rsidR="007057FF">
        <w:rPr>
          <w:rFonts w:ascii="Verdana" w:eastAsia="Arial Unicode MS" w:hAnsi="Verdana"/>
          <w:sz w:val="20"/>
          <w:szCs w:val="20"/>
        </w:rPr>
        <w:t xml:space="preserve"> </w:t>
      </w:r>
      <w:r>
        <w:rPr>
          <w:rFonts w:ascii="Verdana" w:eastAsia="Arial Unicode MS" w:hAnsi="Verdana"/>
          <w:sz w:val="20"/>
          <w:szCs w:val="20"/>
        </w:rPr>
        <w:t>de 20</w:t>
      </w:r>
      <w:r w:rsidR="00CB2C00">
        <w:rPr>
          <w:rFonts w:ascii="Verdana" w:eastAsia="Arial Unicode MS" w:hAnsi="Verdana"/>
          <w:sz w:val="20"/>
          <w:szCs w:val="20"/>
        </w:rPr>
        <w:t>2</w:t>
      </w:r>
      <w:r w:rsidR="005F462B">
        <w:rPr>
          <w:rFonts w:ascii="Verdana" w:eastAsia="Arial Unicode MS" w:hAnsi="Verdana"/>
          <w:sz w:val="20"/>
          <w:szCs w:val="20"/>
        </w:rPr>
        <w:t>1</w:t>
      </w:r>
      <w:r>
        <w:rPr>
          <w:rFonts w:ascii="Verdana" w:eastAsia="Arial Unicode MS" w:hAnsi="Verdana"/>
          <w:color w:val="000000"/>
          <w:sz w:val="20"/>
          <w:szCs w:val="20"/>
        </w:rPr>
        <w:t>.</w:t>
      </w:r>
    </w:p>
    <w:p w14:paraId="63545A2B" w14:textId="77777777" w:rsidR="005454C4" w:rsidRDefault="005454C4">
      <w:pPr>
        <w:widowControl w:val="0"/>
        <w:spacing w:line="298" w:lineRule="auto"/>
        <w:jc w:val="center"/>
        <w:rPr>
          <w:rFonts w:ascii="Verdana" w:eastAsia="Arial Unicode MS" w:hAnsi="Verdana"/>
          <w:color w:val="000000"/>
          <w:sz w:val="20"/>
          <w:szCs w:val="20"/>
        </w:rPr>
      </w:pPr>
    </w:p>
    <w:p w14:paraId="3614088D" w14:textId="77777777" w:rsidR="005454C4" w:rsidRDefault="006A3FE4">
      <w:pPr>
        <w:widowControl w:val="0"/>
        <w:jc w:val="center"/>
        <w:rPr>
          <w:rFonts w:ascii="Verdana" w:hAnsi="Verdana"/>
          <w:bCs/>
          <w:i/>
          <w:sz w:val="20"/>
          <w:szCs w:val="20"/>
        </w:rPr>
      </w:pPr>
      <w:r>
        <w:rPr>
          <w:rFonts w:ascii="Verdana" w:hAnsi="Verdana"/>
          <w:bCs/>
          <w:i/>
          <w:sz w:val="20"/>
          <w:szCs w:val="20"/>
        </w:rPr>
        <w:t>[Restante da página intencionalmente deixado em branco.]</w:t>
      </w:r>
    </w:p>
    <w:p w14:paraId="3998D666" w14:textId="77777777" w:rsidR="005454C4" w:rsidRDefault="006A3FE4">
      <w:pPr>
        <w:autoSpaceDE/>
        <w:autoSpaceDN/>
        <w:adjustRightInd/>
        <w:rPr>
          <w:rStyle w:val="Nmerodepgina"/>
          <w:rFonts w:ascii="Verdana" w:hAnsi="Verdana"/>
          <w:sz w:val="20"/>
          <w:szCs w:val="20"/>
        </w:rPr>
      </w:pPr>
      <w:r>
        <w:rPr>
          <w:rStyle w:val="Nmerodepgina"/>
          <w:rFonts w:ascii="Verdana" w:hAnsi="Verdana"/>
          <w:sz w:val="20"/>
          <w:szCs w:val="20"/>
        </w:rPr>
        <w:br w:type="page"/>
      </w:r>
    </w:p>
    <w:p w14:paraId="3765E457" w14:textId="77777777" w:rsidR="005454C4" w:rsidRDefault="005454C4">
      <w:pPr>
        <w:autoSpaceDE/>
        <w:autoSpaceDN/>
        <w:adjustRightInd/>
        <w:rPr>
          <w:rStyle w:val="Nmerodepgina"/>
          <w:rFonts w:ascii="Verdana" w:hAnsi="Verdana"/>
          <w:sz w:val="20"/>
          <w:szCs w:val="20"/>
        </w:rPr>
      </w:pPr>
    </w:p>
    <w:p w14:paraId="5AF5BCEA" w14:textId="77FC0351" w:rsidR="005454C4" w:rsidRDefault="006A3FE4">
      <w:pPr>
        <w:widowControl w:val="0"/>
        <w:spacing w:line="295" w:lineRule="auto"/>
        <w:jc w:val="both"/>
        <w:rPr>
          <w:rFonts w:ascii="Verdana" w:hAnsi="Verdana"/>
          <w:i/>
          <w:sz w:val="20"/>
          <w:szCs w:val="20"/>
        </w:rPr>
      </w:pPr>
      <w:r>
        <w:rPr>
          <w:rFonts w:ascii="Verdana" w:hAnsi="Verdana"/>
          <w:i/>
          <w:sz w:val="20"/>
          <w:szCs w:val="20"/>
        </w:rPr>
        <w:t>Página de assinaturas 1</w:t>
      </w:r>
      <w:r w:rsidR="00CB2C00">
        <w:rPr>
          <w:rFonts w:ascii="Verdana" w:hAnsi="Verdana"/>
          <w:i/>
          <w:sz w:val="20"/>
          <w:szCs w:val="20"/>
        </w:rPr>
        <w:t xml:space="preserve"> </w:t>
      </w:r>
      <w:r>
        <w:rPr>
          <w:rFonts w:ascii="Verdana" w:hAnsi="Verdana"/>
          <w:i/>
          <w:sz w:val="20"/>
          <w:szCs w:val="20"/>
        </w:rPr>
        <w:t>do “</w:t>
      </w:r>
      <w:r w:rsidR="004B20BE">
        <w:rPr>
          <w:rFonts w:ascii="Verdana" w:hAnsi="Verdana"/>
          <w:i/>
          <w:sz w:val="20"/>
          <w:szCs w:val="20"/>
        </w:rPr>
        <w:t>1</w:t>
      </w:r>
      <w:r>
        <w:rPr>
          <w:rFonts w:ascii="Verdana" w:hAnsi="Verdana"/>
          <w:i/>
          <w:sz w:val="20"/>
          <w:szCs w:val="20"/>
        </w:rPr>
        <w:t>º (</w:t>
      </w:r>
      <w:r w:rsidR="004B20BE">
        <w:rPr>
          <w:rFonts w:ascii="Verdana" w:hAnsi="Verdana"/>
          <w:sz w:val="20"/>
          <w:szCs w:val="20"/>
        </w:rPr>
        <w:t>Primei</w:t>
      </w:r>
      <w:r w:rsidR="0081678F">
        <w:rPr>
          <w:rFonts w:ascii="Verdana" w:hAnsi="Verdana"/>
          <w:sz w:val="20"/>
          <w:szCs w:val="20"/>
        </w:rPr>
        <w:t>r</w:t>
      </w:r>
      <w:r w:rsidR="004B20BE">
        <w:rPr>
          <w:rFonts w:ascii="Verdana" w:hAnsi="Verdana"/>
          <w:sz w:val="20"/>
          <w:szCs w:val="20"/>
        </w:rPr>
        <w:t>o</w:t>
      </w:r>
      <w:r>
        <w:rPr>
          <w:rFonts w:ascii="Verdana" w:hAnsi="Verdana"/>
          <w:i/>
          <w:sz w:val="20"/>
          <w:szCs w:val="20"/>
        </w:rPr>
        <w:t xml:space="preserve">) Aditamento ao </w:t>
      </w:r>
      <w:r w:rsidR="0081678F" w:rsidRPr="0081678F">
        <w:rPr>
          <w:rFonts w:ascii="Verdana" w:hAnsi="Verdana"/>
          <w:i/>
          <w:sz w:val="20"/>
          <w:szCs w:val="20"/>
        </w:rPr>
        <w:t xml:space="preserve">Instrumento Particular de Escritura da 16ª (Décima Sexta) Emissão de Debêntures Conversíveis em Ações Ordinárias, da Espécie Quirografária, em e (duas) Séries, Para Distribuição Pública, com Esforços Restritos de Distribuição, da </w:t>
      </w:r>
      <w:r w:rsidR="0081678F">
        <w:rPr>
          <w:rFonts w:ascii="Verdana" w:hAnsi="Verdana"/>
          <w:i/>
          <w:sz w:val="20"/>
          <w:szCs w:val="20"/>
        </w:rPr>
        <w:t>G</w:t>
      </w:r>
      <w:r w:rsidR="0081678F" w:rsidRPr="0081678F">
        <w:rPr>
          <w:rFonts w:ascii="Verdana" w:hAnsi="Verdana"/>
          <w:i/>
          <w:sz w:val="20"/>
          <w:szCs w:val="20"/>
        </w:rPr>
        <w:t>afisa S.A.</w:t>
      </w:r>
      <w:r>
        <w:rPr>
          <w:rFonts w:ascii="Verdana" w:hAnsi="Verdana"/>
          <w:i/>
          <w:sz w:val="20"/>
          <w:szCs w:val="20"/>
        </w:rPr>
        <w:t xml:space="preserve">” celebrado entre </w:t>
      </w:r>
      <w:r w:rsidR="0081678F">
        <w:rPr>
          <w:rFonts w:ascii="Verdana" w:hAnsi="Verdana"/>
          <w:i/>
          <w:sz w:val="20"/>
          <w:szCs w:val="20"/>
        </w:rPr>
        <w:t>Gafisa S.A.</w:t>
      </w:r>
      <w:r>
        <w:rPr>
          <w:rFonts w:ascii="Verdana" w:hAnsi="Verdana"/>
          <w:i/>
          <w:sz w:val="20"/>
          <w:szCs w:val="20"/>
        </w:rPr>
        <w:t xml:space="preserve"> e Simplific Pavarini Distribuidora de Títulos e Valores Mobiliários Ltda.</w:t>
      </w:r>
    </w:p>
    <w:p w14:paraId="205D38A6" w14:textId="7DD38C7E" w:rsidR="005454C4" w:rsidRDefault="005454C4">
      <w:pPr>
        <w:widowControl w:val="0"/>
        <w:spacing w:line="295" w:lineRule="auto"/>
        <w:rPr>
          <w:rFonts w:ascii="Verdana" w:hAnsi="Verdana"/>
          <w:sz w:val="20"/>
          <w:szCs w:val="20"/>
        </w:rPr>
      </w:pPr>
    </w:p>
    <w:p w14:paraId="37C1AD7E" w14:textId="1C298E05" w:rsidR="0081678F" w:rsidRDefault="0081678F">
      <w:pPr>
        <w:widowControl w:val="0"/>
        <w:spacing w:line="295" w:lineRule="auto"/>
        <w:rPr>
          <w:rFonts w:ascii="Verdana" w:hAnsi="Verdana"/>
          <w:sz w:val="20"/>
          <w:szCs w:val="20"/>
        </w:rPr>
      </w:pPr>
    </w:p>
    <w:p w14:paraId="013A2818" w14:textId="77777777" w:rsidR="0081678F" w:rsidRDefault="0081678F">
      <w:pPr>
        <w:widowControl w:val="0"/>
        <w:spacing w:line="295" w:lineRule="auto"/>
        <w:rPr>
          <w:rFonts w:ascii="Verdana" w:hAnsi="Verdana"/>
          <w:sz w:val="20"/>
          <w:szCs w:val="20"/>
        </w:rPr>
      </w:pPr>
    </w:p>
    <w:p w14:paraId="3352F167" w14:textId="0118C513" w:rsidR="005454C4" w:rsidRDefault="0081678F">
      <w:pPr>
        <w:widowControl w:val="0"/>
        <w:spacing w:line="295" w:lineRule="auto"/>
        <w:jc w:val="center"/>
        <w:rPr>
          <w:rFonts w:ascii="Verdana" w:hAnsi="Verdana"/>
          <w:b/>
          <w:sz w:val="20"/>
          <w:szCs w:val="20"/>
        </w:rPr>
      </w:pPr>
      <w:r>
        <w:rPr>
          <w:rFonts w:ascii="Verdana" w:hAnsi="Verdana"/>
          <w:b/>
          <w:color w:val="000000"/>
          <w:sz w:val="20"/>
          <w:szCs w:val="20"/>
        </w:rPr>
        <w:t>GAFISA S.A.</w:t>
      </w:r>
    </w:p>
    <w:p w14:paraId="1003BFA2" w14:textId="77777777" w:rsidR="005454C4" w:rsidRDefault="005454C4">
      <w:pPr>
        <w:pStyle w:val="Body"/>
        <w:widowControl w:val="0"/>
        <w:spacing w:after="0" w:line="295" w:lineRule="auto"/>
        <w:rPr>
          <w:rFonts w:ascii="Verdana" w:hAnsi="Verdana"/>
          <w:color w:val="000000"/>
          <w:w w:val="0"/>
          <w:kern w:val="0"/>
          <w:szCs w:val="20"/>
          <w:lang w:val="pt-BR"/>
        </w:rPr>
      </w:pPr>
    </w:p>
    <w:p w14:paraId="7ADB5AB4" w14:textId="77777777" w:rsidR="005454C4" w:rsidRDefault="005454C4">
      <w:pPr>
        <w:widowControl w:val="0"/>
        <w:spacing w:line="295" w:lineRule="auto"/>
        <w:rPr>
          <w:rFonts w:ascii="Verdana" w:hAnsi="Verdana"/>
          <w:sz w:val="20"/>
          <w:szCs w:val="20"/>
        </w:rPr>
      </w:pPr>
    </w:p>
    <w:p w14:paraId="4C3395B7" w14:textId="77777777" w:rsidR="005454C4" w:rsidRDefault="005454C4">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454C4" w14:paraId="4996004D" w14:textId="77777777">
        <w:tc>
          <w:tcPr>
            <w:tcW w:w="4077" w:type="dxa"/>
          </w:tcPr>
          <w:p w14:paraId="72035DBA"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62F9705"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6AC14466" w14:textId="77777777" w:rsidR="005454C4" w:rsidRDefault="005454C4">
            <w:pPr>
              <w:pStyle w:val="Body"/>
              <w:widowControl w:val="0"/>
              <w:spacing w:after="0" w:line="295" w:lineRule="auto"/>
              <w:rPr>
                <w:rFonts w:ascii="Verdana" w:hAnsi="Verdana"/>
                <w:color w:val="000000"/>
                <w:w w:val="0"/>
                <w:kern w:val="0"/>
                <w:szCs w:val="20"/>
                <w:lang w:val="pt-BR"/>
              </w:rPr>
            </w:pPr>
          </w:p>
        </w:tc>
        <w:tc>
          <w:tcPr>
            <w:tcW w:w="3543" w:type="dxa"/>
          </w:tcPr>
          <w:p w14:paraId="1369F5FE"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630ECB31"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A965A39" w14:textId="77777777" w:rsidR="005454C4" w:rsidRDefault="005454C4">
      <w:pPr>
        <w:widowControl w:val="0"/>
        <w:spacing w:line="298" w:lineRule="auto"/>
        <w:jc w:val="center"/>
        <w:rPr>
          <w:rFonts w:ascii="Verdana" w:eastAsia="Arial Unicode MS" w:hAnsi="Verdana"/>
          <w:color w:val="000000"/>
          <w:sz w:val="20"/>
          <w:szCs w:val="20"/>
        </w:rPr>
      </w:pPr>
    </w:p>
    <w:p w14:paraId="151004CA" w14:textId="77777777" w:rsidR="005454C4" w:rsidRDefault="005454C4">
      <w:pPr>
        <w:spacing w:line="300" w:lineRule="auto"/>
        <w:jc w:val="center"/>
        <w:rPr>
          <w:rFonts w:ascii="Verdana" w:hAnsi="Verdana"/>
          <w:color w:val="000000"/>
          <w:sz w:val="20"/>
          <w:szCs w:val="20"/>
        </w:rPr>
      </w:pPr>
    </w:p>
    <w:p w14:paraId="2294892F" w14:textId="77777777" w:rsidR="005454C4" w:rsidRDefault="005454C4">
      <w:pPr>
        <w:spacing w:line="300" w:lineRule="auto"/>
        <w:jc w:val="center"/>
        <w:rPr>
          <w:rFonts w:ascii="Verdana" w:hAnsi="Verdana"/>
          <w:color w:val="000000"/>
          <w:sz w:val="20"/>
          <w:szCs w:val="20"/>
        </w:rPr>
      </w:pPr>
    </w:p>
    <w:p w14:paraId="375F94B6" w14:textId="77777777" w:rsidR="005454C4" w:rsidRDefault="006A3FE4">
      <w:pPr>
        <w:widowControl w:val="0"/>
        <w:spacing w:line="295" w:lineRule="auto"/>
        <w:jc w:val="both"/>
        <w:rPr>
          <w:rFonts w:ascii="Verdana" w:hAnsi="Verdana"/>
          <w:color w:val="000000"/>
          <w:sz w:val="20"/>
          <w:szCs w:val="20"/>
        </w:rPr>
      </w:pPr>
      <w:r>
        <w:rPr>
          <w:rFonts w:ascii="Verdana" w:hAnsi="Verdana"/>
          <w:color w:val="000000"/>
          <w:sz w:val="20"/>
          <w:szCs w:val="20"/>
        </w:rPr>
        <w:br w:type="page"/>
      </w:r>
    </w:p>
    <w:p w14:paraId="6021A88B" w14:textId="5FBEA394" w:rsidR="005454C4" w:rsidRDefault="0081678F">
      <w:pPr>
        <w:widowControl w:val="0"/>
        <w:spacing w:line="295" w:lineRule="auto"/>
        <w:jc w:val="both"/>
        <w:rPr>
          <w:rFonts w:ascii="Verdana" w:hAnsi="Verdana"/>
          <w:i/>
          <w:sz w:val="20"/>
          <w:szCs w:val="20"/>
        </w:rPr>
      </w:pPr>
      <w:r>
        <w:rPr>
          <w:rFonts w:ascii="Verdana" w:hAnsi="Verdana"/>
          <w:i/>
          <w:sz w:val="20"/>
          <w:szCs w:val="20"/>
        </w:rPr>
        <w:lastRenderedPageBreak/>
        <w:t>Página de assinaturas 2 do “1º (</w:t>
      </w:r>
      <w:r>
        <w:rPr>
          <w:rFonts w:ascii="Verdana" w:hAnsi="Verdana"/>
          <w:sz w:val="20"/>
          <w:szCs w:val="20"/>
        </w:rPr>
        <w:t>Primeiro</w:t>
      </w:r>
      <w:r>
        <w:rPr>
          <w:rFonts w:ascii="Verdana" w:hAnsi="Verdana"/>
          <w:i/>
          <w:sz w:val="20"/>
          <w:szCs w:val="20"/>
        </w:rPr>
        <w:t xml:space="preserve">) Aditamento ao </w:t>
      </w:r>
      <w:r w:rsidRPr="0081678F">
        <w:rPr>
          <w:rFonts w:ascii="Verdana" w:hAnsi="Verdana"/>
          <w:i/>
          <w:sz w:val="20"/>
          <w:szCs w:val="20"/>
        </w:rPr>
        <w:t xml:space="preserve">Instrumento Particular de Escritura da 16ª (Décima Sexta) Emissão de Debêntures Conversíveis em Ações Ordinárias, da Espécie Quirografária, em e (duas) Séries, Para Distribuição Pública, com Esforços Restritos de Distribuição, da </w:t>
      </w:r>
      <w:r>
        <w:rPr>
          <w:rFonts w:ascii="Verdana" w:hAnsi="Verdana"/>
          <w:i/>
          <w:sz w:val="20"/>
          <w:szCs w:val="20"/>
        </w:rPr>
        <w:t>G</w:t>
      </w:r>
      <w:r w:rsidRPr="0081678F">
        <w:rPr>
          <w:rFonts w:ascii="Verdana" w:hAnsi="Verdana"/>
          <w:i/>
          <w:sz w:val="20"/>
          <w:szCs w:val="20"/>
        </w:rPr>
        <w:t>afisa S.A.</w:t>
      </w:r>
      <w:r>
        <w:rPr>
          <w:rFonts w:ascii="Verdana" w:hAnsi="Verdana"/>
          <w:i/>
          <w:sz w:val="20"/>
          <w:szCs w:val="20"/>
        </w:rPr>
        <w:t>” celebrado entre Gafisa S.A. e Simplific Pavarini Distribuidora de Títulos e Valores Mobiliários Ltda.</w:t>
      </w:r>
    </w:p>
    <w:p w14:paraId="66D6324E" w14:textId="2F964CB1" w:rsidR="005454C4" w:rsidRDefault="005454C4">
      <w:pPr>
        <w:widowControl w:val="0"/>
        <w:spacing w:line="295" w:lineRule="auto"/>
        <w:rPr>
          <w:rFonts w:ascii="Verdana" w:hAnsi="Verdana"/>
          <w:sz w:val="20"/>
          <w:szCs w:val="20"/>
        </w:rPr>
      </w:pPr>
    </w:p>
    <w:p w14:paraId="3408F9AB" w14:textId="590C7B21" w:rsidR="0081678F" w:rsidRDefault="0081678F">
      <w:pPr>
        <w:widowControl w:val="0"/>
        <w:spacing w:line="295" w:lineRule="auto"/>
        <w:rPr>
          <w:rFonts w:ascii="Verdana" w:hAnsi="Verdana"/>
          <w:sz w:val="20"/>
          <w:szCs w:val="20"/>
        </w:rPr>
      </w:pPr>
    </w:p>
    <w:p w14:paraId="4EDC8B29" w14:textId="77777777" w:rsidR="0081678F" w:rsidRDefault="0081678F">
      <w:pPr>
        <w:widowControl w:val="0"/>
        <w:spacing w:line="295" w:lineRule="auto"/>
        <w:rPr>
          <w:rFonts w:ascii="Verdana" w:hAnsi="Verdana"/>
          <w:sz w:val="20"/>
          <w:szCs w:val="20"/>
        </w:rPr>
      </w:pPr>
    </w:p>
    <w:p w14:paraId="6ED172BF" w14:textId="742BF19C" w:rsidR="0081678F" w:rsidRDefault="0081678F">
      <w:pPr>
        <w:widowControl w:val="0"/>
        <w:spacing w:line="295" w:lineRule="auto"/>
        <w:rPr>
          <w:rFonts w:ascii="Verdana" w:hAnsi="Verdana"/>
          <w:sz w:val="20"/>
          <w:szCs w:val="20"/>
        </w:rPr>
      </w:pPr>
    </w:p>
    <w:p w14:paraId="54E0E0FC" w14:textId="77777777" w:rsidR="0081678F" w:rsidRDefault="0081678F">
      <w:pPr>
        <w:widowControl w:val="0"/>
        <w:spacing w:line="295" w:lineRule="auto"/>
        <w:rPr>
          <w:rFonts w:ascii="Verdana" w:hAnsi="Verdana"/>
          <w:sz w:val="20"/>
          <w:szCs w:val="20"/>
        </w:rPr>
      </w:pPr>
    </w:p>
    <w:p w14:paraId="4254D1C6" w14:textId="77777777" w:rsidR="005454C4" w:rsidRDefault="006A3FE4">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4B0060EF" w14:textId="77777777" w:rsidR="005454C4" w:rsidRDefault="005454C4">
      <w:pPr>
        <w:widowControl w:val="0"/>
        <w:spacing w:line="295" w:lineRule="auto"/>
        <w:jc w:val="both"/>
        <w:rPr>
          <w:rFonts w:ascii="Verdana" w:hAnsi="Verdana"/>
          <w:sz w:val="20"/>
          <w:szCs w:val="20"/>
        </w:rPr>
      </w:pPr>
    </w:p>
    <w:p w14:paraId="6893A004" w14:textId="77777777" w:rsidR="005454C4" w:rsidRDefault="005454C4">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5454C4" w14:paraId="58E2C4A7" w14:textId="77777777">
        <w:trPr>
          <w:jc w:val="center"/>
        </w:trPr>
        <w:tc>
          <w:tcPr>
            <w:tcW w:w="4077" w:type="dxa"/>
          </w:tcPr>
          <w:p w14:paraId="026EA893"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6A45D130"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13770AB7" w14:textId="77777777" w:rsidR="005454C4" w:rsidRDefault="005454C4">
            <w:pPr>
              <w:pStyle w:val="Body"/>
              <w:widowControl w:val="0"/>
              <w:spacing w:after="0" w:line="295" w:lineRule="auto"/>
              <w:rPr>
                <w:rFonts w:ascii="Verdana" w:hAnsi="Verdana"/>
                <w:color w:val="000000"/>
                <w:w w:val="0"/>
                <w:kern w:val="0"/>
                <w:szCs w:val="20"/>
                <w:lang w:val="pt-BR"/>
              </w:rPr>
            </w:pPr>
          </w:p>
        </w:tc>
      </w:tr>
    </w:tbl>
    <w:p w14:paraId="0E9F2106" w14:textId="77777777" w:rsidR="005454C4" w:rsidRDefault="005454C4">
      <w:pPr>
        <w:widowControl w:val="0"/>
        <w:spacing w:line="298" w:lineRule="auto"/>
        <w:jc w:val="center"/>
        <w:rPr>
          <w:rFonts w:ascii="Verdana" w:eastAsia="Arial Unicode MS" w:hAnsi="Verdana"/>
          <w:color w:val="000000"/>
          <w:sz w:val="20"/>
          <w:szCs w:val="20"/>
        </w:rPr>
      </w:pPr>
    </w:p>
    <w:p w14:paraId="09C29B4E" w14:textId="77777777" w:rsidR="005454C4" w:rsidRDefault="005454C4">
      <w:pPr>
        <w:spacing w:line="300" w:lineRule="auto"/>
        <w:jc w:val="center"/>
        <w:rPr>
          <w:rFonts w:ascii="Verdana" w:hAnsi="Verdana"/>
          <w:color w:val="000000"/>
          <w:sz w:val="20"/>
          <w:szCs w:val="20"/>
        </w:rPr>
      </w:pPr>
    </w:p>
    <w:p w14:paraId="09CCB4B0" w14:textId="2E7EFF14" w:rsidR="005454C4" w:rsidRDefault="006A3FE4">
      <w:pPr>
        <w:widowControl w:val="0"/>
        <w:spacing w:line="295" w:lineRule="auto"/>
        <w:jc w:val="both"/>
        <w:rPr>
          <w:rFonts w:ascii="Verdana" w:hAnsi="Verdana"/>
          <w:sz w:val="20"/>
          <w:szCs w:val="20"/>
        </w:rPr>
      </w:pPr>
      <w:r>
        <w:rPr>
          <w:rFonts w:ascii="Verdana" w:hAnsi="Verdana"/>
          <w:color w:val="000000"/>
          <w:sz w:val="20"/>
          <w:szCs w:val="20"/>
        </w:rPr>
        <w:br w:type="page"/>
      </w:r>
      <w:r w:rsidR="0081678F">
        <w:rPr>
          <w:rFonts w:ascii="Verdana" w:hAnsi="Verdana"/>
          <w:i/>
          <w:sz w:val="20"/>
          <w:szCs w:val="20"/>
        </w:rPr>
        <w:lastRenderedPageBreak/>
        <w:t>Página de assinaturas 3 do “1º (</w:t>
      </w:r>
      <w:r w:rsidR="0081678F">
        <w:rPr>
          <w:rFonts w:ascii="Verdana" w:hAnsi="Verdana"/>
          <w:sz w:val="20"/>
          <w:szCs w:val="20"/>
        </w:rPr>
        <w:t>Primeiro</w:t>
      </w:r>
      <w:r w:rsidR="0081678F">
        <w:rPr>
          <w:rFonts w:ascii="Verdana" w:hAnsi="Verdana"/>
          <w:i/>
          <w:sz w:val="20"/>
          <w:szCs w:val="20"/>
        </w:rPr>
        <w:t xml:space="preserve">) Aditamento ao </w:t>
      </w:r>
      <w:r w:rsidR="0081678F" w:rsidRPr="0081678F">
        <w:rPr>
          <w:rFonts w:ascii="Verdana" w:hAnsi="Verdana"/>
          <w:i/>
          <w:sz w:val="20"/>
          <w:szCs w:val="20"/>
        </w:rPr>
        <w:t xml:space="preserve">Instrumento Particular de Escritura da 16ª (Décima Sexta) Emissão de Debêntures Conversíveis em Ações Ordinárias, da Espécie Quirografária, em e (duas) Séries, Para Distribuição Pública, com Esforços Restritos de Distribuição, da </w:t>
      </w:r>
      <w:r w:rsidR="0081678F">
        <w:rPr>
          <w:rFonts w:ascii="Verdana" w:hAnsi="Verdana"/>
          <w:i/>
          <w:sz w:val="20"/>
          <w:szCs w:val="20"/>
        </w:rPr>
        <w:t>G</w:t>
      </w:r>
      <w:r w:rsidR="0081678F" w:rsidRPr="0081678F">
        <w:rPr>
          <w:rFonts w:ascii="Verdana" w:hAnsi="Verdana"/>
          <w:i/>
          <w:sz w:val="20"/>
          <w:szCs w:val="20"/>
        </w:rPr>
        <w:t>afisa S.A.</w:t>
      </w:r>
      <w:r w:rsidR="0081678F">
        <w:rPr>
          <w:rFonts w:ascii="Verdana" w:hAnsi="Verdana"/>
          <w:i/>
          <w:sz w:val="20"/>
          <w:szCs w:val="20"/>
        </w:rPr>
        <w:t>” celebrado entre Gafisa S.A. e Simplific Pavarini Distribuidora de Títulos e Valores Mobiliários Ltda.</w:t>
      </w:r>
    </w:p>
    <w:p w14:paraId="0D3C8401" w14:textId="107490D8" w:rsidR="005454C4" w:rsidRDefault="005454C4">
      <w:pPr>
        <w:widowControl w:val="0"/>
        <w:spacing w:line="295" w:lineRule="auto"/>
        <w:jc w:val="both"/>
        <w:rPr>
          <w:rFonts w:ascii="Verdana" w:hAnsi="Verdana"/>
          <w:sz w:val="20"/>
          <w:szCs w:val="20"/>
        </w:rPr>
      </w:pPr>
    </w:p>
    <w:p w14:paraId="62E56B75" w14:textId="77777777" w:rsidR="0081678F" w:rsidRDefault="0081678F">
      <w:pPr>
        <w:widowControl w:val="0"/>
        <w:spacing w:line="295" w:lineRule="auto"/>
        <w:jc w:val="both"/>
        <w:rPr>
          <w:rFonts w:ascii="Verdana" w:hAnsi="Verdana"/>
          <w:sz w:val="20"/>
          <w:szCs w:val="20"/>
        </w:rPr>
      </w:pPr>
    </w:p>
    <w:p w14:paraId="65A0D973" w14:textId="77777777" w:rsidR="005454C4" w:rsidRDefault="006A3FE4">
      <w:pPr>
        <w:widowControl w:val="0"/>
        <w:spacing w:line="295" w:lineRule="auto"/>
        <w:rPr>
          <w:rFonts w:ascii="Verdana" w:hAnsi="Verdana"/>
          <w:b/>
          <w:sz w:val="20"/>
          <w:szCs w:val="20"/>
        </w:rPr>
      </w:pPr>
      <w:r>
        <w:rPr>
          <w:rFonts w:ascii="Verdana" w:hAnsi="Verdana"/>
          <w:b/>
          <w:sz w:val="20"/>
          <w:szCs w:val="20"/>
        </w:rPr>
        <w:t>Testemunhas:</w:t>
      </w:r>
    </w:p>
    <w:p w14:paraId="66C30EBB" w14:textId="1658622A" w:rsidR="005454C4" w:rsidRDefault="005454C4">
      <w:pPr>
        <w:widowControl w:val="0"/>
        <w:spacing w:line="295" w:lineRule="auto"/>
        <w:rPr>
          <w:rFonts w:ascii="Verdana" w:hAnsi="Verdana"/>
          <w:sz w:val="20"/>
          <w:szCs w:val="20"/>
        </w:rPr>
      </w:pPr>
    </w:p>
    <w:p w14:paraId="57BAA5FF" w14:textId="77777777" w:rsidR="0081678F" w:rsidRDefault="0081678F">
      <w:pPr>
        <w:widowControl w:val="0"/>
        <w:spacing w:line="295" w:lineRule="auto"/>
        <w:rPr>
          <w:rFonts w:ascii="Verdana" w:hAnsi="Verdana"/>
          <w:sz w:val="20"/>
          <w:szCs w:val="20"/>
        </w:rPr>
      </w:pPr>
    </w:p>
    <w:p w14:paraId="641902BC" w14:textId="77777777" w:rsidR="005454C4" w:rsidRDefault="005454C4">
      <w:pPr>
        <w:widowControl w:val="0"/>
        <w:spacing w:line="295" w:lineRule="auto"/>
        <w:rPr>
          <w:rFonts w:ascii="Verdana" w:hAnsi="Verdana"/>
          <w:sz w:val="20"/>
          <w:szCs w:val="20"/>
        </w:rPr>
      </w:pPr>
    </w:p>
    <w:p w14:paraId="2E8AC83B" w14:textId="77777777" w:rsidR="005454C4" w:rsidRDefault="005454C4">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454C4" w14:paraId="166C4C59" w14:textId="77777777">
        <w:trPr>
          <w:trHeight w:val="50"/>
        </w:trPr>
        <w:tc>
          <w:tcPr>
            <w:tcW w:w="4077" w:type="dxa"/>
          </w:tcPr>
          <w:p w14:paraId="1D30426C"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5F70EB8B"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0A092A30" w14:textId="77777777" w:rsidR="005454C4" w:rsidRDefault="005454C4">
            <w:pPr>
              <w:pStyle w:val="Body"/>
              <w:widowControl w:val="0"/>
              <w:spacing w:after="0" w:line="295" w:lineRule="auto"/>
              <w:rPr>
                <w:rFonts w:ascii="Verdana" w:hAnsi="Verdana"/>
                <w:color w:val="000000"/>
                <w:w w:val="0"/>
                <w:kern w:val="0"/>
                <w:szCs w:val="20"/>
                <w:lang w:val="pt-BR"/>
              </w:rPr>
            </w:pPr>
          </w:p>
        </w:tc>
        <w:tc>
          <w:tcPr>
            <w:tcW w:w="3543" w:type="dxa"/>
          </w:tcPr>
          <w:p w14:paraId="1CA41C20"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5ED7C34D"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53B9B0F9" w14:textId="77777777" w:rsidR="005454C4" w:rsidRDefault="005454C4">
      <w:pPr>
        <w:autoSpaceDE/>
        <w:autoSpaceDN/>
        <w:adjustRightInd/>
        <w:rPr>
          <w:rStyle w:val="Nmerodepgina"/>
          <w:rFonts w:ascii="Verdana" w:hAnsi="Verdana"/>
          <w:b/>
          <w:sz w:val="20"/>
          <w:szCs w:val="20"/>
        </w:rPr>
      </w:pPr>
    </w:p>
    <w:p w14:paraId="15C7149B" w14:textId="77777777" w:rsidR="007057FF" w:rsidRDefault="007057FF">
      <w:pPr>
        <w:autoSpaceDE/>
        <w:autoSpaceDN/>
        <w:adjustRightInd/>
        <w:rPr>
          <w:rStyle w:val="Nmerodepgina"/>
          <w:rFonts w:ascii="Verdana" w:hAnsi="Verdana"/>
          <w:b/>
          <w:sz w:val="20"/>
          <w:szCs w:val="20"/>
        </w:rPr>
      </w:pPr>
    </w:p>
    <w:p w14:paraId="116E311D" w14:textId="77777777" w:rsidR="007057FF" w:rsidRDefault="007057FF">
      <w:pPr>
        <w:autoSpaceDE/>
        <w:autoSpaceDN/>
        <w:adjustRightInd/>
        <w:rPr>
          <w:rStyle w:val="Nmerodepgina"/>
          <w:rFonts w:ascii="Verdana" w:hAnsi="Verdana"/>
          <w:b/>
          <w:sz w:val="20"/>
          <w:szCs w:val="20"/>
        </w:rPr>
      </w:pPr>
    </w:p>
    <w:p w14:paraId="4B5EDEDB" w14:textId="310EE4D2" w:rsidR="00A016E1" w:rsidRDefault="00A016E1">
      <w:pPr>
        <w:autoSpaceDE/>
        <w:autoSpaceDN/>
        <w:adjustRightInd/>
        <w:rPr>
          <w:rStyle w:val="Nmerodepgina"/>
          <w:rFonts w:ascii="Verdana" w:hAnsi="Verdana"/>
          <w:b/>
          <w:sz w:val="20"/>
          <w:szCs w:val="20"/>
        </w:rPr>
      </w:pPr>
      <w:r>
        <w:rPr>
          <w:rStyle w:val="Nmerodepgina"/>
          <w:rFonts w:ascii="Verdana" w:hAnsi="Verdana"/>
          <w:b/>
          <w:sz w:val="20"/>
          <w:szCs w:val="20"/>
        </w:rPr>
        <w:br w:type="page"/>
      </w:r>
    </w:p>
    <w:p w14:paraId="4E052EC9" w14:textId="77777777" w:rsidR="006954CE" w:rsidRDefault="006954CE" w:rsidP="00E21DA9">
      <w:pPr>
        <w:rPr>
          <w:rStyle w:val="Nmerodepgina"/>
          <w:rFonts w:ascii="Verdana" w:hAnsi="Verdana"/>
          <w:b/>
          <w:sz w:val="16"/>
          <w:szCs w:val="16"/>
        </w:rPr>
        <w:sectPr w:rsidR="006954CE" w:rsidSect="004C6B68">
          <w:headerReference w:type="default" r:id="rId9"/>
          <w:footerReference w:type="default" r:id="rId10"/>
          <w:headerReference w:type="first" r:id="rId11"/>
          <w:pgSz w:w="11907" w:h="16840" w:code="9"/>
          <w:pgMar w:top="2381" w:right="850" w:bottom="1701" w:left="851" w:header="850" w:footer="850" w:gutter="0"/>
          <w:cols w:space="708"/>
          <w:titlePg/>
          <w:docGrid w:linePitch="360"/>
        </w:sectPr>
      </w:pPr>
    </w:p>
    <w:p w14:paraId="23A88C6A" w14:textId="37E0BDC5" w:rsidR="00A016E1" w:rsidRDefault="00A016E1" w:rsidP="00D748D1">
      <w:pPr>
        <w:autoSpaceDE/>
        <w:autoSpaceDN/>
        <w:adjustRightInd/>
        <w:rPr>
          <w:rStyle w:val="Nmerodepgina"/>
          <w:rFonts w:ascii="Verdana" w:hAnsi="Verdana"/>
          <w:b/>
          <w:sz w:val="20"/>
          <w:szCs w:val="20"/>
        </w:rPr>
      </w:pPr>
    </w:p>
    <w:sectPr w:rsidR="00A016E1" w:rsidSect="004C6B68">
      <w:pgSz w:w="11907" w:h="16840" w:code="9"/>
      <w:pgMar w:top="2381" w:right="850" w:bottom="1701" w:left="85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7390" w14:textId="77777777" w:rsidR="0016026E" w:rsidRDefault="0016026E">
      <w:r>
        <w:separator/>
      </w:r>
    </w:p>
  </w:endnote>
  <w:endnote w:type="continuationSeparator" w:id="0">
    <w:p w14:paraId="173D018C" w14:textId="77777777" w:rsidR="0016026E" w:rsidRDefault="0016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40B0" w14:textId="77777777" w:rsidR="0016026E" w:rsidRDefault="0016026E">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r>
      <w:rPr>
        <w:color w:val="FFFFFF" w:themeColor="background1"/>
        <w:sz w:val="18"/>
      </w:rPr>
      <w:t>JUR_SP - 32827504v8 - 12070002.435575</w:t>
    </w:r>
    <w:r>
      <w:rPr>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84FAD" w14:textId="77777777" w:rsidR="0016026E" w:rsidRDefault="0016026E">
      <w:r>
        <w:separator/>
      </w:r>
    </w:p>
  </w:footnote>
  <w:footnote w:type="continuationSeparator" w:id="0">
    <w:p w14:paraId="6B4B4079" w14:textId="77777777" w:rsidR="0016026E" w:rsidRDefault="0016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3799" w14:textId="77777777" w:rsidR="0016026E" w:rsidRDefault="0016026E">
    <w:pPr>
      <w:pStyle w:val="Cabealho"/>
      <w:spacing w:line="40" w:lineRule="exact"/>
      <w:jc w:val="both"/>
      <w:rPr>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634A" w14:textId="435F77A4" w:rsidR="0016026E" w:rsidRDefault="0016026E" w:rsidP="006C5921">
    <w:pPr>
      <w:pStyle w:val="Cabealho"/>
      <w:jc w:val="left"/>
    </w:pPr>
    <w:r>
      <w:rPr>
        <w:noProof/>
      </w:rPr>
      <w:drawing>
        <wp:inline distT="0" distB="0" distL="0" distR="0" wp14:anchorId="407DB288" wp14:editId="7C6B18F6">
          <wp:extent cx="931333" cy="533400"/>
          <wp:effectExtent l="0" t="0" r="2540" b="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51414" cy="544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suff w:val="nothing"/>
      <w:lvlText w:val="Article %1."/>
      <w:lvlJc w:val="left"/>
      <w:rPr>
        <w:caps/>
        <w:spacing w:val="0"/>
      </w:rPr>
    </w:lvl>
    <w:lvl w:ilvl="1">
      <w:start w:val="1"/>
      <w:numFmt w:val="decimal"/>
      <w:isLgl/>
      <w:suff w:val="space"/>
      <w:lvlText w:val="Section %1.%2."/>
      <w:lvlJc w:val="left"/>
      <w:pPr>
        <w:ind w:firstLine="1440"/>
      </w:pPr>
      <w:rPr>
        <w:spacing w:val="0"/>
      </w:rPr>
    </w:lvl>
    <w:lvl w:ilvl="2">
      <w:start w:val="1"/>
      <w:numFmt w:val="lowerLetter"/>
      <w:lvlText w:val="(%3)"/>
      <w:lvlJc w:val="left"/>
      <w:pPr>
        <w:tabs>
          <w:tab w:val="num" w:pos="1800"/>
        </w:tabs>
        <w:ind w:firstLine="1440"/>
      </w:pPr>
      <w:rPr>
        <w:spacing w:val="0"/>
      </w:rPr>
    </w:lvl>
    <w:lvl w:ilvl="3">
      <w:start w:val="1"/>
      <w:numFmt w:val="lowerRoman"/>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27"/>
  </w:num>
  <w:num w:numId="2">
    <w:abstractNumId w:val="33"/>
  </w:num>
  <w:num w:numId="3">
    <w:abstractNumId w:val="6"/>
  </w:num>
  <w:num w:numId="4">
    <w:abstractNumId w:val="16"/>
  </w:num>
  <w:num w:numId="5">
    <w:abstractNumId w:val="25"/>
  </w:num>
  <w:num w:numId="6">
    <w:abstractNumId w:val="15"/>
  </w:num>
  <w:num w:numId="7">
    <w:abstractNumId w:val="1"/>
  </w:num>
  <w:num w:numId="8">
    <w:abstractNumId w:val="2"/>
  </w:num>
  <w:num w:numId="9">
    <w:abstractNumId w:val="0"/>
  </w:num>
  <w:num w:numId="10">
    <w:abstractNumId w:val="31"/>
  </w:num>
  <w:num w:numId="11">
    <w:abstractNumId w:val="22"/>
  </w:num>
  <w:num w:numId="12">
    <w:abstractNumId w:val="26"/>
  </w:num>
  <w:num w:numId="13">
    <w:abstractNumId w:val="12"/>
  </w:num>
  <w:num w:numId="14">
    <w:abstractNumId w:val="36"/>
  </w:num>
  <w:num w:numId="15">
    <w:abstractNumId w:val="39"/>
  </w:num>
  <w:num w:numId="16">
    <w:abstractNumId w:val="9"/>
  </w:num>
  <w:num w:numId="17">
    <w:abstractNumId w:val="17"/>
  </w:num>
  <w:num w:numId="18">
    <w:abstractNumId w:val="28"/>
  </w:num>
  <w:num w:numId="19">
    <w:abstractNumId w:val="18"/>
  </w:num>
  <w:num w:numId="20">
    <w:abstractNumId w:val="34"/>
  </w:num>
  <w:num w:numId="21">
    <w:abstractNumId w:val="29"/>
  </w:num>
  <w:num w:numId="22">
    <w:abstractNumId w:val="13"/>
  </w:num>
  <w:num w:numId="23">
    <w:abstractNumId w:val="20"/>
  </w:num>
  <w:num w:numId="24">
    <w:abstractNumId w:val="32"/>
  </w:num>
  <w:num w:numId="25">
    <w:abstractNumId w:val="21"/>
  </w:num>
  <w:num w:numId="26">
    <w:abstractNumId w:val="30"/>
  </w:num>
  <w:num w:numId="27">
    <w:abstractNumId w:val="3"/>
  </w:num>
  <w:num w:numId="28">
    <w:abstractNumId w:val="38"/>
  </w:num>
  <w:num w:numId="29">
    <w:abstractNumId w:val="5"/>
  </w:num>
  <w:num w:numId="30">
    <w:abstractNumId w:val="4"/>
  </w:num>
  <w:num w:numId="31">
    <w:abstractNumId w:val="7"/>
  </w:num>
  <w:num w:numId="32">
    <w:abstractNumId w:val="37"/>
  </w:num>
  <w:num w:numId="33">
    <w:abstractNumId w:val="23"/>
  </w:num>
  <w:num w:numId="34">
    <w:abstractNumId w:val="35"/>
  </w:num>
  <w:num w:numId="35">
    <w:abstractNumId w:val="24"/>
  </w:num>
  <w:num w:numId="36">
    <w:abstractNumId w:val="8"/>
  </w:num>
  <w:num w:numId="37">
    <w:abstractNumId w:val="11"/>
  </w:num>
  <w:num w:numId="38">
    <w:abstractNumId w:val="10"/>
  </w:num>
  <w:num w:numId="39">
    <w:abstractNumId w:val="19"/>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C4"/>
    <w:rsid w:val="0016026E"/>
    <w:rsid w:val="00184BAB"/>
    <w:rsid w:val="00293D56"/>
    <w:rsid w:val="00295F6F"/>
    <w:rsid w:val="003B5E7B"/>
    <w:rsid w:val="004B20BE"/>
    <w:rsid w:val="004C6B68"/>
    <w:rsid w:val="004E14A7"/>
    <w:rsid w:val="005454C4"/>
    <w:rsid w:val="005B472D"/>
    <w:rsid w:val="005F462B"/>
    <w:rsid w:val="006954CE"/>
    <w:rsid w:val="006A3FE4"/>
    <w:rsid w:val="006C1FDF"/>
    <w:rsid w:val="006C5921"/>
    <w:rsid w:val="007057FF"/>
    <w:rsid w:val="007A64EC"/>
    <w:rsid w:val="0081678F"/>
    <w:rsid w:val="0099310F"/>
    <w:rsid w:val="009B3EB3"/>
    <w:rsid w:val="00A016E1"/>
    <w:rsid w:val="00A46191"/>
    <w:rsid w:val="00A83D00"/>
    <w:rsid w:val="00C114C1"/>
    <w:rsid w:val="00C60512"/>
    <w:rsid w:val="00CB2C00"/>
    <w:rsid w:val="00D748D1"/>
    <w:rsid w:val="00D8627D"/>
    <w:rsid w:val="00E21DA9"/>
    <w:rsid w:val="00F8650A"/>
    <w:rsid w:val="00FF5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71CE91"/>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8"/>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pPr>
      <w:jc w:val="right"/>
    </w:pPr>
  </w:style>
  <w:style w:type="character" w:customStyle="1" w:styleId="CabealhoChar">
    <w:name w:val="Cabeçalho Char"/>
    <w:link w:val="Cabealho"/>
    <w:rPr>
      <w:rFonts w:eastAsia="Times New Roman"/>
      <w:sz w:val="24"/>
      <w:szCs w:val="24"/>
    </w:r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character" w:customStyle="1" w:styleId="RodapChar">
    <w:name w:val="Rodapé Char"/>
    <w:link w:val="Rodap"/>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aliases w:val="Comum,Parágrafo da Lista;Comum"/>
    <w:basedOn w:val="Normal"/>
    <w:link w:val="PargrafodaListaChar"/>
    <w:uiPriority w:val="34"/>
    <w:qFormat/>
    <w:pPr>
      <w:ind w:left="708"/>
    </w:pPr>
  </w:style>
  <w:style w:type="character" w:customStyle="1" w:styleId="PargrafodaListaChar">
    <w:name w:val="Parágrafo da Lista Char"/>
    <w:aliases w:val="Comum Char,Parágrafo da Lista;Comum Char"/>
    <w:link w:val="PargrafodaLista"/>
    <w:uiPriority w:val="99"/>
    <w:qFormat/>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9"/>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39"/>
      </w:numPr>
      <w:spacing w:line="340" w:lineRule="exact"/>
      <w:jc w:val="center"/>
    </w:pPr>
    <w:rPr>
      <w:rFonts w:ascii="Verdana" w:hAnsi="Verdana" w:cs="Arial"/>
      <w:iCs/>
      <w:caps w:val="0"/>
      <w:noProof w:val="0"/>
      <w:color w:val="000000"/>
      <w:sz w:val="20"/>
      <w:szCs w:val="20"/>
      <w:lang w:val="en-US"/>
    </w:rPr>
  </w:style>
  <w:style w:type="paragraph" w:customStyle="1" w:styleId="msonormal0">
    <w:name w:val="msonormal"/>
    <w:basedOn w:val="Normal"/>
    <w:rsid w:val="007A64EC"/>
    <w:pPr>
      <w:autoSpaceDE/>
      <w:autoSpaceDN/>
      <w:adjustRightInd/>
      <w:spacing w:before="100" w:beforeAutospacing="1" w:after="100" w:afterAutospacing="1"/>
    </w:pPr>
  </w:style>
  <w:style w:type="paragraph" w:customStyle="1" w:styleId="font5">
    <w:name w:val="font5"/>
    <w:basedOn w:val="Normal"/>
    <w:rsid w:val="007A64EC"/>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7A64EC"/>
    <w:pPr>
      <w:autoSpaceDE/>
      <w:autoSpaceDN/>
      <w:adjustRightInd/>
      <w:spacing w:before="100" w:beforeAutospacing="1" w:after="100" w:afterAutospacing="1"/>
    </w:pPr>
    <w:rPr>
      <w:rFonts w:ascii="Segoe UI" w:hAnsi="Segoe UI" w:cs="Segoe UI"/>
      <w:color w:val="000000"/>
      <w:sz w:val="18"/>
      <w:szCs w:val="18"/>
    </w:rPr>
  </w:style>
  <w:style w:type="paragraph" w:customStyle="1" w:styleId="xl71">
    <w:name w:val="xl71"/>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sz w:val="18"/>
      <w:szCs w:val="18"/>
    </w:rPr>
  </w:style>
  <w:style w:type="paragraph" w:customStyle="1" w:styleId="xl72">
    <w:name w:val="xl72"/>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3">
    <w:name w:val="xl73"/>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sz w:val="18"/>
      <w:szCs w:val="18"/>
    </w:rPr>
  </w:style>
  <w:style w:type="paragraph" w:customStyle="1" w:styleId="xl74">
    <w:name w:val="xl74"/>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5">
    <w:name w:val="xl75"/>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6">
    <w:name w:val="xl76"/>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77">
    <w:name w:val="xl77"/>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78">
    <w:name w:val="xl78"/>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8"/>
      <w:szCs w:val="18"/>
    </w:rPr>
  </w:style>
  <w:style w:type="paragraph" w:customStyle="1" w:styleId="xl79">
    <w:name w:val="xl79"/>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80">
    <w:name w:val="xl80"/>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81">
    <w:name w:val="xl81"/>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 w:type="paragraph" w:customStyle="1" w:styleId="xl82">
    <w:name w:val="xl82"/>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8"/>
      <w:szCs w:val="18"/>
    </w:rPr>
  </w:style>
  <w:style w:type="paragraph" w:customStyle="1" w:styleId="xl83">
    <w:name w:val="xl83"/>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84">
    <w:name w:val="xl84"/>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85">
    <w:name w:val="xl85"/>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18"/>
      <w:szCs w:val="18"/>
    </w:rPr>
  </w:style>
  <w:style w:type="paragraph" w:customStyle="1" w:styleId="xl86">
    <w:name w:val="xl86"/>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18"/>
      <w:szCs w:val="18"/>
    </w:rPr>
  </w:style>
  <w:style w:type="paragraph" w:customStyle="1" w:styleId="xl87">
    <w:name w:val="xl87"/>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8"/>
      <w:szCs w:val="18"/>
    </w:rPr>
  </w:style>
  <w:style w:type="paragraph" w:customStyle="1" w:styleId="xl88">
    <w:name w:val="xl88"/>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89">
    <w:name w:val="xl89"/>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 w:type="paragraph" w:customStyle="1" w:styleId="xl90">
    <w:name w:val="xl90"/>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303">
      <w:bodyDiv w:val="1"/>
      <w:marLeft w:val="0"/>
      <w:marRight w:val="0"/>
      <w:marTop w:val="0"/>
      <w:marBottom w:val="0"/>
      <w:divBdr>
        <w:top w:val="none" w:sz="0" w:space="0" w:color="auto"/>
        <w:left w:val="none" w:sz="0" w:space="0" w:color="auto"/>
        <w:bottom w:val="none" w:sz="0" w:space="0" w:color="auto"/>
        <w:right w:val="none" w:sz="0" w:space="0" w:color="auto"/>
      </w:divBdr>
    </w:div>
    <w:div w:id="146670418">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2480">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593322376">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 J U R _ S P ! 3 2 8 2 7 5 0 4 . 8 < / d o c u m e n t i d >  
     < s e n d e r i d > H S N < / s e n d e r i d >  
     < s e n d e r e m a i l > T A M B R O S A N O @ P N . C O M . B R < / s e n d e r e m a i l >  
     < l a s t m o d i f i e d > 2 0 1 9 - 0 3 - 1 5 T 1 4 : 4 1 : 0 0 . 0 0 0 0 0 0 0 - 0 3 : 0 0 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C194-0955-44F8-A704-96FEC8F66C83}">
  <ds:schemaRefs>
    <ds:schemaRef ds:uri="http://www.imanage.com/work/xmlschema"/>
  </ds:schemaRefs>
</ds:datastoreItem>
</file>

<file path=customXml/itemProps2.xml><?xml version="1.0" encoding="utf-8"?>
<ds:datastoreItem xmlns:ds="http://schemas.openxmlformats.org/officeDocument/2006/customXml" ds:itemID="{1F571E07-5072-48C7-AD60-EC65433B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1353</Words>
  <Characters>7633</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Matheus Gomes Faria</cp:lastModifiedBy>
  <cp:revision>2</cp:revision>
  <cp:lastPrinted>2019-07-09T20:35:00Z</cp:lastPrinted>
  <dcterms:created xsi:type="dcterms:W3CDTF">2021-04-08T17:08:00Z</dcterms:created>
  <dcterms:modified xsi:type="dcterms:W3CDTF">2021-04-08T17:08:00Z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