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FD6" w:rsidRPr="00A47A67" w:rsidRDefault="006A79AE" w:rsidP="007C71C7">
      <w:pPr>
        <w:autoSpaceDE w:val="0"/>
        <w:autoSpaceDN w:val="0"/>
        <w:adjustRightInd w:val="0"/>
        <w:spacing w:line="340" w:lineRule="exact"/>
        <w:contextualSpacing/>
        <w:jc w:val="center"/>
        <w:rPr>
          <w:rFonts w:eastAsia="MS Mincho"/>
          <w:b/>
          <w:bCs/>
          <w:smallCaps/>
          <w:lang w:eastAsia="ja-JP"/>
        </w:rPr>
      </w:pPr>
      <w:r w:rsidRPr="00A47A67">
        <w:rPr>
          <w:rFonts w:eastAsia="MS Mincho"/>
          <w:b/>
          <w:bCs/>
          <w:smallCaps/>
          <w:lang w:eastAsia="ja-JP"/>
        </w:rPr>
        <w:t>GASTER PARTICIPAÇÕES S.A.</w:t>
      </w:r>
    </w:p>
    <w:p w:rsidR="00DA7FD6" w:rsidRPr="00A47A67" w:rsidRDefault="00DA7FD6" w:rsidP="007C71C7">
      <w:pPr>
        <w:autoSpaceDE w:val="0"/>
        <w:autoSpaceDN w:val="0"/>
        <w:adjustRightInd w:val="0"/>
        <w:spacing w:line="340" w:lineRule="exact"/>
        <w:contextualSpacing/>
        <w:jc w:val="center"/>
        <w:rPr>
          <w:rFonts w:eastAsia="MS Mincho"/>
          <w:bCs/>
          <w:smallCaps/>
          <w:lang w:eastAsia="ja-JP"/>
        </w:rPr>
      </w:pPr>
      <w:r w:rsidRPr="00A47A67">
        <w:rPr>
          <w:rFonts w:eastAsia="MS Mincho"/>
          <w:bCs/>
          <w:smallCaps/>
          <w:lang w:eastAsia="ja-JP"/>
        </w:rPr>
        <w:t xml:space="preserve">CNPJ/MF </w:t>
      </w:r>
      <w:proofErr w:type="gramStart"/>
      <w:r w:rsidRPr="00A47A67">
        <w:rPr>
          <w:rFonts w:eastAsia="MS Mincho"/>
          <w:bCs/>
          <w:smallCaps/>
          <w:lang w:eastAsia="ja-JP"/>
        </w:rPr>
        <w:t>n.º</w:t>
      </w:r>
      <w:proofErr w:type="gramEnd"/>
      <w:r w:rsidRPr="00A47A67">
        <w:rPr>
          <w:rFonts w:eastAsia="MS Mincho"/>
          <w:bCs/>
          <w:smallCaps/>
          <w:lang w:eastAsia="ja-JP"/>
        </w:rPr>
        <w:t xml:space="preserve"> 10.512.581/0001-02</w:t>
      </w:r>
    </w:p>
    <w:p w:rsidR="00DA7FD6" w:rsidRPr="00A47A67" w:rsidRDefault="00DA7FD6" w:rsidP="007C71C7">
      <w:pPr>
        <w:autoSpaceDE w:val="0"/>
        <w:autoSpaceDN w:val="0"/>
        <w:adjustRightInd w:val="0"/>
        <w:spacing w:line="340" w:lineRule="exact"/>
        <w:contextualSpacing/>
        <w:jc w:val="center"/>
        <w:rPr>
          <w:rFonts w:eastAsia="MS Mincho"/>
          <w:bCs/>
          <w:smallCaps/>
          <w:lang w:eastAsia="ja-JP"/>
        </w:rPr>
      </w:pPr>
      <w:r w:rsidRPr="00A47A67">
        <w:rPr>
          <w:rFonts w:eastAsia="MS Mincho"/>
          <w:bCs/>
          <w:smallCaps/>
          <w:lang w:eastAsia="ja-JP"/>
        </w:rPr>
        <w:t xml:space="preserve">NIRE </w:t>
      </w:r>
      <w:proofErr w:type="gramStart"/>
      <w:r w:rsidRPr="00A47A67">
        <w:rPr>
          <w:rFonts w:eastAsia="MS Mincho"/>
          <w:bCs/>
          <w:smallCaps/>
          <w:lang w:eastAsia="ja-JP"/>
        </w:rPr>
        <w:t>n.º</w:t>
      </w:r>
      <w:proofErr w:type="gramEnd"/>
      <w:r w:rsidRPr="00A47A67">
        <w:rPr>
          <w:rFonts w:eastAsia="MS Mincho"/>
          <w:bCs/>
          <w:smallCaps/>
          <w:lang w:eastAsia="ja-JP"/>
        </w:rPr>
        <w:t xml:space="preserve"> 333.0028908-9</w:t>
      </w:r>
    </w:p>
    <w:p w:rsidR="00DA7FD6" w:rsidRPr="00A47A67" w:rsidRDefault="00DA7FD6" w:rsidP="007C71C7">
      <w:pPr>
        <w:autoSpaceDE w:val="0"/>
        <w:autoSpaceDN w:val="0"/>
        <w:adjustRightInd w:val="0"/>
        <w:spacing w:line="340" w:lineRule="exact"/>
        <w:contextualSpacing/>
        <w:jc w:val="center"/>
        <w:rPr>
          <w:rFonts w:eastAsia="MS Mincho"/>
          <w:bCs/>
          <w:smallCaps/>
          <w:lang w:eastAsia="ja-JP"/>
        </w:rPr>
      </w:pPr>
    </w:p>
    <w:p w:rsidR="00DA7FD6" w:rsidRPr="00A47A67" w:rsidRDefault="006A79AE" w:rsidP="007C71C7">
      <w:pPr>
        <w:autoSpaceDE w:val="0"/>
        <w:autoSpaceDN w:val="0"/>
        <w:adjustRightInd w:val="0"/>
        <w:spacing w:line="340" w:lineRule="exact"/>
        <w:contextualSpacing/>
        <w:jc w:val="center"/>
        <w:rPr>
          <w:rFonts w:eastAsia="MS Mincho"/>
          <w:bCs/>
          <w:smallCaps/>
          <w:lang w:eastAsia="ja-JP"/>
        </w:rPr>
      </w:pPr>
      <w:r w:rsidRPr="00A47A67">
        <w:rPr>
          <w:rFonts w:eastAsia="MS Mincho"/>
          <w:bCs/>
          <w:smallCaps/>
          <w:lang w:eastAsia="ja-JP"/>
        </w:rPr>
        <w:t>ATA, EM FORMA DE SUMÁRIO</w:t>
      </w:r>
      <w:r w:rsidR="005D0E2F" w:rsidRPr="00A47A67">
        <w:rPr>
          <w:rFonts w:eastAsia="MS Mincho"/>
          <w:bCs/>
          <w:smallCaps/>
          <w:lang w:eastAsia="ja-JP"/>
        </w:rPr>
        <w:t>,</w:t>
      </w:r>
      <w:r w:rsidRPr="00A47A67">
        <w:rPr>
          <w:rFonts w:eastAsia="MS Mincho"/>
          <w:bCs/>
          <w:smallCaps/>
          <w:lang w:eastAsia="ja-JP"/>
        </w:rPr>
        <w:t xml:space="preserve"> DA ASSEMBLEIA GERAL EXTRAORDINÁRIA</w:t>
      </w:r>
    </w:p>
    <w:p w:rsidR="00DA7FD6" w:rsidRPr="00A47A67" w:rsidRDefault="006A79AE" w:rsidP="007C71C7">
      <w:pPr>
        <w:autoSpaceDE w:val="0"/>
        <w:autoSpaceDN w:val="0"/>
        <w:adjustRightInd w:val="0"/>
        <w:spacing w:line="340" w:lineRule="exact"/>
        <w:contextualSpacing/>
        <w:jc w:val="center"/>
        <w:rPr>
          <w:rFonts w:eastAsia="MS Mincho"/>
          <w:bCs/>
          <w:smallCaps/>
          <w:lang w:eastAsia="ja-JP"/>
        </w:rPr>
      </w:pPr>
      <w:r w:rsidRPr="00A47A67">
        <w:rPr>
          <w:rFonts w:eastAsia="MS Mincho"/>
          <w:bCs/>
          <w:smallCaps/>
          <w:lang w:eastAsia="ja-JP"/>
        </w:rPr>
        <w:t>REALIZADA EM</w:t>
      </w:r>
      <w:r w:rsidR="009531E3">
        <w:rPr>
          <w:rFonts w:eastAsia="MS Mincho"/>
          <w:bCs/>
          <w:smallCaps/>
          <w:lang w:eastAsia="ja-JP"/>
        </w:rPr>
        <w:t xml:space="preserve"> 22 </w:t>
      </w:r>
      <w:r w:rsidRPr="00A47A67">
        <w:rPr>
          <w:rFonts w:eastAsia="MS Mincho"/>
          <w:bCs/>
          <w:smallCaps/>
          <w:lang w:eastAsia="ja-JP"/>
        </w:rPr>
        <w:t xml:space="preserve">DE </w:t>
      </w:r>
      <w:r w:rsidR="00781CC7">
        <w:rPr>
          <w:rFonts w:eastAsia="MS Mincho"/>
          <w:bCs/>
          <w:smallCaps/>
          <w:lang w:eastAsia="ja-JP"/>
        </w:rPr>
        <w:t>JANEIRO</w:t>
      </w:r>
      <w:r w:rsidR="009E5BA4" w:rsidRPr="00A47A67">
        <w:rPr>
          <w:rFonts w:eastAsia="MS Mincho"/>
          <w:bCs/>
          <w:smallCaps/>
          <w:lang w:eastAsia="ja-JP"/>
        </w:rPr>
        <w:t xml:space="preserve"> </w:t>
      </w:r>
      <w:r w:rsidRPr="00A47A67">
        <w:rPr>
          <w:rFonts w:eastAsia="MS Mincho"/>
          <w:bCs/>
          <w:smallCaps/>
          <w:lang w:eastAsia="ja-JP"/>
        </w:rPr>
        <w:t>DE 201</w:t>
      </w:r>
      <w:r w:rsidR="00781CC7">
        <w:rPr>
          <w:rFonts w:eastAsia="MS Mincho"/>
          <w:bCs/>
          <w:smallCaps/>
          <w:lang w:eastAsia="ja-JP"/>
        </w:rPr>
        <w:t>8</w:t>
      </w:r>
    </w:p>
    <w:p w:rsidR="00DA7FD6" w:rsidRPr="00A47A67" w:rsidRDefault="00DA7FD6" w:rsidP="007C71C7">
      <w:pPr>
        <w:autoSpaceDE w:val="0"/>
        <w:autoSpaceDN w:val="0"/>
        <w:adjustRightInd w:val="0"/>
        <w:spacing w:line="340" w:lineRule="exact"/>
        <w:contextualSpacing/>
        <w:rPr>
          <w:rFonts w:eastAsia="MS Mincho"/>
          <w:smallCaps/>
          <w:lang w:eastAsia="ja-JP"/>
        </w:rPr>
      </w:pPr>
    </w:p>
    <w:p w:rsidR="00DA7FD6" w:rsidRPr="00A47A67" w:rsidRDefault="00DA7FD6" w:rsidP="007C71C7">
      <w:pPr>
        <w:pStyle w:val="PargrafodaLista"/>
        <w:numPr>
          <w:ilvl w:val="0"/>
          <w:numId w:val="5"/>
        </w:numPr>
        <w:autoSpaceDE w:val="0"/>
        <w:autoSpaceDN w:val="0"/>
        <w:adjustRightInd w:val="0"/>
        <w:spacing w:line="340" w:lineRule="exact"/>
        <w:ind w:left="0" w:firstLine="0"/>
        <w:jc w:val="both"/>
        <w:rPr>
          <w:rFonts w:eastAsia="MS Mincho"/>
          <w:lang w:eastAsia="ja-JP"/>
        </w:rPr>
      </w:pPr>
      <w:r w:rsidRPr="00A47A67">
        <w:rPr>
          <w:rFonts w:eastAsia="MS Mincho"/>
          <w:smallCaps/>
          <w:u w:val="single"/>
          <w:lang w:eastAsia="ja-JP"/>
        </w:rPr>
        <w:t>Data e Horário</w:t>
      </w:r>
      <w:r w:rsidRPr="00A47A67">
        <w:rPr>
          <w:rFonts w:eastAsia="MS Mincho"/>
          <w:lang w:eastAsia="ja-JP"/>
        </w:rPr>
        <w:t xml:space="preserve">: </w:t>
      </w:r>
      <w:r w:rsidR="009531E3">
        <w:t>22</w:t>
      </w:r>
      <w:r w:rsidR="009531E3" w:rsidRPr="00A47A67">
        <w:rPr>
          <w:rFonts w:eastAsia="MS Mincho"/>
          <w:lang w:eastAsia="ja-JP"/>
        </w:rPr>
        <w:t xml:space="preserve"> </w:t>
      </w:r>
      <w:r w:rsidRPr="00A47A67">
        <w:rPr>
          <w:rFonts w:eastAsia="MS Mincho"/>
          <w:lang w:eastAsia="ja-JP"/>
        </w:rPr>
        <w:t xml:space="preserve">de </w:t>
      </w:r>
      <w:r w:rsidR="00781CC7">
        <w:rPr>
          <w:rFonts w:eastAsia="MS Mincho"/>
          <w:lang w:eastAsia="ja-JP"/>
        </w:rPr>
        <w:t>janeiro</w:t>
      </w:r>
      <w:r w:rsidR="00A47A67" w:rsidRPr="00A47A67">
        <w:rPr>
          <w:rFonts w:eastAsia="MS Mincho"/>
          <w:lang w:eastAsia="ja-JP"/>
        </w:rPr>
        <w:t xml:space="preserve"> </w:t>
      </w:r>
      <w:r w:rsidR="00781CC7">
        <w:rPr>
          <w:rFonts w:eastAsia="MS Mincho"/>
          <w:lang w:eastAsia="ja-JP"/>
        </w:rPr>
        <w:t>de 2018</w:t>
      </w:r>
      <w:r w:rsidRPr="00A47A67">
        <w:rPr>
          <w:rFonts w:eastAsia="MS Mincho"/>
          <w:lang w:eastAsia="ja-JP"/>
        </w:rPr>
        <w:t xml:space="preserve">, às </w:t>
      </w:r>
      <w:r w:rsidR="00D471F8" w:rsidRPr="00A47A67">
        <w:rPr>
          <w:rFonts w:eastAsia="MS Mincho"/>
          <w:lang w:eastAsia="ja-JP"/>
        </w:rPr>
        <w:t>15</w:t>
      </w:r>
      <w:r w:rsidRPr="00A47A67">
        <w:rPr>
          <w:rFonts w:eastAsia="MS Mincho"/>
          <w:lang w:eastAsia="ja-JP"/>
        </w:rPr>
        <w:t xml:space="preserve">:00 horas, na sede social da </w:t>
      </w:r>
      <w:proofErr w:type="spellStart"/>
      <w:r w:rsidRPr="00A47A67">
        <w:rPr>
          <w:rFonts w:eastAsia="MS Mincho"/>
          <w:bCs/>
          <w:lang w:eastAsia="ja-JP"/>
        </w:rPr>
        <w:t>Gaster</w:t>
      </w:r>
      <w:proofErr w:type="spellEnd"/>
      <w:r w:rsidRPr="00A47A67">
        <w:rPr>
          <w:rFonts w:eastAsia="MS Mincho"/>
          <w:bCs/>
          <w:lang w:eastAsia="ja-JP"/>
        </w:rPr>
        <w:t xml:space="preserve"> Participações S.A.</w:t>
      </w:r>
      <w:r w:rsidR="007A1A02" w:rsidRPr="00A47A67">
        <w:rPr>
          <w:rFonts w:eastAsia="MS Mincho"/>
          <w:bCs/>
          <w:lang w:eastAsia="ja-JP"/>
        </w:rPr>
        <w:t xml:space="preserve"> (“</w:t>
      </w:r>
      <w:r w:rsidRPr="00A47A67">
        <w:rPr>
          <w:rFonts w:eastAsia="MS Mincho"/>
          <w:u w:val="single"/>
          <w:lang w:eastAsia="ja-JP"/>
        </w:rPr>
        <w:t>Companhia</w:t>
      </w:r>
      <w:r w:rsidR="007A1A02" w:rsidRPr="00A47A67">
        <w:rPr>
          <w:rFonts w:eastAsia="MS Mincho"/>
          <w:lang w:eastAsia="ja-JP"/>
        </w:rPr>
        <w:t>”</w:t>
      </w:r>
      <w:r w:rsidRPr="00A47A67">
        <w:rPr>
          <w:rFonts w:eastAsia="MS Mincho"/>
          <w:lang w:eastAsia="ja-JP"/>
        </w:rPr>
        <w:t xml:space="preserve">), na </w:t>
      </w:r>
      <w:r w:rsidRPr="00A47A67">
        <w:rPr>
          <w:rFonts w:eastAsia="MS Mincho"/>
          <w:bCs/>
          <w:lang w:val="pt-PT" w:eastAsia="ja-JP"/>
        </w:rPr>
        <w:t xml:space="preserve">Rua Rainha Guilhermina nº 75, CEP </w:t>
      </w:r>
      <w:r w:rsidRPr="00A47A67">
        <w:rPr>
          <w:rFonts w:eastAsia="MS Mincho"/>
          <w:bCs/>
          <w:lang w:eastAsia="ja-JP"/>
        </w:rPr>
        <w:t>22.441-120</w:t>
      </w:r>
      <w:r w:rsidRPr="00A47A67">
        <w:rPr>
          <w:rFonts w:eastAsia="MS Mincho"/>
          <w:bCs/>
          <w:lang w:val="pt-PT" w:eastAsia="ja-JP"/>
        </w:rPr>
        <w:t>, na Cidade do Rio de Janeiro, Estado do Rio de janeiro</w:t>
      </w:r>
      <w:r w:rsidRPr="00A47A67">
        <w:rPr>
          <w:rFonts w:eastAsia="MS Mincho"/>
          <w:lang w:eastAsia="ja-JP"/>
        </w:rPr>
        <w:t xml:space="preserve">. </w:t>
      </w:r>
    </w:p>
    <w:p w:rsidR="00DA7FD6" w:rsidRPr="00A47A67" w:rsidRDefault="00DA7FD6" w:rsidP="007C71C7">
      <w:pPr>
        <w:autoSpaceDE w:val="0"/>
        <w:autoSpaceDN w:val="0"/>
        <w:adjustRightInd w:val="0"/>
        <w:spacing w:line="340" w:lineRule="exact"/>
        <w:contextualSpacing/>
        <w:jc w:val="both"/>
        <w:rPr>
          <w:rFonts w:eastAsia="MS Mincho"/>
          <w:lang w:eastAsia="ja-JP"/>
        </w:rPr>
      </w:pPr>
    </w:p>
    <w:p w:rsidR="00DA7FD6" w:rsidRPr="00A47A67" w:rsidRDefault="00DA7FD6" w:rsidP="007C71C7">
      <w:pPr>
        <w:pStyle w:val="PargrafodaLista"/>
        <w:numPr>
          <w:ilvl w:val="0"/>
          <w:numId w:val="5"/>
        </w:numPr>
        <w:autoSpaceDE w:val="0"/>
        <w:autoSpaceDN w:val="0"/>
        <w:adjustRightInd w:val="0"/>
        <w:spacing w:line="340" w:lineRule="exact"/>
        <w:ind w:left="0" w:firstLine="0"/>
        <w:jc w:val="both"/>
        <w:rPr>
          <w:rFonts w:eastAsia="MS Mincho"/>
          <w:lang w:eastAsia="ja-JP"/>
        </w:rPr>
      </w:pPr>
      <w:r w:rsidRPr="00A47A67">
        <w:rPr>
          <w:rFonts w:eastAsia="MS Mincho"/>
          <w:smallCaps/>
          <w:u w:val="single"/>
          <w:lang w:eastAsia="ja-JP"/>
        </w:rPr>
        <w:t>Convocação</w:t>
      </w:r>
      <w:r w:rsidR="007A1A02" w:rsidRPr="00A47A67">
        <w:rPr>
          <w:rFonts w:eastAsia="MS Mincho"/>
          <w:smallCaps/>
          <w:u w:val="single"/>
          <w:lang w:eastAsia="ja-JP"/>
        </w:rPr>
        <w:t xml:space="preserve"> e Presença</w:t>
      </w:r>
      <w:r w:rsidRPr="00A47A67">
        <w:rPr>
          <w:rFonts w:eastAsia="MS Mincho"/>
          <w:lang w:eastAsia="ja-JP"/>
        </w:rPr>
        <w:t xml:space="preserve">: Dispensada a convocação prévia, conforme facultado pelo artigo 124, §4º, da </w:t>
      </w:r>
      <w:r w:rsidR="007A1A02" w:rsidRPr="00A47A67">
        <w:rPr>
          <w:rFonts w:eastAsia="MS Mincho"/>
          <w:lang w:eastAsia="ja-JP"/>
        </w:rPr>
        <w:t xml:space="preserve">Lei </w:t>
      </w:r>
      <w:proofErr w:type="gramStart"/>
      <w:r w:rsidR="007A1A02" w:rsidRPr="00A47A67">
        <w:rPr>
          <w:rFonts w:eastAsia="MS Mincho"/>
          <w:lang w:eastAsia="ja-JP"/>
        </w:rPr>
        <w:t>n.º</w:t>
      </w:r>
      <w:proofErr w:type="gramEnd"/>
      <w:r w:rsidR="007A1A02" w:rsidRPr="00A47A67">
        <w:rPr>
          <w:rFonts w:eastAsia="MS Mincho"/>
          <w:lang w:eastAsia="ja-JP"/>
        </w:rPr>
        <w:t> 6.404, de 15 de dezembro de 1976, conforme alterada (“</w:t>
      </w:r>
      <w:r w:rsidR="007A1A02" w:rsidRPr="00A47A67">
        <w:rPr>
          <w:rFonts w:eastAsia="MS Mincho"/>
          <w:u w:val="single"/>
          <w:lang w:eastAsia="ja-JP"/>
        </w:rPr>
        <w:t>Lei das Sociedades por Ações</w:t>
      </w:r>
      <w:r w:rsidR="007A1A02" w:rsidRPr="00A47A67">
        <w:rPr>
          <w:rFonts w:eastAsia="MS Mincho"/>
          <w:lang w:eastAsia="ja-JP"/>
        </w:rPr>
        <w:t>”)</w:t>
      </w:r>
      <w:r w:rsidRPr="00A47A67">
        <w:rPr>
          <w:rFonts w:eastAsia="MS Mincho"/>
          <w:lang w:eastAsia="ja-JP"/>
        </w:rPr>
        <w:t>, tendo em vista a presença de a</w:t>
      </w:r>
      <w:r w:rsidRPr="00A47A67">
        <w:t>cionistas representando a totalidade do capital social</w:t>
      </w:r>
      <w:r w:rsidRPr="00A47A67">
        <w:rPr>
          <w:rFonts w:eastAsia="MS Mincho"/>
          <w:lang w:eastAsia="ja-JP"/>
        </w:rPr>
        <w:t>.</w:t>
      </w:r>
    </w:p>
    <w:p w:rsidR="00DA7FD6" w:rsidRPr="00A47A67" w:rsidRDefault="00DA7FD6" w:rsidP="007C71C7">
      <w:pPr>
        <w:autoSpaceDE w:val="0"/>
        <w:autoSpaceDN w:val="0"/>
        <w:adjustRightInd w:val="0"/>
        <w:spacing w:line="340" w:lineRule="exact"/>
        <w:contextualSpacing/>
        <w:rPr>
          <w:rFonts w:eastAsia="MS Mincho"/>
          <w:u w:val="single"/>
          <w:lang w:eastAsia="ja-JP"/>
        </w:rPr>
      </w:pPr>
    </w:p>
    <w:p w:rsidR="00DA7FD6" w:rsidRPr="00A47A67" w:rsidRDefault="00DA7FD6" w:rsidP="007C71C7">
      <w:pPr>
        <w:pStyle w:val="PargrafodaLista"/>
        <w:numPr>
          <w:ilvl w:val="0"/>
          <w:numId w:val="5"/>
        </w:numPr>
        <w:autoSpaceDE w:val="0"/>
        <w:autoSpaceDN w:val="0"/>
        <w:adjustRightInd w:val="0"/>
        <w:spacing w:line="340" w:lineRule="exact"/>
        <w:ind w:left="0" w:firstLine="0"/>
        <w:jc w:val="both"/>
        <w:rPr>
          <w:rFonts w:eastAsia="MS Mincho"/>
          <w:lang w:eastAsia="ja-JP"/>
        </w:rPr>
      </w:pPr>
      <w:r w:rsidRPr="00A47A67">
        <w:rPr>
          <w:rFonts w:eastAsia="MS Mincho"/>
          <w:smallCaps/>
          <w:u w:val="single"/>
          <w:lang w:eastAsia="ja-JP"/>
        </w:rPr>
        <w:t>Mesa</w:t>
      </w:r>
      <w:r w:rsidRPr="00A47A67">
        <w:rPr>
          <w:rFonts w:eastAsia="MS Mincho"/>
          <w:lang w:eastAsia="ja-JP"/>
        </w:rPr>
        <w:t>:</w:t>
      </w:r>
      <w:r w:rsidRPr="00A47A67">
        <w:rPr>
          <w:rFonts w:eastAsia="MS Mincho"/>
          <w:lang w:eastAsia="ja-JP"/>
        </w:rPr>
        <w:tab/>
      </w:r>
      <w:r w:rsidRPr="00A47A67">
        <w:rPr>
          <w:rFonts w:eastAsia="MS Mincho"/>
          <w:lang w:eastAsia="ja-JP"/>
        </w:rPr>
        <w:tab/>
        <w:t>Antonio José de Almeida Carneiro - Presidente</w:t>
      </w:r>
    </w:p>
    <w:p w:rsidR="00DA7FD6" w:rsidRPr="00A47A67" w:rsidRDefault="00DA7FD6" w:rsidP="007C71C7">
      <w:pPr>
        <w:autoSpaceDE w:val="0"/>
        <w:autoSpaceDN w:val="0"/>
        <w:adjustRightInd w:val="0"/>
        <w:spacing w:line="340" w:lineRule="exact"/>
        <w:ind w:left="1407" w:firstLine="720"/>
        <w:contextualSpacing/>
        <w:jc w:val="both"/>
        <w:rPr>
          <w:rFonts w:eastAsia="MS Mincho"/>
          <w:lang w:eastAsia="ja-JP"/>
        </w:rPr>
      </w:pPr>
      <w:r w:rsidRPr="00A47A67">
        <w:rPr>
          <w:rFonts w:eastAsia="MS Mincho"/>
          <w:lang w:eastAsia="ja-JP"/>
        </w:rPr>
        <w:t xml:space="preserve">Pedro </w:t>
      </w:r>
      <w:proofErr w:type="spellStart"/>
      <w:r w:rsidRPr="00A47A67">
        <w:rPr>
          <w:rFonts w:eastAsia="MS Mincho"/>
          <w:lang w:eastAsia="ja-JP"/>
        </w:rPr>
        <w:t>Boardman</w:t>
      </w:r>
      <w:proofErr w:type="spellEnd"/>
      <w:r w:rsidRPr="00A47A67">
        <w:rPr>
          <w:rFonts w:eastAsia="MS Mincho"/>
          <w:lang w:eastAsia="ja-JP"/>
        </w:rPr>
        <w:t xml:space="preserve"> Carneiro - Secretário</w:t>
      </w:r>
    </w:p>
    <w:p w:rsidR="00DA7FD6" w:rsidRPr="00A47A67" w:rsidRDefault="00DA7FD6" w:rsidP="007C71C7">
      <w:pPr>
        <w:spacing w:line="340" w:lineRule="exact"/>
        <w:contextualSpacing/>
        <w:jc w:val="both"/>
        <w:rPr>
          <w:rFonts w:eastAsia="MS Mincho"/>
          <w:u w:val="single"/>
          <w:lang w:eastAsia="ja-JP"/>
        </w:rPr>
      </w:pPr>
    </w:p>
    <w:p w:rsidR="00DA7FD6" w:rsidRPr="00A47A67" w:rsidRDefault="00DA7FD6" w:rsidP="007A1A02">
      <w:pPr>
        <w:pStyle w:val="PargrafodaLista"/>
        <w:numPr>
          <w:ilvl w:val="0"/>
          <w:numId w:val="5"/>
        </w:numPr>
        <w:autoSpaceDE w:val="0"/>
        <w:autoSpaceDN w:val="0"/>
        <w:adjustRightInd w:val="0"/>
        <w:spacing w:line="340" w:lineRule="exact"/>
        <w:ind w:left="0" w:firstLine="0"/>
        <w:jc w:val="both"/>
        <w:rPr>
          <w:rFonts w:eastAsia="MS Mincho"/>
          <w:lang w:eastAsia="ja-JP"/>
        </w:rPr>
      </w:pPr>
      <w:r w:rsidRPr="00A47A67">
        <w:rPr>
          <w:rFonts w:eastAsia="MS Mincho"/>
          <w:smallCaps/>
          <w:u w:val="single"/>
          <w:lang w:eastAsia="ja-JP"/>
        </w:rPr>
        <w:t>Ordem do Dia</w:t>
      </w:r>
      <w:r w:rsidRPr="00A47A67">
        <w:rPr>
          <w:rFonts w:eastAsia="MS Mincho"/>
          <w:lang w:eastAsia="ja-JP"/>
        </w:rPr>
        <w:t xml:space="preserve">: Deliberar sobre (i) </w:t>
      </w:r>
      <w:r w:rsidR="00E861CC" w:rsidRPr="00A47A67">
        <w:rPr>
          <w:rFonts w:eastAsia="MS Mincho"/>
          <w:lang w:eastAsia="ja-JP"/>
        </w:rPr>
        <w:t xml:space="preserve">a realização </w:t>
      </w:r>
      <w:r w:rsidR="00A47A67" w:rsidRPr="00A47A67">
        <w:rPr>
          <w:rFonts w:eastAsia="MS Mincho"/>
          <w:lang w:eastAsia="ja-JP"/>
        </w:rPr>
        <w:t>da 3</w:t>
      </w:r>
      <w:r w:rsidRPr="00A47A67">
        <w:rPr>
          <w:rFonts w:eastAsia="MS Mincho"/>
          <w:lang w:eastAsia="ja-JP"/>
        </w:rPr>
        <w:t xml:space="preserve">ª </w:t>
      </w:r>
      <w:r w:rsidR="007A1A02" w:rsidRPr="00A47A67">
        <w:rPr>
          <w:rFonts w:eastAsia="MS Mincho"/>
          <w:lang w:eastAsia="ja-JP"/>
        </w:rPr>
        <w:t xml:space="preserve">emissão pública de debêntures simples, não conversíveis em ações, da espécie </w:t>
      </w:r>
      <w:r w:rsidR="00A47A67" w:rsidRPr="00A47A67">
        <w:rPr>
          <w:rFonts w:eastAsia="MS Mincho"/>
          <w:lang w:eastAsia="ja-JP"/>
        </w:rPr>
        <w:t xml:space="preserve">quirografária </w:t>
      </w:r>
      <w:r w:rsidR="007A1A02" w:rsidRPr="00A47A67">
        <w:rPr>
          <w:rFonts w:eastAsia="MS Mincho"/>
          <w:lang w:eastAsia="ja-JP"/>
        </w:rPr>
        <w:t>d</w:t>
      </w:r>
      <w:r w:rsidRPr="00A47A67">
        <w:rPr>
          <w:rFonts w:eastAsia="MS Mincho"/>
          <w:lang w:eastAsia="ja-JP"/>
        </w:rPr>
        <w:t xml:space="preserve">a Companhia, </w:t>
      </w:r>
      <w:r w:rsidR="006A79AE" w:rsidRPr="00A47A67">
        <w:rPr>
          <w:rFonts w:eastAsia="MS Mincho"/>
          <w:lang w:eastAsia="ja-JP"/>
        </w:rPr>
        <w:t>nos termos da Lei das Sociedades por Ações (</w:t>
      </w:r>
      <w:r w:rsidR="007C71C7" w:rsidRPr="00A47A67">
        <w:rPr>
          <w:rFonts w:eastAsia="MS Mincho"/>
          <w:lang w:eastAsia="ja-JP"/>
        </w:rPr>
        <w:t>“</w:t>
      </w:r>
      <w:r w:rsidR="006A79AE" w:rsidRPr="00A47A67">
        <w:rPr>
          <w:rFonts w:eastAsia="MS Mincho"/>
          <w:u w:val="single"/>
          <w:lang w:eastAsia="ja-JP"/>
        </w:rPr>
        <w:t>Emissão</w:t>
      </w:r>
      <w:r w:rsidR="007C71C7" w:rsidRPr="00A47A67">
        <w:rPr>
          <w:rFonts w:eastAsia="MS Mincho"/>
          <w:lang w:eastAsia="ja-JP"/>
        </w:rPr>
        <w:t>”</w:t>
      </w:r>
      <w:r w:rsidR="006A79AE" w:rsidRPr="00A47A67">
        <w:rPr>
          <w:rFonts w:eastAsia="MS Mincho"/>
          <w:lang w:eastAsia="ja-JP"/>
        </w:rPr>
        <w:t xml:space="preserve">), </w:t>
      </w:r>
      <w:r w:rsidR="00E861CC" w:rsidRPr="00A47A67">
        <w:t>para distribuição pública, com esforços restritos (“</w:t>
      </w:r>
      <w:r w:rsidR="00E861CC" w:rsidRPr="00A47A67">
        <w:rPr>
          <w:u w:val="single"/>
        </w:rPr>
        <w:t>Oferta Restrita</w:t>
      </w:r>
      <w:r w:rsidR="00E861CC" w:rsidRPr="00A47A67">
        <w:t>”)</w:t>
      </w:r>
      <w:r w:rsidR="006A79AE" w:rsidRPr="00A47A67">
        <w:rPr>
          <w:rFonts w:eastAsia="MS Mincho"/>
          <w:lang w:eastAsia="ja-JP"/>
        </w:rPr>
        <w:t xml:space="preserve">, </w:t>
      </w:r>
      <w:r w:rsidR="00E861CC" w:rsidRPr="00A47A67">
        <w:t>nos termos da Instrução da Comissão de Valores Mobiliários (“</w:t>
      </w:r>
      <w:r w:rsidR="00E861CC" w:rsidRPr="00A47A67">
        <w:rPr>
          <w:u w:val="single"/>
        </w:rPr>
        <w:t>CVM</w:t>
      </w:r>
      <w:r w:rsidR="00E861CC" w:rsidRPr="00A47A67">
        <w:t>”) nº 476, de 16 de janeiro de 2009, conforme alterada (“</w:t>
      </w:r>
      <w:r w:rsidR="00E861CC" w:rsidRPr="00A47A67">
        <w:rPr>
          <w:u w:val="single"/>
        </w:rPr>
        <w:t>Instrução CVM 476</w:t>
      </w:r>
      <w:r w:rsidR="00E861CC" w:rsidRPr="00A47A67">
        <w:t>”)</w:t>
      </w:r>
      <w:r w:rsidRPr="00A47A67">
        <w:rPr>
          <w:rFonts w:eastAsia="MS Mincho"/>
          <w:lang w:eastAsia="ja-JP"/>
        </w:rPr>
        <w:t>; (</w:t>
      </w:r>
      <w:proofErr w:type="spellStart"/>
      <w:r w:rsidRPr="00A47A67">
        <w:rPr>
          <w:rFonts w:eastAsia="MS Mincho"/>
          <w:lang w:eastAsia="ja-JP"/>
        </w:rPr>
        <w:t>ii</w:t>
      </w:r>
      <w:proofErr w:type="spellEnd"/>
      <w:r w:rsidRPr="00A47A67">
        <w:rPr>
          <w:rFonts w:eastAsia="MS Mincho"/>
          <w:lang w:eastAsia="ja-JP"/>
        </w:rPr>
        <w:t xml:space="preserve">) </w:t>
      </w:r>
      <w:r w:rsidR="007C71C7" w:rsidRPr="00A47A67">
        <w:rPr>
          <w:rFonts w:eastAsia="MS Mincho"/>
          <w:lang w:eastAsia="ja-JP"/>
        </w:rPr>
        <w:t xml:space="preserve">a autorização para que a Diretoria da Companhia negocie as condições finais e pratique todos e quaisquer atos necessários ao fiel cumprimento das deliberações ora tomadas, inclusive para firmar quaisquer instrumentos, contratos e documentos, da mesma forma que os eventuais aditamentos, </w:t>
      </w:r>
      <w:proofErr w:type="gramStart"/>
      <w:r w:rsidR="007C71C7" w:rsidRPr="00A47A67">
        <w:rPr>
          <w:rFonts w:eastAsia="MS Mincho"/>
          <w:lang w:eastAsia="ja-JP"/>
        </w:rPr>
        <w:t>necessários</w:t>
      </w:r>
      <w:proofErr w:type="gramEnd"/>
      <w:r w:rsidR="007C71C7" w:rsidRPr="00A47A67">
        <w:rPr>
          <w:rFonts w:eastAsia="MS Mincho"/>
          <w:lang w:eastAsia="ja-JP"/>
        </w:rPr>
        <w:t xml:space="preserve"> à realização d</w:t>
      </w:r>
      <w:r w:rsidR="00A47A67" w:rsidRPr="00A47A67">
        <w:rPr>
          <w:rFonts w:eastAsia="MS Mincho"/>
          <w:lang w:eastAsia="ja-JP"/>
        </w:rPr>
        <w:t>a Emissão e da Oferta Restrita</w:t>
      </w:r>
      <w:r w:rsidR="007C71C7" w:rsidRPr="00A47A67">
        <w:rPr>
          <w:rFonts w:eastAsia="MS Mincho"/>
          <w:lang w:eastAsia="ja-JP"/>
        </w:rPr>
        <w:t>, observado o disposto nesta ata.</w:t>
      </w:r>
    </w:p>
    <w:p w:rsidR="00FE0AF9" w:rsidRPr="00A47A67" w:rsidRDefault="00FE0AF9" w:rsidP="007C71C7">
      <w:pPr>
        <w:spacing w:line="340" w:lineRule="exact"/>
        <w:contextualSpacing/>
        <w:jc w:val="both"/>
        <w:rPr>
          <w:b/>
          <w:smallCaps/>
          <w:u w:val="single"/>
        </w:rPr>
      </w:pPr>
    </w:p>
    <w:p w:rsidR="00C303C3" w:rsidRPr="00A47A67" w:rsidRDefault="00271996" w:rsidP="007C71C7">
      <w:pPr>
        <w:pStyle w:val="PargrafodaLista"/>
        <w:numPr>
          <w:ilvl w:val="0"/>
          <w:numId w:val="5"/>
        </w:numPr>
        <w:autoSpaceDE w:val="0"/>
        <w:autoSpaceDN w:val="0"/>
        <w:adjustRightInd w:val="0"/>
        <w:spacing w:line="340" w:lineRule="exact"/>
        <w:ind w:left="0" w:firstLine="0"/>
        <w:jc w:val="both"/>
      </w:pPr>
      <w:r w:rsidRPr="00A47A67">
        <w:rPr>
          <w:rFonts w:eastAsia="MS Mincho"/>
          <w:smallCaps/>
          <w:u w:val="single"/>
          <w:lang w:eastAsia="ja-JP"/>
        </w:rPr>
        <w:t>Deliberações</w:t>
      </w:r>
      <w:r w:rsidRPr="00A47A67">
        <w:rPr>
          <w:b/>
        </w:rPr>
        <w:t>:</w:t>
      </w:r>
      <w:r w:rsidR="009A43B7" w:rsidRPr="00A47A67">
        <w:t xml:space="preserve"> </w:t>
      </w:r>
      <w:r w:rsidR="00BB3D7C" w:rsidRPr="00A47A67">
        <w:t>Por unanimidade dos presentes, foram tomadas as seguintes deliberações</w:t>
      </w:r>
      <w:r w:rsidR="009424DF" w:rsidRPr="00A47A67">
        <w:t>:</w:t>
      </w:r>
    </w:p>
    <w:p w:rsidR="007C1BDE" w:rsidRPr="00A47A67" w:rsidRDefault="007C1BDE" w:rsidP="007C71C7">
      <w:pPr>
        <w:spacing w:line="340" w:lineRule="exact"/>
        <w:contextualSpacing/>
        <w:jc w:val="both"/>
      </w:pPr>
    </w:p>
    <w:p w:rsidR="00B943E7" w:rsidRPr="00A47A67" w:rsidRDefault="00E861CC" w:rsidP="007C71C7">
      <w:pPr>
        <w:pStyle w:val="PargrafodaLista"/>
        <w:numPr>
          <w:ilvl w:val="1"/>
          <w:numId w:val="5"/>
        </w:numPr>
        <w:spacing w:line="340" w:lineRule="exact"/>
        <w:ind w:left="0" w:firstLine="0"/>
        <w:jc w:val="both"/>
      </w:pPr>
      <w:r w:rsidRPr="00A47A67">
        <w:lastRenderedPageBreak/>
        <w:t xml:space="preserve">Aprovar a Emissão, de acordo com as seguintes características e condições principais, que serão </w:t>
      </w:r>
      <w:r w:rsidR="007C71C7" w:rsidRPr="00A47A67">
        <w:t xml:space="preserve">melhor </w:t>
      </w:r>
      <w:r w:rsidRPr="00A47A67">
        <w:t>detalhadas e reguladas por meio da celebração da escritura de emissão das Debêntures (“</w:t>
      </w:r>
      <w:r w:rsidRPr="00A47A67">
        <w:rPr>
          <w:u w:val="single"/>
        </w:rPr>
        <w:t>Escritura de Emissão</w:t>
      </w:r>
      <w:r w:rsidRPr="00A47A67">
        <w:t>”)</w:t>
      </w:r>
      <w:r w:rsidR="00271996" w:rsidRPr="00A47A67">
        <w:t>:</w:t>
      </w:r>
    </w:p>
    <w:p w:rsidR="00B943E7" w:rsidRPr="00A47A67" w:rsidRDefault="00B943E7" w:rsidP="007C71C7">
      <w:pPr>
        <w:spacing w:line="340" w:lineRule="exact"/>
        <w:contextualSpacing/>
      </w:pPr>
    </w:p>
    <w:p w:rsidR="00DA7FD6" w:rsidRPr="00A47A67" w:rsidRDefault="00DA7FD6" w:rsidP="007C71C7">
      <w:pPr>
        <w:numPr>
          <w:ilvl w:val="1"/>
          <w:numId w:val="3"/>
        </w:numPr>
        <w:spacing w:line="340" w:lineRule="exact"/>
        <w:contextualSpacing/>
        <w:jc w:val="both"/>
      </w:pPr>
      <w:r w:rsidRPr="00A47A67">
        <w:rPr>
          <w:i/>
        </w:rPr>
        <w:t>Número da Emissão</w:t>
      </w:r>
      <w:r w:rsidRPr="00A47A67">
        <w:t xml:space="preserve">.  </w:t>
      </w:r>
      <w:bookmarkStart w:id="0" w:name="_Ref130282607"/>
      <w:r w:rsidRPr="00A47A67">
        <w:t xml:space="preserve">As Debêntures representam a </w:t>
      </w:r>
      <w:r w:rsidR="00A47A67" w:rsidRPr="00A47A67">
        <w:t xml:space="preserve">terceira </w:t>
      </w:r>
      <w:r w:rsidRPr="00A47A67">
        <w:t>emissão de debêntures da Companhia.</w:t>
      </w:r>
    </w:p>
    <w:p w:rsidR="00DA7FD6" w:rsidRPr="00A47A67" w:rsidRDefault="00DA7FD6" w:rsidP="007C71C7">
      <w:pPr>
        <w:numPr>
          <w:ilvl w:val="1"/>
          <w:numId w:val="3"/>
        </w:numPr>
        <w:spacing w:line="340" w:lineRule="exact"/>
        <w:contextualSpacing/>
        <w:jc w:val="both"/>
      </w:pPr>
      <w:r w:rsidRPr="00A47A67">
        <w:rPr>
          <w:i/>
        </w:rPr>
        <w:t>Valor Total da Emissão</w:t>
      </w:r>
      <w:r w:rsidRPr="00A47A67">
        <w:t>.  O valor total da Emissão será de R$</w:t>
      </w:r>
      <w:r w:rsidR="007A1A02" w:rsidRPr="00A47A67">
        <w:t xml:space="preserve"> </w:t>
      </w:r>
      <w:r w:rsidR="009531E3">
        <w:t>250.000.000,00</w:t>
      </w:r>
      <w:r w:rsidR="009531E3" w:rsidRPr="00A47A67">
        <w:t xml:space="preserve"> (</w:t>
      </w:r>
      <w:r w:rsidR="009531E3">
        <w:t>duzentos e cinquenta milhões de</w:t>
      </w:r>
      <w:r w:rsidR="009531E3" w:rsidRPr="00A47A67">
        <w:t xml:space="preserve"> </w:t>
      </w:r>
      <w:r w:rsidR="00C13FE2" w:rsidRPr="00A47A67">
        <w:t>reais)</w:t>
      </w:r>
      <w:r w:rsidRPr="00A47A67">
        <w:t>, na Data de Emissão (conforme definido abaixo).</w:t>
      </w:r>
      <w:bookmarkEnd w:id="0"/>
    </w:p>
    <w:p w:rsidR="00DA7FD6" w:rsidRPr="00A47A67" w:rsidRDefault="00DA7FD6" w:rsidP="00F1380B">
      <w:pPr>
        <w:numPr>
          <w:ilvl w:val="1"/>
          <w:numId w:val="3"/>
        </w:numPr>
        <w:spacing w:line="340" w:lineRule="exact"/>
        <w:contextualSpacing/>
        <w:jc w:val="both"/>
      </w:pPr>
      <w:bookmarkStart w:id="1" w:name="_Ref130282609"/>
      <w:bookmarkStart w:id="2" w:name="_Ref191891558"/>
      <w:bookmarkStart w:id="3" w:name="_Ref310951543"/>
      <w:r w:rsidRPr="00A47A67">
        <w:t xml:space="preserve">Quantidade.  Serão emitidas </w:t>
      </w:r>
      <w:r w:rsidR="009531E3">
        <w:t>250.000</w:t>
      </w:r>
      <w:r w:rsidR="009531E3" w:rsidRPr="00A47A67">
        <w:t xml:space="preserve"> (</w:t>
      </w:r>
      <w:r w:rsidR="009531E3">
        <w:t>duzentas e cinquenta</w:t>
      </w:r>
      <w:r w:rsidR="009531E3" w:rsidRPr="00A47A67">
        <w:t xml:space="preserve"> </w:t>
      </w:r>
      <w:r w:rsidR="00C13FE2" w:rsidRPr="00A47A67">
        <w:t>mil)</w:t>
      </w:r>
      <w:r w:rsidR="004C78A7" w:rsidRPr="00A47A67">
        <w:t xml:space="preserve"> </w:t>
      </w:r>
      <w:r w:rsidRPr="00A47A67">
        <w:t>Debêntures</w:t>
      </w:r>
      <w:bookmarkEnd w:id="1"/>
      <w:bookmarkEnd w:id="2"/>
      <w:r w:rsidRPr="00A47A67">
        <w:t>.</w:t>
      </w:r>
      <w:bookmarkEnd w:id="3"/>
    </w:p>
    <w:p w:rsidR="00DA7FD6" w:rsidRPr="00A47A67" w:rsidRDefault="00DA7FD6" w:rsidP="007C71C7">
      <w:pPr>
        <w:numPr>
          <w:ilvl w:val="1"/>
          <w:numId w:val="3"/>
        </w:numPr>
        <w:spacing w:line="340" w:lineRule="exact"/>
        <w:contextualSpacing/>
        <w:jc w:val="both"/>
      </w:pPr>
      <w:bookmarkStart w:id="4" w:name="_Ref264653613"/>
      <w:r w:rsidRPr="00A47A67">
        <w:rPr>
          <w:i/>
        </w:rPr>
        <w:t>Valor Nominal Unitário</w:t>
      </w:r>
      <w:r w:rsidRPr="00A47A67">
        <w:t>.  As Debêntures terão valor nominal unitário de R$1.000,00 (mil reais), na Data de Emissão ("</w:t>
      </w:r>
      <w:r w:rsidRPr="00A47A67">
        <w:rPr>
          <w:u w:val="single"/>
        </w:rPr>
        <w:t>Valor Nominal Unitário</w:t>
      </w:r>
      <w:r w:rsidRPr="00A47A67">
        <w:t>")</w:t>
      </w:r>
      <w:bookmarkEnd w:id="4"/>
      <w:r w:rsidRPr="00A47A67">
        <w:t>.</w:t>
      </w:r>
    </w:p>
    <w:p w:rsidR="00DA7FD6" w:rsidRPr="00A47A67" w:rsidRDefault="00DA7FD6" w:rsidP="007C71C7">
      <w:pPr>
        <w:numPr>
          <w:ilvl w:val="1"/>
          <w:numId w:val="3"/>
        </w:numPr>
        <w:spacing w:line="340" w:lineRule="exact"/>
        <w:contextualSpacing/>
        <w:jc w:val="both"/>
      </w:pPr>
      <w:bookmarkStart w:id="5" w:name="_Ref137548372"/>
      <w:bookmarkStart w:id="6" w:name="_Ref168458019"/>
      <w:bookmarkStart w:id="7" w:name="_Ref191891571"/>
      <w:bookmarkStart w:id="8" w:name="_Ref130363099"/>
      <w:r w:rsidRPr="00A47A67">
        <w:rPr>
          <w:i/>
        </w:rPr>
        <w:t>Séries</w:t>
      </w:r>
      <w:r w:rsidRPr="00A47A67">
        <w:t xml:space="preserve">.  </w:t>
      </w:r>
      <w:bookmarkEnd w:id="5"/>
      <w:r w:rsidRPr="00A47A67">
        <w:t>A Emissão será realizada em série única.</w:t>
      </w:r>
      <w:bookmarkEnd w:id="6"/>
      <w:bookmarkEnd w:id="7"/>
    </w:p>
    <w:bookmarkEnd w:id="8"/>
    <w:p w:rsidR="00DA7FD6" w:rsidRPr="00A47A67" w:rsidRDefault="00DA7FD6" w:rsidP="007C71C7">
      <w:pPr>
        <w:numPr>
          <w:ilvl w:val="1"/>
          <w:numId w:val="3"/>
        </w:numPr>
        <w:spacing w:line="340" w:lineRule="exact"/>
        <w:contextualSpacing/>
        <w:jc w:val="both"/>
      </w:pPr>
      <w:r w:rsidRPr="00A47A67">
        <w:rPr>
          <w:i/>
        </w:rPr>
        <w:t>Forma e Comprovação de Titularidade</w:t>
      </w:r>
      <w:r w:rsidRPr="00A47A67">
        <w:t xml:space="preserve">.  As Debêntures serão emitidas sob a forma nominativa, escritural, sem emissão de certificados, sendo que, para todos os fins de direito, a titularidade das Debêntures será comprovada pelo extrato </w:t>
      </w:r>
      <w:r w:rsidR="004C78A7" w:rsidRPr="00A47A67">
        <w:t>das Debêntures</w:t>
      </w:r>
      <w:r w:rsidRPr="00A47A67">
        <w:t xml:space="preserve"> emitido pelo </w:t>
      </w:r>
      <w:proofErr w:type="spellStart"/>
      <w:r w:rsidRPr="00A47A67">
        <w:t>Escriturador</w:t>
      </w:r>
      <w:proofErr w:type="spellEnd"/>
      <w:r w:rsidRPr="00A47A67">
        <w:t xml:space="preserve"> (conforme definido abaixo), e, adicionalmente, com relação às Debêntures que estiverem custodiadas </w:t>
      </w:r>
      <w:r w:rsidRPr="00A47A67">
        <w:rPr>
          <w:iCs/>
        </w:rPr>
        <w:t xml:space="preserve">eletronicamente </w:t>
      </w:r>
      <w:r w:rsidRPr="00A47A67">
        <w:t>na B3, será expedido extrato em nome do Debenturista, que servirá de comprovante de titularidade de tais Debêntures.</w:t>
      </w:r>
    </w:p>
    <w:p w:rsidR="00DA7FD6" w:rsidRPr="00A47A67" w:rsidRDefault="00DA7FD6" w:rsidP="007C71C7">
      <w:pPr>
        <w:numPr>
          <w:ilvl w:val="1"/>
          <w:numId w:val="3"/>
        </w:numPr>
        <w:spacing w:line="340" w:lineRule="exact"/>
        <w:contextualSpacing/>
        <w:jc w:val="both"/>
      </w:pPr>
      <w:bookmarkStart w:id="9" w:name="_Ref264701885"/>
      <w:proofErr w:type="spellStart"/>
      <w:r w:rsidRPr="00A47A67">
        <w:rPr>
          <w:i/>
        </w:rPr>
        <w:t>Escriturador</w:t>
      </w:r>
      <w:proofErr w:type="spellEnd"/>
      <w:r w:rsidRPr="00A47A67">
        <w:t>.  A instituição prestadora de serviços de escrituração das Debêntures é o Banco Modal S.A., instituição financeira, inscrito no CNPJ/MF sob o nº 30.723.886/0001-62, com sede na Praia de Botafogo, nº 501, Torre Pão de Açúcar, 5º andar – parte, Botafogo, Rio de Janeiro, RJ, CEP 22250-040 (</w:t>
      </w:r>
      <w:r w:rsidR="007C71C7" w:rsidRPr="00A47A67">
        <w:t>“</w:t>
      </w:r>
      <w:r w:rsidRPr="00A47A67">
        <w:rPr>
          <w:u w:val="single"/>
        </w:rPr>
        <w:t>Banco Modal</w:t>
      </w:r>
      <w:r w:rsidR="007C71C7" w:rsidRPr="00A47A67">
        <w:t>”</w:t>
      </w:r>
      <w:r w:rsidRPr="00A47A67">
        <w:t xml:space="preserve"> e “</w:t>
      </w:r>
      <w:proofErr w:type="spellStart"/>
      <w:r w:rsidRPr="00A47A67">
        <w:rPr>
          <w:u w:val="single"/>
        </w:rPr>
        <w:t>Escriturador</w:t>
      </w:r>
      <w:proofErr w:type="spellEnd"/>
      <w:r w:rsidR="007C71C7" w:rsidRPr="00A47A67">
        <w:t>”</w:t>
      </w:r>
      <w:r w:rsidRPr="00A47A67">
        <w:t>).</w:t>
      </w:r>
      <w:bookmarkEnd w:id="9"/>
    </w:p>
    <w:p w:rsidR="00DA7FD6" w:rsidRPr="00A47A67" w:rsidRDefault="00DA7FD6" w:rsidP="007C71C7">
      <w:pPr>
        <w:numPr>
          <w:ilvl w:val="1"/>
          <w:numId w:val="3"/>
        </w:numPr>
        <w:spacing w:line="340" w:lineRule="exact"/>
        <w:contextualSpacing/>
        <w:jc w:val="both"/>
      </w:pPr>
      <w:r w:rsidRPr="00A47A67">
        <w:rPr>
          <w:i/>
        </w:rPr>
        <w:t>Banco Liquidante</w:t>
      </w:r>
      <w:r w:rsidRPr="00A47A67">
        <w:t xml:space="preserve">. A instituição prestadora de serviços de banco liquidante das Debêntures é o Banco Modal </w:t>
      </w:r>
      <w:r w:rsidR="00D011D8" w:rsidRPr="00A47A67">
        <w:t>(“</w:t>
      </w:r>
      <w:r w:rsidRPr="00A47A67">
        <w:rPr>
          <w:u w:val="single"/>
        </w:rPr>
        <w:t>Banco Liquidante</w:t>
      </w:r>
      <w:r w:rsidR="00D011D8" w:rsidRPr="00A47A67">
        <w:t>”</w:t>
      </w:r>
      <w:r w:rsidRPr="00A47A67">
        <w:t xml:space="preserve">).  </w:t>
      </w:r>
    </w:p>
    <w:p w:rsidR="00DA7FD6" w:rsidRPr="00A47A67" w:rsidRDefault="00DA7FD6" w:rsidP="007C71C7">
      <w:pPr>
        <w:numPr>
          <w:ilvl w:val="1"/>
          <w:numId w:val="3"/>
        </w:numPr>
        <w:spacing w:line="340" w:lineRule="exact"/>
        <w:contextualSpacing/>
        <w:jc w:val="both"/>
      </w:pPr>
      <w:r w:rsidRPr="00A47A67">
        <w:rPr>
          <w:i/>
        </w:rPr>
        <w:t>Conversibilidade</w:t>
      </w:r>
      <w:r w:rsidRPr="00A47A67">
        <w:t>. As Debêntures não serão conversíveis em ações de emissão da Companhia.</w:t>
      </w:r>
    </w:p>
    <w:p w:rsidR="00DA7FD6" w:rsidRPr="00A47A67" w:rsidRDefault="00DA7FD6" w:rsidP="007C71C7">
      <w:pPr>
        <w:numPr>
          <w:ilvl w:val="1"/>
          <w:numId w:val="3"/>
        </w:numPr>
        <w:spacing w:line="340" w:lineRule="exact"/>
        <w:contextualSpacing/>
        <w:jc w:val="both"/>
      </w:pPr>
      <w:r w:rsidRPr="00A47A67">
        <w:rPr>
          <w:i/>
        </w:rPr>
        <w:t>Espécie</w:t>
      </w:r>
      <w:r w:rsidRPr="00A47A67">
        <w:t xml:space="preserve">.  As Debêntures serão da espécie </w:t>
      </w:r>
      <w:r w:rsidR="00A47A67" w:rsidRPr="00A47A67">
        <w:t>quirografária, nos termos do artigo 58 da Lei das Sociedades por Ações</w:t>
      </w:r>
      <w:r w:rsidRPr="00A47A67">
        <w:t>.</w:t>
      </w:r>
    </w:p>
    <w:p w:rsidR="00DA7FD6" w:rsidRPr="00A47A67" w:rsidRDefault="00DA7FD6" w:rsidP="007C71C7">
      <w:pPr>
        <w:numPr>
          <w:ilvl w:val="1"/>
          <w:numId w:val="3"/>
        </w:numPr>
        <w:spacing w:line="340" w:lineRule="exact"/>
        <w:contextualSpacing/>
        <w:jc w:val="both"/>
      </w:pPr>
      <w:bookmarkStart w:id="10" w:name="_Ref264653840"/>
      <w:bookmarkStart w:id="11" w:name="_Ref278297550"/>
      <w:bookmarkStart w:id="12" w:name="_Ref279826913"/>
      <w:r w:rsidRPr="00A47A67">
        <w:rPr>
          <w:i/>
        </w:rPr>
        <w:t>Data de Emissão</w:t>
      </w:r>
      <w:r w:rsidRPr="00A47A67">
        <w:t xml:space="preserve">.  Para todos os efeitos legais, a data de emissão das Debêntures será </w:t>
      </w:r>
      <w:r w:rsidR="000F54D6">
        <w:t>23 de janeiro de 2018</w:t>
      </w:r>
      <w:r w:rsidR="000F54D6" w:rsidRPr="00A47A67">
        <w:t xml:space="preserve"> </w:t>
      </w:r>
      <w:r w:rsidR="007A1A02" w:rsidRPr="00A47A67">
        <w:t>(“</w:t>
      </w:r>
      <w:r w:rsidRPr="00A47A67">
        <w:rPr>
          <w:u w:val="single"/>
        </w:rPr>
        <w:t>Data de Emissão</w:t>
      </w:r>
      <w:r w:rsidR="007A1A02" w:rsidRPr="00A47A67">
        <w:t>”</w:t>
      </w:r>
      <w:r w:rsidRPr="00A47A67">
        <w:t>).</w:t>
      </w:r>
      <w:bookmarkStart w:id="13" w:name="_Ref535067474"/>
      <w:bookmarkEnd w:id="10"/>
      <w:bookmarkEnd w:id="11"/>
      <w:bookmarkEnd w:id="12"/>
    </w:p>
    <w:p w:rsidR="00DA7FD6" w:rsidRPr="0021590C" w:rsidRDefault="00DA7FD6" w:rsidP="007C71C7">
      <w:pPr>
        <w:numPr>
          <w:ilvl w:val="1"/>
          <w:numId w:val="3"/>
        </w:numPr>
        <w:spacing w:line="340" w:lineRule="exact"/>
        <w:contextualSpacing/>
        <w:jc w:val="both"/>
      </w:pPr>
      <w:bookmarkStart w:id="14" w:name="_Ref272250319"/>
      <w:r w:rsidRPr="00A47A67">
        <w:rPr>
          <w:i/>
        </w:rPr>
        <w:t>Prazo e Data de Vencimento</w:t>
      </w:r>
      <w:r w:rsidRPr="00A47A67">
        <w:t xml:space="preserve">.  Ressalvadas as hipóteses de resgate antecipado das Debêntures e/ou de vencimento antecipado das obrigações decorrentes das Debêntures, nos termos previstos na Escritura de Emissão, o </w:t>
      </w:r>
      <w:r w:rsidRPr="00A47A67">
        <w:lastRenderedPageBreak/>
        <w:t xml:space="preserve">prazo das Debêntures será de </w:t>
      </w:r>
      <w:r w:rsidR="0021590C">
        <w:t>4</w:t>
      </w:r>
      <w:r w:rsidR="00A47A67" w:rsidRPr="00A47A67">
        <w:t xml:space="preserve"> </w:t>
      </w:r>
      <w:r w:rsidRPr="00A47A67">
        <w:t>(</w:t>
      </w:r>
      <w:r w:rsidR="0021590C">
        <w:t>quatro</w:t>
      </w:r>
      <w:r w:rsidRPr="00A47A67">
        <w:t xml:space="preserve">) anos, contado da Data de Emissão, vencendo-se, portanto, em </w:t>
      </w:r>
      <w:r w:rsidR="000F54D6">
        <w:t>23 de janeiro de 2022</w:t>
      </w:r>
      <w:r w:rsidR="000F54D6" w:rsidRPr="00A47A67">
        <w:t xml:space="preserve"> </w:t>
      </w:r>
      <w:r w:rsidRPr="00A47A67">
        <w:t>(</w:t>
      </w:r>
      <w:r w:rsidR="00D011D8" w:rsidRPr="00A47A67">
        <w:t>“</w:t>
      </w:r>
      <w:r w:rsidRPr="00A47A67">
        <w:rPr>
          <w:u w:val="single"/>
        </w:rPr>
        <w:t xml:space="preserve">Data de </w:t>
      </w:r>
      <w:r w:rsidRPr="0021590C">
        <w:rPr>
          <w:u w:val="single"/>
        </w:rPr>
        <w:t>Vencimento</w:t>
      </w:r>
      <w:r w:rsidR="00D011D8" w:rsidRPr="0021590C">
        <w:t>”</w:t>
      </w:r>
      <w:r w:rsidRPr="0021590C">
        <w:t>).</w:t>
      </w:r>
      <w:bookmarkEnd w:id="14"/>
    </w:p>
    <w:p w:rsidR="00DA7FD6" w:rsidRPr="0021590C" w:rsidRDefault="00DA7FD6" w:rsidP="00C21DE8">
      <w:pPr>
        <w:numPr>
          <w:ilvl w:val="1"/>
          <w:numId w:val="3"/>
        </w:numPr>
        <w:spacing w:line="340" w:lineRule="exact"/>
        <w:contextualSpacing/>
        <w:jc w:val="both"/>
      </w:pPr>
      <w:bookmarkStart w:id="15" w:name="_Ref264560361"/>
      <w:r w:rsidRPr="0021590C">
        <w:rPr>
          <w:i/>
        </w:rPr>
        <w:t>Pagamento do Valor Nominal Unitário</w:t>
      </w:r>
      <w:r w:rsidRPr="0021590C">
        <w:t xml:space="preserve">.  Sem prejuízo dos pagamentos em decorrência de </w:t>
      </w:r>
      <w:r w:rsidR="00C21DE8" w:rsidRPr="0021590C">
        <w:t>Resgate Antecipado Facultativo</w:t>
      </w:r>
      <w:r w:rsidR="00A47A67" w:rsidRPr="0021590C">
        <w:t xml:space="preserve">, </w:t>
      </w:r>
      <w:r w:rsidR="00C21DE8" w:rsidRPr="0021590C">
        <w:t>Amortização Antecipada Facultativa ou</w:t>
      </w:r>
      <w:r w:rsidRPr="0021590C">
        <w:t xml:space="preserve"> de vencimento antecipado das obrigações decorrentes das Debêntures, nos termos previstos na Escritura de Emissão, o Valor Nominal Unitário </w:t>
      </w:r>
      <w:r w:rsidR="00532B3C">
        <w:t xml:space="preserve">Atualizado </w:t>
      </w:r>
      <w:r w:rsidRPr="0021590C">
        <w:t xml:space="preserve">das Debêntures será </w:t>
      </w:r>
      <w:r w:rsidR="0021590C" w:rsidRPr="0021590C">
        <w:t xml:space="preserve">integralmente </w:t>
      </w:r>
      <w:r w:rsidRPr="0021590C">
        <w:t xml:space="preserve">amortizado </w:t>
      </w:r>
      <w:bookmarkEnd w:id="15"/>
      <w:r w:rsidR="0021590C" w:rsidRPr="0021590C">
        <w:t>na Data de Vencimento.</w:t>
      </w:r>
      <w:r w:rsidRPr="0021590C">
        <w:t xml:space="preserve"> </w:t>
      </w:r>
    </w:p>
    <w:p w:rsidR="00DA7FD6" w:rsidRPr="00A47A67" w:rsidRDefault="00DA7FD6" w:rsidP="007C71C7">
      <w:pPr>
        <w:keepNext/>
        <w:numPr>
          <w:ilvl w:val="1"/>
          <w:numId w:val="3"/>
        </w:numPr>
        <w:spacing w:line="340" w:lineRule="exact"/>
        <w:contextualSpacing/>
        <w:jc w:val="both"/>
      </w:pPr>
      <w:bookmarkStart w:id="16" w:name="_Ref137107211"/>
      <w:bookmarkStart w:id="17" w:name="_Ref264551489"/>
      <w:bookmarkStart w:id="18" w:name="_Ref279826774"/>
      <w:r w:rsidRPr="00A47A67">
        <w:rPr>
          <w:i/>
        </w:rPr>
        <w:t>Remuneração</w:t>
      </w:r>
      <w:r w:rsidRPr="00A47A67">
        <w:t>.</w:t>
      </w:r>
      <w:bookmarkEnd w:id="16"/>
      <w:r w:rsidRPr="00A47A67">
        <w:t xml:space="preserve"> </w:t>
      </w:r>
      <w:bookmarkStart w:id="19" w:name="_Ref260242522"/>
      <w:bookmarkStart w:id="20" w:name="_Ref130286776"/>
      <w:bookmarkStart w:id="21" w:name="_Ref130611431"/>
      <w:bookmarkStart w:id="22" w:name="_Ref168843122"/>
      <w:bookmarkStart w:id="23" w:name="_Ref130282854"/>
      <w:bookmarkEnd w:id="17"/>
      <w:r w:rsidRPr="00A47A67">
        <w:t xml:space="preserve"> A remuneração das Debêntures será a seguinte:</w:t>
      </w:r>
      <w:bookmarkEnd w:id="18"/>
      <w:bookmarkEnd w:id="19"/>
    </w:p>
    <w:p w:rsidR="0021590C" w:rsidRPr="0021590C" w:rsidRDefault="0021590C" w:rsidP="009E17AE">
      <w:pPr>
        <w:numPr>
          <w:ilvl w:val="2"/>
          <w:numId w:val="3"/>
        </w:numPr>
        <w:spacing w:after="120"/>
        <w:jc w:val="both"/>
      </w:pPr>
      <w:bookmarkStart w:id="24" w:name="_Ref328665579"/>
      <w:bookmarkStart w:id="25" w:name="_Ref164156803"/>
      <w:bookmarkStart w:id="26" w:name="_Ref279828381"/>
      <w:bookmarkStart w:id="27" w:name="_Ref289698191"/>
      <w:r w:rsidRPr="0021590C">
        <w:rPr>
          <w:i/>
        </w:rPr>
        <w:t>atualização monetária</w:t>
      </w:r>
      <w:r w:rsidRPr="0021590C">
        <w:t xml:space="preserve">:  </w:t>
      </w:r>
      <w:r w:rsidR="009E17AE" w:rsidRPr="009E17AE">
        <w:t>Sujeito ao disposto na Escritura de Emissão</w:t>
      </w:r>
      <w:r w:rsidR="009E17AE">
        <w:t>,</w:t>
      </w:r>
      <w:r w:rsidR="009E17AE" w:rsidRPr="009E17AE">
        <w:t xml:space="preserve"> </w:t>
      </w:r>
      <w:r w:rsidRPr="0021590C">
        <w:t>o Valor Nominal Unitário das Debêntures será atualizado monetariamente pela variação do Índice Nacional de Preços ao Consumidor Amplo, apurado e divulgado pelo Instituto Brasileiro de Geografia e Estatística - IBGE (“</w:t>
      </w:r>
      <w:r w:rsidRPr="0021590C">
        <w:rPr>
          <w:u w:val="single"/>
        </w:rPr>
        <w:t>IPCA</w:t>
      </w:r>
      <w:r w:rsidRPr="0021590C">
        <w:t>”), desde a Data de Emissão até a data de seu efetivo pagamento (“</w:t>
      </w:r>
      <w:r w:rsidRPr="0021590C">
        <w:rPr>
          <w:u w:val="single"/>
        </w:rPr>
        <w:t>Atualização Monetária das Debêntures</w:t>
      </w:r>
      <w:r w:rsidRPr="0021590C">
        <w:t>”), sendo o produto da Atualização Monetária das Debêntures incorporado ao Valor Nominal Unitário ou ao saldo do Valor Nominal Unitário, conforme aplicável das Debêntures (“</w:t>
      </w:r>
      <w:r w:rsidRPr="0021590C">
        <w:rPr>
          <w:u w:val="single"/>
        </w:rPr>
        <w:t>Valor Nominal Unitário Atualizado</w:t>
      </w:r>
      <w:r w:rsidRPr="0021590C">
        <w:t>”). A Atualização Monetária das Debêntures será calculada conforme a fórmula abaixo:</w:t>
      </w:r>
    </w:p>
    <w:p w:rsidR="0021590C" w:rsidRPr="0021590C" w:rsidRDefault="0021590C" w:rsidP="0021590C">
      <w:pPr>
        <w:ind w:left="1701"/>
        <w:rPr>
          <w:i/>
        </w:rPr>
      </w:pPr>
    </w:p>
    <w:p w:rsidR="0021590C" w:rsidRPr="0021590C" w:rsidRDefault="0021590C" w:rsidP="0021590C">
      <w:pPr>
        <w:pStyle w:val="Default"/>
        <w:jc w:val="center"/>
        <w:rPr>
          <w:rFonts w:ascii="Times New Roman" w:hAnsi="Times New Roman" w:cs="Times New Roman"/>
          <w:color w:val="auto"/>
        </w:rPr>
      </w:pPr>
      <w:proofErr w:type="spellStart"/>
      <w:r w:rsidRPr="0021590C">
        <w:rPr>
          <w:rFonts w:ascii="Times New Roman" w:hAnsi="Times New Roman" w:cs="Times New Roman"/>
          <w:color w:val="auto"/>
        </w:rPr>
        <w:t>VNa</w:t>
      </w:r>
      <w:proofErr w:type="spellEnd"/>
      <w:r w:rsidRPr="0021590C">
        <w:rPr>
          <w:rFonts w:ascii="Times New Roman" w:hAnsi="Times New Roman" w:cs="Times New Roman"/>
          <w:color w:val="auto"/>
        </w:rPr>
        <w:t xml:space="preserve"> = </w:t>
      </w:r>
      <w:proofErr w:type="spellStart"/>
      <w:r w:rsidRPr="0021590C">
        <w:rPr>
          <w:rFonts w:ascii="Times New Roman" w:hAnsi="Times New Roman" w:cs="Times New Roman"/>
          <w:color w:val="auto"/>
        </w:rPr>
        <w:t>VNe</w:t>
      </w:r>
      <w:proofErr w:type="spellEnd"/>
      <w:r w:rsidRPr="0021590C">
        <w:rPr>
          <w:rFonts w:ascii="Times New Roman" w:hAnsi="Times New Roman" w:cs="Times New Roman"/>
          <w:color w:val="auto"/>
        </w:rPr>
        <w:t xml:space="preserve"> x C</w:t>
      </w:r>
    </w:p>
    <w:p w:rsidR="0021590C" w:rsidRPr="0021590C" w:rsidRDefault="0021590C" w:rsidP="0021590C">
      <w:pPr>
        <w:pStyle w:val="Default"/>
        <w:ind w:left="1701"/>
        <w:jc w:val="both"/>
        <w:rPr>
          <w:rFonts w:ascii="Times New Roman" w:hAnsi="Times New Roman" w:cs="Times New Roman"/>
          <w:color w:val="auto"/>
        </w:rPr>
      </w:pPr>
      <w:proofErr w:type="gramStart"/>
      <w:r w:rsidRPr="0021590C">
        <w:rPr>
          <w:rFonts w:ascii="Times New Roman" w:hAnsi="Times New Roman" w:cs="Times New Roman"/>
          <w:color w:val="auto"/>
        </w:rPr>
        <w:t>onde</w:t>
      </w:r>
      <w:proofErr w:type="gramEnd"/>
      <w:r w:rsidRPr="0021590C">
        <w:rPr>
          <w:rFonts w:ascii="Times New Roman" w:hAnsi="Times New Roman" w:cs="Times New Roman"/>
          <w:color w:val="auto"/>
        </w:rPr>
        <w:t xml:space="preserve">: </w:t>
      </w:r>
    </w:p>
    <w:p w:rsidR="0021590C" w:rsidRPr="0021590C" w:rsidRDefault="0021590C" w:rsidP="0021590C">
      <w:pPr>
        <w:pStyle w:val="Default"/>
        <w:ind w:left="1701"/>
        <w:jc w:val="both"/>
        <w:rPr>
          <w:rFonts w:ascii="Times New Roman" w:hAnsi="Times New Roman" w:cs="Times New Roman"/>
          <w:color w:val="auto"/>
        </w:rPr>
      </w:pPr>
    </w:p>
    <w:p w:rsidR="0021590C" w:rsidRPr="0021590C" w:rsidRDefault="0021590C" w:rsidP="0021590C">
      <w:pPr>
        <w:pStyle w:val="Default"/>
        <w:ind w:left="1701"/>
        <w:jc w:val="both"/>
        <w:rPr>
          <w:rFonts w:ascii="Times New Roman" w:hAnsi="Times New Roman" w:cs="Times New Roman"/>
          <w:color w:val="auto"/>
        </w:rPr>
      </w:pPr>
      <w:proofErr w:type="spellStart"/>
      <w:r w:rsidRPr="0021590C">
        <w:rPr>
          <w:rFonts w:ascii="Times New Roman" w:hAnsi="Times New Roman" w:cs="Times New Roman"/>
          <w:color w:val="auto"/>
        </w:rPr>
        <w:t>VNa</w:t>
      </w:r>
      <w:proofErr w:type="spellEnd"/>
      <w:r w:rsidRPr="0021590C">
        <w:rPr>
          <w:rFonts w:ascii="Times New Roman" w:hAnsi="Times New Roman" w:cs="Times New Roman"/>
          <w:color w:val="auto"/>
        </w:rPr>
        <w:t xml:space="preserve"> = Valor Nominal Unitário Atualizado das Debêntures calculado com 8 (oito) casas decimais, sem arredondamento; </w:t>
      </w:r>
    </w:p>
    <w:p w:rsidR="0021590C" w:rsidRPr="0021590C" w:rsidRDefault="0021590C" w:rsidP="0021590C">
      <w:pPr>
        <w:pStyle w:val="Default"/>
        <w:ind w:left="1701"/>
        <w:jc w:val="both"/>
        <w:rPr>
          <w:rFonts w:ascii="Times New Roman" w:hAnsi="Times New Roman" w:cs="Times New Roman"/>
          <w:color w:val="auto"/>
        </w:rPr>
      </w:pPr>
      <w:proofErr w:type="spellStart"/>
      <w:r w:rsidRPr="0021590C">
        <w:rPr>
          <w:rFonts w:ascii="Times New Roman" w:hAnsi="Times New Roman" w:cs="Times New Roman"/>
          <w:color w:val="auto"/>
        </w:rPr>
        <w:t>VNe</w:t>
      </w:r>
      <w:proofErr w:type="spellEnd"/>
      <w:r w:rsidRPr="0021590C">
        <w:rPr>
          <w:rFonts w:ascii="Times New Roman" w:hAnsi="Times New Roman" w:cs="Times New Roman"/>
          <w:color w:val="auto"/>
        </w:rPr>
        <w:t xml:space="preserve"> = Valor Nominal Unitário (ou saldo do Valor Nominal Unitário, conforme o caso) das Debêntures informado/calculado com 8 (oito) casas decimais, sem arredondamento; </w:t>
      </w:r>
    </w:p>
    <w:p w:rsidR="0021590C" w:rsidRPr="0021590C" w:rsidRDefault="0021590C" w:rsidP="0021590C">
      <w:pPr>
        <w:ind w:left="1701"/>
      </w:pPr>
      <w:r w:rsidRPr="0021590C">
        <w:t>C = fator acumulado das variações mensais do IPCA, calculado com 8 (oito) casas decimais, sem arredondamento, apurado da seguinte forma:</w:t>
      </w:r>
    </w:p>
    <w:p w:rsidR="0021590C" w:rsidRPr="0021590C" w:rsidRDefault="0021590C" w:rsidP="0021590C">
      <w:pPr>
        <w:ind w:left="709"/>
      </w:pPr>
    </w:p>
    <w:p w:rsidR="0021590C" w:rsidRPr="0021590C" w:rsidRDefault="0021590C" w:rsidP="0021590C">
      <w:pPr>
        <w:ind w:left="709"/>
        <w:jc w:val="center"/>
      </w:pPr>
      <w:r w:rsidRPr="0021590C">
        <w:rPr>
          <w:noProof/>
        </w:rPr>
        <w:drawing>
          <wp:inline distT="0" distB="0" distL="0" distR="0" wp14:anchorId="6AFAA145" wp14:editId="2C09C3B6">
            <wp:extent cx="1487353" cy="7905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015" cy="793584"/>
                    </a:xfrm>
                    <a:prstGeom prst="rect">
                      <a:avLst/>
                    </a:prstGeom>
                    <a:noFill/>
                    <a:ln>
                      <a:noFill/>
                    </a:ln>
                  </pic:spPr>
                </pic:pic>
              </a:graphicData>
            </a:graphic>
          </wp:inline>
        </w:drawing>
      </w:r>
    </w:p>
    <w:p w:rsidR="0021590C" w:rsidRPr="0021590C" w:rsidRDefault="0021590C" w:rsidP="0021590C">
      <w:pPr>
        <w:ind w:left="709"/>
      </w:pPr>
    </w:p>
    <w:p w:rsidR="0021590C" w:rsidRPr="0021590C" w:rsidRDefault="0021590C" w:rsidP="0021590C">
      <w:pPr>
        <w:pStyle w:val="Default"/>
        <w:ind w:left="1701"/>
        <w:jc w:val="both"/>
        <w:rPr>
          <w:rFonts w:ascii="Times New Roman" w:hAnsi="Times New Roman" w:cs="Times New Roman"/>
          <w:color w:val="auto"/>
        </w:rPr>
      </w:pPr>
      <w:proofErr w:type="gramStart"/>
      <w:r w:rsidRPr="0021590C">
        <w:rPr>
          <w:rFonts w:ascii="Times New Roman" w:hAnsi="Times New Roman" w:cs="Times New Roman"/>
          <w:color w:val="auto"/>
        </w:rPr>
        <w:t>onde</w:t>
      </w:r>
      <w:proofErr w:type="gramEnd"/>
      <w:r w:rsidRPr="0021590C">
        <w:rPr>
          <w:rFonts w:ascii="Times New Roman" w:hAnsi="Times New Roman" w:cs="Times New Roman"/>
          <w:color w:val="auto"/>
        </w:rPr>
        <w:t xml:space="preserve">: </w:t>
      </w:r>
    </w:p>
    <w:p w:rsidR="0021590C" w:rsidRPr="0021590C" w:rsidRDefault="0021590C" w:rsidP="0021590C">
      <w:pPr>
        <w:pStyle w:val="Default"/>
        <w:ind w:left="1701"/>
        <w:jc w:val="both"/>
        <w:rPr>
          <w:rFonts w:ascii="Times New Roman" w:hAnsi="Times New Roman" w:cs="Times New Roman"/>
          <w:color w:val="auto"/>
        </w:rPr>
      </w:pPr>
      <w:proofErr w:type="gramStart"/>
      <w:r w:rsidRPr="0021590C">
        <w:rPr>
          <w:rFonts w:ascii="Times New Roman" w:hAnsi="Times New Roman" w:cs="Times New Roman"/>
          <w:color w:val="auto"/>
        </w:rPr>
        <w:t>n</w:t>
      </w:r>
      <w:proofErr w:type="gramEnd"/>
      <w:r w:rsidRPr="0021590C">
        <w:rPr>
          <w:rFonts w:ascii="Times New Roman" w:hAnsi="Times New Roman" w:cs="Times New Roman"/>
          <w:color w:val="auto"/>
        </w:rPr>
        <w:t xml:space="preserve"> = número total de índices considerados na Atualização Monetária das Debêntures, sendo “n” um número inteiro;</w:t>
      </w:r>
    </w:p>
    <w:p w:rsidR="0021590C" w:rsidRPr="0021590C" w:rsidRDefault="0021590C" w:rsidP="0021590C">
      <w:pPr>
        <w:pStyle w:val="Default"/>
        <w:ind w:left="1701"/>
        <w:jc w:val="both"/>
        <w:rPr>
          <w:rFonts w:ascii="Times New Roman" w:hAnsi="Times New Roman" w:cs="Times New Roman"/>
          <w:color w:val="auto"/>
        </w:rPr>
      </w:pPr>
      <w:r w:rsidRPr="0021590C">
        <w:rPr>
          <w:rFonts w:ascii="Times New Roman" w:hAnsi="Times New Roman" w:cs="Times New Roman"/>
          <w:color w:val="auto"/>
        </w:rPr>
        <w:lastRenderedPageBreak/>
        <w:t>NIK = valor do número-índice do IPCA do mês anterior ao mês de atualização, caso a atualização seja em data anterior ou na própria data de aniversário das Debêntures. Após a data de aniversário, o “</w:t>
      </w:r>
      <w:proofErr w:type="spellStart"/>
      <w:r w:rsidRPr="0021590C">
        <w:rPr>
          <w:rFonts w:ascii="Times New Roman" w:hAnsi="Times New Roman" w:cs="Times New Roman"/>
          <w:color w:val="auto"/>
        </w:rPr>
        <w:t>NIk</w:t>
      </w:r>
      <w:proofErr w:type="spellEnd"/>
      <w:r w:rsidRPr="0021590C">
        <w:rPr>
          <w:rFonts w:ascii="Times New Roman" w:hAnsi="Times New Roman" w:cs="Times New Roman"/>
          <w:color w:val="auto"/>
        </w:rPr>
        <w:t>” corresponderá ao valor do número-índice do IPCA do mês de atualização;</w:t>
      </w:r>
    </w:p>
    <w:p w:rsidR="0021590C" w:rsidRPr="0021590C" w:rsidRDefault="0021590C" w:rsidP="0021590C">
      <w:pPr>
        <w:pStyle w:val="Default"/>
        <w:ind w:left="1701"/>
        <w:jc w:val="both"/>
        <w:rPr>
          <w:rFonts w:ascii="Times New Roman" w:hAnsi="Times New Roman" w:cs="Times New Roman"/>
          <w:color w:val="auto"/>
        </w:rPr>
      </w:pPr>
      <w:r w:rsidRPr="0021590C">
        <w:rPr>
          <w:rFonts w:ascii="Times New Roman" w:hAnsi="Times New Roman" w:cs="Times New Roman"/>
          <w:color w:val="auto"/>
        </w:rPr>
        <w:t>NIK-1 = valor do número-índice do IPCA do mês anterior ao mês “k”;</w:t>
      </w:r>
    </w:p>
    <w:p w:rsidR="0021590C" w:rsidRPr="0021590C" w:rsidRDefault="0021590C" w:rsidP="0021590C">
      <w:pPr>
        <w:pStyle w:val="Default"/>
        <w:ind w:left="1701"/>
        <w:jc w:val="both"/>
        <w:rPr>
          <w:rFonts w:ascii="Times New Roman" w:hAnsi="Times New Roman" w:cs="Times New Roman"/>
          <w:color w:val="auto"/>
        </w:rPr>
      </w:pPr>
      <w:proofErr w:type="spellStart"/>
      <w:proofErr w:type="gramStart"/>
      <w:r w:rsidRPr="0021590C">
        <w:rPr>
          <w:rFonts w:ascii="Times New Roman" w:hAnsi="Times New Roman" w:cs="Times New Roman"/>
          <w:color w:val="auto"/>
        </w:rPr>
        <w:t>dup</w:t>
      </w:r>
      <w:proofErr w:type="spellEnd"/>
      <w:proofErr w:type="gramEnd"/>
      <w:r w:rsidRPr="0021590C">
        <w:rPr>
          <w:rFonts w:ascii="Times New Roman" w:hAnsi="Times New Roman" w:cs="Times New Roman"/>
          <w:color w:val="auto"/>
        </w:rPr>
        <w:t xml:space="preserve"> = número de Dias Úteis entre Data de Emissão ou a última data de aniversário das Debêntures e a data de cálculo, limitado ao número total de Dias Úteis de vigência do IPCA, sendo “</w:t>
      </w:r>
      <w:proofErr w:type="spellStart"/>
      <w:r w:rsidRPr="0021590C">
        <w:rPr>
          <w:rFonts w:ascii="Times New Roman" w:hAnsi="Times New Roman" w:cs="Times New Roman"/>
          <w:color w:val="auto"/>
        </w:rPr>
        <w:t>dup</w:t>
      </w:r>
      <w:proofErr w:type="spellEnd"/>
      <w:r w:rsidRPr="0021590C">
        <w:rPr>
          <w:rFonts w:ascii="Times New Roman" w:hAnsi="Times New Roman" w:cs="Times New Roman"/>
          <w:color w:val="auto"/>
        </w:rPr>
        <w:t>” um número inteiro;</w:t>
      </w:r>
    </w:p>
    <w:p w:rsidR="0021590C" w:rsidRPr="0021590C" w:rsidRDefault="0021590C" w:rsidP="0021590C">
      <w:pPr>
        <w:pStyle w:val="Default"/>
        <w:ind w:left="1701"/>
        <w:jc w:val="both"/>
        <w:rPr>
          <w:rFonts w:ascii="Times New Roman" w:hAnsi="Times New Roman" w:cs="Times New Roman"/>
          <w:color w:val="auto"/>
        </w:rPr>
      </w:pPr>
      <w:proofErr w:type="spellStart"/>
      <w:proofErr w:type="gramStart"/>
      <w:r w:rsidRPr="0021590C">
        <w:rPr>
          <w:rFonts w:ascii="Times New Roman" w:hAnsi="Times New Roman" w:cs="Times New Roman"/>
          <w:color w:val="auto"/>
        </w:rPr>
        <w:t>dut</w:t>
      </w:r>
      <w:proofErr w:type="spellEnd"/>
      <w:proofErr w:type="gramEnd"/>
      <w:r w:rsidRPr="0021590C">
        <w:rPr>
          <w:rFonts w:ascii="Times New Roman" w:hAnsi="Times New Roman" w:cs="Times New Roman"/>
          <w:color w:val="auto"/>
        </w:rPr>
        <w:t xml:space="preserve"> = número de Dias Úteis contados entre a última e a próxima data de aniversário das Debêntures, sendo “</w:t>
      </w:r>
      <w:proofErr w:type="spellStart"/>
      <w:r w:rsidRPr="0021590C">
        <w:rPr>
          <w:rFonts w:ascii="Times New Roman" w:hAnsi="Times New Roman" w:cs="Times New Roman"/>
          <w:color w:val="auto"/>
        </w:rPr>
        <w:t>dut</w:t>
      </w:r>
      <w:proofErr w:type="spellEnd"/>
      <w:r w:rsidRPr="0021590C">
        <w:rPr>
          <w:rFonts w:ascii="Times New Roman" w:hAnsi="Times New Roman" w:cs="Times New Roman"/>
          <w:color w:val="auto"/>
        </w:rPr>
        <w:t>” um número inteiro.</w:t>
      </w:r>
    </w:p>
    <w:p w:rsidR="00EC0783" w:rsidRDefault="00EC0783" w:rsidP="0021590C">
      <w:pPr>
        <w:pStyle w:val="Default"/>
        <w:ind w:left="1701"/>
        <w:jc w:val="both"/>
        <w:rPr>
          <w:rFonts w:ascii="Times New Roman" w:hAnsi="Times New Roman" w:cs="Times New Roman"/>
          <w:color w:val="auto"/>
        </w:rPr>
      </w:pPr>
    </w:p>
    <w:p w:rsidR="0021590C" w:rsidRPr="0021590C" w:rsidRDefault="0021590C" w:rsidP="0021590C">
      <w:pPr>
        <w:pStyle w:val="Default"/>
        <w:ind w:left="1701"/>
        <w:jc w:val="both"/>
        <w:rPr>
          <w:rFonts w:ascii="Times New Roman" w:hAnsi="Times New Roman" w:cs="Times New Roman"/>
          <w:color w:val="auto"/>
        </w:rPr>
      </w:pPr>
      <w:r w:rsidRPr="0021590C">
        <w:rPr>
          <w:rFonts w:ascii="Times New Roman" w:hAnsi="Times New Roman" w:cs="Times New Roman"/>
          <w:color w:val="auto"/>
        </w:rPr>
        <w:t>A aplicação do IPCA incidirá no menor período permitido pela legislação em vigor, sem necessidade de ajuste à Escritura ou qualquer outra formalidade.</w:t>
      </w:r>
    </w:p>
    <w:p w:rsidR="0021590C" w:rsidRPr="0021590C" w:rsidRDefault="0021590C" w:rsidP="0021590C">
      <w:pPr>
        <w:pStyle w:val="Default"/>
        <w:ind w:left="1701"/>
        <w:jc w:val="both"/>
        <w:rPr>
          <w:rFonts w:ascii="Times New Roman" w:hAnsi="Times New Roman" w:cs="Times New Roman"/>
          <w:color w:val="auto"/>
        </w:rPr>
      </w:pPr>
      <w:r w:rsidRPr="0021590C">
        <w:rPr>
          <w:rFonts w:ascii="Times New Roman" w:hAnsi="Times New Roman" w:cs="Times New Roman"/>
          <w:color w:val="auto"/>
        </w:rPr>
        <w:t>i. O IPCA deverá ser utilizado considerando idêntico número de casas decimais divulgado pelo IBGE;</w:t>
      </w:r>
    </w:p>
    <w:p w:rsidR="0021590C" w:rsidRPr="0021590C" w:rsidRDefault="0021590C" w:rsidP="0021590C">
      <w:pPr>
        <w:pStyle w:val="Default"/>
        <w:ind w:left="1701"/>
        <w:jc w:val="both"/>
        <w:rPr>
          <w:rFonts w:ascii="Times New Roman" w:hAnsi="Times New Roman" w:cs="Times New Roman"/>
          <w:color w:val="auto"/>
        </w:rPr>
      </w:pPr>
      <w:proofErr w:type="spellStart"/>
      <w:r w:rsidRPr="0021590C">
        <w:rPr>
          <w:rFonts w:ascii="Times New Roman" w:hAnsi="Times New Roman" w:cs="Times New Roman"/>
          <w:color w:val="auto"/>
        </w:rPr>
        <w:t>ii</w:t>
      </w:r>
      <w:proofErr w:type="spellEnd"/>
      <w:r w:rsidRPr="0021590C">
        <w:rPr>
          <w:rFonts w:ascii="Times New Roman" w:hAnsi="Times New Roman" w:cs="Times New Roman"/>
          <w:color w:val="auto"/>
        </w:rPr>
        <w:t>. Considera-se “data de aniversário” todo dia 15 (quinze) de cada mês, e caso referida data não seja Dia Útil, o primeiro Dia Útil subsequente;</w:t>
      </w:r>
    </w:p>
    <w:p w:rsidR="0021590C" w:rsidRPr="0021590C" w:rsidRDefault="0021590C" w:rsidP="0021590C">
      <w:pPr>
        <w:pStyle w:val="Default"/>
        <w:ind w:left="1701"/>
        <w:jc w:val="both"/>
        <w:rPr>
          <w:rFonts w:ascii="Times New Roman" w:hAnsi="Times New Roman" w:cs="Times New Roman"/>
          <w:color w:val="auto"/>
        </w:rPr>
      </w:pPr>
      <w:proofErr w:type="spellStart"/>
      <w:r w:rsidRPr="0021590C">
        <w:rPr>
          <w:rFonts w:ascii="Times New Roman" w:hAnsi="Times New Roman" w:cs="Times New Roman"/>
          <w:color w:val="auto"/>
        </w:rPr>
        <w:t>iii</w:t>
      </w:r>
      <w:proofErr w:type="spellEnd"/>
      <w:r w:rsidRPr="0021590C">
        <w:rPr>
          <w:rFonts w:ascii="Times New Roman" w:hAnsi="Times New Roman" w:cs="Times New Roman"/>
          <w:color w:val="auto"/>
        </w:rPr>
        <w:t>. Considera-se como mês de atualização, o período mensal compreendido entre duas datas de aniversários consecutivas das Debêntures;</w:t>
      </w:r>
    </w:p>
    <w:p w:rsidR="0021590C" w:rsidRPr="0021590C" w:rsidRDefault="0021590C" w:rsidP="0021590C">
      <w:pPr>
        <w:pStyle w:val="Default"/>
        <w:ind w:left="1701"/>
        <w:jc w:val="both"/>
        <w:rPr>
          <w:rFonts w:ascii="Times New Roman" w:hAnsi="Times New Roman" w:cs="Times New Roman"/>
          <w:color w:val="auto"/>
        </w:rPr>
      </w:pPr>
      <w:proofErr w:type="spellStart"/>
      <w:r w:rsidRPr="0021590C">
        <w:rPr>
          <w:rFonts w:ascii="Times New Roman" w:hAnsi="Times New Roman" w:cs="Times New Roman"/>
          <w:color w:val="auto"/>
        </w:rPr>
        <w:t>iv</w:t>
      </w:r>
      <w:proofErr w:type="spellEnd"/>
      <w:r w:rsidRPr="0021590C">
        <w:rPr>
          <w:rFonts w:ascii="Times New Roman" w:hAnsi="Times New Roman" w:cs="Times New Roman"/>
          <w:color w:val="auto"/>
        </w:rPr>
        <w:t xml:space="preserve">. O fator resultante da expressão: </w:t>
      </w:r>
    </w:p>
    <w:p w:rsidR="0021590C" w:rsidRPr="0021590C" w:rsidRDefault="0021590C" w:rsidP="0021590C">
      <w:pPr>
        <w:pStyle w:val="Default"/>
        <w:ind w:left="1701"/>
        <w:jc w:val="both"/>
        <w:rPr>
          <w:rFonts w:ascii="Times New Roman" w:hAnsi="Times New Roman" w:cs="Times New Roman"/>
          <w:color w:val="auto"/>
        </w:rPr>
      </w:pPr>
    </w:p>
    <w:p w:rsidR="0021590C" w:rsidRPr="0021590C" w:rsidRDefault="0021590C" w:rsidP="0021590C">
      <w:pPr>
        <w:pStyle w:val="Default"/>
        <w:ind w:left="1701"/>
        <w:jc w:val="center"/>
        <w:rPr>
          <w:rFonts w:ascii="Times New Roman" w:hAnsi="Times New Roman" w:cs="Times New Roman"/>
          <w:color w:val="auto"/>
        </w:rPr>
      </w:pPr>
      <w:r w:rsidRPr="0021590C">
        <w:rPr>
          <w:rFonts w:ascii="Times New Roman" w:hAnsi="Times New Roman" w:cs="Times New Roman"/>
          <w:noProof/>
          <w:color w:val="auto"/>
        </w:rPr>
        <w:drawing>
          <wp:inline distT="0" distB="0" distL="0" distR="0" wp14:anchorId="0DA5E979" wp14:editId="30FA7DF5">
            <wp:extent cx="638175" cy="4667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466725"/>
                    </a:xfrm>
                    <a:prstGeom prst="rect">
                      <a:avLst/>
                    </a:prstGeom>
                    <a:noFill/>
                    <a:ln>
                      <a:noFill/>
                    </a:ln>
                  </pic:spPr>
                </pic:pic>
              </a:graphicData>
            </a:graphic>
          </wp:inline>
        </w:drawing>
      </w:r>
    </w:p>
    <w:p w:rsidR="0021590C" w:rsidRPr="0021590C" w:rsidRDefault="0021590C" w:rsidP="0021590C">
      <w:pPr>
        <w:pStyle w:val="Default"/>
        <w:ind w:left="1701"/>
        <w:jc w:val="both"/>
        <w:rPr>
          <w:rFonts w:ascii="Times New Roman" w:hAnsi="Times New Roman" w:cs="Times New Roman"/>
          <w:color w:val="auto"/>
        </w:rPr>
      </w:pPr>
      <w:proofErr w:type="gramStart"/>
      <w:r w:rsidRPr="0021590C">
        <w:rPr>
          <w:rFonts w:ascii="Times New Roman" w:hAnsi="Times New Roman" w:cs="Times New Roman"/>
          <w:color w:val="auto"/>
        </w:rPr>
        <w:t>é</w:t>
      </w:r>
      <w:proofErr w:type="gramEnd"/>
      <w:r w:rsidRPr="0021590C">
        <w:rPr>
          <w:rFonts w:ascii="Times New Roman" w:hAnsi="Times New Roman" w:cs="Times New Roman"/>
          <w:color w:val="auto"/>
        </w:rPr>
        <w:t xml:space="preserve"> considerado com 8 (oito) casas decimais, sem arredondamento;</w:t>
      </w:r>
    </w:p>
    <w:p w:rsidR="0021590C" w:rsidRPr="0021590C" w:rsidRDefault="0021590C" w:rsidP="0021590C">
      <w:pPr>
        <w:pStyle w:val="Default"/>
        <w:ind w:left="1701"/>
        <w:jc w:val="both"/>
        <w:rPr>
          <w:rFonts w:ascii="Times New Roman" w:hAnsi="Times New Roman" w:cs="Times New Roman"/>
          <w:color w:val="auto"/>
        </w:rPr>
      </w:pPr>
    </w:p>
    <w:p w:rsidR="0021590C" w:rsidRPr="0021590C" w:rsidRDefault="0021590C" w:rsidP="0021590C">
      <w:pPr>
        <w:pStyle w:val="Default"/>
        <w:ind w:left="1701"/>
        <w:jc w:val="both"/>
        <w:rPr>
          <w:rFonts w:ascii="Times New Roman" w:hAnsi="Times New Roman" w:cs="Times New Roman"/>
          <w:color w:val="auto"/>
        </w:rPr>
      </w:pPr>
      <w:r w:rsidRPr="0021590C">
        <w:rPr>
          <w:rFonts w:ascii="Times New Roman" w:hAnsi="Times New Roman" w:cs="Times New Roman"/>
          <w:color w:val="auto"/>
        </w:rPr>
        <w:t xml:space="preserve">v. O </w:t>
      </w:r>
      <w:proofErr w:type="spellStart"/>
      <w:r w:rsidRPr="0021590C">
        <w:rPr>
          <w:rFonts w:ascii="Times New Roman" w:hAnsi="Times New Roman" w:cs="Times New Roman"/>
          <w:color w:val="auto"/>
        </w:rPr>
        <w:t>produtório</w:t>
      </w:r>
      <w:proofErr w:type="spellEnd"/>
      <w:r w:rsidRPr="0021590C">
        <w:rPr>
          <w:rFonts w:ascii="Times New Roman" w:hAnsi="Times New Roman" w:cs="Times New Roman"/>
          <w:color w:val="auto"/>
        </w:rPr>
        <w:t xml:space="preserve"> é executado a partir do fator mais recente, acrescentando-se, em seguida, os mais remotos. Os resultados intermediários são calculados com 16 (dezesseis) casas decimais, sem arredondamento;</w:t>
      </w:r>
    </w:p>
    <w:p w:rsidR="0021590C" w:rsidRPr="0021590C" w:rsidRDefault="0021590C" w:rsidP="0021590C">
      <w:pPr>
        <w:pStyle w:val="Default"/>
        <w:ind w:left="1701"/>
        <w:jc w:val="both"/>
        <w:rPr>
          <w:rFonts w:ascii="Times New Roman" w:hAnsi="Times New Roman" w:cs="Times New Roman"/>
          <w:color w:val="auto"/>
        </w:rPr>
      </w:pPr>
      <w:r w:rsidRPr="0021590C">
        <w:rPr>
          <w:rFonts w:ascii="Times New Roman" w:hAnsi="Times New Roman" w:cs="Times New Roman"/>
          <w:color w:val="auto"/>
        </w:rPr>
        <w:t xml:space="preserve">vi. Os valores dos finais de semana ou feriados serão iguais ao valor do Dia Útil subsequente, apropriando o </w:t>
      </w:r>
      <w:proofErr w:type="gramStart"/>
      <w:r w:rsidRPr="0021590C">
        <w:rPr>
          <w:rFonts w:ascii="Times New Roman" w:hAnsi="Times New Roman" w:cs="Times New Roman"/>
          <w:color w:val="auto"/>
        </w:rPr>
        <w:t>“</w:t>
      </w:r>
      <w:r w:rsidRPr="0021590C">
        <w:rPr>
          <w:rFonts w:ascii="Times New Roman" w:hAnsi="Times New Roman" w:cs="Times New Roman"/>
          <w:i/>
          <w:color w:val="auto"/>
        </w:rPr>
        <w:t>pro</w:t>
      </w:r>
      <w:proofErr w:type="gramEnd"/>
      <w:r w:rsidRPr="0021590C">
        <w:rPr>
          <w:rFonts w:ascii="Times New Roman" w:hAnsi="Times New Roman" w:cs="Times New Roman"/>
          <w:i/>
          <w:color w:val="auto"/>
        </w:rPr>
        <w:t xml:space="preserve"> rata</w:t>
      </w:r>
      <w:r w:rsidRPr="0021590C">
        <w:rPr>
          <w:rFonts w:ascii="Times New Roman" w:hAnsi="Times New Roman" w:cs="Times New Roman"/>
          <w:color w:val="auto"/>
        </w:rPr>
        <w:t>” do último Dia Útil anterior.</w:t>
      </w:r>
    </w:p>
    <w:p w:rsidR="009E17AE" w:rsidRPr="009E17AE" w:rsidRDefault="009E17AE" w:rsidP="009E17AE">
      <w:pPr>
        <w:spacing w:line="340" w:lineRule="exact"/>
        <w:ind w:left="1701"/>
        <w:contextualSpacing/>
        <w:jc w:val="both"/>
      </w:pPr>
    </w:p>
    <w:p w:rsidR="00EC0783" w:rsidRPr="00FA38D4" w:rsidRDefault="00DA7FD6" w:rsidP="00EC0783">
      <w:pPr>
        <w:numPr>
          <w:ilvl w:val="2"/>
          <w:numId w:val="3"/>
        </w:numPr>
        <w:spacing w:after="120"/>
        <w:jc w:val="both"/>
        <w:rPr>
          <w:szCs w:val="26"/>
        </w:rPr>
      </w:pPr>
      <w:r w:rsidRPr="00A47A67">
        <w:rPr>
          <w:i/>
        </w:rPr>
        <w:t>juros remuneratórios</w:t>
      </w:r>
      <w:r w:rsidRPr="00A47A67">
        <w:t xml:space="preserve">:  </w:t>
      </w:r>
      <w:bookmarkEnd w:id="24"/>
      <w:r w:rsidR="00EC0783" w:rsidRPr="00FA38D4">
        <w:rPr>
          <w:szCs w:val="26"/>
        </w:rPr>
        <w:t xml:space="preserve">sobre o Valor Nominal Unitário </w:t>
      </w:r>
      <w:r w:rsidR="00C25D94">
        <w:rPr>
          <w:szCs w:val="26"/>
        </w:rPr>
        <w:t>A</w:t>
      </w:r>
      <w:r w:rsidR="00EC0783" w:rsidRPr="00FA38D4">
        <w:rPr>
          <w:szCs w:val="26"/>
        </w:rPr>
        <w:t xml:space="preserve">tualizado </w:t>
      </w:r>
      <w:bookmarkStart w:id="28" w:name="_Ref137107209"/>
      <w:r w:rsidR="00EC0783" w:rsidRPr="00FA38D4">
        <w:rPr>
          <w:szCs w:val="26"/>
        </w:rPr>
        <w:t xml:space="preserve">das Debêntures incidirão juros remuneratórios equivalentes à taxa de 9,50 </w:t>
      </w:r>
      <w:r w:rsidR="00C25D94">
        <w:rPr>
          <w:szCs w:val="26"/>
        </w:rPr>
        <w:t xml:space="preserve">(nove inteiros e cinquenta décimos por cento) </w:t>
      </w:r>
      <w:r w:rsidR="00EC0783" w:rsidRPr="00FA38D4">
        <w:rPr>
          <w:szCs w:val="26"/>
        </w:rPr>
        <w:t>ao ano</w:t>
      </w:r>
      <w:r w:rsidR="00EC0783" w:rsidRPr="006B31D1">
        <w:rPr>
          <w:szCs w:val="26"/>
        </w:rPr>
        <w:t>, base</w:t>
      </w:r>
      <w:r w:rsidR="00EC0783" w:rsidRPr="002E7EE0">
        <w:rPr>
          <w:szCs w:val="26"/>
        </w:rPr>
        <w:t xml:space="preserve"> </w:t>
      </w:r>
      <w:r w:rsidR="00EC0783" w:rsidRPr="001E5DD9">
        <w:rPr>
          <w:szCs w:val="26"/>
        </w:rPr>
        <w:t>252 (duzentos e cinquenta e dois) dias úteis</w:t>
      </w:r>
      <w:r w:rsidR="00EC0783" w:rsidRPr="00FA38D4">
        <w:rPr>
          <w:szCs w:val="26"/>
        </w:rPr>
        <w:t xml:space="preserve"> ("</w:t>
      </w:r>
      <w:r w:rsidR="00EC0783" w:rsidRPr="00FA38D4">
        <w:rPr>
          <w:szCs w:val="26"/>
          <w:u w:val="single"/>
        </w:rPr>
        <w:t>Remuneração</w:t>
      </w:r>
      <w:r w:rsidR="00EC0783" w:rsidRPr="00FA38D4">
        <w:rPr>
          <w:szCs w:val="26"/>
        </w:rPr>
        <w:t xml:space="preserve">"), calculados de </w:t>
      </w:r>
      <w:r w:rsidR="00EC0783" w:rsidRPr="00FA38D4">
        <w:rPr>
          <w:szCs w:val="26"/>
        </w:rPr>
        <w:lastRenderedPageBreak/>
        <w:t xml:space="preserve">forma exponencial e cumulativa </w:t>
      </w:r>
      <w:r w:rsidR="00EC0783" w:rsidRPr="00FA38D4">
        <w:rPr>
          <w:i/>
          <w:szCs w:val="26"/>
        </w:rPr>
        <w:t xml:space="preserve">pro rata </w:t>
      </w:r>
      <w:proofErr w:type="spellStart"/>
      <w:r w:rsidR="00EC0783" w:rsidRPr="00FA38D4">
        <w:rPr>
          <w:i/>
          <w:szCs w:val="26"/>
        </w:rPr>
        <w:t>temporis</w:t>
      </w:r>
      <w:proofErr w:type="spellEnd"/>
      <w:r w:rsidR="00EC0783" w:rsidRPr="00FA38D4">
        <w:rPr>
          <w:szCs w:val="26"/>
        </w:rPr>
        <w:t>, desde a Data de Emissão ou a data de pagamento de Remuneração imediatamente anterior, conforme o caso, até a data do efetivo pagamento.  Sem prejuízo dos pagamentos em decorrência de resgate antecipado das Debêntures, de amortização antecipada das Debêntures e/ou de vencimento antecipado das obrigações decorrentes das Debêntures, nos termos previstos nesta Escritura de Emissão, a Remuneração será integralmente paga em 1 (uma) parcela, na Data de Vencimento.  A Remuneração será calculada de acordo com a seguinte fórmula:</w:t>
      </w:r>
    </w:p>
    <w:p w:rsidR="00EC0783" w:rsidRPr="00A70934" w:rsidRDefault="00EC0783" w:rsidP="00EC0783">
      <w:pPr>
        <w:ind w:left="1701"/>
        <w:rPr>
          <w:szCs w:val="26"/>
        </w:rPr>
      </w:pPr>
    </w:p>
    <w:p w:rsidR="00EC0783" w:rsidRPr="00A70934" w:rsidRDefault="00EC0783" w:rsidP="00EC0783">
      <w:pPr>
        <w:ind w:left="1701"/>
        <w:jc w:val="center"/>
        <w:rPr>
          <w:szCs w:val="26"/>
        </w:rPr>
      </w:pPr>
      <w:r w:rsidRPr="00A70934">
        <w:rPr>
          <w:szCs w:val="26"/>
        </w:rPr>
        <w:t xml:space="preserve">J = </w:t>
      </w:r>
      <w:proofErr w:type="spellStart"/>
      <w:r w:rsidRPr="00A70934">
        <w:rPr>
          <w:szCs w:val="26"/>
        </w:rPr>
        <w:t>VNa</w:t>
      </w:r>
      <w:proofErr w:type="spellEnd"/>
      <w:r w:rsidRPr="00A70934">
        <w:rPr>
          <w:szCs w:val="26"/>
        </w:rPr>
        <w:t xml:space="preserve"> x </w:t>
      </w:r>
      <w:r>
        <w:rPr>
          <w:szCs w:val="26"/>
        </w:rPr>
        <w:t>(Fator Juros -1)</w:t>
      </w:r>
    </w:p>
    <w:p w:rsidR="00EC0783" w:rsidRPr="00A70934" w:rsidRDefault="00EC0783" w:rsidP="00EC0783">
      <w:pPr>
        <w:ind w:left="1701"/>
        <w:rPr>
          <w:szCs w:val="26"/>
        </w:rPr>
      </w:pPr>
    </w:p>
    <w:p w:rsidR="00EC0783" w:rsidRPr="00A70934" w:rsidRDefault="00EC0783" w:rsidP="00EC0783">
      <w:pPr>
        <w:ind w:left="1701"/>
        <w:rPr>
          <w:szCs w:val="26"/>
        </w:rPr>
      </w:pPr>
      <w:r w:rsidRPr="00A70934">
        <w:rPr>
          <w:szCs w:val="26"/>
        </w:rPr>
        <w:t>Onde:</w:t>
      </w:r>
    </w:p>
    <w:p w:rsidR="00EC0783" w:rsidRPr="00A70934" w:rsidRDefault="00EC0783" w:rsidP="00EC0783">
      <w:pPr>
        <w:ind w:left="1701"/>
        <w:rPr>
          <w:szCs w:val="26"/>
        </w:rPr>
      </w:pPr>
    </w:p>
    <w:p w:rsidR="00EC0783" w:rsidRPr="00A70934" w:rsidRDefault="00EC0783" w:rsidP="00A57330">
      <w:pPr>
        <w:ind w:left="1701"/>
        <w:rPr>
          <w:szCs w:val="26"/>
        </w:rPr>
      </w:pPr>
      <w:r w:rsidRPr="00A70934">
        <w:rPr>
          <w:szCs w:val="26"/>
        </w:rPr>
        <w:t>J = valor dos Juros Remuneratórios devidos</w:t>
      </w:r>
      <w:r w:rsidR="00A57330">
        <w:rPr>
          <w:szCs w:val="26"/>
        </w:rPr>
        <w:t xml:space="preserve"> </w:t>
      </w:r>
      <w:r w:rsidR="00A57330" w:rsidRPr="00A57330">
        <w:rPr>
          <w:szCs w:val="26"/>
        </w:rPr>
        <w:t>no final do período</w:t>
      </w:r>
      <w:r w:rsidR="00A57330">
        <w:rPr>
          <w:szCs w:val="26"/>
        </w:rPr>
        <w:t xml:space="preserve"> </w:t>
      </w:r>
      <w:r w:rsidR="00A57330" w:rsidRPr="00A57330">
        <w:rPr>
          <w:szCs w:val="26"/>
        </w:rPr>
        <w:t>entre a Data de Emissão ou a data de pagamento dos juros</w:t>
      </w:r>
      <w:r w:rsidR="00A57330">
        <w:rPr>
          <w:szCs w:val="26"/>
        </w:rPr>
        <w:t xml:space="preserve"> </w:t>
      </w:r>
      <w:r w:rsidR="00A57330" w:rsidRPr="00A57330">
        <w:rPr>
          <w:szCs w:val="26"/>
        </w:rPr>
        <w:t>remuneratórios imediatamente anterior, conforme o caso e a</w:t>
      </w:r>
      <w:r w:rsidR="00A57330">
        <w:rPr>
          <w:szCs w:val="26"/>
        </w:rPr>
        <w:t xml:space="preserve"> </w:t>
      </w:r>
      <w:r w:rsidR="00A57330" w:rsidRPr="00A57330">
        <w:rPr>
          <w:szCs w:val="26"/>
        </w:rPr>
        <w:t xml:space="preserve">próxima data de pagamento </w:t>
      </w:r>
      <w:proofErr w:type="gramStart"/>
      <w:r w:rsidR="00A57330" w:rsidRPr="00A57330">
        <w:rPr>
          <w:szCs w:val="26"/>
        </w:rPr>
        <w:t>do juros</w:t>
      </w:r>
      <w:r w:rsidR="00A57330">
        <w:rPr>
          <w:szCs w:val="26"/>
        </w:rPr>
        <w:t xml:space="preserve"> </w:t>
      </w:r>
      <w:r w:rsidR="00A57330" w:rsidRPr="00A57330">
        <w:rPr>
          <w:szCs w:val="26"/>
        </w:rPr>
        <w:t>remuneratórios</w:t>
      </w:r>
      <w:proofErr w:type="gramEnd"/>
      <w:r w:rsidR="00A57330" w:rsidRPr="00A57330">
        <w:rPr>
          <w:szCs w:val="26"/>
        </w:rPr>
        <w:t>;</w:t>
      </w:r>
    </w:p>
    <w:p w:rsidR="00EC0783" w:rsidRPr="00A70934" w:rsidRDefault="00EC0783" w:rsidP="00EC0783">
      <w:pPr>
        <w:ind w:left="1701"/>
        <w:rPr>
          <w:szCs w:val="26"/>
        </w:rPr>
      </w:pPr>
      <w:proofErr w:type="spellStart"/>
      <w:r w:rsidRPr="00A70934">
        <w:rPr>
          <w:szCs w:val="26"/>
        </w:rPr>
        <w:t>VNa</w:t>
      </w:r>
      <w:proofErr w:type="spellEnd"/>
      <w:r w:rsidRPr="00A70934">
        <w:rPr>
          <w:szCs w:val="26"/>
        </w:rPr>
        <w:t xml:space="preserve"> = Valor Nominal Unitário </w:t>
      </w:r>
      <w:r w:rsidR="00A57330">
        <w:rPr>
          <w:szCs w:val="26"/>
        </w:rPr>
        <w:t>A</w:t>
      </w:r>
      <w:r w:rsidR="00A57330" w:rsidRPr="00A70934">
        <w:rPr>
          <w:szCs w:val="26"/>
        </w:rPr>
        <w:t>tualizado</w:t>
      </w:r>
      <w:r w:rsidRPr="00A70934">
        <w:rPr>
          <w:szCs w:val="26"/>
        </w:rPr>
        <w:t>;</w:t>
      </w:r>
    </w:p>
    <w:p w:rsidR="00EC0783" w:rsidRDefault="00EC0783" w:rsidP="00EC0783">
      <w:pPr>
        <w:ind w:left="1701"/>
        <w:rPr>
          <w:szCs w:val="26"/>
        </w:rPr>
      </w:pPr>
      <w:r>
        <w:rPr>
          <w:szCs w:val="26"/>
        </w:rPr>
        <w:t xml:space="preserve">Fator Juros = juros fixos, </w:t>
      </w:r>
      <w:r w:rsidRPr="008F4A94">
        <w:rPr>
          <w:szCs w:val="26"/>
        </w:rPr>
        <w:t xml:space="preserve">calculado com </w:t>
      </w:r>
      <w:r w:rsidR="00A57330">
        <w:rPr>
          <w:szCs w:val="26"/>
        </w:rPr>
        <w:t>8</w:t>
      </w:r>
      <w:r w:rsidR="00A57330" w:rsidRPr="008F4A94">
        <w:rPr>
          <w:szCs w:val="26"/>
        </w:rPr>
        <w:t xml:space="preserve"> </w:t>
      </w:r>
      <w:r w:rsidRPr="008F4A94">
        <w:rPr>
          <w:szCs w:val="26"/>
        </w:rPr>
        <w:t>(</w:t>
      </w:r>
      <w:r w:rsidR="00A57330">
        <w:rPr>
          <w:szCs w:val="26"/>
        </w:rPr>
        <w:t>oito</w:t>
      </w:r>
      <w:r w:rsidRPr="008F4A94">
        <w:rPr>
          <w:szCs w:val="26"/>
        </w:rPr>
        <w:t>) casas decimais, com arredondamento</w:t>
      </w:r>
      <w:r>
        <w:rPr>
          <w:szCs w:val="26"/>
        </w:rPr>
        <w:t>, apurado da seguinte forma:</w:t>
      </w:r>
    </w:p>
    <w:p w:rsidR="00EC0783" w:rsidRDefault="00EC0783" w:rsidP="00EC0783">
      <w:pPr>
        <w:ind w:left="1701"/>
        <w:rPr>
          <w:szCs w:val="26"/>
        </w:rPr>
      </w:pPr>
    </w:p>
    <w:p w:rsidR="00EC0783" w:rsidRDefault="00527E98" w:rsidP="00EC0783">
      <w:pPr>
        <w:ind w:left="2410" w:firstLine="426"/>
        <w:rPr>
          <w:szCs w:val="26"/>
        </w:rPr>
      </w:pPr>
      <w:r>
        <w:rPr>
          <w:noProof/>
        </w:rPr>
        <w:drawing>
          <wp:inline distT="0" distB="0" distL="0" distR="0" wp14:anchorId="19BB0AD9" wp14:editId="75B32516">
            <wp:extent cx="2425065" cy="659765"/>
            <wp:effectExtent l="0" t="0" r="0" b="6985"/>
            <wp:docPr id="4" name="Imagem 4"/>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5065" cy="659765"/>
                    </a:xfrm>
                    <a:prstGeom prst="rect">
                      <a:avLst/>
                    </a:prstGeom>
                    <a:noFill/>
                    <a:ln>
                      <a:noFill/>
                    </a:ln>
                  </pic:spPr>
                </pic:pic>
              </a:graphicData>
            </a:graphic>
          </wp:inline>
        </w:drawing>
      </w:r>
    </w:p>
    <w:bookmarkEnd w:id="28"/>
    <w:p w:rsidR="00EC0783" w:rsidRPr="00A70934" w:rsidRDefault="00EC0783" w:rsidP="00EC0783">
      <w:pPr>
        <w:ind w:left="1701"/>
        <w:rPr>
          <w:szCs w:val="26"/>
        </w:rPr>
      </w:pPr>
      <w:r w:rsidRPr="00A70934">
        <w:rPr>
          <w:szCs w:val="26"/>
        </w:rPr>
        <w:t>Onde:</w:t>
      </w:r>
    </w:p>
    <w:p w:rsidR="00EC0783" w:rsidRDefault="00EC0783" w:rsidP="00EC0783">
      <w:pPr>
        <w:ind w:left="1701"/>
        <w:rPr>
          <w:color w:val="212121"/>
        </w:rPr>
      </w:pPr>
      <w:r>
        <w:rPr>
          <w:szCs w:val="26"/>
        </w:rPr>
        <w:t xml:space="preserve">Taxa = </w:t>
      </w:r>
      <w:r>
        <w:rPr>
          <w:color w:val="212121"/>
        </w:rPr>
        <w:t>9,5</w:t>
      </w:r>
      <w:r w:rsidR="00527E98">
        <w:rPr>
          <w:color w:val="212121"/>
        </w:rPr>
        <w:t>00</w:t>
      </w:r>
      <w:r>
        <w:rPr>
          <w:color w:val="212121"/>
        </w:rPr>
        <w:t xml:space="preserve">0 </w:t>
      </w:r>
    </w:p>
    <w:p w:rsidR="00EC0783" w:rsidRDefault="00527E98" w:rsidP="00EC0783">
      <w:pPr>
        <w:ind w:left="1701"/>
        <w:rPr>
          <w:color w:val="212121"/>
        </w:rPr>
      </w:pPr>
      <w:proofErr w:type="gramStart"/>
      <w:r>
        <w:rPr>
          <w:color w:val="212121"/>
        </w:rPr>
        <w:t>n</w:t>
      </w:r>
      <w:proofErr w:type="gramEnd"/>
      <w:r>
        <w:rPr>
          <w:color w:val="212121"/>
        </w:rPr>
        <w:t xml:space="preserve"> </w:t>
      </w:r>
      <w:r w:rsidR="00EC0783">
        <w:rPr>
          <w:color w:val="212121"/>
        </w:rPr>
        <w:t>= número de dias úteis entre a data do próximo evento e a data do evento anterior, sendo “n” um número inteiro;</w:t>
      </w:r>
    </w:p>
    <w:p w:rsidR="00EC0783" w:rsidRDefault="00EC0783" w:rsidP="00EC0783">
      <w:pPr>
        <w:ind w:left="1701"/>
        <w:rPr>
          <w:szCs w:val="26"/>
        </w:rPr>
      </w:pPr>
    </w:p>
    <w:p w:rsidR="00DA7FD6" w:rsidRPr="004E1FBE" w:rsidRDefault="00DA7FD6" w:rsidP="00EC0783">
      <w:pPr>
        <w:spacing w:line="340" w:lineRule="exact"/>
        <w:ind w:left="1701"/>
        <w:contextualSpacing/>
        <w:jc w:val="both"/>
      </w:pPr>
    </w:p>
    <w:bookmarkEnd w:id="20"/>
    <w:bookmarkEnd w:id="21"/>
    <w:bookmarkEnd w:id="22"/>
    <w:bookmarkEnd w:id="25"/>
    <w:bookmarkEnd w:id="26"/>
    <w:bookmarkEnd w:id="27"/>
    <w:p w:rsidR="00DA7FD6" w:rsidRPr="004E1FBE" w:rsidRDefault="00DA7FD6" w:rsidP="00F215C8">
      <w:pPr>
        <w:numPr>
          <w:ilvl w:val="1"/>
          <w:numId w:val="3"/>
        </w:numPr>
        <w:spacing w:line="340" w:lineRule="exact"/>
        <w:contextualSpacing/>
        <w:jc w:val="both"/>
      </w:pPr>
      <w:r w:rsidRPr="004E1FBE">
        <w:rPr>
          <w:i/>
        </w:rPr>
        <w:t>Repactuação Programada</w:t>
      </w:r>
      <w:r w:rsidRPr="004E1FBE">
        <w:t>.  Não haverá repactuação programada.</w:t>
      </w:r>
    </w:p>
    <w:p w:rsidR="00F215C8" w:rsidRDefault="00DA7FD6" w:rsidP="00F215C8">
      <w:pPr>
        <w:numPr>
          <w:ilvl w:val="1"/>
          <w:numId w:val="3"/>
        </w:numPr>
        <w:spacing w:after="120" w:line="340" w:lineRule="exact"/>
        <w:jc w:val="both"/>
        <w:rPr>
          <w:szCs w:val="26"/>
        </w:rPr>
      </w:pPr>
      <w:bookmarkStart w:id="29" w:name="_Ref261777536"/>
      <w:bookmarkStart w:id="30" w:name="_Ref272362243"/>
      <w:bookmarkStart w:id="31" w:name="_Ref534176584"/>
      <w:bookmarkEnd w:id="13"/>
      <w:bookmarkEnd w:id="23"/>
      <w:r w:rsidRPr="004E1FBE">
        <w:rPr>
          <w:i/>
        </w:rPr>
        <w:t>Resgate Antecipado Facultativo</w:t>
      </w:r>
      <w:r w:rsidRPr="004E1FBE">
        <w:t xml:space="preserve">.  Sujeito ao atendimento das condições </w:t>
      </w:r>
      <w:r w:rsidR="00D011D8" w:rsidRPr="004E1FBE">
        <w:t>da Escritura de Emissão</w:t>
      </w:r>
      <w:r w:rsidRPr="004E1FBE">
        <w:t>, a Companhia poderá, a seu exclusivo critério, realizar</w:t>
      </w:r>
      <w:bookmarkEnd w:id="29"/>
      <w:r w:rsidRPr="004E1FBE">
        <w:t xml:space="preserve">, a qualquer tempo, e com aviso prévio (por meio de publicação de anúncio nos termos da </w:t>
      </w:r>
      <w:r w:rsidR="001756A7" w:rsidRPr="004E1FBE">
        <w:t>Escritura de Emissão</w:t>
      </w:r>
      <w:r w:rsidRPr="004E1FBE">
        <w:t xml:space="preserve"> ou de comunicação individual), aos Debenturistas, ao Agente Fiduciário, ao </w:t>
      </w:r>
      <w:proofErr w:type="spellStart"/>
      <w:r w:rsidRPr="004E1FBE">
        <w:t>Escriturador</w:t>
      </w:r>
      <w:proofErr w:type="spellEnd"/>
      <w:r w:rsidRPr="004E1FBE">
        <w:t>, ao Banco Liquidante e à B3, de 5 (cinco) Dias Úteis da data do evento, o resgate antecipado da totalidade (sendo vedado o resgate parcial) das Debêntures, com o conse</w:t>
      </w:r>
      <w:r w:rsidRPr="004E1FBE">
        <w:lastRenderedPageBreak/>
        <w:t>quente cancelamento de tais Debêntures, mediante o pagamento aos Debenturistas do</w:t>
      </w:r>
      <w:r w:rsidR="004C78A7" w:rsidRPr="004E1FBE">
        <w:t xml:space="preserve"> Valor Nominal Unitário </w:t>
      </w:r>
      <w:r w:rsidR="00527E98">
        <w:t>Atualizado</w:t>
      </w:r>
      <w:r w:rsidRPr="004E1FBE">
        <w:t xml:space="preserve"> das Debêntures, </w:t>
      </w:r>
      <w:r w:rsidR="004C78A7" w:rsidRPr="004E1FBE">
        <w:t xml:space="preserve">conforme o caso, </w:t>
      </w:r>
      <w:r w:rsidRPr="004E1FBE">
        <w:t xml:space="preserve">acrescido da Remuneração, calculada </w:t>
      </w:r>
      <w:r w:rsidRPr="004E1FBE">
        <w:rPr>
          <w:i/>
        </w:rPr>
        <w:t>pro</w:t>
      </w:r>
      <w:r w:rsidRPr="004E1FBE">
        <w:t xml:space="preserve"> </w:t>
      </w:r>
      <w:r w:rsidRPr="004E1FBE">
        <w:rPr>
          <w:i/>
        </w:rPr>
        <w:t xml:space="preserve">rata </w:t>
      </w:r>
      <w:proofErr w:type="spellStart"/>
      <w:r w:rsidRPr="004E1FBE">
        <w:rPr>
          <w:i/>
        </w:rPr>
        <w:t>temporis</w:t>
      </w:r>
      <w:proofErr w:type="spellEnd"/>
      <w:r w:rsidRPr="004E1FBE">
        <w:t xml:space="preserve"> desde a Data de Emissão ou a data de pagamento de Remuneração imediatamente anterior, conforme o caso, até a data do efetivo pagamento</w:t>
      </w:r>
      <w:r w:rsidR="00F215C8">
        <w:rPr>
          <w:szCs w:val="26"/>
        </w:rPr>
        <w:t xml:space="preserve">, acrescido de prêmio de resgate antecipado facultativo total </w:t>
      </w:r>
      <w:r w:rsidR="00F215C8" w:rsidRPr="00C55DA5">
        <w:rPr>
          <w:szCs w:val="26"/>
        </w:rPr>
        <w:t xml:space="preserve"> de </w:t>
      </w:r>
      <w:r w:rsidR="00A757CE">
        <w:rPr>
          <w:szCs w:val="26"/>
        </w:rPr>
        <w:t>9,5</w:t>
      </w:r>
      <w:r w:rsidR="00F215C8" w:rsidRPr="00C55DA5">
        <w:rPr>
          <w:szCs w:val="26"/>
        </w:rPr>
        <w:t>% (</w:t>
      </w:r>
      <w:r w:rsidR="00A757CE">
        <w:rPr>
          <w:szCs w:val="26"/>
        </w:rPr>
        <w:t>nove inteiros e cinquenta décimos)</w:t>
      </w:r>
      <w:r w:rsidR="00F215C8" w:rsidRPr="00C55DA5">
        <w:rPr>
          <w:szCs w:val="26"/>
        </w:rPr>
        <w:t xml:space="preserve"> ao ano</w:t>
      </w:r>
      <w:r w:rsidR="00646078">
        <w:rPr>
          <w:szCs w:val="26"/>
        </w:rPr>
        <w:t>,</w:t>
      </w:r>
      <w:r w:rsidR="00F215C8" w:rsidRPr="00C55DA5">
        <w:rPr>
          <w:szCs w:val="26"/>
        </w:rPr>
        <w:t xml:space="preserve"> base 252 </w:t>
      </w:r>
      <w:r w:rsidR="00A757CE">
        <w:rPr>
          <w:szCs w:val="26"/>
        </w:rPr>
        <w:t xml:space="preserve">(duzentos e cinquenta e dois) </w:t>
      </w:r>
      <w:r w:rsidR="00F215C8" w:rsidRPr="00C55DA5">
        <w:rPr>
          <w:szCs w:val="26"/>
        </w:rPr>
        <w:t xml:space="preserve">dias úteis incidente sobre o </w:t>
      </w:r>
      <w:r w:rsidR="00F215C8" w:rsidRPr="00111F04">
        <w:rPr>
          <w:szCs w:val="26"/>
        </w:rPr>
        <w:t xml:space="preserve">saldo do Valor Nominal Unitário </w:t>
      </w:r>
      <w:r w:rsidR="00B31078">
        <w:rPr>
          <w:szCs w:val="26"/>
        </w:rPr>
        <w:t xml:space="preserve">Atualizado </w:t>
      </w:r>
      <w:r w:rsidR="00F215C8" w:rsidRPr="00111F04">
        <w:rPr>
          <w:szCs w:val="26"/>
        </w:rPr>
        <w:t xml:space="preserve">das </w:t>
      </w:r>
      <w:r w:rsidR="00F215C8" w:rsidRPr="00646078">
        <w:rPr>
          <w:szCs w:val="26"/>
        </w:rPr>
        <w:t xml:space="preserve">Debêntures, calculado </w:t>
      </w:r>
      <w:r w:rsidR="00F215C8" w:rsidRPr="00646078">
        <w:rPr>
          <w:i/>
          <w:szCs w:val="26"/>
        </w:rPr>
        <w:t xml:space="preserve">pro rata </w:t>
      </w:r>
      <w:proofErr w:type="spellStart"/>
      <w:r w:rsidR="00F215C8" w:rsidRPr="00646078">
        <w:rPr>
          <w:i/>
          <w:szCs w:val="26"/>
        </w:rPr>
        <w:t>temporis</w:t>
      </w:r>
      <w:proofErr w:type="spellEnd"/>
      <w:r w:rsidR="00F215C8" w:rsidRPr="00646078">
        <w:rPr>
          <w:szCs w:val="26"/>
        </w:rPr>
        <w:t xml:space="preserve"> pelo prazo faltante até a Data de Vencimento das Debêntures</w:t>
      </w:r>
      <w:r w:rsidR="00F215C8">
        <w:rPr>
          <w:szCs w:val="26"/>
        </w:rPr>
        <w:t xml:space="preserve"> e apurado conforme fórmula a seguir:</w:t>
      </w:r>
    </w:p>
    <w:p w:rsidR="00A60CB5" w:rsidRDefault="00A60CB5" w:rsidP="00A60CB5">
      <w:pPr>
        <w:spacing w:after="120"/>
        <w:ind w:left="709"/>
        <w:jc w:val="both"/>
        <w:rPr>
          <w:sz w:val="26"/>
          <w:szCs w:val="26"/>
        </w:rPr>
      </w:pPr>
    </w:p>
    <w:p w:rsidR="00A60CB5" w:rsidRDefault="00A60CB5" w:rsidP="00A60CB5">
      <w:pPr>
        <w:pStyle w:val="PargrafodaLista"/>
        <w:spacing w:afterLines="120" w:after="288" w:line="280" w:lineRule="atLeast"/>
        <w:ind w:left="1429"/>
        <w:jc w:val="center"/>
        <w:rPr>
          <w:szCs w:val="20"/>
        </w:rPr>
      </w:pPr>
      <m:oMathPara>
        <m:oMath>
          <m:r>
            <w:rPr>
              <w:rFonts w:ascii="Cambria Math" w:hAnsi="Cambria Math"/>
              <w:sz w:val="20"/>
            </w:rPr>
            <m:t>Prêmio de Resgate Antecipado Facultativo Total= VN x</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sz w:val="20"/>
                            </w:rPr>
                            <m:t>1+</m:t>
                          </m:r>
                          <m:f>
                            <m:fPr>
                              <m:ctrlPr>
                                <w:rPr>
                                  <w:rFonts w:ascii="Cambria Math" w:hAnsi="Cambria Math"/>
                                  <w:i/>
                                </w:rPr>
                              </m:ctrlPr>
                            </m:fPr>
                            <m:num>
                              <m:r>
                                <w:rPr>
                                  <w:rFonts w:ascii="Cambria Math" w:hAnsi="Cambria Math"/>
                                  <w:sz w:val="20"/>
                                </w:rPr>
                                <m:t>[.]</m:t>
                              </m:r>
                            </m:num>
                            <m:den>
                              <m:r>
                                <w:rPr>
                                  <w:rFonts w:ascii="Cambria Math" w:hAnsi="Cambria Math"/>
                                  <w:sz w:val="20"/>
                                </w:rPr>
                                <m:t>100</m:t>
                              </m:r>
                            </m:den>
                          </m:f>
                        </m:e>
                      </m:d>
                    </m:e>
                    <m:sup>
                      <m:f>
                        <m:fPr>
                          <m:ctrlPr>
                            <w:rPr>
                              <w:rFonts w:ascii="Cambria Math" w:hAnsi="Cambria Math"/>
                              <w:i/>
                            </w:rPr>
                          </m:ctrlPr>
                        </m:fPr>
                        <m:num>
                          <m:r>
                            <w:rPr>
                              <w:rFonts w:ascii="Cambria Math" w:hAnsi="Cambria Math"/>
                              <w:sz w:val="20"/>
                            </w:rPr>
                            <m:t>DP</m:t>
                          </m:r>
                        </m:num>
                        <m:den>
                          <m:r>
                            <w:rPr>
                              <w:rFonts w:ascii="Cambria Math" w:hAnsi="Cambria Math"/>
                              <w:sz w:val="20"/>
                            </w:rPr>
                            <m:t>252</m:t>
                          </m:r>
                        </m:den>
                      </m:f>
                    </m:sup>
                  </m:sSup>
                </m:e>
              </m:d>
              <m:r>
                <w:rPr>
                  <w:rFonts w:ascii="Cambria Math" w:hAnsi="Cambria Math"/>
                  <w:sz w:val="20"/>
                </w:rPr>
                <m:t>-1</m:t>
              </m:r>
            </m:e>
          </m:d>
        </m:oMath>
      </m:oMathPara>
    </w:p>
    <w:p w:rsidR="00F215C8" w:rsidRDefault="00F215C8" w:rsidP="00F215C8">
      <w:pPr>
        <w:spacing w:afterLines="120" w:after="288" w:line="340" w:lineRule="exact"/>
        <w:ind w:left="709"/>
      </w:pPr>
      <w:r>
        <w:t>Onde:</w:t>
      </w:r>
    </w:p>
    <w:p w:rsidR="00F215C8" w:rsidRPr="00071B90" w:rsidRDefault="00F215C8" w:rsidP="00F215C8">
      <w:pPr>
        <w:spacing w:afterLines="120" w:after="288" w:line="340" w:lineRule="exact"/>
        <w:ind w:left="709"/>
      </w:pPr>
      <w:proofErr w:type="spellStart"/>
      <w:r w:rsidRPr="00882817">
        <w:t>VN</w:t>
      </w:r>
      <w:r w:rsidR="003B217B">
        <w:t>a</w:t>
      </w:r>
      <w:proofErr w:type="spellEnd"/>
      <w:r w:rsidRPr="00882817">
        <w:t xml:space="preserve"> = </w:t>
      </w:r>
      <w:r>
        <w:t xml:space="preserve">Valor </w:t>
      </w:r>
      <w:r w:rsidRPr="00882817">
        <w:t>Nominal Unitário</w:t>
      </w:r>
      <w:r w:rsidR="003B217B">
        <w:t xml:space="preserve"> Atualizado</w:t>
      </w:r>
      <w:r w:rsidRPr="00882817">
        <w:t xml:space="preserve"> das Debêntures, calculado com 8 (oito) casas decimais, sem arredondamento; e</w:t>
      </w:r>
      <w:r>
        <w:t xml:space="preserve"> </w:t>
      </w:r>
      <w:r w:rsidRPr="00071B90">
        <w:t xml:space="preserve"> </w:t>
      </w:r>
    </w:p>
    <w:p w:rsidR="00F215C8" w:rsidRPr="00071B90" w:rsidRDefault="00F215C8" w:rsidP="00F215C8">
      <w:pPr>
        <w:spacing w:afterLines="120" w:after="288" w:line="340" w:lineRule="exact"/>
        <w:ind w:left="709"/>
      </w:pPr>
      <w:r w:rsidRPr="00071B90">
        <w:t>DP = número de Dias Úteis entre a data do efetivo Resgate Antecipado Facultativo Total e a Data de Vencimento, sendo “DP” um número inteiro.</w:t>
      </w:r>
    </w:p>
    <w:p w:rsidR="00F215C8" w:rsidRPr="00F215C8" w:rsidRDefault="00DA7FD6" w:rsidP="000D21CF">
      <w:pPr>
        <w:numPr>
          <w:ilvl w:val="1"/>
          <w:numId w:val="3"/>
        </w:numPr>
        <w:spacing w:line="340" w:lineRule="exact"/>
        <w:contextualSpacing/>
        <w:jc w:val="both"/>
      </w:pPr>
      <w:bookmarkStart w:id="32" w:name="_Ref285570716"/>
      <w:bookmarkStart w:id="33" w:name="_Ref366061184"/>
      <w:r w:rsidRPr="00F215C8">
        <w:rPr>
          <w:i/>
        </w:rPr>
        <w:t xml:space="preserve">Amortização </w:t>
      </w:r>
      <w:r w:rsidR="00F215C8" w:rsidRPr="00F215C8">
        <w:rPr>
          <w:i/>
        </w:rPr>
        <w:t>Extraordinária</w:t>
      </w:r>
      <w:r w:rsidRPr="00F215C8">
        <w:rPr>
          <w:i/>
        </w:rPr>
        <w:t xml:space="preserve"> Facultativa</w:t>
      </w:r>
      <w:r w:rsidRPr="004E1FBE">
        <w:t xml:space="preserve">. </w:t>
      </w:r>
      <w:r w:rsidR="00EB4A2A" w:rsidRPr="004E1FBE">
        <w:t>A</w:t>
      </w:r>
      <w:r w:rsidRPr="004E1FBE">
        <w:t xml:space="preserve"> Companhia poderá, a seu exclusivo critério, realizar, a qualquer tempo, e com aviso prévio aos Debenturistas (por meio de publicação de anúncio nos termos da </w:t>
      </w:r>
      <w:r w:rsidR="001756A7" w:rsidRPr="004E1FBE">
        <w:t>Escritura de Emissão</w:t>
      </w:r>
      <w:r w:rsidRPr="004E1FBE">
        <w:t xml:space="preserve"> ou de comunicação individual), aos Debenturistas, ao Agente Fiduciário, ao </w:t>
      </w:r>
      <w:proofErr w:type="spellStart"/>
      <w:r w:rsidRPr="004E1FBE">
        <w:t>Escriturador</w:t>
      </w:r>
      <w:proofErr w:type="spellEnd"/>
      <w:r w:rsidRPr="004E1FBE">
        <w:t xml:space="preserve">, ao Banco Liquidante e à B3, de 5 (cinco) Dias Úteis da data do evento, amortizações </w:t>
      </w:r>
      <w:r w:rsidR="00F215C8">
        <w:t>extraordinárias</w:t>
      </w:r>
      <w:r w:rsidRPr="004E1FBE">
        <w:t xml:space="preserve"> sobre o </w:t>
      </w:r>
      <w:r w:rsidR="004C78A7" w:rsidRPr="004E1FBE">
        <w:t xml:space="preserve">Valor Nominal Unitário </w:t>
      </w:r>
      <w:r w:rsidR="00F62FE7">
        <w:t xml:space="preserve">Atualizado </w:t>
      </w:r>
      <w:r w:rsidRPr="004E1FBE">
        <w:t xml:space="preserve">das Debêntures, mediante o pagamento aos Debenturistas de parcela do </w:t>
      </w:r>
      <w:r w:rsidR="004C78A7" w:rsidRPr="004E1FBE">
        <w:t xml:space="preserve">Valor Nominal Unitário </w:t>
      </w:r>
      <w:r w:rsidR="00F62FE7">
        <w:t xml:space="preserve">Atualizado </w:t>
      </w:r>
      <w:r w:rsidRPr="004E1FBE">
        <w:t xml:space="preserve">das Debêntures em circulação a ser amortizada, limitada a 98% (noventa e oito por cento) do saldo do Valor Nominal Unitário </w:t>
      </w:r>
      <w:r w:rsidR="00973E9D">
        <w:t xml:space="preserve">Atualizado </w:t>
      </w:r>
      <w:r w:rsidRPr="004E1FBE">
        <w:t xml:space="preserve">das Debêntures, acrescido da Remuneração, calculada </w:t>
      </w:r>
      <w:r w:rsidRPr="00F215C8">
        <w:rPr>
          <w:i/>
        </w:rPr>
        <w:t>pro</w:t>
      </w:r>
      <w:r w:rsidRPr="004E1FBE">
        <w:t xml:space="preserve"> </w:t>
      </w:r>
      <w:r w:rsidRPr="00F215C8">
        <w:rPr>
          <w:i/>
        </w:rPr>
        <w:t xml:space="preserve">rata </w:t>
      </w:r>
      <w:proofErr w:type="spellStart"/>
      <w:r w:rsidRPr="00F215C8">
        <w:rPr>
          <w:i/>
        </w:rPr>
        <w:t>temporis</w:t>
      </w:r>
      <w:proofErr w:type="spellEnd"/>
      <w:r w:rsidRPr="004E1FBE">
        <w:t xml:space="preserve"> desde a Data de Emissão ou a data de pagamento de Remuneração imediatamente anterior, conforme o caso, até a data do efetivo pagamento</w:t>
      </w:r>
      <w:r w:rsidR="004C78A7" w:rsidRPr="004E1FBE">
        <w:t xml:space="preserve">, </w:t>
      </w:r>
      <w:bookmarkStart w:id="34" w:name="_Ref279314174"/>
      <w:bookmarkEnd w:id="30"/>
      <w:bookmarkEnd w:id="32"/>
      <w:bookmarkEnd w:id="33"/>
      <w:r w:rsidR="00F215C8" w:rsidRPr="004F4E37">
        <w:rPr>
          <w:szCs w:val="26"/>
        </w:rPr>
        <w:t xml:space="preserve">acrescido de  prêmio de amortização extraordinária facultativa de </w:t>
      </w:r>
      <w:r w:rsidR="00646078">
        <w:rPr>
          <w:szCs w:val="26"/>
        </w:rPr>
        <w:t>9,5</w:t>
      </w:r>
      <w:r w:rsidR="00973E9D">
        <w:rPr>
          <w:szCs w:val="26"/>
        </w:rPr>
        <w:t>0</w:t>
      </w:r>
      <w:r w:rsidR="00646078" w:rsidRPr="00C55DA5">
        <w:rPr>
          <w:szCs w:val="26"/>
        </w:rPr>
        <w:t>% (</w:t>
      </w:r>
      <w:r w:rsidR="00646078">
        <w:rPr>
          <w:szCs w:val="26"/>
        </w:rPr>
        <w:t>nove inteiros e cinquenta décimos</w:t>
      </w:r>
      <w:r w:rsidR="00F215C8" w:rsidRPr="004F4E37">
        <w:rPr>
          <w:szCs w:val="26"/>
        </w:rPr>
        <w:t>) ao ano</w:t>
      </w:r>
      <w:r w:rsidR="00646078">
        <w:rPr>
          <w:szCs w:val="26"/>
        </w:rPr>
        <w:t>,</w:t>
      </w:r>
      <w:r w:rsidR="00F215C8" w:rsidRPr="004F4E37">
        <w:rPr>
          <w:szCs w:val="26"/>
        </w:rPr>
        <w:t xml:space="preserve"> base 252 dias úteis</w:t>
      </w:r>
      <w:r w:rsidR="00646078">
        <w:rPr>
          <w:szCs w:val="26"/>
        </w:rPr>
        <w:t>,</w:t>
      </w:r>
      <w:r w:rsidR="00F215C8" w:rsidRPr="004F4E37">
        <w:rPr>
          <w:szCs w:val="26"/>
        </w:rPr>
        <w:t xml:space="preserve"> incidente sobre o Valor Nominal Unitário </w:t>
      </w:r>
      <w:r w:rsidR="00973E9D">
        <w:rPr>
          <w:szCs w:val="26"/>
        </w:rPr>
        <w:t xml:space="preserve">Atualizado </w:t>
      </w:r>
      <w:r w:rsidR="00F215C8" w:rsidRPr="004F4E37">
        <w:rPr>
          <w:szCs w:val="26"/>
        </w:rPr>
        <w:t xml:space="preserve">das Debêntures, calculado </w:t>
      </w:r>
      <w:r w:rsidR="00F215C8" w:rsidRPr="004F4E37">
        <w:rPr>
          <w:i/>
          <w:szCs w:val="26"/>
        </w:rPr>
        <w:t xml:space="preserve">pro </w:t>
      </w:r>
      <w:r w:rsidR="00F215C8" w:rsidRPr="004F4E37">
        <w:rPr>
          <w:i/>
          <w:szCs w:val="26"/>
        </w:rPr>
        <w:lastRenderedPageBreak/>
        <w:t xml:space="preserve">rata </w:t>
      </w:r>
      <w:proofErr w:type="spellStart"/>
      <w:r w:rsidR="00F215C8" w:rsidRPr="004F4E37">
        <w:rPr>
          <w:i/>
          <w:szCs w:val="26"/>
        </w:rPr>
        <w:t>temporis</w:t>
      </w:r>
      <w:proofErr w:type="spellEnd"/>
      <w:r w:rsidR="00F215C8" w:rsidRPr="004F4E37">
        <w:rPr>
          <w:szCs w:val="26"/>
        </w:rPr>
        <w:t xml:space="preserve"> pelo prazo faltante até a Data de Vencimento das Debêntures, </w:t>
      </w:r>
      <w:r w:rsidR="00F215C8">
        <w:rPr>
          <w:szCs w:val="26"/>
        </w:rPr>
        <w:t xml:space="preserve"> e apurado conforme fórmula a seguir:</w:t>
      </w:r>
    </w:p>
    <w:p w:rsidR="00F215C8" w:rsidRPr="00F215C8" w:rsidRDefault="00F215C8" w:rsidP="00F215C8">
      <w:pPr>
        <w:spacing w:line="340" w:lineRule="exact"/>
        <w:ind w:left="709"/>
        <w:contextualSpacing/>
        <w:jc w:val="both"/>
      </w:pPr>
    </w:p>
    <w:p w:rsidR="00F215C8" w:rsidRDefault="00F215C8" w:rsidP="00F215C8">
      <w:pPr>
        <w:pStyle w:val="PargrafodaLista"/>
        <w:spacing w:afterLines="120" w:after="288" w:line="280" w:lineRule="atLeast"/>
        <w:ind w:left="709"/>
        <w:jc w:val="center"/>
        <w:rPr>
          <w:sz w:val="22"/>
          <w:szCs w:val="22"/>
        </w:rPr>
      </w:pPr>
      <m:oMathPara>
        <m:oMath>
          <m:r>
            <w:rPr>
              <w:rFonts w:ascii="Cambria Math" w:hAnsi="Cambria Math"/>
              <w:sz w:val="20"/>
            </w:rPr>
            <m:t>Prêmio de Amortização Extraordinária Facultativa= AMT x</m:t>
          </m:r>
          <m:d>
            <m:dPr>
              <m:begChr m:val="{"/>
              <m:endChr m:val="}"/>
              <m:ctrlPr>
                <w:rPr>
                  <w:rFonts w:ascii="Cambria Math" w:hAnsi="Cambria Math"/>
                  <w:i/>
                  <w:sz w:val="20"/>
                </w:rPr>
              </m:ctrlPr>
            </m:dPr>
            <m:e>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w:rPr>
                                  <w:rFonts w:ascii="Cambria Math" w:hAnsi="Cambria Math"/>
                                  <w:sz w:val="20"/>
                                </w:rPr>
                                <m:t>[.]</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r>
                <w:rPr>
                  <w:rFonts w:ascii="Cambria Math" w:hAnsi="Cambria Math"/>
                  <w:sz w:val="20"/>
                </w:rPr>
                <m:t>-1</m:t>
              </m:r>
            </m:e>
          </m:d>
        </m:oMath>
      </m:oMathPara>
    </w:p>
    <w:p w:rsidR="00F215C8" w:rsidRDefault="00F215C8" w:rsidP="00F215C8">
      <w:pPr>
        <w:pStyle w:val="PargrafodaLista"/>
        <w:spacing w:afterLines="120" w:after="288" w:line="280" w:lineRule="atLeast"/>
      </w:pPr>
    </w:p>
    <w:p w:rsidR="00F215C8" w:rsidRDefault="00F215C8" w:rsidP="00F215C8">
      <w:pPr>
        <w:pStyle w:val="PargrafodaLista"/>
        <w:spacing w:afterLines="120" w:after="288" w:line="280" w:lineRule="atLeast"/>
      </w:pPr>
      <w:r>
        <w:t>Onde:</w:t>
      </w:r>
    </w:p>
    <w:p w:rsidR="00F215C8" w:rsidRPr="00071B90" w:rsidRDefault="00F215C8" w:rsidP="00F215C8">
      <w:pPr>
        <w:spacing w:afterLines="120" w:after="288" w:line="280" w:lineRule="atLeast"/>
        <w:ind w:left="709"/>
      </w:pPr>
      <w:r>
        <w:t>AMT</w:t>
      </w:r>
      <w:r w:rsidRPr="00882817">
        <w:t xml:space="preserve"> = </w:t>
      </w:r>
      <w:r>
        <w:t>v</w:t>
      </w:r>
      <w:r w:rsidRPr="00882817">
        <w:t xml:space="preserve">alor </w:t>
      </w:r>
      <w:r>
        <w:t xml:space="preserve">da parcela de amortização do Valor </w:t>
      </w:r>
      <w:r w:rsidRPr="00882817">
        <w:t>Nominal Unitário Atualizado das Debêntures, calculado com 8 (oito) casas decimais, sem arredondamento; e</w:t>
      </w:r>
      <w:r>
        <w:t xml:space="preserve"> </w:t>
      </w:r>
      <w:r w:rsidRPr="00071B90">
        <w:t xml:space="preserve"> </w:t>
      </w:r>
    </w:p>
    <w:p w:rsidR="00F215C8" w:rsidRPr="00071B90" w:rsidRDefault="00F215C8" w:rsidP="00F215C8">
      <w:pPr>
        <w:pStyle w:val="PargrafodaLista"/>
        <w:spacing w:afterLines="120" w:after="288" w:line="280" w:lineRule="atLeast"/>
        <w:ind w:left="709"/>
      </w:pPr>
      <w:r w:rsidRPr="00071B90">
        <w:t xml:space="preserve">DP = número de Dias Úteis entre a data da efetiva Amortização Extraordinária </w:t>
      </w:r>
      <w:r>
        <w:t>Facultativa</w:t>
      </w:r>
      <w:r w:rsidRPr="00071B90">
        <w:t xml:space="preserve"> e a Data de Vencimento, sendo “DP” um número inteiro.</w:t>
      </w:r>
    </w:p>
    <w:p w:rsidR="00DA7FD6" w:rsidRPr="004E1FBE" w:rsidRDefault="00DA7FD6" w:rsidP="000D21CF">
      <w:pPr>
        <w:numPr>
          <w:ilvl w:val="1"/>
          <w:numId w:val="3"/>
        </w:numPr>
        <w:spacing w:line="340" w:lineRule="exact"/>
        <w:contextualSpacing/>
        <w:jc w:val="both"/>
      </w:pPr>
      <w:r w:rsidRPr="00F215C8">
        <w:rPr>
          <w:i/>
        </w:rPr>
        <w:t>Aquisição Facultativa</w:t>
      </w:r>
      <w:r w:rsidR="00EB4A2A" w:rsidRPr="004E1FBE">
        <w:t xml:space="preserve">. </w:t>
      </w:r>
      <w:r w:rsidRPr="004E1FBE">
        <w:t>A Companhia poderá, a qualquer tempo, adquirir Debêntures, desde que observe o disposto no artigo 55, parágrafo 3º, da Lei das Sociedades por Ações, nos artigos 13 e 15 da Instrução CVM 476 e na regulamentação aplicável da CVM</w:t>
      </w:r>
      <w:r w:rsidR="00F215C8" w:rsidRPr="00F215C8">
        <w:t xml:space="preserve"> </w:t>
      </w:r>
      <w:r w:rsidR="00F215C8">
        <w:t>e ainda, condicionado ao aceite do respectivo Debenturista vendedor</w:t>
      </w:r>
      <w:r w:rsidRPr="004E1FBE">
        <w:t xml:space="preserve">.  As Debêntures adquiridas pela Companhia deverão ser canceladas.  </w:t>
      </w:r>
      <w:bookmarkEnd w:id="34"/>
    </w:p>
    <w:p w:rsidR="00DA7FD6" w:rsidRPr="004E1FBE" w:rsidRDefault="00DA7FD6" w:rsidP="007C71C7">
      <w:pPr>
        <w:numPr>
          <w:ilvl w:val="1"/>
          <w:numId w:val="3"/>
        </w:numPr>
        <w:spacing w:line="340" w:lineRule="exact"/>
        <w:contextualSpacing/>
        <w:jc w:val="both"/>
      </w:pPr>
      <w:r w:rsidRPr="004E1FBE">
        <w:rPr>
          <w:i/>
        </w:rPr>
        <w:t>Direito ao Recebimento dos Pagamentos</w:t>
      </w:r>
      <w:r w:rsidRPr="004E1FBE">
        <w:t>.  Farão jus ao recebimento de qualquer valor devido aos Debenturistas nos termos da Escritura de Emissão aqueles que forem Debenturistas no encerramento do Dia Útil imediatamente anterior à respectiva data de pagamento.</w:t>
      </w:r>
    </w:p>
    <w:p w:rsidR="00DA7FD6" w:rsidRPr="004E1FBE" w:rsidRDefault="00DA7FD6" w:rsidP="007C71C7">
      <w:pPr>
        <w:numPr>
          <w:ilvl w:val="1"/>
          <w:numId w:val="3"/>
        </w:numPr>
        <w:spacing w:line="340" w:lineRule="exact"/>
        <w:contextualSpacing/>
        <w:jc w:val="both"/>
      </w:pPr>
      <w:bookmarkStart w:id="35" w:name="_Ref324932809"/>
      <w:r w:rsidRPr="004E1FBE">
        <w:rPr>
          <w:i/>
        </w:rPr>
        <w:t>Local de Pagamento</w:t>
      </w:r>
      <w:r w:rsidRPr="004E1FBE">
        <w:t>.  Os pagamentos referentes às Debêntures e a quaisquer outros valores eventualmente devidos pela Companhia</w:t>
      </w:r>
      <w:r w:rsidR="001756A7" w:rsidRPr="004E1FBE">
        <w:t xml:space="preserve"> nos termos d</w:t>
      </w:r>
      <w:r w:rsidR="004E1FBE" w:rsidRPr="004E1FBE">
        <w:t xml:space="preserve">a Escritura de Emissão </w:t>
      </w:r>
      <w:r w:rsidRPr="004E1FBE">
        <w:t>serão realizados</w:t>
      </w:r>
      <w:r w:rsidR="004E1FBE" w:rsidRPr="004E1FBE">
        <w:t xml:space="preserve"> </w:t>
      </w:r>
      <w:r w:rsidRPr="004E1FBE">
        <w:t>pela Companhia</w:t>
      </w:r>
      <w:r w:rsidR="004E1FBE" w:rsidRPr="004E1FBE">
        <w:t xml:space="preserve"> (i)</w:t>
      </w:r>
      <w:r w:rsidRPr="004E1FBE">
        <w:t xml:space="preserve"> no tocante a pagamentos referentes ao Valor Nominal Unitário</w:t>
      </w:r>
      <w:r w:rsidR="002E1ABF">
        <w:t xml:space="preserve"> Atualizado</w:t>
      </w:r>
      <w:r w:rsidRPr="004E1FBE">
        <w:t xml:space="preserve">, à Remuneração e aos Encargos Moratórios, e com relação às Debêntures que estejam custodiadas eletronicamente na B3, por meio da B3; </w:t>
      </w:r>
      <w:r w:rsidR="004E1FBE" w:rsidRPr="004E1FBE">
        <w:t xml:space="preserve">ou </w:t>
      </w:r>
      <w:r w:rsidRPr="004E1FBE">
        <w:t>(</w:t>
      </w:r>
      <w:proofErr w:type="spellStart"/>
      <w:proofErr w:type="gramStart"/>
      <w:r w:rsidRPr="004E1FBE">
        <w:t>ii</w:t>
      </w:r>
      <w:proofErr w:type="spellEnd"/>
      <w:r w:rsidRPr="004E1FBE">
        <w:t>)  nos</w:t>
      </w:r>
      <w:proofErr w:type="gramEnd"/>
      <w:r w:rsidRPr="004E1FBE">
        <w:t xml:space="preserve"> demais casos, por meio do </w:t>
      </w:r>
      <w:proofErr w:type="spellStart"/>
      <w:r w:rsidRPr="004E1FBE">
        <w:t>Escriturador</w:t>
      </w:r>
      <w:proofErr w:type="spellEnd"/>
      <w:r w:rsidRPr="004E1FBE">
        <w:t xml:space="preserve"> ou na sede da Companhia.</w:t>
      </w:r>
      <w:bookmarkEnd w:id="35"/>
    </w:p>
    <w:p w:rsidR="00DA7FD6" w:rsidRPr="004E1FBE" w:rsidRDefault="00DA7FD6" w:rsidP="007C71C7">
      <w:pPr>
        <w:numPr>
          <w:ilvl w:val="1"/>
          <w:numId w:val="3"/>
        </w:numPr>
        <w:spacing w:line="340" w:lineRule="exact"/>
        <w:contextualSpacing/>
        <w:jc w:val="both"/>
      </w:pPr>
      <w:bookmarkStart w:id="36" w:name="_Ref278399164"/>
      <w:r w:rsidRPr="004E1FBE">
        <w:rPr>
          <w:i/>
        </w:rPr>
        <w:t>Prorrogação dos Prazos</w:t>
      </w:r>
      <w:r w:rsidRPr="004E1FBE">
        <w:t>.  Considerar-se-ão prorrogados os prazos referentes ao pagamento de qualquer obrigação prevista na Escritura de Emissão até o 1º (primeiro) Dia Útil subsequente, se o seu vencimento coincidir com dia que não seja Dia Útil, não sendo devido qualquer acréscimo aos valores a serem pagos.  Para os fins da Escritura de Emissão, "</w:t>
      </w:r>
      <w:r w:rsidRPr="004E1FBE">
        <w:rPr>
          <w:u w:val="single"/>
        </w:rPr>
        <w:t>Dia Útil</w:t>
      </w:r>
      <w:r w:rsidRPr="004E1FBE">
        <w:t xml:space="preserve">" significa: </w:t>
      </w:r>
      <w:r w:rsidRPr="004E1FBE">
        <w:lastRenderedPageBreak/>
        <w:t>(i) com relação a qualquer obrigação pecuniária, qualquer dia que não seja sábado, domingo ou feriado declarado nacional; e (</w:t>
      </w:r>
      <w:proofErr w:type="spellStart"/>
      <w:r w:rsidRPr="004E1FBE">
        <w:t>ii</w:t>
      </w:r>
      <w:proofErr w:type="spellEnd"/>
      <w:r w:rsidRPr="004E1FBE">
        <w:t>) com relação a qualquer obrigação não pecuniária prevista na Escritura de Emissão, qualquer dia no qual haja expediente nos bancos comerciais na Cidade do Rio de Janeiro, Estado do Rio de Janeiro, e que não seja sábado ou domingo.</w:t>
      </w:r>
      <w:bookmarkEnd w:id="36"/>
    </w:p>
    <w:p w:rsidR="00DA7FD6" w:rsidRPr="004E1FBE" w:rsidRDefault="00DA7FD6" w:rsidP="007C71C7">
      <w:pPr>
        <w:numPr>
          <w:ilvl w:val="1"/>
          <w:numId w:val="3"/>
        </w:numPr>
        <w:spacing w:line="340" w:lineRule="exact"/>
        <w:contextualSpacing/>
        <w:jc w:val="both"/>
      </w:pPr>
      <w:bookmarkStart w:id="37" w:name="_Ref279851957"/>
      <w:r w:rsidRPr="004E1FBE">
        <w:rPr>
          <w:i/>
        </w:rPr>
        <w:t>Encargos Moratórios</w:t>
      </w:r>
      <w:r w:rsidRPr="004E1FBE">
        <w:t xml:space="preserve">.  Ocorrendo impontualidade no pagamento de qualquer valor devido pela Companhia aos Debenturistas nos termos da Escritura de Emissão, adicionalmente ao pagamento da Remuneração, calculada </w:t>
      </w:r>
      <w:r w:rsidRPr="004E1FBE">
        <w:rPr>
          <w:i/>
        </w:rPr>
        <w:t xml:space="preserve">pro rata </w:t>
      </w:r>
      <w:proofErr w:type="spellStart"/>
      <w:r w:rsidRPr="004E1FBE">
        <w:rPr>
          <w:i/>
        </w:rPr>
        <w:t>temporis</w:t>
      </w:r>
      <w:proofErr w:type="spellEnd"/>
      <w:r w:rsidRPr="004E1FBE">
        <w:t xml:space="preserve"> desde a Data de Emissão ou 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ou fração de mês, calculados </w:t>
      </w:r>
      <w:r w:rsidRPr="004E1FBE">
        <w:rPr>
          <w:i/>
        </w:rPr>
        <w:t xml:space="preserve">pro rata </w:t>
      </w:r>
      <w:proofErr w:type="spellStart"/>
      <w:r w:rsidRPr="004E1FBE">
        <w:rPr>
          <w:i/>
        </w:rPr>
        <w:t>temporis</w:t>
      </w:r>
      <w:proofErr w:type="spellEnd"/>
      <w:r w:rsidRPr="004E1FBE">
        <w:t xml:space="preserve"> desde a data de inadimplemento até a data do efetivo pagamento; e (</w:t>
      </w:r>
      <w:proofErr w:type="spellStart"/>
      <w:r w:rsidRPr="004E1FBE">
        <w:t>ii</w:t>
      </w:r>
      <w:proofErr w:type="spellEnd"/>
      <w:r w:rsidRPr="004E1FBE">
        <w:t>) multa moratória de 2% (dois por cento)</w:t>
      </w:r>
      <w:r w:rsidR="006A7E86" w:rsidRPr="004E1FBE">
        <w:t xml:space="preserve"> (“</w:t>
      </w:r>
      <w:r w:rsidRPr="004E1FBE">
        <w:rPr>
          <w:u w:val="single"/>
        </w:rPr>
        <w:t>Encargos Moratórios</w:t>
      </w:r>
      <w:r w:rsidR="001756A7" w:rsidRPr="004E1FBE">
        <w:t>”</w:t>
      </w:r>
      <w:r w:rsidRPr="004E1FBE">
        <w:t>).</w:t>
      </w:r>
      <w:bookmarkEnd w:id="37"/>
    </w:p>
    <w:p w:rsidR="00DA7FD6" w:rsidRPr="004E1FBE" w:rsidRDefault="00DA7FD6" w:rsidP="007C71C7">
      <w:pPr>
        <w:numPr>
          <w:ilvl w:val="1"/>
          <w:numId w:val="3"/>
        </w:numPr>
        <w:spacing w:line="340" w:lineRule="exact"/>
        <w:contextualSpacing/>
        <w:jc w:val="both"/>
      </w:pPr>
      <w:r w:rsidRPr="004E1FBE">
        <w:rPr>
          <w:i/>
        </w:rPr>
        <w:t>Decadência dos Direitos aos Acréscimos</w:t>
      </w:r>
      <w:r w:rsidRPr="004E1FBE">
        <w:t xml:space="preserve">.  O não comparecimento do Debenturista para receber o valor correspondente a quaisquer obrigações pecuniárias nas datas previstas na Escritura de Emissão ou em qualquer comunicação realizada ou aviso publicado nos termos da Escritura de Emissão não lhe dará o direito a qualquer acréscimo no período relativo ao atraso no recebimento, assegurados, todavia, os direitos adquiridos até a data do respectivo vencimento </w:t>
      </w:r>
      <w:r w:rsidRPr="004E1FBE">
        <w:rPr>
          <w:rFonts w:eastAsia="Batang"/>
        </w:rPr>
        <w:t>ou pagamento, no caso de impontualidade no pagamento</w:t>
      </w:r>
      <w:r w:rsidRPr="004E1FBE">
        <w:t>.</w:t>
      </w:r>
    </w:p>
    <w:bookmarkEnd w:id="31"/>
    <w:p w:rsidR="00DA7FD6" w:rsidRPr="004E1FBE" w:rsidRDefault="00DA7FD6" w:rsidP="007C71C7">
      <w:pPr>
        <w:numPr>
          <w:ilvl w:val="1"/>
          <w:numId w:val="3"/>
        </w:numPr>
        <w:spacing w:line="340" w:lineRule="exact"/>
        <w:contextualSpacing/>
        <w:jc w:val="both"/>
      </w:pPr>
      <w:r w:rsidRPr="004E1FBE">
        <w:rPr>
          <w:i/>
          <w:iCs/>
        </w:rPr>
        <w:t>Imunidade Tributária</w:t>
      </w:r>
      <w:r w:rsidRPr="004E1FBE">
        <w:t xml:space="preserve">.  Caso qualquer Debenturista tenha imunidade ou isenção tributária, este deverá encaminhar ao Banco Liquidante ou ao </w:t>
      </w:r>
      <w:proofErr w:type="spellStart"/>
      <w:r w:rsidRPr="004E1FBE">
        <w:t>Escriturador</w:t>
      </w:r>
      <w:proofErr w:type="spellEnd"/>
      <w:r w:rsidRPr="004E1FBE">
        <w:t>, conforme o caso,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p>
    <w:p w:rsidR="00DA7FD6" w:rsidRPr="004E1FBE" w:rsidRDefault="00DA7FD6" w:rsidP="007C71C7">
      <w:pPr>
        <w:numPr>
          <w:ilvl w:val="1"/>
          <w:numId w:val="3"/>
        </w:numPr>
        <w:spacing w:line="340" w:lineRule="exact"/>
        <w:contextualSpacing/>
        <w:jc w:val="both"/>
      </w:pPr>
      <w:bookmarkStart w:id="38" w:name="_Ref534176672"/>
      <w:bookmarkStart w:id="39" w:name="_Ref359943667"/>
      <w:r w:rsidRPr="004E1FBE">
        <w:rPr>
          <w:i/>
        </w:rPr>
        <w:t>Vencimento Antecipado</w:t>
      </w:r>
      <w:r w:rsidRPr="004E1FBE">
        <w:t xml:space="preserve">.  Sujeito ao disposto </w:t>
      </w:r>
      <w:r w:rsidR="00EB4A2A" w:rsidRPr="004E1FBE">
        <w:t>na Escritura</w:t>
      </w:r>
      <w:r w:rsidR="001756A7" w:rsidRPr="004E1FBE">
        <w:t xml:space="preserve"> de Emissão</w:t>
      </w:r>
      <w:r w:rsidRPr="004E1FBE">
        <w:t xml:space="preserve">, o Agente Fiduciário deverá declarar antecipadamente vencidas as obrigações decorrentes das Debêntures, e exigir o imediato pagamento, pela Companhia, do </w:t>
      </w:r>
      <w:r w:rsidR="00070174" w:rsidRPr="004E1FBE">
        <w:t xml:space="preserve">Valor Nominal Unitário </w:t>
      </w:r>
      <w:r w:rsidR="002E1ABF">
        <w:t>Atualizado</w:t>
      </w:r>
      <w:r w:rsidRPr="004E1FBE">
        <w:t xml:space="preserve"> das Debêntures, acrescido da Remuneração, calculada </w:t>
      </w:r>
      <w:r w:rsidRPr="004E1FBE">
        <w:rPr>
          <w:i/>
        </w:rPr>
        <w:t xml:space="preserve">pro rata </w:t>
      </w:r>
      <w:proofErr w:type="spellStart"/>
      <w:r w:rsidRPr="004E1FBE">
        <w:rPr>
          <w:i/>
        </w:rPr>
        <w:t>temporis</w:t>
      </w:r>
      <w:proofErr w:type="spellEnd"/>
      <w:r w:rsidRPr="004E1FBE">
        <w:t xml:space="preserve"> desde a Data de Emissão ou a data de pagamento de Remuneração imediatamente </w:t>
      </w:r>
      <w:r w:rsidRPr="004E1FBE">
        <w:lastRenderedPageBreak/>
        <w:t xml:space="preserve">anterior, conforme o caso, até a data do efetivo pagamento, sem prejuízo, quando for o caso, dos Encargos Moratórios, na ocorrência de qualquer dos eventos previstos na </w:t>
      </w:r>
      <w:r w:rsidR="001756A7" w:rsidRPr="004E1FBE">
        <w:t>Escritura de Emissão</w:t>
      </w:r>
      <w:r w:rsidRPr="004E1FBE">
        <w:t xml:space="preserve"> </w:t>
      </w:r>
      <w:r w:rsidR="001756A7" w:rsidRPr="004E1FBE">
        <w:t>(cada evento, um “</w:t>
      </w:r>
      <w:r w:rsidRPr="004E1FBE">
        <w:rPr>
          <w:u w:val="single"/>
        </w:rPr>
        <w:t>Evento de Inadimplemento</w:t>
      </w:r>
      <w:r w:rsidR="001756A7" w:rsidRPr="004E1FBE">
        <w:t>”</w:t>
      </w:r>
      <w:r w:rsidRPr="004E1FBE">
        <w:t>)</w:t>
      </w:r>
      <w:bookmarkEnd w:id="38"/>
      <w:r w:rsidRPr="004E1FBE">
        <w:t>.</w:t>
      </w:r>
      <w:bookmarkEnd w:id="39"/>
    </w:p>
    <w:p w:rsidR="004E3ADF" w:rsidRPr="004E1FBE" w:rsidRDefault="004E3ADF" w:rsidP="00D569F8">
      <w:pPr>
        <w:numPr>
          <w:ilvl w:val="1"/>
          <w:numId w:val="3"/>
        </w:numPr>
        <w:spacing w:line="340" w:lineRule="exact"/>
        <w:contextualSpacing/>
        <w:jc w:val="both"/>
      </w:pPr>
      <w:r w:rsidRPr="004E1FBE">
        <w:rPr>
          <w:i/>
        </w:rPr>
        <w:t>Publicidade</w:t>
      </w:r>
      <w:r w:rsidRPr="004E1FBE">
        <w:t>. Todos os atos e decisões relativos às Debêntures deverão ser comunicados, na forma de aviso, no DOERJ e no jornal "Diário Mercantil do Rio de Janeiro",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p>
    <w:p w:rsidR="00EB4A2A" w:rsidRPr="004E1FBE" w:rsidRDefault="00EB4A2A" w:rsidP="007C71C7">
      <w:pPr>
        <w:spacing w:line="340" w:lineRule="exact"/>
        <w:ind w:left="709"/>
        <w:contextualSpacing/>
        <w:jc w:val="both"/>
        <w:rPr>
          <w:i/>
        </w:rPr>
      </w:pPr>
    </w:p>
    <w:p w:rsidR="00696762" w:rsidRPr="004E1FBE" w:rsidRDefault="00696762" w:rsidP="004E1FBE">
      <w:pPr>
        <w:pStyle w:val="PargrafodaLista"/>
        <w:numPr>
          <w:ilvl w:val="1"/>
          <w:numId w:val="5"/>
        </w:numPr>
        <w:spacing w:line="340" w:lineRule="exact"/>
        <w:ind w:left="0" w:firstLine="0"/>
        <w:jc w:val="both"/>
        <w:rPr>
          <w:b/>
        </w:rPr>
      </w:pPr>
      <w:r w:rsidRPr="004E1FBE">
        <w:rPr>
          <w:color w:val="000000"/>
        </w:rPr>
        <w:t>Autorizar a Diretoria da Companhia a: (a) negociar todos os termos e condições que venham a ser aplicáveis à Emissão, inclusive no que se refere à contratação dos sistemas de distribuição e negociação das Debêntures nos mercados primário e secundário e, dentre outros, dos seguintes prestadores de serviços: (i) instituições financeiras integrantes do sistema de distribuição de valores mobiliários para serem responsáveis pela estruturação, coordenação e intermediação da distribuição das Debêntures, nos termos da Instrução CVM 476; (</w:t>
      </w:r>
      <w:proofErr w:type="spellStart"/>
      <w:r w:rsidRPr="004E1FBE">
        <w:rPr>
          <w:color w:val="000000"/>
        </w:rPr>
        <w:t>ii</w:t>
      </w:r>
      <w:proofErr w:type="spellEnd"/>
      <w:r w:rsidRPr="004E1FBE">
        <w:rPr>
          <w:color w:val="000000"/>
        </w:rPr>
        <w:t>) assessores jurídicos; (</w:t>
      </w:r>
      <w:proofErr w:type="spellStart"/>
      <w:r w:rsidRPr="004E1FBE">
        <w:rPr>
          <w:color w:val="000000"/>
        </w:rPr>
        <w:t>iii</w:t>
      </w:r>
      <w:proofErr w:type="spellEnd"/>
      <w:r w:rsidRPr="004E1FBE">
        <w:rPr>
          <w:color w:val="000000"/>
        </w:rPr>
        <w:t>) banco liquidante; (</w:t>
      </w:r>
      <w:proofErr w:type="spellStart"/>
      <w:r w:rsidRPr="004E1FBE">
        <w:rPr>
          <w:color w:val="000000"/>
        </w:rPr>
        <w:t>iv</w:t>
      </w:r>
      <w:proofErr w:type="spellEnd"/>
      <w:r w:rsidRPr="004E1FBE">
        <w:rPr>
          <w:color w:val="000000"/>
        </w:rPr>
        <w:t xml:space="preserve">) </w:t>
      </w:r>
      <w:proofErr w:type="spellStart"/>
      <w:r w:rsidRPr="004E1FBE">
        <w:rPr>
          <w:color w:val="000000"/>
        </w:rPr>
        <w:t>escriturador</w:t>
      </w:r>
      <w:proofErr w:type="spellEnd"/>
      <w:r w:rsidRPr="004E1FBE">
        <w:rPr>
          <w:color w:val="000000"/>
        </w:rPr>
        <w:t xml:space="preserve"> mandatário; e (v) agente fiduciário; além de (b) praticar todos os atos necessários par</w:t>
      </w:r>
      <w:bookmarkStart w:id="40" w:name="_GoBack"/>
      <w:bookmarkEnd w:id="40"/>
      <w:r w:rsidRPr="004E1FBE">
        <w:rPr>
          <w:color w:val="000000"/>
        </w:rPr>
        <w:t>a efetivar as deliberações aqui consubstanciadas e assinar os documentos necessários à efetivação da Oferta Restrita.</w:t>
      </w:r>
    </w:p>
    <w:p w:rsidR="00696762" w:rsidRPr="004E1FBE" w:rsidRDefault="00696762" w:rsidP="007C71C7">
      <w:pPr>
        <w:pStyle w:val="Corpodetexto"/>
        <w:spacing w:line="340" w:lineRule="exact"/>
        <w:contextualSpacing/>
        <w:jc w:val="both"/>
        <w:rPr>
          <w:b w:val="0"/>
          <w:szCs w:val="24"/>
        </w:rPr>
      </w:pPr>
    </w:p>
    <w:p w:rsidR="00696762" w:rsidRPr="004E1FBE" w:rsidRDefault="00696762" w:rsidP="007C71C7">
      <w:pPr>
        <w:pStyle w:val="PargrafodaLista"/>
        <w:numPr>
          <w:ilvl w:val="1"/>
          <w:numId w:val="5"/>
        </w:numPr>
        <w:spacing w:line="340" w:lineRule="exact"/>
        <w:ind w:left="0" w:firstLine="0"/>
        <w:jc w:val="both"/>
      </w:pPr>
      <w:r w:rsidRPr="004E1FBE">
        <w:rPr>
          <w:color w:val="000000"/>
        </w:rPr>
        <w:t>Ratificar</w:t>
      </w:r>
      <w:r w:rsidRPr="004E1FBE">
        <w:t xml:space="preserve"> todos os atos já praticados relacionados às deliberações acima, caso aplicável.</w:t>
      </w:r>
    </w:p>
    <w:p w:rsidR="0090375E" w:rsidRPr="004E1FBE" w:rsidRDefault="0090375E" w:rsidP="007C71C7">
      <w:pPr>
        <w:pStyle w:val="Corpodetexto"/>
        <w:spacing w:line="340" w:lineRule="exact"/>
        <w:contextualSpacing/>
        <w:jc w:val="both"/>
        <w:rPr>
          <w:smallCaps/>
          <w:szCs w:val="24"/>
          <w:u w:val="single"/>
        </w:rPr>
      </w:pPr>
    </w:p>
    <w:p w:rsidR="00B943E7" w:rsidRPr="004E1FBE" w:rsidRDefault="00271996" w:rsidP="007C71C7">
      <w:pPr>
        <w:pStyle w:val="PargrafodaLista"/>
        <w:numPr>
          <w:ilvl w:val="0"/>
          <w:numId w:val="5"/>
        </w:numPr>
        <w:autoSpaceDE w:val="0"/>
        <w:autoSpaceDN w:val="0"/>
        <w:adjustRightInd w:val="0"/>
        <w:spacing w:line="340" w:lineRule="exact"/>
        <w:ind w:left="0" w:firstLine="0"/>
        <w:jc w:val="both"/>
        <w:rPr>
          <w:b/>
        </w:rPr>
      </w:pPr>
      <w:r w:rsidRPr="004E1FBE">
        <w:rPr>
          <w:rFonts w:eastAsia="MS Mincho"/>
          <w:smallCaps/>
          <w:u w:val="single"/>
          <w:lang w:eastAsia="ja-JP"/>
        </w:rPr>
        <w:t>Encerramento</w:t>
      </w:r>
      <w:r w:rsidRPr="004E1FBE">
        <w:rPr>
          <w:smallCaps/>
          <w:u w:val="single"/>
        </w:rPr>
        <w:t>, Lavratura e Aprovação da Ata</w:t>
      </w:r>
      <w:r w:rsidRPr="004E1FBE">
        <w:t>: Nada mais havendo a tratar, a Assembleia foi encerrada e lavrada a presente ata em forma de sumário, conforme admitido pelo artigo 130, §1</w:t>
      </w:r>
      <w:r w:rsidRPr="004E1FBE">
        <w:rPr>
          <w:vertAlign w:val="superscript"/>
        </w:rPr>
        <w:t>o</w:t>
      </w:r>
      <w:r w:rsidRPr="004E1FBE">
        <w:t xml:space="preserve"> da Lei das Sociedades por Ações</w:t>
      </w:r>
      <w:r w:rsidR="00697AFB" w:rsidRPr="004E1FBE">
        <w:t>. A presente ata foi</w:t>
      </w:r>
      <w:r w:rsidRPr="004E1FBE">
        <w:t xml:space="preserve"> lida</w:t>
      </w:r>
      <w:r w:rsidR="00697AFB" w:rsidRPr="004E1FBE">
        <w:t>,</w:t>
      </w:r>
      <w:r w:rsidRPr="004E1FBE">
        <w:t xml:space="preserve"> achada conforme</w:t>
      </w:r>
      <w:r w:rsidR="00697AFB" w:rsidRPr="004E1FBE">
        <w:t xml:space="preserve"> e</w:t>
      </w:r>
      <w:r w:rsidRPr="004E1FBE">
        <w:t xml:space="preserve"> assinada por</w:t>
      </w:r>
      <w:r w:rsidR="00697AFB" w:rsidRPr="004E1FBE">
        <w:t xml:space="preserve"> todos os presentes.</w:t>
      </w:r>
    </w:p>
    <w:p w:rsidR="00B943E7" w:rsidRPr="004E1FBE" w:rsidRDefault="00B943E7" w:rsidP="007C71C7">
      <w:pPr>
        <w:pStyle w:val="Corpodetexto"/>
        <w:spacing w:line="340" w:lineRule="exact"/>
        <w:contextualSpacing/>
        <w:jc w:val="both"/>
        <w:rPr>
          <w:b w:val="0"/>
          <w:szCs w:val="24"/>
        </w:rPr>
      </w:pPr>
    </w:p>
    <w:p w:rsidR="00DF0323" w:rsidRPr="004E1FBE" w:rsidRDefault="00DF0323" w:rsidP="00DF0323">
      <w:pPr>
        <w:pStyle w:val="PargrafodaLista"/>
        <w:numPr>
          <w:ilvl w:val="0"/>
          <w:numId w:val="5"/>
        </w:numPr>
        <w:autoSpaceDE w:val="0"/>
        <w:autoSpaceDN w:val="0"/>
        <w:adjustRightInd w:val="0"/>
        <w:spacing w:line="340" w:lineRule="exact"/>
        <w:ind w:left="0" w:firstLine="0"/>
        <w:jc w:val="both"/>
      </w:pPr>
      <w:r w:rsidRPr="004E1FBE">
        <w:rPr>
          <w:rFonts w:eastAsia="MS Mincho"/>
          <w:smallCaps/>
          <w:u w:val="single"/>
          <w:lang w:eastAsia="ja-JP"/>
        </w:rPr>
        <w:t>Assinaturas</w:t>
      </w:r>
      <w:r w:rsidRPr="004E1FBE">
        <w:t xml:space="preserve">: Antonio José de Almeida Carneiro, Presidente; Pedro </w:t>
      </w:r>
      <w:proofErr w:type="spellStart"/>
      <w:r w:rsidRPr="004E1FBE">
        <w:t>Boardman</w:t>
      </w:r>
      <w:proofErr w:type="spellEnd"/>
      <w:r w:rsidRPr="004E1FBE">
        <w:t xml:space="preserve"> Carneiro, Secretário. Acionistas: Fundo de Investimento em Participações da Serra, Mariano </w:t>
      </w:r>
      <w:proofErr w:type="spellStart"/>
      <w:r w:rsidRPr="004E1FBE">
        <w:t>Boardman</w:t>
      </w:r>
      <w:proofErr w:type="spellEnd"/>
      <w:r w:rsidRPr="004E1FBE">
        <w:t xml:space="preserve"> Carneiro, Joana </w:t>
      </w:r>
      <w:proofErr w:type="spellStart"/>
      <w:r w:rsidRPr="004E1FBE">
        <w:t>Boardman</w:t>
      </w:r>
      <w:proofErr w:type="spellEnd"/>
      <w:r w:rsidRPr="004E1FBE">
        <w:t xml:space="preserve"> Carneiro, Pedro </w:t>
      </w:r>
      <w:proofErr w:type="spellStart"/>
      <w:r w:rsidRPr="004E1FBE">
        <w:t>Boardman</w:t>
      </w:r>
      <w:proofErr w:type="spellEnd"/>
      <w:r w:rsidRPr="004E1FBE">
        <w:t xml:space="preserve"> Carneiro, Maria Lucia </w:t>
      </w:r>
      <w:proofErr w:type="spellStart"/>
      <w:r w:rsidRPr="004E1FBE">
        <w:t>Boardman</w:t>
      </w:r>
      <w:proofErr w:type="spellEnd"/>
      <w:r w:rsidRPr="004E1FBE">
        <w:t xml:space="preserve"> Carneiro e Antonio José de Almeida Carneiro</w:t>
      </w:r>
    </w:p>
    <w:p w:rsidR="00DF0323" w:rsidRPr="004E1FBE" w:rsidRDefault="00DF0323" w:rsidP="00DF0323">
      <w:pPr>
        <w:pStyle w:val="PargrafodaLista"/>
        <w:autoSpaceDE w:val="0"/>
        <w:autoSpaceDN w:val="0"/>
        <w:adjustRightInd w:val="0"/>
        <w:spacing w:line="340" w:lineRule="exact"/>
        <w:ind w:left="0"/>
        <w:jc w:val="both"/>
        <w:rPr>
          <w:rFonts w:eastAsia="Calibri"/>
          <w:color w:val="000000"/>
          <w:szCs w:val="22"/>
        </w:rPr>
      </w:pPr>
    </w:p>
    <w:p w:rsidR="00DF0323" w:rsidRPr="004E1FBE" w:rsidRDefault="00DF0323" w:rsidP="00DF0323">
      <w:pPr>
        <w:autoSpaceDE w:val="0"/>
        <w:autoSpaceDN w:val="0"/>
        <w:adjustRightInd w:val="0"/>
        <w:spacing w:line="320" w:lineRule="exact"/>
        <w:jc w:val="center"/>
        <w:rPr>
          <w:rFonts w:eastAsia="Calibri"/>
          <w:color w:val="000000"/>
          <w:szCs w:val="22"/>
        </w:rPr>
      </w:pPr>
      <w:r w:rsidRPr="004E1FBE">
        <w:rPr>
          <w:rFonts w:eastAsia="Calibri"/>
          <w:color w:val="000000"/>
          <w:szCs w:val="22"/>
        </w:rPr>
        <w:t>Confere com o original lavrado em livro próprio.</w:t>
      </w:r>
    </w:p>
    <w:p w:rsidR="00DF0323" w:rsidRPr="004E1FBE" w:rsidRDefault="00DF0323" w:rsidP="007C71C7">
      <w:pPr>
        <w:pStyle w:val="Corpodetexto"/>
        <w:spacing w:line="340" w:lineRule="exact"/>
        <w:contextualSpacing/>
        <w:jc w:val="both"/>
        <w:rPr>
          <w:b w:val="0"/>
          <w:szCs w:val="24"/>
        </w:rPr>
      </w:pPr>
    </w:p>
    <w:p w:rsidR="0081573A" w:rsidRPr="004E1FBE" w:rsidRDefault="0081573A" w:rsidP="007C71C7">
      <w:pPr>
        <w:spacing w:line="340" w:lineRule="exact"/>
        <w:contextualSpacing/>
        <w:jc w:val="center"/>
        <w:rPr>
          <w:rFonts w:eastAsia="MS Mincho"/>
          <w:lang w:eastAsia="ja-JP"/>
        </w:rPr>
      </w:pPr>
      <w:bookmarkStart w:id="41" w:name="_DV_M7"/>
      <w:bookmarkStart w:id="42" w:name="_DV_M8"/>
      <w:bookmarkStart w:id="43" w:name="_DV_M9"/>
      <w:bookmarkStart w:id="44" w:name="_DV_M10"/>
      <w:bookmarkStart w:id="45" w:name="_DV_M11"/>
      <w:bookmarkStart w:id="46" w:name="art122iii"/>
      <w:bookmarkStart w:id="47" w:name="art122iv"/>
      <w:bookmarkStart w:id="48" w:name="art122v"/>
      <w:bookmarkStart w:id="49" w:name="art122vii"/>
      <w:bookmarkStart w:id="50" w:name="art122ix"/>
      <w:bookmarkEnd w:id="41"/>
      <w:bookmarkEnd w:id="42"/>
      <w:bookmarkEnd w:id="43"/>
      <w:bookmarkEnd w:id="44"/>
      <w:bookmarkEnd w:id="45"/>
      <w:bookmarkEnd w:id="46"/>
      <w:bookmarkEnd w:id="47"/>
      <w:bookmarkEnd w:id="48"/>
      <w:bookmarkEnd w:id="49"/>
      <w:bookmarkEnd w:id="50"/>
      <w:r w:rsidRPr="004E1FBE">
        <w:rPr>
          <w:rFonts w:eastAsia="MS Mincho"/>
          <w:lang w:eastAsia="ja-JP"/>
        </w:rPr>
        <w:t xml:space="preserve">Rio de Janeiro, </w:t>
      </w:r>
      <w:r w:rsidR="000F54D6">
        <w:t>22</w:t>
      </w:r>
      <w:r w:rsidR="000F54D6" w:rsidRPr="004E1FBE">
        <w:rPr>
          <w:rFonts w:eastAsia="MS Mincho"/>
          <w:lang w:eastAsia="ja-JP"/>
        </w:rPr>
        <w:t xml:space="preserve"> </w:t>
      </w:r>
      <w:r w:rsidR="004D0BA6">
        <w:rPr>
          <w:rFonts w:eastAsia="MS Mincho"/>
          <w:lang w:eastAsia="ja-JP"/>
        </w:rPr>
        <w:t xml:space="preserve">de janeiro </w:t>
      </w:r>
      <w:r w:rsidRPr="004E1FBE">
        <w:rPr>
          <w:rFonts w:eastAsia="MS Mincho"/>
          <w:lang w:eastAsia="ja-JP"/>
        </w:rPr>
        <w:t>de 201</w:t>
      </w:r>
      <w:r w:rsidR="004D0BA6">
        <w:rPr>
          <w:rFonts w:eastAsia="MS Mincho"/>
          <w:lang w:eastAsia="ja-JP"/>
        </w:rPr>
        <w:t>8</w:t>
      </w:r>
    </w:p>
    <w:p w:rsidR="0081573A" w:rsidRPr="004E1FBE" w:rsidRDefault="0081573A" w:rsidP="007C71C7">
      <w:pPr>
        <w:spacing w:line="340" w:lineRule="exact"/>
        <w:contextualSpacing/>
        <w:jc w:val="center"/>
        <w:rPr>
          <w:rFonts w:eastAsia="MS Mincho"/>
          <w:lang w:eastAsia="ja-JP"/>
        </w:rPr>
      </w:pPr>
    </w:p>
    <w:p w:rsidR="0081573A" w:rsidRPr="004E1FBE" w:rsidRDefault="0081573A" w:rsidP="007C71C7">
      <w:pPr>
        <w:spacing w:line="340" w:lineRule="exact"/>
        <w:contextualSpacing/>
        <w:jc w:val="both"/>
        <w:rPr>
          <w:rFonts w:eastAsia="MS Mincho"/>
          <w:lang w:eastAsia="ja-JP"/>
        </w:rPr>
      </w:pPr>
    </w:p>
    <w:p w:rsidR="0081573A" w:rsidRPr="004E1FBE" w:rsidRDefault="0081573A" w:rsidP="007C71C7">
      <w:pPr>
        <w:spacing w:line="340" w:lineRule="exact"/>
        <w:contextualSpacing/>
        <w:jc w:val="center"/>
      </w:pPr>
    </w:p>
    <w:tbl>
      <w:tblPr>
        <w:tblW w:w="9234" w:type="dxa"/>
        <w:tblLook w:val="00A0" w:firstRow="1" w:lastRow="0" w:firstColumn="1" w:lastColumn="0" w:noHBand="0" w:noVBand="0"/>
      </w:tblPr>
      <w:tblGrid>
        <w:gridCol w:w="4398"/>
        <w:gridCol w:w="468"/>
        <w:gridCol w:w="4368"/>
      </w:tblGrid>
      <w:tr w:rsidR="0081573A" w:rsidRPr="007C71C7" w:rsidTr="003077BF">
        <w:tc>
          <w:tcPr>
            <w:tcW w:w="4398" w:type="dxa"/>
            <w:tcBorders>
              <w:top w:val="single" w:sz="4" w:space="0" w:color="auto"/>
            </w:tcBorders>
          </w:tcPr>
          <w:p w:rsidR="0081573A" w:rsidRPr="004E1FBE" w:rsidRDefault="0081573A" w:rsidP="007C71C7">
            <w:pPr>
              <w:spacing w:line="340" w:lineRule="exact"/>
              <w:contextualSpacing/>
              <w:jc w:val="center"/>
            </w:pPr>
            <w:r w:rsidRPr="004E1FBE">
              <w:rPr>
                <w:smallCaps/>
              </w:rPr>
              <w:t>Antonio José de Almeida Carneiro</w:t>
            </w:r>
          </w:p>
          <w:p w:rsidR="0081573A" w:rsidRPr="004E1FBE" w:rsidRDefault="0081573A" w:rsidP="007C71C7">
            <w:pPr>
              <w:spacing w:line="340" w:lineRule="exact"/>
              <w:contextualSpacing/>
              <w:jc w:val="center"/>
              <w:rPr>
                <w:i/>
              </w:rPr>
            </w:pPr>
            <w:r w:rsidRPr="004E1FBE">
              <w:rPr>
                <w:i/>
              </w:rPr>
              <w:t>Presidente</w:t>
            </w:r>
          </w:p>
        </w:tc>
        <w:tc>
          <w:tcPr>
            <w:tcW w:w="468" w:type="dxa"/>
          </w:tcPr>
          <w:p w:rsidR="0081573A" w:rsidRPr="004E1FBE" w:rsidRDefault="0081573A" w:rsidP="007C71C7">
            <w:pPr>
              <w:spacing w:line="340" w:lineRule="exact"/>
              <w:contextualSpacing/>
              <w:jc w:val="both"/>
            </w:pPr>
          </w:p>
        </w:tc>
        <w:tc>
          <w:tcPr>
            <w:tcW w:w="4368" w:type="dxa"/>
            <w:tcBorders>
              <w:top w:val="single" w:sz="4" w:space="0" w:color="auto"/>
            </w:tcBorders>
          </w:tcPr>
          <w:p w:rsidR="0081573A" w:rsidRPr="004E1FBE" w:rsidRDefault="0081573A" w:rsidP="007C71C7">
            <w:pPr>
              <w:spacing w:line="340" w:lineRule="exact"/>
              <w:contextualSpacing/>
              <w:jc w:val="center"/>
            </w:pPr>
            <w:r w:rsidRPr="004E1FBE">
              <w:rPr>
                <w:smallCaps/>
              </w:rPr>
              <w:t xml:space="preserve">Pedro </w:t>
            </w:r>
            <w:proofErr w:type="spellStart"/>
            <w:r w:rsidRPr="004E1FBE">
              <w:rPr>
                <w:smallCaps/>
              </w:rPr>
              <w:t>Boardman</w:t>
            </w:r>
            <w:proofErr w:type="spellEnd"/>
            <w:r w:rsidRPr="004E1FBE">
              <w:rPr>
                <w:smallCaps/>
              </w:rPr>
              <w:t xml:space="preserve"> Carneiro</w:t>
            </w:r>
          </w:p>
          <w:p w:rsidR="0081573A" w:rsidRPr="007C71C7" w:rsidRDefault="0081573A" w:rsidP="007C71C7">
            <w:pPr>
              <w:spacing w:line="340" w:lineRule="exact"/>
              <w:contextualSpacing/>
              <w:jc w:val="center"/>
              <w:rPr>
                <w:i/>
              </w:rPr>
            </w:pPr>
            <w:r w:rsidRPr="004E1FBE">
              <w:rPr>
                <w:i/>
              </w:rPr>
              <w:t>Secretário</w:t>
            </w:r>
          </w:p>
        </w:tc>
      </w:tr>
    </w:tbl>
    <w:p w:rsidR="0081573A" w:rsidRPr="007C71C7" w:rsidRDefault="0081573A" w:rsidP="007C71C7">
      <w:pPr>
        <w:spacing w:line="340" w:lineRule="exact"/>
        <w:contextualSpacing/>
        <w:jc w:val="both"/>
        <w:rPr>
          <w:rFonts w:eastAsia="MS Mincho"/>
          <w:lang w:eastAsia="ja-JP"/>
        </w:rPr>
      </w:pPr>
    </w:p>
    <w:p w:rsidR="00A832B6" w:rsidRPr="007C71C7" w:rsidRDefault="00A832B6" w:rsidP="007C71C7">
      <w:pPr>
        <w:spacing w:line="340" w:lineRule="exact"/>
        <w:contextualSpacing/>
        <w:jc w:val="center"/>
        <w:rPr>
          <w:b/>
          <w:color w:val="000000"/>
        </w:rPr>
      </w:pPr>
    </w:p>
    <w:sectPr w:rsidR="00A832B6" w:rsidRPr="007C71C7" w:rsidSect="00C663DF">
      <w:footerReference w:type="default" r:id="rId11"/>
      <w:headerReference w:type="first" r:id="rId12"/>
      <w:footerReference w:type="first" r:id="rId13"/>
      <w:pgSz w:w="11907" w:h="16839" w:code="9"/>
      <w:pgMar w:top="1985" w:right="1418" w:bottom="1418"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C87" w:rsidRDefault="00013C87">
      <w:r>
        <w:separator/>
      </w:r>
    </w:p>
  </w:endnote>
  <w:endnote w:type="continuationSeparator" w:id="0">
    <w:p w:rsidR="00013C87" w:rsidRDefault="00013C87">
      <w:r>
        <w:continuationSeparator/>
      </w:r>
    </w:p>
  </w:endnote>
  <w:endnote w:type="continuationNotice" w:id="1">
    <w:p w:rsidR="00013C87" w:rsidRDefault="00013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469" w:rsidRPr="000A4C70" w:rsidRDefault="00554469" w:rsidP="000A4C70">
    <w:pPr>
      <w:pStyle w:val="Rodap"/>
      <w:tabs>
        <w:tab w:val="clear" w:pos="8838"/>
        <w:tab w:val="right" w:pos="9356"/>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809414"/>
      <w:docPartObj>
        <w:docPartGallery w:val="Page Numbers (Bottom of Page)"/>
        <w:docPartUnique/>
      </w:docPartObj>
    </w:sdtPr>
    <w:sdtEndPr>
      <w:rPr>
        <w:rFonts w:asciiTheme="minorHAnsi" w:hAnsiTheme="minorHAnsi" w:cstheme="minorHAnsi"/>
        <w:noProof/>
        <w:sz w:val="20"/>
      </w:rPr>
    </w:sdtEndPr>
    <w:sdtContent>
      <w:p w:rsidR="00554469" w:rsidRPr="00670D50" w:rsidRDefault="00377A59">
        <w:pPr>
          <w:pStyle w:val="Rodap"/>
          <w:jc w:val="right"/>
          <w:rPr>
            <w:rFonts w:asciiTheme="minorHAnsi" w:hAnsiTheme="minorHAnsi" w:cstheme="minorHAnsi"/>
            <w:sz w:val="20"/>
          </w:rPr>
        </w:pPr>
        <w:r w:rsidRPr="00670D50">
          <w:rPr>
            <w:rFonts w:asciiTheme="minorHAnsi" w:hAnsiTheme="minorHAnsi" w:cstheme="minorHAnsi"/>
            <w:sz w:val="20"/>
          </w:rPr>
          <w:fldChar w:fldCharType="begin"/>
        </w:r>
        <w:r w:rsidR="00554469" w:rsidRPr="00670D50">
          <w:rPr>
            <w:rFonts w:asciiTheme="minorHAnsi" w:hAnsiTheme="minorHAnsi" w:cstheme="minorHAnsi"/>
            <w:sz w:val="20"/>
          </w:rPr>
          <w:instrText xml:space="preserve"> PAGE   \* MERGEFORMAT </w:instrText>
        </w:r>
        <w:r w:rsidRPr="00670D50">
          <w:rPr>
            <w:rFonts w:asciiTheme="minorHAnsi" w:hAnsiTheme="minorHAnsi" w:cstheme="minorHAnsi"/>
            <w:sz w:val="20"/>
          </w:rPr>
          <w:fldChar w:fldCharType="separate"/>
        </w:r>
        <w:r w:rsidR="00B0424F">
          <w:rPr>
            <w:rFonts w:asciiTheme="minorHAnsi" w:hAnsiTheme="minorHAnsi" w:cstheme="minorHAnsi"/>
            <w:noProof/>
            <w:sz w:val="20"/>
          </w:rPr>
          <w:t>1</w:t>
        </w:r>
        <w:r w:rsidRPr="00670D50">
          <w:rPr>
            <w:rFonts w:asciiTheme="minorHAnsi" w:hAnsiTheme="minorHAnsi" w:cstheme="minorHAnsi"/>
            <w:noProof/>
            <w:sz w:val="20"/>
          </w:rPr>
          <w:fldChar w:fldCharType="end"/>
        </w:r>
      </w:p>
    </w:sdtContent>
  </w:sdt>
  <w:p w:rsidR="000A4C70" w:rsidRDefault="000A4C70" w:rsidP="00B97C21">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C87" w:rsidRDefault="00013C87">
      <w:r>
        <w:separator/>
      </w:r>
    </w:p>
  </w:footnote>
  <w:footnote w:type="continuationSeparator" w:id="0">
    <w:p w:rsidR="00013C87" w:rsidRDefault="00013C87">
      <w:r>
        <w:continuationSeparator/>
      </w:r>
    </w:p>
  </w:footnote>
  <w:footnote w:type="continuationNotice" w:id="1">
    <w:p w:rsidR="00013C87" w:rsidRDefault="00013C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469" w:rsidRDefault="00554469" w:rsidP="004D1DA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62851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E021516"/>
    <w:multiLevelType w:val="multilevel"/>
    <w:tmpl w:val="8034BFB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 w15:restartNumberingAfterBreak="0">
    <w:nsid w:val="37753DD8"/>
    <w:multiLevelType w:val="multilevel"/>
    <w:tmpl w:val="028054F4"/>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4621D21"/>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6A328DF"/>
    <w:multiLevelType w:val="hybridMultilevel"/>
    <w:tmpl w:val="E84649D0"/>
    <w:lvl w:ilvl="0" w:tplc="B8949806">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trackRevisions/>
  <w:doNotTrackFormatting/>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BA"/>
    <w:rsid w:val="00002BB1"/>
    <w:rsid w:val="00002DF8"/>
    <w:rsid w:val="00004856"/>
    <w:rsid w:val="0000529D"/>
    <w:rsid w:val="00012970"/>
    <w:rsid w:val="00013C87"/>
    <w:rsid w:val="000176EA"/>
    <w:rsid w:val="00017A9C"/>
    <w:rsid w:val="00023ABA"/>
    <w:rsid w:val="00023D23"/>
    <w:rsid w:val="00024743"/>
    <w:rsid w:val="000355AC"/>
    <w:rsid w:val="000454E5"/>
    <w:rsid w:val="000470AF"/>
    <w:rsid w:val="00050278"/>
    <w:rsid w:val="00051286"/>
    <w:rsid w:val="0005157A"/>
    <w:rsid w:val="0005316B"/>
    <w:rsid w:val="00054229"/>
    <w:rsid w:val="0005464E"/>
    <w:rsid w:val="000558EE"/>
    <w:rsid w:val="00056E36"/>
    <w:rsid w:val="00057FBD"/>
    <w:rsid w:val="00060894"/>
    <w:rsid w:val="0006284D"/>
    <w:rsid w:val="00070174"/>
    <w:rsid w:val="0007124D"/>
    <w:rsid w:val="00073143"/>
    <w:rsid w:val="000749F2"/>
    <w:rsid w:val="00082C8B"/>
    <w:rsid w:val="00082D93"/>
    <w:rsid w:val="000845A3"/>
    <w:rsid w:val="00086497"/>
    <w:rsid w:val="0008752C"/>
    <w:rsid w:val="00087D5F"/>
    <w:rsid w:val="00091E67"/>
    <w:rsid w:val="00092D1B"/>
    <w:rsid w:val="00093D92"/>
    <w:rsid w:val="000A1710"/>
    <w:rsid w:val="000A2978"/>
    <w:rsid w:val="000A415C"/>
    <w:rsid w:val="000A4C70"/>
    <w:rsid w:val="000A6BB7"/>
    <w:rsid w:val="000B2625"/>
    <w:rsid w:val="000B7BF8"/>
    <w:rsid w:val="000B7E0E"/>
    <w:rsid w:val="000C5087"/>
    <w:rsid w:val="000D03A6"/>
    <w:rsid w:val="000D0869"/>
    <w:rsid w:val="000D7939"/>
    <w:rsid w:val="000E2F94"/>
    <w:rsid w:val="000E3C2B"/>
    <w:rsid w:val="000E5052"/>
    <w:rsid w:val="000E576A"/>
    <w:rsid w:val="000F54D6"/>
    <w:rsid w:val="000F5CA1"/>
    <w:rsid w:val="000F5D71"/>
    <w:rsid w:val="00107B9B"/>
    <w:rsid w:val="00110A62"/>
    <w:rsid w:val="00113EDB"/>
    <w:rsid w:val="00116E72"/>
    <w:rsid w:val="001174A3"/>
    <w:rsid w:val="00117E9B"/>
    <w:rsid w:val="00124F35"/>
    <w:rsid w:val="0013548B"/>
    <w:rsid w:val="00135E1F"/>
    <w:rsid w:val="0013612A"/>
    <w:rsid w:val="00136A7E"/>
    <w:rsid w:val="00136E9C"/>
    <w:rsid w:val="001411AE"/>
    <w:rsid w:val="00153C3A"/>
    <w:rsid w:val="00161727"/>
    <w:rsid w:val="00162356"/>
    <w:rsid w:val="0016309D"/>
    <w:rsid w:val="0016610F"/>
    <w:rsid w:val="001756A7"/>
    <w:rsid w:val="00177C41"/>
    <w:rsid w:val="00183F14"/>
    <w:rsid w:val="00185391"/>
    <w:rsid w:val="00185CB5"/>
    <w:rsid w:val="0018611D"/>
    <w:rsid w:val="00190F45"/>
    <w:rsid w:val="00192B17"/>
    <w:rsid w:val="00197ADF"/>
    <w:rsid w:val="001A0C37"/>
    <w:rsid w:val="001A190D"/>
    <w:rsid w:val="001A3993"/>
    <w:rsid w:val="001A53B0"/>
    <w:rsid w:val="001B1B96"/>
    <w:rsid w:val="001B226E"/>
    <w:rsid w:val="001B2DCC"/>
    <w:rsid w:val="001B5C5C"/>
    <w:rsid w:val="001B6B7A"/>
    <w:rsid w:val="001B711F"/>
    <w:rsid w:val="001B73ED"/>
    <w:rsid w:val="001C0588"/>
    <w:rsid w:val="001C30E1"/>
    <w:rsid w:val="001C465A"/>
    <w:rsid w:val="001D1A08"/>
    <w:rsid w:val="001D2041"/>
    <w:rsid w:val="001D4FC9"/>
    <w:rsid w:val="001F36B3"/>
    <w:rsid w:val="001F4B81"/>
    <w:rsid w:val="001F633D"/>
    <w:rsid w:val="00200A73"/>
    <w:rsid w:val="0021115F"/>
    <w:rsid w:val="002112B0"/>
    <w:rsid w:val="00212FBF"/>
    <w:rsid w:val="0021590C"/>
    <w:rsid w:val="002210A8"/>
    <w:rsid w:val="00230EEB"/>
    <w:rsid w:val="002329FB"/>
    <w:rsid w:val="0023606A"/>
    <w:rsid w:val="0023755D"/>
    <w:rsid w:val="00237E87"/>
    <w:rsid w:val="00241461"/>
    <w:rsid w:val="00241B2C"/>
    <w:rsid w:val="002421C6"/>
    <w:rsid w:val="0025539D"/>
    <w:rsid w:val="00257884"/>
    <w:rsid w:val="00260A6C"/>
    <w:rsid w:val="00261DE9"/>
    <w:rsid w:val="00264F5E"/>
    <w:rsid w:val="00267F04"/>
    <w:rsid w:val="00271996"/>
    <w:rsid w:val="00290975"/>
    <w:rsid w:val="00290FB4"/>
    <w:rsid w:val="002944F3"/>
    <w:rsid w:val="002A0AD1"/>
    <w:rsid w:val="002A3862"/>
    <w:rsid w:val="002A71FF"/>
    <w:rsid w:val="002B0A36"/>
    <w:rsid w:val="002B2190"/>
    <w:rsid w:val="002B2205"/>
    <w:rsid w:val="002B250F"/>
    <w:rsid w:val="002B273E"/>
    <w:rsid w:val="002B448B"/>
    <w:rsid w:val="002B7262"/>
    <w:rsid w:val="002B7A35"/>
    <w:rsid w:val="002C0A07"/>
    <w:rsid w:val="002D31A6"/>
    <w:rsid w:val="002D497E"/>
    <w:rsid w:val="002E1ABF"/>
    <w:rsid w:val="002E372A"/>
    <w:rsid w:val="002F7DEB"/>
    <w:rsid w:val="0030318A"/>
    <w:rsid w:val="00311402"/>
    <w:rsid w:val="0031613A"/>
    <w:rsid w:val="00321D08"/>
    <w:rsid w:val="00321F20"/>
    <w:rsid w:val="00332656"/>
    <w:rsid w:val="00341DA7"/>
    <w:rsid w:val="00341E9B"/>
    <w:rsid w:val="00343289"/>
    <w:rsid w:val="003558E3"/>
    <w:rsid w:val="003565B9"/>
    <w:rsid w:val="0036099D"/>
    <w:rsid w:val="00361526"/>
    <w:rsid w:val="00361D32"/>
    <w:rsid w:val="00362565"/>
    <w:rsid w:val="00366393"/>
    <w:rsid w:val="00366759"/>
    <w:rsid w:val="003755B1"/>
    <w:rsid w:val="00377A59"/>
    <w:rsid w:val="00383CA4"/>
    <w:rsid w:val="003942B3"/>
    <w:rsid w:val="00394AE8"/>
    <w:rsid w:val="003966E0"/>
    <w:rsid w:val="003A233C"/>
    <w:rsid w:val="003B1DCE"/>
    <w:rsid w:val="003B217B"/>
    <w:rsid w:val="003B22D7"/>
    <w:rsid w:val="003B38E3"/>
    <w:rsid w:val="003C231F"/>
    <w:rsid w:val="003C5B13"/>
    <w:rsid w:val="003D0CC7"/>
    <w:rsid w:val="003D1D38"/>
    <w:rsid w:val="003D2873"/>
    <w:rsid w:val="003E1661"/>
    <w:rsid w:val="003E345E"/>
    <w:rsid w:val="003F0A1A"/>
    <w:rsid w:val="003F1694"/>
    <w:rsid w:val="003F1EEE"/>
    <w:rsid w:val="003F30F1"/>
    <w:rsid w:val="003F57A1"/>
    <w:rsid w:val="00403389"/>
    <w:rsid w:val="00406817"/>
    <w:rsid w:val="00406E02"/>
    <w:rsid w:val="004121E3"/>
    <w:rsid w:val="0041317C"/>
    <w:rsid w:val="0041460C"/>
    <w:rsid w:val="00414701"/>
    <w:rsid w:val="004154FB"/>
    <w:rsid w:val="00416C91"/>
    <w:rsid w:val="00427E50"/>
    <w:rsid w:val="00427EBA"/>
    <w:rsid w:val="00430AA2"/>
    <w:rsid w:val="00430C2A"/>
    <w:rsid w:val="0043336F"/>
    <w:rsid w:val="00434DBB"/>
    <w:rsid w:val="00435AE0"/>
    <w:rsid w:val="0044025B"/>
    <w:rsid w:val="00441C97"/>
    <w:rsid w:val="004602CE"/>
    <w:rsid w:val="00461568"/>
    <w:rsid w:val="00472BB2"/>
    <w:rsid w:val="00476352"/>
    <w:rsid w:val="00481070"/>
    <w:rsid w:val="004824D1"/>
    <w:rsid w:val="0048367C"/>
    <w:rsid w:val="00492E60"/>
    <w:rsid w:val="00494DC1"/>
    <w:rsid w:val="00497097"/>
    <w:rsid w:val="004A0ED7"/>
    <w:rsid w:val="004A7E41"/>
    <w:rsid w:val="004B0232"/>
    <w:rsid w:val="004B35C0"/>
    <w:rsid w:val="004C0F14"/>
    <w:rsid w:val="004C25DD"/>
    <w:rsid w:val="004C4DD4"/>
    <w:rsid w:val="004C55A0"/>
    <w:rsid w:val="004C78A7"/>
    <w:rsid w:val="004D0BA6"/>
    <w:rsid w:val="004D1DA5"/>
    <w:rsid w:val="004D2081"/>
    <w:rsid w:val="004D721B"/>
    <w:rsid w:val="004E1FBE"/>
    <w:rsid w:val="004E3ADF"/>
    <w:rsid w:val="004E41FC"/>
    <w:rsid w:val="004F365B"/>
    <w:rsid w:val="004F46BD"/>
    <w:rsid w:val="004F78B8"/>
    <w:rsid w:val="00500905"/>
    <w:rsid w:val="00502E47"/>
    <w:rsid w:val="00503AE1"/>
    <w:rsid w:val="0051021A"/>
    <w:rsid w:val="005206A8"/>
    <w:rsid w:val="00523166"/>
    <w:rsid w:val="005235CB"/>
    <w:rsid w:val="00527457"/>
    <w:rsid w:val="00527E98"/>
    <w:rsid w:val="00532B3C"/>
    <w:rsid w:val="00536329"/>
    <w:rsid w:val="00536C09"/>
    <w:rsid w:val="00547DA4"/>
    <w:rsid w:val="00554469"/>
    <w:rsid w:val="005613DE"/>
    <w:rsid w:val="00562758"/>
    <w:rsid w:val="00566ABA"/>
    <w:rsid w:val="00570A9C"/>
    <w:rsid w:val="005742DB"/>
    <w:rsid w:val="00585DA6"/>
    <w:rsid w:val="0058645C"/>
    <w:rsid w:val="00586BDA"/>
    <w:rsid w:val="00590E4F"/>
    <w:rsid w:val="00591BA1"/>
    <w:rsid w:val="00591BB7"/>
    <w:rsid w:val="00591E0F"/>
    <w:rsid w:val="0059201E"/>
    <w:rsid w:val="005A1B55"/>
    <w:rsid w:val="005A3E5A"/>
    <w:rsid w:val="005A450F"/>
    <w:rsid w:val="005B07AA"/>
    <w:rsid w:val="005B3E53"/>
    <w:rsid w:val="005B56EB"/>
    <w:rsid w:val="005B571A"/>
    <w:rsid w:val="005C64E6"/>
    <w:rsid w:val="005D0E2F"/>
    <w:rsid w:val="005D4230"/>
    <w:rsid w:val="005D475F"/>
    <w:rsid w:val="005E21D2"/>
    <w:rsid w:val="005E3046"/>
    <w:rsid w:val="005E45C6"/>
    <w:rsid w:val="005E569E"/>
    <w:rsid w:val="005F2185"/>
    <w:rsid w:val="005F2A20"/>
    <w:rsid w:val="005F3BFF"/>
    <w:rsid w:val="005F4C1B"/>
    <w:rsid w:val="005F5447"/>
    <w:rsid w:val="005F650F"/>
    <w:rsid w:val="00600A91"/>
    <w:rsid w:val="00602DEF"/>
    <w:rsid w:val="00603064"/>
    <w:rsid w:val="006049A3"/>
    <w:rsid w:val="00613B19"/>
    <w:rsid w:val="00614216"/>
    <w:rsid w:val="006216C5"/>
    <w:rsid w:val="0062362D"/>
    <w:rsid w:val="006268C8"/>
    <w:rsid w:val="0063007F"/>
    <w:rsid w:val="00633764"/>
    <w:rsid w:val="006354BA"/>
    <w:rsid w:val="00635DA7"/>
    <w:rsid w:val="00637160"/>
    <w:rsid w:val="00641D96"/>
    <w:rsid w:val="0064417B"/>
    <w:rsid w:val="00646078"/>
    <w:rsid w:val="00647A0F"/>
    <w:rsid w:val="00647F54"/>
    <w:rsid w:val="006515F3"/>
    <w:rsid w:val="00662117"/>
    <w:rsid w:val="00665254"/>
    <w:rsid w:val="00666D73"/>
    <w:rsid w:val="00670D50"/>
    <w:rsid w:val="00671FA0"/>
    <w:rsid w:val="00675C3F"/>
    <w:rsid w:val="00685E9A"/>
    <w:rsid w:val="00692893"/>
    <w:rsid w:val="00696762"/>
    <w:rsid w:val="00697AFB"/>
    <w:rsid w:val="006A3F9B"/>
    <w:rsid w:val="006A5742"/>
    <w:rsid w:val="006A79AE"/>
    <w:rsid w:val="006A7E86"/>
    <w:rsid w:val="006B3A3F"/>
    <w:rsid w:val="006C0E71"/>
    <w:rsid w:val="006C5DC9"/>
    <w:rsid w:val="006E0E8B"/>
    <w:rsid w:val="006E1249"/>
    <w:rsid w:val="006E6D75"/>
    <w:rsid w:val="006E70EB"/>
    <w:rsid w:val="006F0C71"/>
    <w:rsid w:val="006F7DF9"/>
    <w:rsid w:val="007053C2"/>
    <w:rsid w:val="00710889"/>
    <w:rsid w:val="00716A6D"/>
    <w:rsid w:val="00722E51"/>
    <w:rsid w:val="00723C49"/>
    <w:rsid w:val="007244C3"/>
    <w:rsid w:val="00725F05"/>
    <w:rsid w:val="0072610C"/>
    <w:rsid w:val="00732716"/>
    <w:rsid w:val="0073293B"/>
    <w:rsid w:val="007330D2"/>
    <w:rsid w:val="00733501"/>
    <w:rsid w:val="00734F18"/>
    <w:rsid w:val="00743A1D"/>
    <w:rsid w:val="00746EBA"/>
    <w:rsid w:val="0074721E"/>
    <w:rsid w:val="00756767"/>
    <w:rsid w:val="00756FE0"/>
    <w:rsid w:val="00761840"/>
    <w:rsid w:val="00761A2D"/>
    <w:rsid w:val="007624AB"/>
    <w:rsid w:val="00762679"/>
    <w:rsid w:val="00766627"/>
    <w:rsid w:val="0077135B"/>
    <w:rsid w:val="007748BF"/>
    <w:rsid w:val="00780E5E"/>
    <w:rsid w:val="00781CC7"/>
    <w:rsid w:val="00781F45"/>
    <w:rsid w:val="00782674"/>
    <w:rsid w:val="007869C7"/>
    <w:rsid w:val="00793A36"/>
    <w:rsid w:val="007A03B2"/>
    <w:rsid w:val="007A1A02"/>
    <w:rsid w:val="007A24FD"/>
    <w:rsid w:val="007A30D3"/>
    <w:rsid w:val="007A5907"/>
    <w:rsid w:val="007A5D98"/>
    <w:rsid w:val="007C0162"/>
    <w:rsid w:val="007C01CE"/>
    <w:rsid w:val="007C1BDE"/>
    <w:rsid w:val="007C4387"/>
    <w:rsid w:val="007C602C"/>
    <w:rsid w:val="007C71C7"/>
    <w:rsid w:val="007D4408"/>
    <w:rsid w:val="007D4886"/>
    <w:rsid w:val="007D574D"/>
    <w:rsid w:val="007D67F1"/>
    <w:rsid w:val="007D7514"/>
    <w:rsid w:val="007E464C"/>
    <w:rsid w:val="007F0491"/>
    <w:rsid w:val="007F19FB"/>
    <w:rsid w:val="007F32F5"/>
    <w:rsid w:val="007F71BA"/>
    <w:rsid w:val="008030F1"/>
    <w:rsid w:val="008036D6"/>
    <w:rsid w:val="0081573A"/>
    <w:rsid w:val="00816185"/>
    <w:rsid w:val="008168AC"/>
    <w:rsid w:val="008201C1"/>
    <w:rsid w:val="008211E4"/>
    <w:rsid w:val="00822CE0"/>
    <w:rsid w:val="008257CE"/>
    <w:rsid w:val="00826BA2"/>
    <w:rsid w:val="0083120F"/>
    <w:rsid w:val="00832C8D"/>
    <w:rsid w:val="008374C3"/>
    <w:rsid w:val="008457A7"/>
    <w:rsid w:val="0084762A"/>
    <w:rsid w:val="008476D8"/>
    <w:rsid w:val="008513AB"/>
    <w:rsid w:val="00851C0A"/>
    <w:rsid w:val="00852AA8"/>
    <w:rsid w:val="008535DB"/>
    <w:rsid w:val="008545AD"/>
    <w:rsid w:val="00855D62"/>
    <w:rsid w:val="0085624D"/>
    <w:rsid w:val="0086169B"/>
    <w:rsid w:val="00861E7A"/>
    <w:rsid w:val="008621FC"/>
    <w:rsid w:val="00862793"/>
    <w:rsid w:val="00871F53"/>
    <w:rsid w:val="008723A2"/>
    <w:rsid w:val="00886CC3"/>
    <w:rsid w:val="00887E07"/>
    <w:rsid w:val="008908DB"/>
    <w:rsid w:val="008A0174"/>
    <w:rsid w:val="008A240C"/>
    <w:rsid w:val="008A5D9F"/>
    <w:rsid w:val="008A7A09"/>
    <w:rsid w:val="008A7D70"/>
    <w:rsid w:val="008B13F4"/>
    <w:rsid w:val="008B1AD1"/>
    <w:rsid w:val="008B25D3"/>
    <w:rsid w:val="008C7025"/>
    <w:rsid w:val="008D0A47"/>
    <w:rsid w:val="008D7F24"/>
    <w:rsid w:val="008E722F"/>
    <w:rsid w:val="008F18BC"/>
    <w:rsid w:val="008F44D3"/>
    <w:rsid w:val="008F6B29"/>
    <w:rsid w:val="0090375E"/>
    <w:rsid w:val="00904ED8"/>
    <w:rsid w:val="00904F71"/>
    <w:rsid w:val="00906275"/>
    <w:rsid w:val="0090707E"/>
    <w:rsid w:val="00916EA9"/>
    <w:rsid w:val="00917E4E"/>
    <w:rsid w:val="00917EA0"/>
    <w:rsid w:val="0092296A"/>
    <w:rsid w:val="00925F6D"/>
    <w:rsid w:val="00926A92"/>
    <w:rsid w:val="00927B0F"/>
    <w:rsid w:val="0093027D"/>
    <w:rsid w:val="009337DC"/>
    <w:rsid w:val="009349DA"/>
    <w:rsid w:val="0093670B"/>
    <w:rsid w:val="00937ECA"/>
    <w:rsid w:val="009416CE"/>
    <w:rsid w:val="009424DF"/>
    <w:rsid w:val="00943FDD"/>
    <w:rsid w:val="009450C6"/>
    <w:rsid w:val="00945EFC"/>
    <w:rsid w:val="00947A02"/>
    <w:rsid w:val="00951068"/>
    <w:rsid w:val="009531E3"/>
    <w:rsid w:val="00954972"/>
    <w:rsid w:val="00954FD7"/>
    <w:rsid w:val="00962882"/>
    <w:rsid w:val="00967BCF"/>
    <w:rsid w:val="00967E14"/>
    <w:rsid w:val="00971114"/>
    <w:rsid w:val="00971316"/>
    <w:rsid w:val="0097222F"/>
    <w:rsid w:val="00973E9D"/>
    <w:rsid w:val="00976910"/>
    <w:rsid w:val="00976E17"/>
    <w:rsid w:val="009772D2"/>
    <w:rsid w:val="009779ED"/>
    <w:rsid w:val="00980F29"/>
    <w:rsid w:val="00985CFD"/>
    <w:rsid w:val="009900EF"/>
    <w:rsid w:val="00994538"/>
    <w:rsid w:val="00994CB5"/>
    <w:rsid w:val="009A3135"/>
    <w:rsid w:val="009A3564"/>
    <w:rsid w:val="009A35CA"/>
    <w:rsid w:val="009A38EC"/>
    <w:rsid w:val="009A43B7"/>
    <w:rsid w:val="009A65BB"/>
    <w:rsid w:val="009B2F3B"/>
    <w:rsid w:val="009B4DB4"/>
    <w:rsid w:val="009C18C7"/>
    <w:rsid w:val="009C3CE0"/>
    <w:rsid w:val="009C5605"/>
    <w:rsid w:val="009C58DD"/>
    <w:rsid w:val="009D099B"/>
    <w:rsid w:val="009D119D"/>
    <w:rsid w:val="009D3225"/>
    <w:rsid w:val="009D55FC"/>
    <w:rsid w:val="009D5680"/>
    <w:rsid w:val="009D5880"/>
    <w:rsid w:val="009D7678"/>
    <w:rsid w:val="009E079B"/>
    <w:rsid w:val="009E1403"/>
    <w:rsid w:val="009E17AE"/>
    <w:rsid w:val="009E5BA4"/>
    <w:rsid w:val="009F1D2F"/>
    <w:rsid w:val="009F581C"/>
    <w:rsid w:val="009F6CBC"/>
    <w:rsid w:val="009F7092"/>
    <w:rsid w:val="00A122E3"/>
    <w:rsid w:val="00A137AF"/>
    <w:rsid w:val="00A14646"/>
    <w:rsid w:val="00A1724E"/>
    <w:rsid w:val="00A20622"/>
    <w:rsid w:val="00A22F32"/>
    <w:rsid w:val="00A24D44"/>
    <w:rsid w:val="00A25121"/>
    <w:rsid w:val="00A34B31"/>
    <w:rsid w:val="00A47732"/>
    <w:rsid w:val="00A47A67"/>
    <w:rsid w:val="00A540B2"/>
    <w:rsid w:val="00A5711F"/>
    <w:rsid w:val="00A57330"/>
    <w:rsid w:val="00A60CB5"/>
    <w:rsid w:val="00A70F58"/>
    <w:rsid w:val="00A71035"/>
    <w:rsid w:val="00A757CE"/>
    <w:rsid w:val="00A77D00"/>
    <w:rsid w:val="00A80966"/>
    <w:rsid w:val="00A81E7C"/>
    <w:rsid w:val="00A832B6"/>
    <w:rsid w:val="00A91DFB"/>
    <w:rsid w:val="00A92FB5"/>
    <w:rsid w:val="00A936CA"/>
    <w:rsid w:val="00A97474"/>
    <w:rsid w:val="00AA08C4"/>
    <w:rsid w:val="00AA0923"/>
    <w:rsid w:val="00AA5E4B"/>
    <w:rsid w:val="00AB3DCF"/>
    <w:rsid w:val="00AB4DCC"/>
    <w:rsid w:val="00AB5089"/>
    <w:rsid w:val="00AC0E63"/>
    <w:rsid w:val="00AC0F6A"/>
    <w:rsid w:val="00AC4694"/>
    <w:rsid w:val="00AC6DE0"/>
    <w:rsid w:val="00AD6DB6"/>
    <w:rsid w:val="00B02121"/>
    <w:rsid w:val="00B0424F"/>
    <w:rsid w:val="00B11A9E"/>
    <w:rsid w:val="00B12021"/>
    <w:rsid w:val="00B123FD"/>
    <w:rsid w:val="00B12728"/>
    <w:rsid w:val="00B14A2A"/>
    <w:rsid w:val="00B1733C"/>
    <w:rsid w:val="00B24908"/>
    <w:rsid w:val="00B309B2"/>
    <w:rsid w:val="00B31078"/>
    <w:rsid w:val="00B42862"/>
    <w:rsid w:val="00B42D00"/>
    <w:rsid w:val="00B453FB"/>
    <w:rsid w:val="00B50181"/>
    <w:rsid w:val="00B54A38"/>
    <w:rsid w:val="00B5797A"/>
    <w:rsid w:val="00B6026C"/>
    <w:rsid w:val="00B60DFB"/>
    <w:rsid w:val="00B81979"/>
    <w:rsid w:val="00B857B1"/>
    <w:rsid w:val="00B875FE"/>
    <w:rsid w:val="00B87C56"/>
    <w:rsid w:val="00B9134D"/>
    <w:rsid w:val="00B9187E"/>
    <w:rsid w:val="00B92512"/>
    <w:rsid w:val="00B943E7"/>
    <w:rsid w:val="00B9632B"/>
    <w:rsid w:val="00B97C21"/>
    <w:rsid w:val="00BA036F"/>
    <w:rsid w:val="00BA4C21"/>
    <w:rsid w:val="00BA596D"/>
    <w:rsid w:val="00BB3D7C"/>
    <w:rsid w:val="00BB69F3"/>
    <w:rsid w:val="00BC0234"/>
    <w:rsid w:val="00BC3153"/>
    <w:rsid w:val="00BC41EA"/>
    <w:rsid w:val="00BC6EDC"/>
    <w:rsid w:val="00BD6E71"/>
    <w:rsid w:val="00BE058C"/>
    <w:rsid w:val="00BE1BA3"/>
    <w:rsid w:val="00BE5FDC"/>
    <w:rsid w:val="00BF12C5"/>
    <w:rsid w:val="00BF58BA"/>
    <w:rsid w:val="00BF5982"/>
    <w:rsid w:val="00BF6911"/>
    <w:rsid w:val="00C10F22"/>
    <w:rsid w:val="00C13734"/>
    <w:rsid w:val="00C13998"/>
    <w:rsid w:val="00C13C00"/>
    <w:rsid w:val="00C13F55"/>
    <w:rsid w:val="00C13FE2"/>
    <w:rsid w:val="00C1673A"/>
    <w:rsid w:val="00C2167C"/>
    <w:rsid w:val="00C21DE8"/>
    <w:rsid w:val="00C23EB8"/>
    <w:rsid w:val="00C250F6"/>
    <w:rsid w:val="00C25D94"/>
    <w:rsid w:val="00C26F06"/>
    <w:rsid w:val="00C276F9"/>
    <w:rsid w:val="00C303C3"/>
    <w:rsid w:val="00C31D24"/>
    <w:rsid w:val="00C3251A"/>
    <w:rsid w:val="00C35A58"/>
    <w:rsid w:val="00C3687F"/>
    <w:rsid w:val="00C4118E"/>
    <w:rsid w:val="00C433FA"/>
    <w:rsid w:val="00C45CF3"/>
    <w:rsid w:val="00C475AD"/>
    <w:rsid w:val="00C50417"/>
    <w:rsid w:val="00C53455"/>
    <w:rsid w:val="00C55501"/>
    <w:rsid w:val="00C568D7"/>
    <w:rsid w:val="00C63045"/>
    <w:rsid w:val="00C64F32"/>
    <w:rsid w:val="00C663DF"/>
    <w:rsid w:val="00C66B9A"/>
    <w:rsid w:val="00C67126"/>
    <w:rsid w:val="00C70A62"/>
    <w:rsid w:val="00C7538C"/>
    <w:rsid w:val="00C803C0"/>
    <w:rsid w:val="00C82F8A"/>
    <w:rsid w:val="00C86FCD"/>
    <w:rsid w:val="00C91746"/>
    <w:rsid w:val="00C930C8"/>
    <w:rsid w:val="00C9777F"/>
    <w:rsid w:val="00CA00C8"/>
    <w:rsid w:val="00CA2768"/>
    <w:rsid w:val="00CA7936"/>
    <w:rsid w:val="00CB2478"/>
    <w:rsid w:val="00CC4949"/>
    <w:rsid w:val="00CC5E3F"/>
    <w:rsid w:val="00CC6358"/>
    <w:rsid w:val="00CC6887"/>
    <w:rsid w:val="00CD1853"/>
    <w:rsid w:val="00CD2363"/>
    <w:rsid w:val="00CD4BF1"/>
    <w:rsid w:val="00CD4E78"/>
    <w:rsid w:val="00CD6265"/>
    <w:rsid w:val="00CD6BBD"/>
    <w:rsid w:val="00CD7864"/>
    <w:rsid w:val="00CD7C38"/>
    <w:rsid w:val="00CE3B2D"/>
    <w:rsid w:val="00CE3BBE"/>
    <w:rsid w:val="00CE47F1"/>
    <w:rsid w:val="00CE4E51"/>
    <w:rsid w:val="00CE5C8D"/>
    <w:rsid w:val="00CF3F42"/>
    <w:rsid w:val="00CF4DD1"/>
    <w:rsid w:val="00D011D8"/>
    <w:rsid w:val="00D02338"/>
    <w:rsid w:val="00D02D77"/>
    <w:rsid w:val="00D04DE8"/>
    <w:rsid w:val="00D055C6"/>
    <w:rsid w:val="00D062CF"/>
    <w:rsid w:val="00D06AFF"/>
    <w:rsid w:val="00D110E6"/>
    <w:rsid w:val="00D13037"/>
    <w:rsid w:val="00D15185"/>
    <w:rsid w:val="00D157A7"/>
    <w:rsid w:val="00D15C40"/>
    <w:rsid w:val="00D24AC1"/>
    <w:rsid w:val="00D2620E"/>
    <w:rsid w:val="00D277DA"/>
    <w:rsid w:val="00D27D59"/>
    <w:rsid w:val="00D32631"/>
    <w:rsid w:val="00D471F8"/>
    <w:rsid w:val="00D51B7E"/>
    <w:rsid w:val="00D57F18"/>
    <w:rsid w:val="00D65697"/>
    <w:rsid w:val="00D65F72"/>
    <w:rsid w:val="00D76542"/>
    <w:rsid w:val="00D81499"/>
    <w:rsid w:val="00D84EE5"/>
    <w:rsid w:val="00D91533"/>
    <w:rsid w:val="00D9230F"/>
    <w:rsid w:val="00D923BF"/>
    <w:rsid w:val="00D930CB"/>
    <w:rsid w:val="00D97728"/>
    <w:rsid w:val="00DA2A00"/>
    <w:rsid w:val="00DA534F"/>
    <w:rsid w:val="00DA7FD6"/>
    <w:rsid w:val="00DB04B6"/>
    <w:rsid w:val="00DB1F2F"/>
    <w:rsid w:val="00DB332E"/>
    <w:rsid w:val="00DC0D05"/>
    <w:rsid w:val="00DC0D7B"/>
    <w:rsid w:val="00DC1526"/>
    <w:rsid w:val="00DC400F"/>
    <w:rsid w:val="00DC48DC"/>
    <w:rsid w:val="00DC4A14"/>
    <w:rsid w:val="00DD79A0"/>
    <w:rsid w:val="00DE3068"/>
    <w:rsid w:val="00DE56BC"/>
    <w:rsid w:val="00DE5E1F"/>
    <w:rsid w:val="00DF0323"/>
    <w:rsid w:val="00DF7329"/>
    <w:rsid w:val="00DF7EA4"/>
    <w:rsid w:val="00E012B4"/>
    <w:rsid w:val="00E075B5"/>
    <w:rsid w:val="00E10564"/>
    <w:rsid w:val="00E22BC4"/>
    <w:rsid w:val="00E2417A"/>
    <w:rsid w:val="00E24E5D"/>
    <w:rsid w:val="00E255B8"/>
    <w:rsid w:val="00E2562E"/>
    <w:rsid w:val="00E25EC8"/>
    <w:rsid w:val="00E3008C"/>
    <w:rsid w:val="00E3074C"/>
    <w:rsid w:val="00E3212F"/>
    <w:rsid w:val="00E3250F"/>
    <w:rsid w:val="00E33F3B"/>
    <w:rsid w:val="00E4226A"/>
    <w:rsid w:val="00E432F4"/>
    <w:rsid w:val="00E46334"/>
    <w:rsid w:val="00E527F8"/>
    <w:rsid w:val="00E571A7"/>
    <w:rsid w:val="00E571B4"/>
    <w:rsid w:val="00E642D6"/>
    <w:rsid w:val="00E668A2"/>
    <w:rsid w:val="00E71AD7"/>
    <w:rsid w:val="00E8527C"/>
    <w:rsid w:val="00E861CC"/>
    <w:rsid w:val="00E92917"/>
    <w:rsid w:val="00E9368C"/>
    <w:rsid w:val="00EA1B13"/>
    <w:rsid w:val="00EA4019"/>
    <w:rsid w:val="00EA51A5"/>
    <w:rsid w:val="00EB1ADF"/>
    <w:rsid w:val="00EB4A2A"/>
    <w:rsid w:val="00EB6FEE"/>
    <w:rsid w:val="00EB72C6"/>
    <w:rsid w:val="00EC0783"/>
    <w:rsid w:val="00EC0C2A"/>
    <w:rsid w:val="00EC26BE"/>
    <w:rsid w:val="00EC518B"/>
    <w:rsid w:val="00EC5AB8"/>
    <w:rsid w:val="00ED3370"/>
    <w:rsid w:val="00EE629A"/>
    <w:rsid w:val="00EE62A1"/>
    <w:rsid w:val="00EE74F5"/>
    <w:rsid w:val="00EE7BD4"/>
    <w:rsid w:val="00EF33DB"/>
    <w:rsid w:val="00EF4614"/>
    <w:rsid w:val="00F11BB1"/>
    <w:rsid w:val="00F1457D"/>
    <w:rsid w:val="00F215C8"/>
    <w:rsid w:val="00F41D02"/>
    <w:rsid w:val="00F45424"/>
    <w:rsid w:val="00F47437"/>
    <w:rsid w:val="00F47460"/>
    <w:rsid w:val="00F52A0F"/>
    <w:rsid w:val="00F56C33"/>
    <w:rsid w:val="00F61468"/>
    <w:rsid w:val="00F62FE7"/>
    <w:rsid w:val="00F63E51"/>
    <w:rsid w:val="00F6467F"/>
    <w:rsid w:val="00F665F4"/>
    <w:rsid w:val="00F715A6"/>
    <w:rsid w:val="00F746AD"/>
    <w:rsid w:val="00F80B60"/>
    <w:rsid w:val="00F8228F"/>
    <w:rsid w:val="00F90A02"/>
    <w:rsid w:val="00F917B9"/>
    <w:rsid w:val="00F956A0"/>
    <w:rsid w:val="00FA1496"/>
    <w:rsid w:val="00FA169C"/>
    <w:rsid w:val="00FA4B5C"/>
    <w:rsid w:val="00FA524C"/>
    <w:rsid w:val="00FA56FA"/>
    <w:rsid w:val="00FB6213"/>
    <w:rsid w:val="00FC2A53"/>
    <w:rsid w:val="00FC45FA"/>
    <w:rsid w:val="00FC53EC"/>
    <w:rsid w:val="00FD0E2A"/>
    <w:rsid w:val="00FD3A58"/>
    <w:rsid w:val="00FD67DA"/>
    <w:rsid w:val="00FE0AF9"/>
    <w:rsid w:val="00FE2297"/>
    <w:rsid w:val="00FE571C"/>
    <w:rsid w:val="00FF16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DB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4BA"/>
    <w:rPr>
      <w:rFonts w:ascii="Times New Roman" w:eastAsia="Times New Roman" w:hAnsi="Times New Roman"/>
      <w:sz w:val="24"/>
      <w:szCs w:val="24"/>
    </w:rPr>
  </w:style>
  <w:style w:type="paragraph" w:styleId="Ttulo1">
    <w:name w:val="heading 1"/>
    <w:basedOn w:val="Normal"/>
    <w:next w:val="Normal"/>
    <w:link w:val="Ttulo1Char"/>
    <w:qFormat/>
    <w:rsid w:val="00DA7FD6"/>
    <w:pPr>
      <w:keepNext/>
      <w:spacing w:after="120"/>
      <w:jc w:val="both"/>
      <w:outlineLvl w:val="0"/>
    </w:pPr>
    <w:rPr>
      <w:rFonts w:ascii="CG Times" w:hAnsi="CG Times"/>
      <w:b/>
      <w:sz w:val="26"/>
      <w:szCs w:val="20"/>
    </w:rPr>
  </w:style>
  <w:style w:type="paragraph" w:styleId="Ttulo2">
    <w:name w:val="heading 2"/>
    <w:basedOn w:val="Normal"/>
    <w:next w:val="Normal"/>
    <w:link w:val="Ttulo2Char"/>
    <w:qFormat/>
    <w:rsid w:val="00DA7FD6"/>
    <w:pPr>
      <w:keepNext/>
      <w:spacing w:after="120"/>
      <w:jc w:val="both"/>
      <w:outlineLvl w:val="1"/>
    </w:pPr>
    <w:rPr>
      <w:rFonts w:ascii="CG Times" w:hAnsi="CG Times"/>
      <w:sz w:val="26"/>
      <w:szCs w:val="20"/>
    </w:rPr>
  </w:style>
  <w:style w:type="paragraph" w:styleId="Ttulo3">
    <w:name w:val="heading 3"/>
    <w:basedOn w:val="Normal"/>
    <w:next w:val="Normal"/>
    <w:link w:val="Ttulo3Char"/>
    <w:qFormat/>
    <w:rsid w:val="00DA7FD6"/>
    <w:pPr>
      <w:keepNext/>
      <w:spacing w:after="120"/>
      <w:jc w:val="center"/>
      <w:outlineLvl w:val="2"/>
    </w:pPr>
    <w:rPr>
      <w:rFonts w:ascii="CG Times" w:hAnsi="CG Times"/>
      <w:b/>
      <w:sz w:val="26"/>
      <w:szCs w:val="20"/>
    </w:rPr>
  </w:style>
  <w:style w:type="paragraph" w:styleId="Ttulo4">
    <w:name w:val="heading 4"/>
    <w:basedOn w:val="Normal"/>
    <w:next w:val="Normal"/>
    <w:link w:val="Ttulo4Char"/>
    <w:qFormat/>
    <w:rsid w:val="00DA7FD6"/>
    <w:pPr>
      <w:keepNext/>
      <w:spacing w:after="120"/>
      <w:jc w:val="center"/>
      <w:outlineLvl w:val="3"/>
    </w:pPr>
    <w:rPr>
      <w:rFonts w:ascii="CG Times" w:hAnsi="CG Times"/>
      <w:b/>
      <w:color w:val="0000FF"/>
      <w:sz w:val="26"/>
      <w:szCs w:val="20"/>
    </w:rPr>
  </w:style>
  <w:style w:type="paragraph" w:styleId="Ttulo5">
    <w:name w:val="heading 5"/>
    <w:basedOn w:val="Normal"/>
    <w:next w:val="Normal"/>
    <w:link w:val="Ttulo5Char"/>
    <w:qFormat/>
    <w:rsid w:val="00DA7FD6"/>
    <w:pPr>
      <w:keepNext/>
      <w:tabs>
        <w:tab w:val="left" w:pos="2268"/>
      </w:tabs>
      <w:spacing w:after="120"/>
      <w:ind w:left="709"/>
      <w:jc w:val="both"/>
      <w:outlineLvl w:val="4"/>
    </w:pPr>
    <w:rPr>
      <w:szCs w:val="20"/>
    </w:rPr>
  </w:style>
  <w:style w:type="paragraph" w:styleId="Ttulo6">
    <w:name w:val="heading 6"/>
    <w:basedOn w:val="Normal"/>
    <w:next w:val="Normal"/>
    <w:link w:val="Ttulo6Char"/>
    <w:qFormat/>
    <w:rsid w:val="00DA7FD6"/>
    <w:pPr>
      <w:keepNext/>
      <w:tabs>
        <w:tab w:val="left" w:pos="2268"/>
      </w:tabs>
      <w:spacing w:after="240"/>
      <w:jc w:val="center"/>
      <w:outlineLvl w:val="5"/>
    </w:pPr>
    <w:rPr>
      <w:bCs/>
      <w:smallCaps/>
      <w:sz w:val="26"/>
      <w:szCs w:val="20"/>
      <w:u w:val="single"/>
    </w:rPr>
  </w:style>
  <w:style w:type="paragraph" w:styleId="Ttulo7">
    <w:name w:val="heading 7"/>
    <w:basedOn w:val="Normal"/>
    <w:next w:val="Normal"/>
    <w:link w:val="Ttulo7Char"/>
    <w:qFormat/>
    <w:rsid w:val="00DA7FD6"/>
    <w:pPr>
      <w:keepNext/>
      <w:tabs>
        <w:tab w:val="left" w:pos="2268"/>
      </w:tabs>
      <w:spacing w:after="240"/>
      <w:jc w:val="center"/>
      <w:outlineLvl w:val="6"/>
    </w:pPr>
    <w:rPr>
      <w:bCs/>
      <w:sz w:val="26"/>
      <w:szCs w:val="20"/>
    </w:rPr>
  </w:style>
  <w:style w:type="paragraph" w:styleId="Ttulo8">
    <w:name w:val="heading 8"/>
    <w:basedOn w:val="Normal"/>
    <w:next w:val="Normal"/>
    <w:link w:val="Ttulo8Char"/>
    <w:qFormat/>
    <w:rsid w:val="00DA7FD6"/>
    <w:pPr>
      <w:keepNext/>
      <w:numPr>
        <w:numId w:val="2"/>
      </w:numPr>
      <w:spacing w:after="240"/>
      <w:jc w:val="both"/>
      <w:outlineLvl w:val="7"/>
    </w:pPr>
    <w:rPr>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6F7DF9"/>
    <w:rPr>
      <w:rFonts w:ascii="Tahoma" w:hAnsi="Tahoma" w:cs="Tahoma"/>
      <w:sz w:val="16"/>
      <w:szCs w:val="16"/>
    </w:rPr>
  </w:style>
  <w:style w:type="character" w:customStyle="1" w:styleId="TextodebaloChar">
    <w:name w:val="Texto de balão Char"/>
    <w:basedOn w:val="Fontepargpadro"/>
    <w:link w:val="Textodebalo"/>
    <w:uiPriority w:val="99"/>
    <w:semiHidden/>
    <w:rsid w:val="006F7DF9"/>
    <w:rPr>
      <w:rFonts w:ascii="Tahoma" w:eastAsia="Times New Roman" w:hAnsi="Tahoma" w:cs="Tahoma"/>
      <w:sz w:val="16"/>
      <w:szCs w:val="16"/>
    </w:rPr>
  </w:style>
  <w:style w:type="paragraph" w:styleId="Cabealho">
    <w:name w:val="header"/>
    <w:basedOn w:val="Normal"/>
    <w:link w:val="CabealhoChar"/>
    <w:rsid w:val="00B943E7"/>
    <w:pPr>
      <w:tabs>
        <w:tab w:val="center" w:pos="4419"/>
        <w:tab w:val="right" w:pos="8838"/>
      </w:tabs>
    </w:pPr>
    <w:rPr>
      <w:szCs w:val="20"/>
    </w:rPr>
  </w:style>
  <w:style w:type="character" w:customStyle="1" w:styleId="CabealhoChar">
    <w:name w:val="Cabeçalho Char"/>
    <w:basedOn w:val="Fontepargpadro"/>
    <w:link w:val="Cabealho"/>
    <w:rsid w:val="00B943E7"/>
    <w:rPr>
      <w:rFonts w:ascii="Times New Roman" w:eastAsia="Times New Roman" w:hAnsi="Times New Roman"/>
      <w:sz w:val="24"/>
    </w:rPr>
  </w:style>
  <w:style w:type="paragraph" w:styleId="Rodap">
    <w:name w:val="footer"/>
    <w:basedOn w:val="Normal"/>
    <w:link w:val="RodapChar"/>
    <w:uiPriority w:val="99"/>
    <w:rsid w:val="00B943E7"/>
    <w:pPr>
      <w:tabs>
        <w:tab w:val="center" w:pos="4419"/>
        <w:tab w:val="right" w:pos="8838"/>
      </w:tabs>
    </w:pPr>
    <w:rPr>
      <w:szCs w:val="20"/>
    </w:rPr>
  </w:style>
  <w:style w:type="character" w:customStyle="1" w:styleId="RodapChar">
    <w:name w:val="Rodapé Char"/>
    <w:basedOn w:val="Fontepargpadro"/>
    <w:link w:val="Rodap"/>
    <w:uiPriority w:val="99"/>
    <w:rsid w:val="00B943E7"/>
    <w:rPr>
      <w:rFonts w:ascii="Times New Roman" w:eastAsia="Times New Roman" w:hAnsi="Times New Roman"/>
      <w:sz w:val="24"/>
    </w:rPr>
  </w:style>
  <w:style w:type="paragraph" w:styleId="Corpodetexto">
    <w:name w:val="Body Text"/>
    <w:basedOn w:val="Normal"/>
    <w:link w:val="CorpodetextoChar"/>
    <w:rsid w:val="00B943E7"/>
    <w:pPr>
      <w:jc w:val="center"/>
    </w:pPr>
    <w:rPr>
      <w:b/>
      <w:color w:val="000000"/>
      <w:szCs w:val="20"/>
    </w:rPr>
  </w:style>
  <w:style w:type="character" w:customStyle="1" w:styleId="CorpodetextoChar">
    <w:name w:val="Corpo de texto Char"/>
    <w:basedOn w:val="Fontepargpadro"/>
    <w:link w:val="Corpodetexto"/>
    <w:rsid w:val="00B943E7"/>
    <w:rPr>
      <w:rFonts w:ascii="Times New Roman" w:eastAsia="Times New Roman" w:hAnsi="Times New Roman"/>
      <w:b/>
      <w:color w:val="000000"/>
      <w:sz w:val="24"/>
    </w:rPr>
  </w:style>
  <w:style w:type="paragraph" w:customStyle="1" w:styleId="BodyText21">
    <w:name w:val="Body Text 21"/>
    <w:basedOn w:val="Normal"/>
    <w:rsid w:val="00B943E7"/>
    <w:pPr>
      <w:widowControl w:val="0"/>
      <w:jc w:val="both"/>
    </w:pPr>
    <w:rPr>
      <w:rFonts w:ascii="Arial" w:hAnsi="Arial"/>
      <w:szCs w:val="20"/>
    </w:rPr>
  </w:style>
  <w:style w:type="paragraph" w:styleId="Recuodecorpodetexto2">
    <w:name w:val="Body Text Indent 2"/>
    <w:basedOn w:val="Normal"/>
    <w:link w:val="Recuodecorpodetexto2Char"/>
    <w:rsid w:val="00B943E7"/>
    <w:pPr>
      <w:spacing w:line="300" w:lineRule="atLeast"/>
      <w:ind w:firstLine="2"/>
      <w:jc w:val="both"/>
    </w:pPr>
    <w:rPr>
      <w:rFonts w:ascii="Garamond" w:hAnsi="Garamond"/>
      <w:sz w:val="28"/>
      <w:szCs w:val="20"/>
    </w:rPr>
  </w:style>
  <w:style w:type="character" w:customStyle="1" w:styleId="Recuodecorpodetexto2Char">
    <w:name w:val="Recuo de corpo de texto 2 Char"/>
    <w:basedOn w:val="Fontepargpadro"/>
    <w:link w:val="Recuodecorpodetexto2"/>
    <w:rsid w:val="00B943E7"/>
    <w:rPr>
      <w:rFonts w:ascii="Garamond" w:eastAsia="Times New Roman" w:hAnsi="Garamond"/>
      <w:sz w:val="28"/>
    </w:rPr>
  </w:style>
  <w:style w:type="paragraph" w:customStyle="1" w:styleId="Corpo">
    <w:name w:val="Corpo"/>
    <w:rsid w:val="00B943E7"/>
    <w:pPr>
      <w:jc w:val="both"/>
    </w:pPr>
    <w:rPr>
      <w:rFonts w:ascii="Times New Roman" w:eastAsia="Times New Roman" w:hAnsi="Times New Roman"/>
      <w:color w:val="000000"/>
      <w:sz w:val="26"/>
    </w:rPr>
  </w:style>
  <w:style w:type="table" w:styleId="Tabelacomgrade">
    <w:name w:val="Table Grid"/>
    <w:basedOn w:val="Tabelanormal"/>
    <w:rsid w:val="00B943E7"/>
    <w:rPr>
      <w:rFonts w:ascii="Times New Roman" w:eastAsia="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nhideWhenUsed/>
    <w:rsid w:val="007A30D3"/>
    <w:rPr>
      <w:color w:val="0000FF" w:themeColor="hyperlink"/>
      <w:u w:val="single"/>
    </w:rPr>
  </w:style>
  <w:style w:type="paragraph" w:styleId="PargrafodaLista">
    <w:name w:val="List Paragraph"/>
    <w:aliases w:val="Bullets 1"/>
    <w:basedOn w:val="Normal"/>
    <w:link w:val="PargrafodaListaChar"/>
    <w:uiPriority w:val="1"/>
    <w:qFormat/>
    <w:rsid w:val="00F56C33"/>
    <w:pPr>
      <w:ind w:left="720"/>
      <w:contextualSpacing/>
    </w:pPr>
  </w:style>
  <w:style w:type="character" w:styleId="TextodoEspaoReservado">
    <w:name w:val="Placeholder Text"/>
    <w:basedOn w:val="Fontepargpadro"/>
    <w:uiPriority w:val="99"/>
    <w:semiHidden/>
    <w:rsid w:val="00CD7C38"/>
    <w:rPr>
      <w:color w:val="808080"/>
    </w:rPr>
  </w:style>
  <w:style w:type="character" w:customStyle="1" w:styleId="DeltaViewInsertion">
    <w:name w:val="DeltaView Insertion"/>
    <w:uiPriority w:val="99"/>
    <w:rsid w:val="00917EA0"/>
    <w:rPr>
      <w:color w:val="0000FF"/>
      <w:u w:val="double"/>
    </w:rPr>
  </w:style>
  <w:style w:type="paragraph" w:customStyle="1" w:styleId="ListaColorida-nfase11">
    <w:name w:val="Lista Colorida - Ênfase 11"/>
    <w:basedOn w:val="Normal"/>
    <w:uiPriority w:val="99"/>
    <w:rsid w:val="00917EA0"/>
    <w:pPr>
      <w:autoSpaceDE w:val="0"/>
      <w:autoSpaceDN w:val="0"/>
      <w:adjustRightInd w:val="0"/>
      <w:ind w:left="720"/>
      <w:contextualSpacing/>
    </w:pPr>
    <w:rPr>
      <w:rFonts w:eastAsiaTheme="minorEastAsia"/>
      <w:sz w:val="20"/>
      <w:szCs w:val="20"/>
    </w:rPr>
  </w:style>
  <w:style w:type="character" w:styleId="Refdecomentrio">
    <w:name w:val="annotation reference"/>
    <w:basedOn w:val="Fontepargpadro"/>
    <w:semiHidden/>
    <w:unhideWhenUsed/>
    <w:rsid w:val="00FF168E"/>
    <w:rPr>
      <w:sz w:val="16"/>
      <w:szCs w:val="16"/>
    </w:rPr>
  </w:style>
  <w:style w:type="paragraph" w:styleId="Textodecomentrio">
    <w:name w:val="annotation text"/>
    <w:basedOn w:val="Normal"/>
    <w:link w:val="TextodecomentrioChar"/>
    <w:semiHidden/>
    <w:unhideWhenUsed/>
    <w:rsid w:val="00FF168E"/>
    <w:rPr>
      <w:sz w:val="20"/>
      <w:szCs w:val="20"/>
    </w:rPr>
  </w:style>
  <w:style w:type="character" w:customStyle="1" w:styleId="TextodecomentrioChar">
    <w:name w:val="Texto de comentário Char"/>
    <w:basedOn w:val="Fontepargpadro"/>
    <w:link w:val="Textodecomentrio"/>
    <w:uiPriority w:val="99"/>
    <w:semiHidden/>
    <w:rsid w:val="00FF168E"/>
    <w:rPr>
      <w:rFonts w:ascii="Times New Roman" w:eastAsia="Times New Roman" w:hAnsi="Times New Roman"/>
    </w:rPr>
  </w:style>
  <w:style w:type="paragraph" w:styleId="Assuntodocomentrio">
    <w:name w:val="annotation subject"/>
    <w:basedOn w:val="Textodecomentrio"/>
    <w:next w:val="Textodecomentrio"/>
    <w:link w:val="AssuntodocomentrioChar"/>
    <w:semiHidden/>
    <w:unhideWhenUsed/>
    <w:rsid w:val="00FF168E"/>
    <w:rPr>
      <w:b/>
      <w:bCs/>
    </w:rPr>
  </w:style>
  <w:style w:type="character" w:customStyle="1" w:styleId="AssuntodocomentrioChar">
    <w:name w:val="Assunto do comentário Char"/>
    <w:basedOn w:val="TextodecomentrioChar"/>
    <w:link w:val="Assuntodocomentrio"/>
    <w:uiPriority w:val="99"/>
    <w:semiHidden/>
    <w:rsid w:val="00FF168E"/>
    <w:rPr>
      <w:rFonts w:ascii="Times New Roman" w:eastAsia="Times New Roman" w:hAnsi="Times New Roman"/>
      <w:b/>
      <w:bCs/>
    </w:rPr>
  </w:style>
  <w:style w:type="paragraph" w:customStyle="1" w:styleId="Estilo2">
    <w:name w:val="Estilo2"/>
    <w:basedOn w:val="Normal"/>
    <w:qFormat/>
    <w:rsid w:val="00430C2A"/>
    <w:pPr>
      <w:autoSpaceDE w:val="0"/>
      <w:autoSpaceDN w:val="0"/>
      <w:adjustRightInd w:val="0"/>
      <w:spacing w:line="360" w:lineRule="auto"/>
      <w:ind w:left="1673" w:hanging="964"/>
      <w:jc w:val="both"/>
    </w:pPr>
    <w:rPr>
      <w:rFonts w:ascii="Calibri" w:eastAsiaTheme="minorEastAsia" w:hAnsi="Calibri"/>
    </w:rPr>
  </w:style>
  <w:style w:type="character" w:styleId="Forte">
    <w:name w:val="Strong"/>
    <w:basedOn w:val="Fontepargpadro"/>
    <w:uiPriority w:val="22"/>
    <w:qFormat/>
    <w:rsid w:val="00A832B6"/>
    <w:rPr>
      <w:b/>
      <w:bCs/>
    </w:rPr>
  </w:style>
  <w:style w:type="character" w:customStyle="1" w:styleId="Ttulo1Char">
    <w:name w:val="Título 1 Char"/>
    <w:basedOn w:val="Fontepargpadro"/>
    <w:link w:val="Ttulo1"/>
    <w:rsid w:val="00DA7FD6"/>
    <w:rPr>
      <w:rFonts w:ascii="CG Times" w:eastAsia="Times New Roman" w:hAnsi="CG Times"/>
      <w:b/>
      <w:sz w:val="26"/>
    </w:rPr>
  </w:style>
  <w:style w:type="character" w:customStyle="1" w:styleId="Ttulo2Char">
    <w:name w:val="Título 2 Char"/>
    <w:basedOn w:val="Fontepargpadro"/>
    <w:link w:val="Ttulo2"/>
    <w:rsid w:val="00DA7FD6"/>
    <w:rPr>
      <w:rFonts w:ascii="CG Times" w:eastAsia="Times New Roman" w:hAnsi="CG Times"/>
      <w:sz w:val="26"/>
    </w:rPr>
  </w:style>
  <w:style w:type="character" w:customStyle="1" w:styleId="Ttulo3Char">
    <w:name w:val="Título 3 Char"/>
    <w:basedOn w:val="Fontepargpadro"/>
    <w:link w:val="Ttulo3"/>
    <w:rsid w:val="00DA7FD6"/>
    <w:rPr>
      <w:rFonts w:ascii="CG Times" w:eastAsia="Times New Roman" w:hAnsi="CG Times"/>
      <w:b/>
      <w:sz w:val="26"/>
    </w:rPr>
  </w:style>
  <w:style w:type="character" w:customStyle="1" w:styleId="Ttulo4Char">
    <w:name w:val="Título 4 Char"/>
    <w:basedOn w:val="Fontepargpadro"/>
    <w:link w:val="Ttulo4"/>
    <w:rsid w:val="00DA7FD6"/>
    <w:rPr>
      <w:rFonts w:ascii="CG Times" w:eastAsia="Times New Roman" w:hAnsi="CG Times"/>
      <w:b/>
      <w:color w:val="0000FF"/>
      <w:sz w:val="26"/>
    </w:rPr>
  </w:style>
  <w:style w:type="character" w:customStyle="1" w:styleId="Ttulo5Char">
    <w:name w:val="Título 5 Char"/>
    <w:basedOn w:val="Fontepargpadro"/>
    <w:link w:val="Ttulo5"/>
    <w:rsid w:val="00DA7FD6"/>
    <w:rPr>
      <w:rFonts w:ascii="Times New Roman" w:eastAsia="Times New Roman" w:hAnsi="Times New Roman"/>
      <w:sz w:val="24"/>
    </w:rPr>
  </w:style>
  <w:style w:type="character" w:customStyle="1" w:styleId="Ttulo6Char">
    <w:name w:val="Título 6 Char"/>
    <w:basedOn w:val="Fontepargpadro"/>
    <w:link w:val="Ttulo6"/>
    <w:rsid w:val="00DA7FD6"/>
    <w:rPr>
      <w:rFonts w:ascii="Times New Roman" w:eastAsia="Times New Roman" w:hAnsi="Times New Roman"/>
      <w:bCs/>
      <w:smallCaps/>
      <w:sz w:val="26"/>
      <w:u w:val="single"/>
    </w:rPr>
  </w:style>
  <w:style w:type="character" w:customStyle="1" w:styleId="Ttulo7Char">
    <w:name w:val="Título 7 Char"/>
    <w:basedOn w:val="Fontepargpadro"/>
    <w:link w:val="Ttulo7"/>
    <w:rsid w:val="00DA7FD6"/>
    <w:rPr>
      <w:rFonts w:ascii="Times New Roman" w:eastAsia="Times New Roman" w:hAnsi="Times New Roman"/>
      <w:bCs/>
      <w:sz w:val="26"/>
    </w:rPr>
  </w:style>
  <w:style w:type="character" w:customStyle="1" w:styleId="Ttulo8Char">
    <w:name w:val="Título 8 Char"/>
    <w:basedOn w:val="Fontepargpadro"/>
    <w:link w:val="Ttulo8"/>
    <w:rsid w:val="00DA7FD6"/>
    <w:rPr>
      <w:rFonts w:ascii="Times New Roman" w:eastAsia="Times New Roman" w:hAnsi="Times New Roman"/>
      <w:sz w:val="26"/>
    </w:rPr>
  </w:style>
  <w:style w:type="paragraph" w:styleId="Corpodetexto2">
    <w:name w:val="Body Text 2"/>
    <w:basedOn w:val="Normal"/>
    <w:link w:val="Corpodetexto2Char"/>
    <w:rsid w:val="00DA7FD6"/>
    <w:pPr>
      <w:jc w:val="both"/>
    </w:pPr>
    <w:rPr>
      <w:rFonts w:ascii="Arial" w:hAnsi="Arial"/>
      <w:b/>
      <w:szCs w:val="20"/>
      <w:lang w:eastAsia="en-US"/>
    </w:rPr>
  </w:style>
  <w:style w:type="character" w:customStyle="1" w:styleId="Corpodetexto2Char">
    <w:name w:val="Corpo de texto 2 Char"/>
    <w:basedOn w:val="Fontepargpadro"/>
    <w:link w:val="Corpodetexto2"/>
    <w:rsid w:val="00DA7FD6"/>
    <w:rPr>
      <w:rFonts w:ascii="Arial" w:eastAsia="Times New Roman" w:hAnsi="Arial"/>
      <w:b/>
      <w:sz w:val="24"/>
      <w:lang w:eastAsia="en-US"/>
    </w:rPr>
  </w:style>
  <w:style w:type="paragraph" w:styleId="Corpodetexto3">
    <w:name w:val="Body Text 3"/>
    <w:basedOn w:val="Normal"/>
    <w:link w:val="Corpodetexto3Char"/>
    <w:rsid w:val="00DA7FD6"/>
    <w:pPr>
      <w:jc w:val="both"/>
    </w:pPr>
    <w:rPr>
      <w:rFonts w:ascii="Arial" w:hAnsi="Arial"/>
      <w:szCs w:val="20"/>
      <w:lang w:eastAsia="en-US"/>
    </w:rPr>
  </w:style>
  <w:style w:type="character" w:customStyle="1" w:styleId="Corpodetexto3Char">
    <w:name w:val="Corpo de texto 3 Char"/>
    <w:basedOn w:val="Fontepargpadro"/>
    <w:link w:val="Corpodetexto3"/>
    <w:rsid w:val="00DA7FD6"/>
    <w:rPr>
      <w:rFonts w:ascii="Arial" w:eastAsia="Times New Roman" w:hAnsi="Arial"/>
      <w:sz w:val="24"/>
      <w:lang w:eastAsia="en-US"/>
    </w:rPr>
  </w:style>
  <w:style w:type="paragraph" w:styleId="Recuodecorpodetexto">
    <w:name w:val="Body Text Indent"/>
    <w:basedOn w:val="Normal"/>
    <w:link w:val="RecuodecorpodetextoChar"/>
    <w:rsid w:val="00DA7FD6"/>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jc w:val="both"/>
    </w:pPr>
    <w:rPr>
      <w:color w:val="000000"/>
      <w:szCs w:val="20"/>
      <w:lang w:eastAsia="en-US"/>
    </w:rPr>
  </w:style>
  <w:style w:type="character" w:customStyle="1" w:styleId="RecuodecorpodetextoChar">
    <w:name w:val="Recuo de corpo de texto Char"/>
    <w:basedOn w:val="Fontepargpadro"/>
    <w:link w:val="Recuodecorpodetexto"/>
    <w:rsid w:val="00DA7FD6"/>
    <w:rPr>
      <w:rFonts w:ascii="Times New Roman" w:eastAsia="Times New Roman" w:hAnsi="Times New Roman"/>
      <w:color w:val="000000"/>
      <w:sz w:val="24"/>
      <w:lang w:eastAsia="en-US"/>
    </w:rPr>
  </w:style>
  <w:style w:type="paragraph" w:styleId="NormalWeb">
    <w:name w:val="Normal (Web)"/>
    <w:basedOn w:val="Normal"/>
    <w:rsid w:val="00DA7FD6"/>
    <w:pPr>
      <w:spacing w:before="100" w:beforeAutospacing="1" w:after="100" w:afterAutospacing="1"/>
    </w:pPr>
    <w:rPr>
      <w:rFonts w:ascii="Verdana" w:eastAsia="Arial Unicode MS" w:hAnsi="Verdana" w:cs="Verdana"/>
    </w:rPr>
  </w:style>
  <w:style w:type="paragraph" w:customStyle="1" w:styleId="p0">
    <w:name w:val="p0"/>
    <w:basedOn w:val="Normal"/>
    <w:rsid w:val="00DA7FD6"/>
    <w:pPr>
      <w:widowControl w:val="0"/>
      <w:tabs>
        <w:tab w:val="left" w:pos="720"/>
      </w:tabs>
      <w:spacing w:line="240" w:lineRule="atLeast"/>
      <w:jc w:val="both"/>
    </w:pPr>
    <w:rPr>
      <w:rFonts w:ascii="Times" w:hAnsi="Times"/>
      <w:snapToGrid w:val="0"/>
      <w:szCs w:val="20"/>
    </w:rPr>
  </w:style>
  <w:style w:type="character" w:customStyle="1" w:styleId="INDENT2">
    <w:name w:val="INDENT 2"/>
    <w:rsid w:val="00DA7FD6"/>
    <w:rPr>
      <w:rFonts w:ascii="Times New Roman" w:hAnsi="Times New Roman"/>
      <w:sz w:val="24"/>
    </w:rPr>
  </w:style>
  <w:style w:type="character" w:customStyle="1" w:styleId="apple-style-span">
    <w:name w:val="apple-style-span"/>
    <w:basedOn w:val="Fontepargpadro"/>
    <w:rsid w:val="00DA7FD6"/>
  </w:style>
  <w:style w:type="paragraph" w:customStyle="1" w:styleId="CharChar1CharCharCharChar">
    <w:name w:val="Char Char1 Char Char Char Char"/>
    <w:basedOn w:val="Normal"/>
    <w:rsid w:val="00DA7FD6"/>
    <w:pPr>
      <w:widowControl w:val="0"/>
      <w:autoSpaceDE w:val="0"/>
      <w:autoSpaceDN w:val="0"/>
      <w:adjustRightInd w:val="0"/>
      <w:spacing w:after="160" w:line="240" w:lineRule="exact"/>
    </w:pPr>
    <w:rPr>
      <w:rFonts w:ascii="Verdana" w:hAnsi="Verdana"/>
      <w:sz w:val="20"/>
      <w:szCs w:val="20"/>
      <w:lang w:val="en-US" w:eastAsia="en-US"/>
    </w:rPr>
  </w:style>
  <w:style w:type="character" w:customStyle="1" w:styleId="deltaviewinsertion0">
    <w:name w:val="deltaviewinsertion"/>
    <w:basedOn w:val="Fontepargpadro"/>
    <w:rsid w:val="00DA7FD6"/>
  </w:style>
  <w:style w:type="paragraph" w:customStyle="1" w:styleId="Char2">
    <w:name w:val="Char2"/>
    <w:basedOn w:val="Normal"/>
    <w:rsid w:val="00DA7FD6"/>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Textodenotaderodap">
    <w:name w:val="footnote text"/>
    <w:basedOn w:val="Normal"/>
    <w:link w:val="TextodenotaderodapChar"/>
    <w:semiHidden/>
    <w:rsid w:val="00DA7FD6"/>
    <w:pPr>
      <w:jc w:val="both"/>
    </w:pPr>
    <w:rPr>
      <w:sz w:val="20"/>
      <w:szCs w:val="20"/>
    </w:rPr>
  </w:style>
  <w:style w:type="character" w:customStyle="1" w:styleId="TextodenotaderodapChar">
    <w:name w:val="Texto de nota de rodapé Char"/>
    <w:basedOn w:val="Fontepargpadro"/>
    <w:link w:val="Textodenotaderodap"/>
    <w:semiHidden/>
    <w:rsid w:val="00DA7FD6"/>
    <w:rPr>
      <w:rFonts w:ascii="Times New Roman" w:eastAsia="Times New Roman" w:hAnsi="Times New Roman"/>
    </w:rPr>
  </w:style>
  <w:style w:type="character" w:styleId="Refdenotaderodap">
    <w:name w:val="footnote reference"/>
    <w:semiHidden/>
    <w:rsid w:val="00DA7FD6"/>
    <w:rPr>
      <w:vertAlign w:val="superscript"/>
    </w:rPr>
  </w:style>
  <w:style w:type="character" w:customStyle="1" w:styleId="PinheiroGuimares-Advogados">
    <w:name w:val="Pinheiro Guimarães - Advogados"/>
    <w:semiHidden/>
    <w:rsid w:val="00DA7FD6"/>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DA7FD6"/>
    <w:pPr>
      <w:widowControl w:val="0"/>
      <w:spacing w:after="220"/>
      <w:ind w:left="2127" w:hanging="709"/>
      <w:jc w:val="both"/>
    </w:pPr>
    <w:rPr>
      <w:sz w:val="26"/>
      <w:szCs w:val="20"/>
    </w:rPr>
  </w:style>
  <w:style w:type="paragraph" w:customStyle="1" w:styleId="Default">
    <w:name w:val="Default"/>
    <w:rsid w:val="00DA7FD6"/>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Fontepargpadro"/>
    <w:rsid w:val="00DA7FD6"/>
  </w:style>
  <w:style w:type="character" w:styleId="nfase">
    <w:name w:val="Emphasis"/>
    <w:basedOn w:val="Fontepargpadro"/>
    <w:uiPriority w:val="20"/>
    <w:qFormat/>
    <w:rsid w:val="00DA7FD6"/>
    <w:rPr>
      <w:i/>
      <w:iCs/>
    </w:rPr>
  </w:style>
  <w:style w:type="paragraph" w:styleId="Commarcadores">
    <w:name w:val="List Bullet"/>
    <w:basedOn w:val="Normal"/>
    <w:rsid w:val="00DA7FD6"/>
    <w:pPr>
      <w:numPr>
        <w:numId w:val="4"/>
      </w:numPr>
      <w:spacing w:after="120"/>
      <w:contextualSpacing/>
      <w:jc w:val="both"/>
    </w:pPr>
    <w:rPr>
      <w:sz w:val="26"/>
      <w:szCs w:val="20"/>
    </w:rPr>
  </w:style>
  <w:style w:type="paragraph" w:styleId="Reviso">
    <w:name w:val="Revision"/>
    <w:hidden/>
    <w:uiPriority w:val="99"/>
    <w:semiHidden/>
    <w:rsid w:val="00DA7FD6"/>
    <w:rPr>
      <w:rFonts w:ascii="Times New Roman" w:eastAsia="Times New Roman" w:hAnsi="Times New Roman"/>
      <w:sz w:val="26"/>
    </w:rPr>
  </w:style>
  <w:style w:type="character" w:customStyle="1" w:styleId="PargrafodaListaChar">
    <w:name w:val="Parágrafo da Lista Char"/>
    <w:aliases w:val="Bullets 1 Char"/>
    <w:link w:val="PargrafodaLista"/>
    <w:uiPriority w:val="1"/>
    <w:locked/>
    <w:rsid w:val="00F215C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1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CFFD7-6E63-47D8-A20D-323F3451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2797</Words>
  <Characters>15747</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18507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2018-01-22T17:12:00Z</dcterms:created>
  <dcterms:modified xsi:type="dcterms:W3CDTF">2018-01-22T17:12:00Z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IFAAEdebdo5Qak64GJBn8ZTWK2VzNRyt7lIhFH16YlM8JtwtoFTBb5PiLDXlJENdMufxn/fXtx5sJtDr
9zVeVAvWSn6hEQKP3iE6DYnufB3vmGOQDHuJLDi01JY5QSSWPI+eiwczpJQdNeHr9zVeVAvWSn6h
EQKP3iE6DYnufB3vmGOQDHuJLDi01AXqT31BqGWebYO+Mkz0qMLkmF3XHJ8/jvicPbdBVm3Bkac2
vuAKG5axfMrfSt+Xd</vt:lpwstr>
  </property>
  <property fmtid="{D5CDD505-2E9C-101B-9397-08002B2CF9AE}" pid="3" name="MAIL_MSG_ID2">
    <vt:lpwstr>ZuJkdAvB9DpRFN6Mig40kC7/UheZsRKr8rVGIoWKp0wh/ni/nK3av23jQrF
VYOL6t1j8RvQkHFw</vt:lpwstr>
  </property>
  <property fmtid="{D5CDD505-2E9C-101B-9397-08002B2CF9AE}" pid="4" name="RESPONSE_SENDER_NAME">
    <vt:lpwstr>ABAAdnH19QYq2YUMN49R8aqtXTQV1OnxwTIeLb7PozcUGqLXkJrCdsyZh7tTl3LI3LL/</vt:lpwstr>
  </property>
  <property fmtid="{D5CDD505-2E9C-101B-9397-08002B2CF9AE}" pid="5" name="EMAIL_OWNER_ADDRESS">
    <vt:lpwstr>sAAAE9kkUq3pEoJcy62mvO2sf2ttqO5M4rq1yaunQkCtePc=</vt:lpwstr>
  </property>
</Properties>
</file>