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67BF65BD" w:rsidR="00617B17" w:rsidRPr="004B1F5A" w:rsidRDefault="00617B17" w:rsidP="00617B17">
      <w:pPr>
        <w:pStyle w:val="Body"/>
        <w:widowControl w:val="0"/>
        <w:spacing w:before="140" w:after="0"/>
        <w:rPr>
          <w:szCs w:val="20"/>
          <w:lang w:val="pt-BR"/>
        </w:rPr>
      </w:pPr>
      <w:r w:rsidRPr="004B1F5A">
        <w:rPr>
          <w:szCs w:val="20"/>
          <w:lang w:val="pt-BR"/>
        </w:rPr>
        <w:t>como cedente:</w:t>
      </w:r>
      <w:r w:rsidR="00C37A38">
        <w:rPr>
          <w:szCs w:val="20"/>
          <w:lang w:val="pt-BR"/>
        </w:rPr>
        <w:t xml:space="preserve"> </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2" w:name="_Hlk71652115"/>
      <w:r w:rsidRPr="0045539C">
        <w:t>Cadastro Nacional da Pessoa Jurídica do Ministério da Economia (“</w:t>
      </w:r>
      <w:bookmarkStart w:id="3" w:name="_Hlk43396018"/>
      <w:r w:rsidRPr="0045539C">
        <w:rPr>
          <w:b/>
        </w:rPr>
        <w:t>CNPJ/ME</w:t>
      </w:r>
      <w:r w:rsidRPr="0045539C">
        <w:t xml:space="preserve">”) </w:t>
      </w:r>
      <w:bookmarkEnd w:id="2"/>
      <w:r w:rsidRPr="0045539C">
        <w:t>sob o nº</w:t>
      </w:r>
      <w:r>
        <w:t xml:space="preserve"> </w:t>
      </w:r>
      <w:r w:rsidRPr="00FC3F27">
        <w:t>90.195.892/0001-16</w:t>
      </w:r>
      <w:bookmarkEnd w:id="3"/>
      <w:r>
        <w:t xml:space="preserve">, </w:t>
      </w:r>
      <w:r w:rsidRPr="0045539C">
        <w:t xml:space="preserve">neste ato representada nos termos de seu estatuto social </w:t>
      </w:r>
      <w:bookmarkEnd w:id="1"/>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4" w:name="_Hlk78901887"/>
      <w:bookmarkStart w:id="5" w:name="_Hlk69801709"/>
      <w:bookmarkStart w:id="6" w:name="_Hlk59116880"/>
      <w:r w:rsidRPr="00530730">
        <w:rPr>
          <w:b/>
        </w:rPr>
        <w:t>SIMPLIFIC PAVARINI DISTRIBUIDORA DE TÍTULOS E VALORES MOBILIÁRIOS LTDA.</w:t>
      </w:r>
      <w:bookmarkEnd w:id="4"/>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5"/>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6"/>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001ABDA0" w:rsidR="00056E22" w:rsidRDefault="00326A54" w:rsidP="000A34D5">
      <w:pPr>
        <w:pStyle w:val="Recitals"/>
        <w:widowControl w:val="0"/>
        <w:numPr>
          <w:ilvl w:val="1"/>
          <w:numId w:val="31"/>
        </w:numPr>
        <w:spacing w:before="140" w:after="0"/>
        <w:rPr>
          <w:szCs w:val="20"/>
        </w:rPr>
      </w:pPr>
      <w:bookmarkStart w:id="7" w:name="_Hlk68807437"/>
      <w:bookmarkStart w:id="8" w:name="_Hlk68807225"/>
      <w:bookmarkStart w:id="9"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 xml:space="preserve">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(ii)</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0" w:name="_DV_M31"/>
      <w:bookmarkEnd w:id="10"/>
      <w:r>
        <w:t>]</w:t>
      </w:r>
      <w:r w:rsidR="005262F4">
        <w:t xml:space="preserve">, </w:t>
      </w:r>
      <w:bookmarkStart w:id="11"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7"/>
      <w:bookmarkEnd w:id="11"/>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2" w:name="_Hlk74916229"/>
      <w:r w:rsidR="00D35F45">
        <w:t>item (o)</w:t>
      </w:r>
      <w:r w:rsidR="005C0DFD">
        <w:t>,</w:t>
      </w:r>
      <w:r w:rsidR="005262F4" w:rsidRPr="006B3774">
        <w:t xml:space="preserve"> </w:t>
      </w:r>
      <w:bookmarkEnd w:id="12"/>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13" w:name="_Hlk68807446"/>
      <w:bookmarkEnd w:id="8"/>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w:t>
      </w:r>
      <w:r w:rsidR="00B03A59" w:rsidRPr="000838F9">
        <w:rPr>
          <w:bCs/>
        </w:rPr>
        <w:lastRenderedPageBreak/>
        <w:t>S.A.</w:t>
      </w:r>
      <w:r w:rsidR="00B03A59">
        <w:rPr>
          <w:bCs/>
        </w:rPr>
        <w:t xml:space="preserve">, </w:t>
      </w:r>
      <w:r w:rsidR="00B03A59" w:rsidRPr="00F23368">
        <w:t xml:space="preserve">Dexxos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3"/>
      <w:r w:rsidR="00617B17" w:rsidRPr="00A424C7">
        <w:rPr>
          <w:szCs w:val="20"/>
        </w:rPr>
        <w:t>;</w:t>
      </w:r>
      <w:bookmarkEnd w:id="9"/>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241DF5F5"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00FF44B6">
        <w:t>s Debenturistas, representados pelo</w:t>
      </w:r>
      <w:r w:rsidRPr="00E74DE8">
        <w:t xml:space="preserve"> </w:t>
      </w:r>
      <w:r>
        <w:t>Agente Fiduciário</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(ii)</w:t>
      </w:r>
      <w:r w:rsidRPr="00621686">
        <w:t xml:space="preserve"> </w:t>
      </w:r>
      <w:r>
        <w:t>a presente Cessão Fiduciária</w:t>
      </w:r>
      <w:r w:rsidRPr="005C05E7">
        <w:t>;</w:t>
      </w:r>
      <w:r>
        <w:t xml:space="preserve"> e</w:t>
      </w:r>
      <w:r w:rsidRPr="005C05E7">
        <w:t xml:space="preserve"> </w:t>
      </w:r>
      <w:r w:rsidRPr="00EC5E31">
        <w:rPr>
          <w:b/>
        </w:rPr>
        <w:t>(i</w:t>
      </w:r>
      <w:r>
        <w:rPr>
          <w:b/>
        </w:rPr>
        <w:t>ii</w:t>
      </w:r>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w:t>
      </w:r>
      <w:r w:rsidRPr="0090741A">
        <w:t xml:space="preserve">nº </w:t>
      </w:r>
      <w:r w:rsidR="0090741A" w:rsidRPr="0006719C">
        <w:t xml:space="preserve">67.320 e </w:t>
      </w:r>
      <w:r w:rsidR="0090741A">
        <w:t xml:space="preserve">67.321 </w:t>
      </w:r>
      <w:r>
        <w:t xml:space="preserve">junto </w:t>
      </w:r>
      <w:r w:rsidRPr="00671DBE">
        <w:t xml:space="preserve">ao </w:t>
      </w:r>
      <w:r w:rsidR="0090741A" w:rsidRPr="00671DBE">
        <w:t>3</w:t>
      </w:r>
      <w:r w:rsidRPr="00671DBE">
        <w:t>º Ofício</w:t>
      </w:r>
      <w:r>
        <w:t xml:space="preserve">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3E3A9B5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contrapartes</w:t>
      </w:r>
      <w:r w:rsidRPr="00864E41">
        <w:t xml:space="preserve">, </w:t>
      </w:r>
      <w:r w:rsidR="00851750">
        <w:t>os recursos oriundos d</w:t>
      </w:r>
      <w:r w:rsidR="00FF44B6">
        <w:t>a</w:t>
      </w:r>
      <w:r w:rsidRPr="00864E41">
        <w:t xml:space="preserve">s </w:t>
      </w:r>
      <w:r w:rsidR="00FF44B6">
        <w:t xml:space="preserve">Duplicatas (conforme abaixo definido) </w:t>
      </w:r>
      <w:r w:rsidR="00851750">
        <w:t>nos termos deste Contrato</w:t>
      </w:r>
      <w:r w:rsidR="00750C99">
        <w:t>;</w:t>
      </w:r>
      <w:r w:rsidR="00E654E8" w:rsidRPr="00E654E8">
        <w:rPr>
          <w:bCs/>
          <w:szCs w:val="20"/>
        </w:rPr>
        <w:t xml:space="preserve"> </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Pr="001714B5">
        <w:t>“</w:t>
      </w:r>
      <w:r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(iii)</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14" w:name="_Hlk68807461"/>
      <w:bookmarkStart w:id="15" w:name="_Hlk68807211"/>
      <w:r w:rsidRPr="00D93D33">
        <w:lastRenderedPageBreak/>
        <w:t>as Partes dispuseram do tempo e condições adequadas para a avaliação e discussão de todas as cláusulas e condições constantes deste instrumento, cuja celebração é pautada pelos princípios da probidade e boa-fé</w:t>
      </w:r>
      <w:bookmarkEnd w:id="14"/>
      <w:bookmarkEnd w:id="15"/>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16" w:name="_Ref72857849"/>
      <w:r w:rsidRPr="00367663">
        <w:rPr>
          <w:sz w:val="20"/>
          <w:lang w:val="pt-BR"/>
        </w:rPr>
        <w:t xml:space="preserve">OBJETO </w:t>
      </w:r>
      <w:r w:rsidR="007C307E" w:rsidRPr="00367663">
        <w:rPr>
          <w:sz w:val="20"/>
          <w:lang w:val="pt-BR"/>
        </w:rPr>
        <w:t>DO CONTRATO</w:t>
      </w:r>
      <w:bookmarkEnd w:id="16"/>
      <w:r w:rsidR="008A4C18" w:rsidRPr="00367663">
        <w:rPr>
          <w:sz w:val="20"/>
          <w:lang w:val="pt-BR"/>
        </w:rPr>
        <w:t xml:space="preserve"> </w:t>
      </w:r>
    </w:p>
    <w:p w14:paraId="5FA08822" w14:textId="2AF3E848" w:rsidR="00907278" w:rsidRPr="00A424C7" w:rsidRDefault="006A4B4C" w:rsidP="002B4C57">
      <w:pPr>
        <w:pStyle w:val="Level2"/>
      </w:pPr>
      <w:bookmarkStart w:id="17" w:name="_Hlk68805757"/>
      <w:bookmarkStart w:id="18" w:name="_Hlk68807479"/>
      <w:bookmarkStart w:id="19" w:name="_Ref80179385"/>
      <w:bookmarkStart w:id="20" w:name="_Ref377492397"/>
      <w:bookmarkStart w:id="21"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(ii)</w:t>
      </w:r>
      <w:r w:rsidRPr="00E50984">
        <w:rPr>
          <w:szCs w:val="26"/>
        </w:rPr>
        <w:t> </w:t>
      </w:r>
      <w:bookmarkStart w:id="22"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00A31EA2">
        <w:rPr>
          <w:szCs w:val="20"/>
        </w:rPr>
        <w:t xml:space="preserve"> (conforme definido na Escritura de Emissão)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(iii)</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3" w:name="_Hlk58422256"/>
      <w:bookmarkEnd w:id="22"/>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r w:rsidR="00A138BC">
        <w:t>s Debenturistas, representados pelo</w:t>
      </w:r>
      <w:r w:rsidR="00907278" w:rsidRPr="00A424C7">
        <w:t xml:space="preserve"> Agente Fiduciário,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24" w:name="_Hlk26456914"/>
      <w:r w:rsidR="00907278" w:rsidRPr="00A424C7">
        <w:t xml:space="preserve">a propriedade fiduciária, o domínio resolúvel e a posse indireta </w:t>
      </w:r>
      <w:bookmarkEnd w:id="24"/>
      <w:r w:rsidR="00907278" w:rsidRPr="00A424C7">
        <w:t xml:space="preserve">dos direitos creditórios presentes e futuros e </w:t>
      </w:r>
      <w:bookmarkStart w:id="25" w:name="_Hlk26454892"/>
      <w:r w:rsidR="00907278" w:rsidRPr="00A424C7">
        <w:t xml:space="preserve">títulos de crédito presentes e futuros </w:t>
      </w:r>
      <w:bookmarkEnd w:id="25"/>
      <w:r w:rsidR="00907278" w:rsidRPr="00A424C7">
        <w:t>descritos e caracterizados abaixo (“</w:t>
      </w:r>
      <w:r w:rsidR="00907278" w:rsidRPr="00A424C7">
        <w:rPr>
          <w:b/>
        </w:rPr>
        <w:t>Cessão Fiduciária</w:t>
      </w:r>
      <w:r w:rsidR="00907278" w:rsidRPr="00A424C7">
        <w:t>”)</w:t>
      </w:r>
      <w:bookmarkEnd w:id="17"/>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18"/>
      <w:r w:rsidR="00907278" w:rsidRPr="00A424C7">
        <w:t>:</w:t>
      </w:r>
      <w:bookmarkEnd w:id="19"/>
      <w:r w:rsidR="008816CB">
        <w:t xml:space="preserve"> </w:t>
      </w:r>
    </w:p>
    <w:p w14:paraId="4B00D62F" w14:textId="3A1930A4" w:rsidR="00907278" w:rsidRPr="00A424C7" w:rsidRDefault="00907278" w:rsidP="007025AD">
      <w:pPr>
        <w:pStyle w:val="Level5"/>
        <w:tabs>
          <w:tab w:val="clear" w:pos="2721"/>
          <w:tab w:val="num" w:pos="1361"/>
        </w:tabs>
        <w:ind w:left="1360"/>
        <w:rPr>
          <w:szCs w:val="20"/>
        </w:rPr>
      </w:pPr>
      <w:bookmarkStart w:id="26" w:name="_Hlk59363075"/>
      <w:bookmarkStart w:id="27" w:name="_Hlk68806363"/>
      <w:bookmarkStart w:id="28"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4E261C">
        <w:rPr>
          <w:color w:val="000000"/>
          <w:szCs w:val="20"/>
        </w:rPr>
        <w:t xml:space="preserve">, conforme identificadas no </w:t>
      </w:r>
      <w:r w:rsidR="00CB5F94">
        <w:t>Anexo V</w:t>
      </w:r>
      <w:r w:rsidR="00183310">
        <w:rPr>
          <w:b/>
          <w:color w:val="000000"/>
          <w:szCs w:val="20"/>
        </w:rPr>
        <w:t>,</w:t>
      </w:r>
      <w:r w:rsidRPr="00A424C7">
        <w:rPr>
          <w:color w:val="000000"/>
          <w:szCs w:val="20"/>
        </w:rPr>
        <w:t xml:space="preserve"> incluindo todos e quaisquer direitos, privilégios, preferências, prerrogativas e ações a estes relacionados, bem como todos e quaisquer encargos, multas </w:t>
      </w:r>
      <w:r w:rsidRPr="002238AB">
        <w:rPr>
          <w:color w:val="000000"/>
          <w:szCs w:val="20"/>
        </w:rPr>
        <w:t xml:space="preserve">compensatórias, </w:t>
      </w:r>
      <w:bookmarkStart w:id="29"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26"/>
      <w:bookmarkEnd w:id="29"/>
      <w:r w:rsidR="00F323C6" w:rsidRPr="007025AD">
        <w:rPr>
          <w:b/>
          <w:szCs w:val="20"/>
        </w:rPr>
        <w:t>;</w:t>
      </w:r>
    </w:p>
    <w:bookmarkEnd w:id="20"/>
    <w:p w14:paraId="01FDE8D9" w14:textId="088AEC8B" w:rsidR="00907278" w:rsidRPr="007025AD" w:rsidRDefault="00907278" w:rsidP="007025AD">
      <w:pPr>
        <w:pStyle w:val="Level5"/>
        <w:tabs>
          <w:tab w:val="clear" w:pos="2721"/>
          <w:tab w:val="num" w:pos="1361"/>
        </w:tabs>
        <w:ind w:left="1360"/>
      </w:pPr>
      <w:r w:rsidRPr="00A424C7">
        <w:lastRenderedPageBreak/>
        <w:t xml:space="preserve">todos </w:t>
      </w:r>
      <w:r w:rsidR="004517FE">
        <w:t>e quaisquer</w:t>
      </w:r>
      <w:r w:rsidR="004517FE" w:rsidRPr="00A424C7">
        <w:t xml:space="preserve"> </w:t>
      </w:r>
      <w:r w:rsidRPr="00A424C7">
        <w:t xml:space="preserve">direitos, atuais </w:t>
      </w:r>
      <w:r w:rsidR="004517FE">
        <w:t>e</w:t>
      </w:r>
      <w:r w:rsidRPr="00A424C7">
        <w:t xml:space="preserve">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1"/>
      <w:r w:rsidRPr="00817E3C">
        <w:t>.</w:t>
      </w:r>
      <w:bookmarkEnd w:id="27"/>
    </w:p>
    <w:p w14:paraId="52C9D8F1" w14:textId="4428CB1D" w:rsidR="00F54F92" w:rsidRDefault="009D457B" w:rsidP="00A138BC">
      <w:pPr>
        <w:pStyle w:val="Level3"/>
        <w:numPr>
          <w:ilvl w:val="2"/>
          <w:numId w:val="107"/>
        </w:numPr>
      </w:pPr>
      <w:bookmarkStart w:id="30" w:name="_Ref83899196"/>
      <w:bookmarkStart w:id="31" w:name="_Ref83875971"/>
      <w:bookmarkEnd w:id="23"/>
      <w:bookmarkEnd w:id="28"/>
      <w:r w:rsidRPr="00D16752">
        <w:rPr>
          <w:bCs/>
          <w:szCs w:val="20"/>
        </w:rPr>
        <w:t>I</w:t>
      </w:r>
      <w:r w:rsidRPr="007971EB">
        <w:t xml:space="preserve">ncorporar-se-ão automaticamente a este Contrato, passando, para todos os fins de direito, conforme o caso, a integrar a definição de “Direitos </w:t>
      </w:r>
      <w:r w:rsidR="0090741A">
        <w:t xml:space="preserve">Creditórios </w:t>
      </w:r>
      <w:r w:rsidR="0090741A" w:rsidRPr="007971EB">
        <w:t xml:space="preserve">Cedidos” </w:t>
      </w:r>
      <w:r w:rsidR="005F543B">
        <w:t xml:space="preserve">e, portanto, as duplicatas assim emitidas integrarão o conceito de “Duplicatas” para todos os fins deste Contrato (inclusive para o cálculo do Índice de Cobertura na forma da Cláusula </w:t>
      </w:r>
      <w:r w:rsidR="005F543B">
        <w:fldChar w:fldCharType="begin"/>
      </w:r>
      <w:r w:rsidR="005F543B">
        <w:instrText xml:space="preserve"> REF _Ref83890259 \r \h </w:instrText>
      </w:r>
      <w:r w:rsidR="005F543B">
        <w:fldChar w:fldCharType="separate"/>
      </w:r>
      <w:r w:rsidR="0006719C">
        <w:t>7.1.1</w:t>
      </w:r>
      <w:r w:rsidR="005F543B">
        <w:fldChar w:fldCharType="end"/>
      </w:r>
      <w:r w:rsidR="005F543B">
        <w:t xml:space="preserve"> abaixo), </w:t>
      </w:r>
      <w:r w:rsidRPr="007971EB">
        <w:t xml:space="preserve">além dos direitos creditórios descritos e especificados na Cláusula </w:t>
      </w:r>
      <w:r w:rsidR="00C72EDC">
        <w:fldChar w:fldCharType="begin"/>
      </w:r>
      <w:r w:rsidR="00C72EDC">
        <w:instrText xml:space="preserve"> REF _Ref80179385 \r \h </w:instrText>
      </w:r>
      <w:r w:rsidR="00C72EDC">
        <w:fldChar w:fldCharType="separate"/>
      </w:r>
      <w:r w:rsidR="0006719C">
        <w:t>2.1</w:t>
      </w:r>
      <w:r w:rsidR="00C72EDC">
        <w:fldChar w:fldCharType="end"/>
      </w:r>
      <w:r w:rsidRPr="007971EB">
        <w:t xml:space="preserve"> acima, todos e </w:t>
      </w:r>
      <w:bookmarkStart w:id="32" w:name="_Hlk59177994"/>
      <w:r w:rsidRPr="007971EB">
        <w:t>quaisquer novos direitos creditórios que sejam cedidos</w:t>
      </w:r>
      <w:r w:rsidR="002F26C5">
        <w:t xml:space="preserve"> fiduciariamente pela</w:t>
      </w:r>
      <w:r w:rsidRPr="007971EB">
        <w:t xml:space="preserve"> Cedente</w:t>
      </w:r>
      <w:r w:rsidR="002F26C5">
        <w:t xml:space="preserve"> </w:t>
      </w:r>
      <w:r w:rsidR="005F543B">
        <w:t xml:space="preserve">na forma da Cláusula </w:t>
      </w:r>
      <w:r w:rsidR="00F54F92">
        <w:fldChar w:fldCharType="begin"/>
      </w:r>
      <w:r w:rsidR="00F54F92">
        <w:instrText xml:space="preserve"> REF _Ref83890386 \r \h </w:instrText>
      </w:r>
      <w:r w:rsidR="00F54F92">
        <w:fldChar w:fldCharType="separate"/>
      </w:r>
      <w:r w:rsidR="0006719C">
        <w:t>2.1.2</w:t>
      </w:r>
      <w:r w:rsidR="00F54F92">
        <w:fldChar w:fldCharType="end"/>
      </w:r>
      <w:r w:rsidR="00F54F92">
        <w:t xml:space="preserve"> </w:t>
      </w:r>
      <w:r w:rsidR="005F543B">
        <w:t>abaixo</w:t>
      </w:r>
      <w:r w:rsidRPr="007971EB">
        <w:t xml:space="preserve">, ou ainda que </w:t>
      </w:r>
      <w:bookmarkEnd w:id="32"/>
      <w:r w:rsidRPr="007971EB">
        <w:t xml:space="preserve">após a data de assinatura deste Contrato, inclusive em função da substituição e/ou reposição </w:t>
      </w:r>
      <w:r w:rsidR="00A138BC">
        <w:t>das Duplicatas</w:t>
      </w:r>
      <w:r w:rsidRPr="007971EB">
        <w:t xml:space="preserve">, </w:t>
      </w:r>
      <w:r>
        <w:t>conforme o caso</w:t>
      </w:r>
      <w:r w:rsidR="00183310">
        <w:t xml:space="preserve">, </w:t>
      </w:r>
      <w:r w:rsidR="007D2CDD">
        <w:t xml:space="preserve">independentemente da </w:t>
      </w:r>
      <w:r w:rsidR="000152FE">
        <w:t>celebração de aditamentos a este Contrato</w:t>
      </w:r>
      <w:r w:rsidR="00F54F92">
        <w:t xml:space="preserve"> de tempos em tempos</w:t>
      </w:r>
      <w:r w:rsidR="000152FE">
        <w:t xml:space="preserve">, </w:t>
      </w:r>
      <w:r w:rsidR="00F54F92">
        <w:t>conforme previsto n</w:t>
      </w:r>
      <w:r w:rsidR="00C72EDC">
        <w:t xml:space="preserve">a Cláusula </w:t>
      </w:r>
      <w:r w:rsidR="00FD30E4">
        <w:fldChar w:fldCharType="begin"/>
      </w:r>
      <w:r w:rsidR="00FD30E4">
        <w:instrText xml:space="preserve"> REF _Ref80189498 \r \h </w:instrText>
      </w:r>
      <w:r w:rsidR="00FD30E4">
        <w:fldChar w:fldCharType="separate"/>
      </w:r>
      <w:r w:rsidR="0006719C">
        <w:t>3.2</w:t>
      </w:r>
      <w:r w:rsidR="00FD30E4">
        <w:fldChar w:fldCharType="end"/>
      </w:r>
      <w:r w:rsidR="00C72EDC">
        <w:t xml:space="preserve"> abaixo</w:t>
      </w:r>
      <w:r w:rsidR="00F54F92">
        <w:t>,</w:t>
      </w:r>
      <w:r w:rsidR="00F54F92" w:rsidRPr="00F54F92">
        <w:t xml:space="preserve"> </w:t>
      </w:r>
      <w:r w:rsidR="00F54F92">
        <w:t xml:space="preserve">nos termos do </w:t>
      </w:r>
      <w:r w:rsidR="00F54F92" w:rsidRPr="00ED0267">
        <w:rPr>
          <w:b/>
          <w:bCs/>
        </w:rPr>
        <w:t xml:space="preserve">Anexo </w:t>
      </w:r>
      <w:r w:rsidR="00F54F92">
        <w:rPr>
          <w:b/>
          <w:bCs/>
        </w:rPr>
        <w:t>III</w:t>
      </w:r>
      <w:r w:rsidR="00F54F92">
        <w:t xml:space="preserve"> a este Contrato.</w:t>
      </w:r>
      <w:bookmarkEnd w:id="30"/>
    </w:p>
    <w:p w14:paraId="3014D37E" w14:textId="284960ED" w:rsidR="006F772A" w:rsidRDefault="00F54F92" w:rsidP="00A138BC">
      <w:pPr>
        <w:pStyle w:val="Level3"/>
        <w:numPr>
          <w:ilvl w:val="2"/>
          <w:numId w:val="107"/>
        </w:numPr>
      </w:pPr>
      <w:bookmarkStart w:id="33" w:name="_Ref83890386"/>
      <w:r>
        <w:rPr>
          <w:bCs/>
          <w:szCs w:val="20"/>
        </w:rPr>
        <w:t>A Cedente obriga-se a, durante toda a vigência deste Contrato, ceder fiduciariamente em garantia das Obrigações Garantidas</w:t>
      </w:r>
      <w:r>
        <w:t xml:space="preserve">, Duplicatas em montante total necessário para que, a todo o tempo, seja observado o Índice de Cobertura (conforme definido abaixo) previsto na Cláusula </w:t>
      </w:r>
      <w:r>
        <w:fldChar w:fldCharType="begin"/>
      </w:r>
      <w:r>
        <w:instrText xml:space="preserve"> REF _Ref77547949 \r \h </w:instrText>
      </w:r>
      <w:r>
        <w:fldChar w:fldCharType="separate"/>
      </w:r>
      <w:r w:rsidR="0006719C">
        <w:t>7.1</w:t>
      </w:r>
      <w:r>
        <w:fldChar w:fldCharType="end"/>
      </w:r>
      <w:r>
        <w:t xml:space="preserve"> abaixo, observado que tais Duplicatas</w:t>
      </w:r>
      <w:r w:rsidR="002C7CDF">
        <w:t xml:space="preserve"> deverão</w:t>
      </w:r>
      <w:r w:rsidR="00085821" w:rsidRPr="00085821">
        <w:t xml:space="preserve"> </w:t>
      </w:r>
      <w:r w:rsidR="00085821">
        <w:t>cumprir</w:t>
      </w:r>
      <w:r w:rsidR="004E261C">
        <w:t xml:space="preserve">, cumulativamente, </w:t>
      </w:r>
      <w:r w:rsidR="006F772A">
        <w:t xml:space="preserve">os seguintes critérios de elegibilidade </w:t>
      </w:r>
      <w:r w:rsidR="006F772A" w:rsidRPr="007971EB">
        <w:t>(“</w:t>
      </w:r>
      <w:r w:rsidR="006F772A" w:rsidRPr="00D16752">
        <w:rPr>
          <w:b/>
        </w:rPr>
        <w:t>Direitos Creditórios Adicionais</w:t>
      </w:r>
      <w:r w:rsidR="006F772A" w:rsidRPr="007971EB">
        <w:t>”)</w:t>
      </w:r>
      <w:r w:rsidR="006F772A">
        <w:t>:</w:t>
      </w:r>
      <w:r w:rsidR="00BB7667">
        <w:t xml:space="preserve"> </w:t>
      </w:r>
      <w:bookmarkEnd w:id="31"/>
      <w:bookmarkEnd w:id="33"/>
    </w:p>
    <w:p w14:paraId="039DEFEC" w14:textId="46F55EE8" w:rsidR="006F772A" w:rsidRDefault="009D457B" w:rsidP="006F772A">
      <w:pPr>
        <w:pStyle w:val="Level4"/>
      </w:pPr>
      <w:r w:rsidRPr="007971EB">
        <w:t xml:space="preserve">estar livres de </w:t>
      </w:r>
      <w:r w:rsidR="00366AAC">
        <w:t>Ô</w:t>
      </w:r>
      <w:r w:rsidRPr="007971EB">
        <w:t xml:space="preserve">nus </w:t>
      </w:r>
      <w:r w:rsidR="00366AAC">
        <w:t>(conforme abaixo definido)</w:t>
      </w:r>
      <w:r w:rsidR="006F772A">
        <w:t>;</w:t>
      </w:r>
    </w:p>
    <w:p w14:paraId="4A9A683D" w14:textId="4E46BDE7" w:rsidR="006F772A" w:rsidRDefault="006F772A" w:rsidP="006F772A">
      <w:pPr>
        <w:pStyle w:val="Level4"/>
      </w:pPr>
      <w:r>
        <w:t xml:space="preserve">ter prazo </w:t>
      </w:r>
      <w:r w:rsidR="002C7CDF">
        <w:t xml:space="preserve">de vencimento </w:t>
      </w:r>
      <w:r>
        <w:t>máximo de 90 (noventa) dias;</w:t>
      </w:r>
      <w:r w:rsidR="00BF47FA">
        <w:t xml:space="preserve"> e</w:t>
      </w:r>
    </w:p>
    <w:p w14:paraId="4692292F" w14:textId="77F154EF" w:rsidR="009D457B" w:rsidRDefault="002C7CDF" w:rsidP="00454F1E">
      <w:pPr>
        <w:pStyle w:val="Level4"/>
      </w:pPr>
      <w:r>
        <w:t xml:space="preserve">não exceder uma concentração máxima por devedor equivalente a </w:t>
      </w:r>
      <w:r w:rsidR="00BF47FA" w:rsidRPr="00B819E0">
        <w:t xml:space="preserve">20% (vinte por cento) do total dos Direitos Cedidos, </w:t>
      </w:r>
      <w:r>
        <w:t xml:space="preserve">exceto por </w:t>
      </w:r>
      <w:r w:rsidR="009625C5">
        <w:t xml:space="preserve">Duplicatas </w:t>
      </w:r>
      <w:r>
        <w:t>emitidas</w:t>
      </w:r>
      <w:r w:rsidR="000F04DE">
        <w:t xml:space="preserve"> </w:t>
      </w:r>
      <w:r w:rsidR="002F2931">
        <w:t xml:space="preserve">contra </w:t>
      </w:r>
      <w:r w:rsidR="009625C5">
        <w:t>a</w:t>
      </w:r>
      <w:r w:rsidR="00BF47FA" w:rsidRPr="00B819E0">
        <w:t xml:space="preserve"> </w:t>
      </w:r>
      <w:r w:rsidR="00B819E0" w:rsidRPr="00B819E0">
        <w:t>[Eucatex</w:t>
      </w:r>
      <w:r w:rsidR="00D66DD2">
        <w:t xml:space="preserve"> S.A. Indústria e Comércio, inscrita no CNPJ/ME sob o</w:t>
      </w:r>
      <w:r w:rsidR="007C22E4">
        <w:t>s</w:t>
      </w:r>
      <w:r w:rsidR="00D66DD2">
        <w:t xml:space="preserve"> nº </w:t>
      </w:r>
      <w:r w:rsidR="007C22E4">
        <w:t>[</w:t>
      </w:r>
      <w:r w:rsidR="007C22E4" w:rsidRPr="007C22E4">
        <w:t>56.643.018/0002-47 e 56.643.018/0103-90, além da matriz e quaisquer outras filiais</w:t>
      </w:r>
      <w:r w:rsidR="00B819E0">
        <w:t>]</w:t>
      </w:r>
      <w:r>
        <w:t>, as quais poderão ter exceder esse limite</w:t>
      </w:r>
      <w:r w:rsidR="009D457B">
        <w:t xml:space="preserve">. </w:t>
      </w:r>
    </w:p>
    <w:p w14:paraId="374AAB16" w14:textId="6329318C" w:rsidR="009D457B" w:rsidRDefault="009D457B" w:rsidP="00454F1E">
      <w:pPr>
        <w:pStyle w:val="Level3"/>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(ii)</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34" w:name="_Ref80190987"/>
      <w:r w:rsidRPr="007025AD">
        <w:rPr>
          <w:sz w:val="20"/>
        </w:rPr>
        <w:t>DUPLICATAS</w:t>
      </w:r>
      <w:bookmarkEnd w:id="34"/>
    </w:p>
    <w:p w14:paraId="35837184" w14:textId="76E51F95"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r w:rsidR="003914AE">
        <w:t xml:space="preserve">s </w:t>
      </w:r>
      <w:r w:rsidR="003914AE">
        <w:rPr>
          <w:color w:val="000000"/>
          <w:szCs w:val="20"/>
        </w:rPr>
        <w:t>Debenturistas, representados pelo</w:t>
      </w:r>
      <w:r w:rsidR="00564E17">
        <w:t xml:space="preserve"> Agente Fiduciário</w:t>
      </w:r>
      <w:r w:rsidRPr="00437233">
        <w:t xml:space="preserve">, opera-se nesta data </w:t>
      </w:r>
      <w:r w:rsidR="00101FFA">
        <w:t xml:space="preserve">(ou, com relação aos Direitos Creditórios Adicionais, na data </w:t>
      </w:r>
      <w:r w:rsidR="00BA3C7A">
        <w:t>da celebração do respectivo aditamento a este Contrato</w:t>
      </w:r>
      <w:r w:rsidR="00101FFA">
        <w:t xml:space="preserve">) </w:t>
      </w:r>
      <w:r w:rsidRPr="00437233">
        <w:t>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lastRenderedPageBreak/>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6BC41EA4" w:rsidR="009756D4" w:rsidRPr="00FE465D" w:rsidRDefault="000D64F8" w:rsidP="009C48C8">
      <w:pPr>
        <w:pStyle w:val="Level2"/>
        <w:rPr>
          <w:b/>
          <w:bCs/>
          <w:szCs w:val="20"/>
        </w:rPr>
      </w:pPr>
      <w:bookmarkStart w:id="35" w:name="_Ref61795367"/>
      <w:bookmarkStart w:id="36" w:name="_Ref68720956"/>
      <w:bookmarkStart w:id="37" w:name="_Ref80189498"/>
      <w:bookmarkStart w:id="38" w:name="_Ref82639641"/>
      <w:bookmarkStart w:id="39"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r w:rsidR="00C11DC3">
        <w:rPr>
          <w:szCs w:val="20"/>
        </w:rPr>
        <w:t xml:space="preserve">até </w:t>
      </w:r>
      <w:r w:rsidR="00D9633F">
        <w:rPr>
          <w:szCs w:val="20"/>
        </w:rPr>
        <w:t xml:space="preserve">último </w:t>
      </w:r>
      <w:r w:rsidR="00645A82">
        <w:rPr>
          <w:szCs w:val="20"/>
        </w:rPr>
        <w:t xml:space="preserve">Dia Útil </w:t>
      </w:r>
      <w:r w:rsidR="00FA1636">
        <w:rPr>
          <w:szCs w:val="20"/>
        </w:rPr>
        <w:t>dos meses de fevereiro, maio, agosto e novembro de cada ano,</w:t>
      </w:r>
      <w:r w:rsidR="00A4281C">
        <w:rPr>
          <w:szCs w:val="20"/>
        </w:rPr>
        <w:t xml:space="preserve"> ou </w:t>
      </w:r>
      <w:r w:rsidR="00C11DC3">
        <w:rPr>
          <w:szCs w:val="20"/>
        </w:rPr>
        <w:t xml:space="preserve">no </w:t>
      </w:r>
      <w:r w:rsidR="00A4281C">
        <w:rPr>
          <w:szCs w:val="20"/>
        </w:rPr>
        <w:t>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bookmarkStart w:id="40" w:name="_Hlk59193944"/>
      <w:bookmarkStart w:id="41" w:name="_Hlk59193991"/>
      <w:r w:rsidR="00B9240F">
        <w:rPr>
          <w:szCs w:val="20"/>
        </w:rPr>
        <w:t>celebrar aditamento ao presente Contrato</w:t>
      </w:r>
      <w:r w:rsidR="00CB5F94">
        <w:rPr>
          <w:szCs w:val="20"/>
        </w:rPr>
        <w:t>,</w:t>
      </w:r>
      <w:r w:rsidR="00B9240F">
        <w:rPr>
          <w:szCs w:val="20"/>
        </w:rPr>
        <w:t xml:space="preserve"> </w:t>
      </w:r>
      <w:r w:rsidR="009670F0">
        <w:rPr>
          <w:szCs w:val="20"/>
        </w:rPr>
        <w:t xml:space="preserve">nos termos do </w:t>
      </w:r>
      <w:r w:rsidR="009670F0" w:rsidRPr="00454F1E">
        <w:rPr>
          <w:b/>
          <w:szCs w:val="20"/>
        </w:rPr>
        <w:t>Anexo III</w:t>
      </w:r>
      <w:r w:rsidR="00482363" w:rsidRPr="00A424C7">
        <w:rPr>
          <w:szCs w:val="20"/>
        </w:rPr>
        <w:t xml:space="preserve">, </w:t>
      </w:r>
      <w:bookmarkStart w:id="42" w:name="_Hlk59194028"/>
      <w:bookmarkStart w:id="43" w:name="_Hlk59193965"/>
      <w:bookmarkEnd w:id="40"/>
      <w:r w:rsidR="00CB5F94">
        <w:rPr>
          <w:bCs/>
          <w:szCs w:val="20"/>
        </w:rPr>
        <w:t xml:space="preserve">com a finalidade de atualizar o </w:t>
      </w:r>
      <w:r w:rsidR="00CB5F94" w:rsidRPr="00454F1E">
        <w:rPr>
          <w:b/>
          <w:bCs/>
          <w:szCs w:val="20"/>
        </w:rPr>
        <w:t>Anexo V</w:t>
      </w:r>
      <w:r w:rsidR="00CB5F94">
        <w:rPr>
          <w:bCs/>
          <w:szCs w:val="20"/>
        </w:rPr>
        <w:t xml:space="preserve"> a este Contrato </w:t>
      </w:r>
      <w:r w:rsidR="000A579C" w:rsidRPr="00A424C7">
        <w:rPr>
          <w:bCs/>
          <w:szCs w:val="20"/>
        </w:rPr>
        <w:t>para incluir e/ou substituir</w:t>
      </w:r>
      <w:r w:rsidR="00D51496">
        <w:rPr>
          <w:bCs/>
          <w:szCs w:val="20"/>
        </w:rPr>
        <w:t xml:space="preserve"> </w:t>
      </w:r>
      <w:r w:rsidR="00645A82">
        <w:rPr>
          <w:bCs/>
          <w:szCs w:val="20"/>
        </w:rPr>
        <w:t xml:space="preserve">as </w:t>
      </w:r>
      <w:r w:rsidR="00D51496">
        <w:rPr>
          <w:bCs/>
          <w:szCs w:val="20"/>
        </w:rPr>
        <w:t>Duplicatas</w:t>
      </w:r>
      <w:r w:rsidR="008D766B">
        <w:rPr>
          <w:bCs/>
          <w:szCs w:val="20"/>
        </w:rPr>
        <w:t xml:space="preserve"> já descontadas</w:t>
      </w:r>
      <w:r w:rsidR="00EB0BC0">
        <w:rPr>
          <w:bCs/>
          <w:szCs w:val="20"/>
        </w:rPr>
        <w:t>, pelas Duplicatas</w:t>
      </w:r>
      <w:r w:rsidR="00F232FC" w:rsidRPr="00F232FC">
        <w:rPr>
          <w:bCs/>
          <w:szCs w:val="20"/>
        </w:rPr>
        <w:t xml:space="preserve"> </w:t>
      </w:r>
      <w:r w:rsidR="008D766B">
        <w:rPr>
          <w:bCs/>
          <w:szCs w:val="20"/>
        </w:rPr>
        <w:t xml:space="preserve">correspondentes aos Direitos Creditórios Adicionais </w:t>
      </w:r>
      <w:r w:rsidR="00F232FC">
        <w:rPr>
          <w:bCs/>
          <w:szCs w:val="20"/>
        </w:rPr>
        <w:t>emitidas até 5 (cinco) Dias Úteis antes da data de celebração do referido aditamento</w:t>
      </w:r>
      <w:r w:rsidR="000A579C" w:rsidRPr="00A424C7">
        <w:rPr>
          <w:bCs/>
          <w:szCs w:val="20"/>
        </w:rPr>
        <w:t>, conforme aplicável</w:t>
      </w:r>
      <w:bookmarkEnd w:id="42"/>
      <w:bookmarkEnd w:id="43"/>
      <w:r w:rsidR="00FA1636">
        <w:rPr>
          <w:bCs/>
          <w:szCs w:val="20"/>
        </w:rPr>
        <w:t>,</w:t>
      </w:r>
      <w:r w:rsidR="00EB0BC0">
        <w:rPr>
          <w:bCs/>
          <w:szCs w:val="20"/>
        </w:rPr>
        <w:t xml:space="preserve"> em montante que atenda ao Índice de Cobertura naquela data,</w:t>
      </w:r>
      <w:r w:rsidR="00FA1636">
        <w:rPr>
          <w:bCs/>
          <w:szCs w:val="20"/>
        </w:rPr>
        <w:t xml:space="preserve"> sendo certo que o primeiro aditamento ao presente Contrato será formalizado até 28 de fevereiro de 2022</w:t>
      </w:r>
      <w:r w:rsidR="001579EE">
        <w:rPr>
          <w:bCs/>
          <w:szCs w:val="20"/>
        </w:rPr>
        <w:t>.</w:t>
      </w:r>
      <w:bookmarkEnd w:id="35"/>
      <w:bookmarkEnd w:id="36"/>
      <w:r w:rsidR="0088621D">
        <w:rPr>
          <w:bCs/>
          <w:szCs w:val="20"/>
        </w:rPr>
        <w:t xml:space="preserve"> </w:t>
      </w:r>
      <w:bookmarkEnd w:id="37"/>
      <w:bookmarkEnd w:id="38"/>
    </w:p>
    <w:bookmarkEnd w:id="39"/>
    <w:bookmarkEnd w:id="41"/>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44" w:name="_Hlk25848934"/>
      <w:r w:rsidRPr="00D97A22">
        <w:t xml:space="preserve">que modifique qualquer dos itens definidos no </w:t>
      </w:r>
      <w:r w:rsidRPr="00D97A22">
        <w:rPr>
          <w:b/>
        </w:rPr>
        <w:t>Anexo II</w:t>
      </w:r>
      <w:bookmarkEnd w:id="44"/>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12A478F5"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06719C">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45" w:name="_Ref426365106"/>
      <w:r w:rsidRPr="00432FF8">
        <w:t>APERFEIÇOAMENTO DA CESSÃO FIDUCIÁRIA</w:t>
      </w:r>
      <w:bookmarkEnd w:id="45"/>
    </w:p>
    <w:p w14:paraId="2AE01636" w14:textId="63B0C671" w:rsidR="00D97A22" w:rsidRPr="006F245F" w:rsidRDefault="00B911A5" w:rsidP="006F245F">
      <w:pPr>
        <w:pStyle w:val="Level2"/>
        <w:rPr>
          <w:b/>
        </w:rPr>
      </w:pPr>
      <w:bookmarkStart w:id="46" w:name="_Ref416182169"/>
      <w:bookmarkStart w:id="47" w:name="_Ref425173209"/>
      <w:bookmarkStart w:id="48" w:name="_Ref61641755"/>
      <w:bookmarkStart w:id="49" w:name="_Ref83234160"/>
      <w:bookmarkStart w:id="50" w:name="_Hlk67065560"/>
      <w:r w:rsidRPr="006F245F">
        <w:rPr>
          <w:bCs/>
          <w:szCs w:val="20"/>
        </w:rPr>
        <w:t>As Partes</w:t>
      </w:r>
      <w:r w:rsidR="00916C01">
        <w:rPr>
          <w:bCs/>
          <w:szCs w:val="20"/>
        </w:rPr>
        <w:t xml:space="preserve"> </w:t>
      </w:r>
      <w:r w:rsidRPr="006F245F">
        <w:rPr>
          <w:bCs/>
          <w:szCs w:val="20"/>
        </w:rPr>
        <w:t xml:space="preserve">desde já autorizam o registro ou averbação deste Contrato </w:t>
      </w:r>
      <w:r w:rsidR="00CB5F94">
        <w:rPr>
          <w:bCs/>
          <w:szCs w:val="20"/>
        </w:rPr>
        <w:t xml:space="preserve">e quaisquer aditamentos </w:t>
      </w:r>
      <w:r w:rsidRPr="006F245F">
        <w:rPr>
          <w:bCs/>
          <w:szCs w:val="20"/>
        </w:rPr>
        <w:t xml:space="preserve">no </w:t>
      </w:r>
      <w:r w:rsidR="0048000D" w:rsidRPr="00AC4740">
        <w:rPr>
          <w:szCs w:val="20"/>
        </w:rPr>
        <w:t xml:space="preserve">competente Cartório de Registro </w:t>
      </w:r>
      <w:r w:rsidR="0048000D" w:rsidRPr="00A424C7">
        <w:rPr>
          <w:szCs w:val="20"/>
        </w:rPr>
        <w:t xml:space="preserve">de Títulos e Documentos da </w:t>
      </w:r>
      <w:r w:rsidR="0048000D">
        <w:rPr>
          <w:szCs w:val="20"/>
        </w:rPr>
        <w:t>C</w:t>
      </w:r>
      <w:r w:rsidR="0048000D" w:rsidRPr="00A424C7">
        <w:rPr>
          <w:szCs w:val="20"/>
        </w:rPr>
        <w:t>idade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Pr>
          <w:szCs w:val="20"/>
        </w:rPr>
        <w:t>E</w:t>
      </w:r>
      <w:r w:rsidR="0048000D" w:rsidRPr="00A424C7">
        <w:rPr>
          <w:szCs w:val="20"/>
        </w:rPr>
        <w:t>stado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sidRPr="00A424C7">
        <w:rPr>
          <w:b/>
          <w:szCs w:val="20"/>
        </w:rPr>
        <w:t>Cartório de RTD</w:t>
      </w:r>
      <w:r w:rsidR="0048000D" w:rsidRPr="00A424C7">
        <w:rPr>
          <w:szCs w:val="20"/>
        </w:rPr>
        <w:t>”)</w:t>
      </w:r>
      <w:r w:rsidRPr="006F245F">
        <w:rPr>
          <w:bCs/>
          <w:szCs w:val="20"/>
        </w:rPr>
        <w:t xml:space="preserve">,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3A28DF" w:rsidRPr="00000303">
        <w:t xml:space="preserve"> </w:t>
      </w:r>
      <w:r w:rsidR="0048000D">
        <w:rPr>
          <w:szCs w:val="20"/>
        </w:rPr>
        <w:t>Cartório 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 xml:space="preserve">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w:t>
      </w:r>
      <w:r w:rsidRPr="006F245F">
        <w:lastRenderedPageBreak/>
        <w:t>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46"/>
      <w:bookmarkEnd w:id="47"/>
      <w:bookmarkEnd w:id="48"/>
      <w:r w:rsidR="006F245F">
        <w:t>.</w:t>
      </w:r>
      <w:bookmarkEnd w:id="49"/>
      <w:r w:rsidR="00437233">
        <w:t xml:space="preserve"> </w:t>
      </w:r>
    </w:p>
    <w:bookmarkEnd w:id="50"/>
    <w:p w14:paraId="71C0DDEC" w14:textId="4170ED17"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06719C">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06719C">
        <w:t>4.1</w:t>
      </w:r>
      <w:r w:rsidRPr="00FB56A9">
        <w:fldChar w:fldCharType="end"/>
      </w:r>
      <w:r w:rsidRPr="00432FF8">
        <w:t xml:space="preserve"> acima. </w:t>
      </w:r>
    </w:p>
    <w:p w14:paraId="263DB7D1" w14:textId="716C03FE" w:rsidR="00B911A5" w:rsidRDefault="00757C34" w:rsidP="00D97A22">
      <w:pPr>
        <w:pStyle w:val="Level2"/>
      </w:pPr>
      <w:bookmarkStart w:id="51" w:name="_Ref427085780"/>
      <w:r>
        <w:t xml:space="preserve">Sem prejuízo do disposto na Cláusula </w:t>
      </w:r>
      <w:r>
        <w:fldChar w:fldCharType="begin"/>
      </w:r>
      <w:r>
        <w:instrText xml:space="preserve"> REF _Ref80190987 \r \h </w:instrText>
      </w:r>
      <w:r>
        <w:fldChar w:fldCharType="separate"/>
      </w:r>
      <w:r w:rsidR="0006719C">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EF5872" w:rsidRPr="00000303">
        <w:t xml:space="preserve"> </w:t>
      </w:r>
      <w:r w:rsidR="0048000D">
        <w:rPr>
          <w:szCs w:val="20"/>
        </w:rPr>
        <w:t>Cartório 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1A4222CC"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r w:rsidR="00DB14E0">
        <w:t xml:space="preserve"> e/ou</w:t>
      </w:r>
      <w:r w:rsidR="00585757">
        <w:t xml:space="preserve"> de eventuais aditamento</w:t>
      </w:r>
      <w:r w:rsidR="00301907">
        <w:t>s</w:t>
      </w:r>
      <w:r w:rsidR="00585757">
        <w:t xml:space="preserve"> a este Contrato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06719C">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 xml:space="preserve">junto ao </w:t>
      </w:r>
      <w:r w:rsidR="0048000D">
        <w:t>Cartório de RTD</w:t>
      </w:r>
      <w:r w:rsidR="002F36EA">
        <w:t xml:space="preserve">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51"/>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52" w:name="_Ref40717781"/>
      <w:r w:rsidRPr="0048205C">
        <w:t>CIÊNCIA DA CESSÃO FIDUCIÁRIA</w:t>
      </w:r>
      <w:bookmarkEnd w:id="52"/>
    </w:p>
    <w:p w14:paraId="543584E8" w14:textId="0ED092E9" w:rsidR="003B604E" w:rsidRPr="00334101" w:rsidRDefault="003B604E" w:rsidP="007025AD">
      <w:pPr>
        <w:pStyle w:val="Level2"/>
      </w:pPr>
      <w:bookmarkStart w:id="53"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56370D">
        <w:rPr>
          <w:b/>
        </w:rPr>
        <w:t>Notificações</w:t>
      </w:r>
      <w:r w:rsidRPr="0056370D">
        <w:t>”)</w:t>
      </w:r>
      <w:r w:rsidR="00AE49C6" w:rsidRPr="0056370D">
        <w:t xml:space="preserve">, por meio de </w:t>
      </w:r>
      <w:r w:rsidR="0031116E" w:rsidRPr="00D16752">
        <w:rPr>
          <w:b/>
        </w:rPr>
        <w:t>(i)</w:t>
      </w:r>
      <w:r w:rsidR="0031116E">
        <w:t xml:space="preserve"> anotação constante do instrumento de cobrança (boleto) ou </w:t>
      </w:r>
      <w:r w:rsidR="0031116E" w:rsidRPr="00D16752">
        <w:rPr>
          <w:b/>
        </w:rPr>
        <w:t>(ii)</w:t>
      </w:r>
      <w:r w:rsidR="0031116E">
        <w:t xml:space="preserve"> em caso de pagamento por transferência eletrônica, por </w:t>
      </w:r>
      <w:r w:rsidR="00AE49C6" w:rsidRPr="0056370D">
        <w:t xml:space="preserve">correspondência enviada por correio físico ou eletrônico e cujo recebimento deverá ser comprovado </w:t>
      </w:r>
      <w:r w:rsidRPr="0056370D">
        <w:t xml:space="preserve">por meio de </w:t>
      </w:r>
      <w:r w:rsidRPr="0056370D">
        <w:rPr>
          <w:b/>
        </w:rPr>
        <w:t>(</w:t>
      </w:r>
      <w:r w:rsidR="0031116E">
        <w:rPr>
          <w:b/>
        </w:rPr>
        <w:t>a</w:t>
      </w:r>
      <w:r w:rsidRPr="0056370D">
        <w:rPr>
          <w:b/>
        </w:rPr>
        <w:t>)</w:t>
      </w:r>
      <w:r w:rsidRPr="0056370D">
        <w:t xml:space="preserve"> “aviso de recebimento” expedido pela Empresa Brasileira de </w:t>
      </w:r>
      <w:r w:rsidRPr="0056370D">
        <w:lastRenderedPageBreak/>
        <w:t xml:space="preserve">Correios; </w:t>
      </w:r>
      <w:r w:rsidR="00AE49C6" w:rsidRPr="0056370D">
        <w:t xml:space="preserve">ou </w:t>
      </w:r>
      <w:r w:rsidRPr="0056370D">
        <w:rPr>
          <w:b/>
        </w:rPr>
        <w:t>(</w:t>
      </w:r>
      <w:r w:rsidR="0031116E">
        <w:rPr>
          <w:b/>
        </w:rPr>
        <w:t>b</w:t>
      </w:r>
      <w:r w:rsidRPr="0056370D">
        <w:rPr>
          <w:b/>
        </w:rPr>
        <w:t>)</w:t>
      </w:r>
      <w:r w:rsidRPr="0056370D">
        <w:t xml:space="preserve"> confirmação de recebimento enviada por correio eletrônico (e-mail) na rede mundial de computadores (internet)</w:t>
      </w:r>
      <w:r w:rsidR="00B60B18" w:rsidRPr="0056370D">
        <w:t xml:space="preserve"> (“</w:t>
      </w:r>
      <w:r w:rsidR="00B60B18" w:rsidRPr="0056370D">
        <w:rPr>
          <w:b/>
        </w:rPr>
        <w:t>Comprovantes de Recebimento</w:t>
      </w:r>
      <w:r w:rsidR="00B60B18" w:rsidRPr="0056370D">
        <w:t>”)</w:t>
      </w:r>
      <w:r w:rsidRPr="00DC6CAD">
        <w:t>.</w:t>
      </w:r>
      <w:r w:rsidR="00000E57">
        <w:t xml:space="preserve"> </w:t>
      </w:r>
    </w:p>
    <w:p w14:paraId="0A3DBCCE" w14:textId="26157466"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w:t>
      </w:r>
      <w:r w:rsidR="00DB14E0">
        <w:t>de qualquer aditamento</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43223D">
        <w:t xml:space="preserve"> (se aplicável)</w:t>
      </w:r>
      <w:r w:rsidR="00B42A29">
        <w:t>.</w:t>
      </w:r>
      <w:bookmarkEnd w:id="53"/>
      <w:r w:rsidR="00E8755C">
        <w:t xml:space="preserve"> </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47743DF8" w:rsidR="00DB1672" w:rsidRPr="00A424C7" w:rsidRDefault="00DB1672" w:rsidP="001F204D">
      <w:pPr>
        <w:pStyle w:val="Level2"/>
        <w:rPr>
          <w:szCs w:val="20"/>
        </w:rPr>
      </w:pPr>
      <w:bookmarkStart w:id="54" w:name="_Ref80095369"/>
      <w:bookmarkStart w:id="55"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54"/>
      <w:r w:rsidR="00D41A86" w:rsidRPr="00A424C7">
        <w:rPr>
          <w:szCs w:val="20"/>
        </w:rPr>
        <w:t xml:space="preserve"> </w:t>
      </w:r>
      <w:bookmarkEnd w:id="55"/>
    </w:p>
    <w:p w14:paraId="6BB49ED1" w14:textId="57D57617" w:rsidR="00BE4AD5" w:rsidRPr="00A424C7" w:rsidRDefault="00216BE6" w:rsidP="001F204D">
      <w:pPr>
        <w:pStyle w:val="Level2"/>
        <w:rPr>
          <w:szCs w:val="20"/>
        </w:rPr>
      </w:pPr>
      <w:r w:rsidRPr="00A424C7">
        <w:rPr>
          <w:szCs w:val="20"/>
        </w:rPr>
        <w:t xml:space="preserve">Caso os </w:t>
      </w:r>
      <w:r w:rsidR="00EB0BC0">
        <w:rPr>
          <w:szCs w:val="20"/>
        </w:rPr>
        <w:t>direitos creditório decorrentes das Duplicatas</w:t>
      </w:r>
      <w:r w:rsidRPr="00A424C7">
        <w:rPr>
          <w:szCs w:val="20"/>
        </w:rPr>
        <w:t xml:space="preserve">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360EA46E"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06719C">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56" w:name="_Ref21693466"/>
      <w:bookmarkStart w:id="57" w:name="_Hlk67065814"/>
    </w:p>
    <w:bookmarkEnd w:id="56"/>
    <w:bookmarkEnd w:id="57"/>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3C55241C"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r w:rsidR="00BB43F8">
        <w:rPr>
          <w:bCs/>
          <w:szCs w:val="20"/>
        </w:rPr>
        <w:t xml:space="preserve"> </w:t>
      </w:r>
    </w:p>
    <w:p w14:paraId="43068AE5" w14:textId="64DC20AB"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06719C">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06719C">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lastRenderedPageBreak/>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r w:rsidR="00000E57">
        <w:rPr>
          <w:bCs/>
          <w:szCs w:val="20"/>
        </w:rPr>
        <w:t xml:space="preserve">no Dia Útil seguinte </w:t>
      </w:r>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16C32320"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(ii)</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p>
    <w:p w14:paraId="03DDD1AB" w14:textId="484EBEC4" w:rsidR="002051B8" w:rsidRPr="0015773B" w:rsidRDefault="0037106E" w:rsidP="00D33B08">
      <w:pPr>
        <w:pStyle w:val="Level3"/>
        <w:rPr>
          <w:szCs w:val="20"/>
        </w:rPr>
      </w:pPr>
      <w:r>
        <w:t xml:space="preserve">O Agente Fiduciário </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1D299DA6"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w:t>
      </w:r>
      <w:r w:rsidR="00FA1636">
        <w:rPr>
          <w:szCs w:val="20"/>
        </w:rPr>
        <w:t xml:space="preserve">s </w:t>
      </w:r>
      <w:r w:rsidR="00EB0BC0">
        <w:rPr>
          <w:szCs w:val="20"/>
        </w:rPr>
        <w:t>Debenturistas</w:t>
      </w:r>
      <w:r w:rsidR="00FA1636">
        <w:rPr>
          <w:szCs w:val="20"/>
        </w:rPr>
        <w:t xml:space="preserve">, </w:t>
      </w:r>
      <w:r w:rsidR="00FA1636">
        <w:rPr>
          <w:szCs w:val="20"/>
        </w:rPr>
        <w:lastRenderedPageBreak/>
        <w:t>representados pelo</w:t>
      </w:r>
      <w:r w:rsidR="0037106E">
        <w:rPr>
          <w:szCs w:val="20"/>
        </w:rPr>
        <w:t xml:space="preserve"> Agente Fiduciário</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58"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59" w:name="_DV_C48"/>
      <w:r w:rsidRPr="006F0E55">
        <w:t>mediante a</w:t>
      </w:r>
      <w:bookmarkStart w:id="60" w:name="_DV_M88"/>
      <w:bookmarkEnd w:id="59"/>
      <w:bookmarkEnd w:id="60"/>
      <w:r w:rsidRPr="006F0E55">
        <w:t xml:space="preserve"> emissão de cheques, saques ou ordens de transferência</w:t>
      </w:r>
      <w:bookmarkEnd w:id="58"/>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(ii)</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61" w:name="_Ref401568321"/>
      <w:bookmarkStart w:id="62"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61"/>
      <w:bookmarkEnd w:id="62"/>
      <w:r w:rsidR="00A67CEE" w:rsidRPr="007025AD">
        <w:rPr>
          <w:lang w:val="pt-BR"/>
        </w:rPr>
        <w:t xml:space="preserve"> </w:t>
      </w:r>
    </w:p>
    <w:p w14:paraId="40C91F7E" w14:textId="1378E0F2" w:rsidR="00130C59" w:rsidRPr="007025AD" w:rsidRDefault="00130C59" w:rsidP="00130C59">
      <w:pPr>
        <w:pStyle w:val="Level2"/>
      </w:pPr>
      <w:bookmarkStart w:id="63" w:name="_Ref77547949"/>
      <w:bookmarkStart w:id="64" w:name="_Ref404719781"/>
      <w:bookmarkStart w:id="65"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63"/>
      <w:r w:rsidRPr="007025AD">
        <w:t xml:space="preserve"> </w:t>
      </w:r>
    </w:p>
    <w:p w14:paraId="7EC9EEA6" w14:textId="5F091EFE" w:rsidR="00130C59" w:rsidRPr="007025AD" w:rsidRDefault="00130C59" w:rsidP="00130C59">
      <w:pPr>
        <w:pStyle w:val="Level3"/>
      </w:pPr>
      <w:bookmarkStart w:id="66" w:name="_Ref83875309"/>
      <w:bookmarkStart w:id="67" w:name="_Ref83890259"/>
      <w:r w:rsidRPr="007025AD">
        <w:t>O Índice de Cobertura será verificado mensalmente</w:t>
      </w:r>
      <w:bookmarkStart w:id="68" w:name="_Hlk83672761"/>
      <w:r w:rsidR="00794A55">
        <w:t>, até o 5º (quinto) Dia Útil de cada mês</w:t>
      </w:r>
      <w:r w:rsidR="00A5336F">
        <w:t xml:space="preserve"> (“</w:t>
      </w:r>
      <w:r w:rsidR="00A5336F" w:rsidRPr="0006719C">
        <w:rPr>
          <w:b/>
        </w:rPr>
        <w:t>Data de Verificação</w:t>
      </w:r>
      <w:r w:rsidR="00A5336F">
        <w:t>”)</w:t>
      </w:r>
      <w:r w:rsidR="00794A55">
        <w:t>,</w:t>
      </w:r>
      <w:bookmarkEnd w:id="68"/>
      <w:r w:rsidRPr="007025AD">
        <w:t xml:space="preserve"> pelo Agente Fiduciário, pelo período de vigência</w:t>
      </w:r>
      <w:r w:rsidR="00187C5D">
        <w:t xml:space="preserve"> deste Contrato</w:t>
      </w:r>
      <w:r w:rsidRPr="007025AD">
        <w:t xml:space="preserve"> e/ou até liquidação integral das Debêntures, por meio </w:t>
      </w:r>
      <w:r w:rsidR="007F647E" w:rsidRPr="007025AD">
        <w:t xml:space="preserve">da soma do </w:t>
      </w:r>
      <w:r w:rsidR="007F647E" w:rsidRPr="008B2D33">
        <w:t xml:space="preserve">valor total dos Direitos </w:t>
      </w:r>
      <w:r w:rsidR="007F647E">
        <w:t xml:space="preserve">Creditórios Cedidos no último Dia Útil do mês imediatamente anterior (conforme informação obtida pelo Agente Fiduciário com base no extrato da Conta Vinculada e na informação a ser obtida pelo mesmo junto à Cedente sobre o valor total das Duplicatas cedidas fiduciariamente na forma das Cláusulas </w:t>
      </w:r>
      <w:r w:rsidR="00A5336F">
        <w:fldChar w:fldCharType="begin"/>
      </w:r>
      <w:r w:rsidR="00A5336F">
        <w:instrText xml:space="preserve"> REF _Ref80179385 \r \h </w:instrText>
      </w:r>
      <w:r w:rsidR="00A5336F">
        <w:fldChar w:fldCharType="separate"/>
      </w:r>
      <w:r w:rsidR="0006719C">
        <w:t>2.1</w:t>
      </w:r>
      <w:r w:rsidR="00A5336F">
        <w:fldChar w:fldCharType="end"/>
      </w:r>
      <w:r w:rsidR="00A5336F">
        <w:t xml:space="preserve"> </w:t>
      </w:r>
      <w:r w:rsidR="007F647E">
        <w:t xml:space="preserve">e </w:t>
      </w:r>
      <w:r w:rsidR="00A5336F">
        <w:fldChar w:fldCharType="begin"/>
      </w:r>
      <w:r w:rsidR="00A5336F">
        <w:instrText xml:space="preserve"> REF _Ref83899196 \r \h </w:instrText>
      </w:r>
      <w:r w:rsidR="00A5336F">
        <w:fldChar w:fldCharType="separate"/>
      </w:r>
      <w:r w:rsidR="0006719C">
        <w:t>2.1.1</w:t>
      </w:r>
      <w:r w:rsidR="00A5336F">
        <w:fldChar w:fldCharType="end"/>
      </w:r>
      <w:r w:rsidR="00A5336F">
        <w:t xml:space="preserve"> </w:t>
      </w:r>
      <w:r w:rsidR="007F647E">
        <w:t xml:space="preserve">acima e pendentes de pagamento em tal data), e </w:t>
      </w:r>
      <w:r w:rsidRPr="0056370D">
        <w:t>dos valores</w:t>
      </w:r>
      <w:r w:rsidRPr="007025AD">
        <w:t xml:space="preserve"> de venda forçada atualizados dos Imóveis, conforme apurados nos respectivos laudos de avaliação atualizados</w:t>
      </w:r>
      <w:r w:rsidR="005E7FB8">
        <w:t xml:space="preserve"> </w:t>
      </w:r>
      <w:r w:rsidR="005E7FB8" w:rsidRPr="007025AD">
        <w:t>dos Imóveis</w:t>
      </w:r>
      <w:r w:rsidRPr="007025AD">
        <w:t xml:space="preserve">, </w:t>
      </w:r>
      <w:r w:rsidR="00D623D3" w:rsidRPr="007025AD">
        <w:t>nos termos do Contrato de Alienação Fiduciária de Imóveis</w:t>
      </w:r>
      <w:r w:rsidRPr="007025AD">
        <w:t>.</w:t>
      </w:r>
      <w:bookmarkEnd w:id="66"/>
      <w:r w:rsidRPr="007025AD">
        <w:t xml:space="preserve"> </w:t>
      </w:r>
      <w:bookmarkEnd w:id="67"/>
    </w:p>
    <w:p w14:paraId="4775CD2C" w14:textId="2002DC63" w:rsidR="006D5B12" w:rsidRPr="007025AD" w:rsidRDefault="006D5B12" w:rsidP="00E36B1D">
      <w:pPr>
        <w:pStyle w:val="Level3"/>
      </w:pPr>
      <w:bookmarkStart w:id="69"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06719C">
        <w:t>7.1</w:t>
      </w:r>
      <w:r w:rsidRPr="007025AD">
        <w:fldChar w:fldCharType="end"/>
      </w:r>
      <w:r w:rsidRPr="007025AD">
        <w:t xml:space="preserve"> acima, deverá notificar a </w:t>
      </w:r>
      <w:r w:rsidR="00EE3643" w:rsidRPr="007025AD">
        <w:t>Cedente</w:t>
      </w:r>
      <w:r w:rsidRPr="007025AD">
        <w:t>, por meio físico ou eletrônico, para que</w:t>
      </w:r>
      <w:r w:rsidR="00555FBE">
        <w:t>, a seu exclusivo critério</w:t>
      </w:r>
      <w:r w:rsidR="000311EC">
        <w:t>:</w:t>
      </w:r>
      <w:r w:rsidRPr="007025AD">
        <w:t xml:space="preserve"> </w:t>
      </w:r>
      <w:r w:rsidR="000311EC">
        <w:t xml:space="preserve">(i) </w:t>
      </w:r>
      <w:r w:rsidR="005549F7">
        <w:t xml:space="preserve">em até </w:t>
      </w:r>
      <w:r w:rsidR="007675D2">
        <w:t>[5] ([cinco])</w:t>
      </w:r>
      <w:r w:rsidR="005549F7">
        <w:t xml:space="preserve"> Dias Úteis, </w:t>
      </w:r>
      <w:r w:rsidR="007675D2">
        <w:t>realize</w:t>
      </w:r>
      <w:r w:rsidR="00555FBE">
        <w:t xml:space="preserve"> a cessão de novas Duplicatas, que atendam aos critérios de elegibilidade previstos na Cláusula </w:t>
      </w:r>
      <w:r w:rsidR="00555FBE">
        <w:fldChar w:fldCharType="begin"/>
      </w:r>
      <w:r w:rsidR="00555FBE">
        <w:instrText xml:space="preserve"> REF _Ref83890386 \r \h </w:instrText>
      </w:r>
      <w:r w:rsidR="00555FBE">
        <w:fldChar w:fldCharType="separate"/>
      </w:r>
      <w:r w:rsidR="0006719C">
        <w:t>2.1.2</w:t>
      </w:r>
      <w:r w:rsidR="00555FBE">
        <w:fldChar w:fldCharType="end"/>
      </w:r>
      <w:r w:rsidR="00555FBE">
        <w:t xml:space="preserve"> acima, em volume suficiente para reestabelecer o Índice de Cobertura; ou (ii) realize a substituição ou </w:t>
      </w:r>
      <w:r w:rsidR="005549F7">
        <w:t xml:space="preserve">reforço de garantia previsto na Cláusula 2.2.3 do </w:t>
      </w:r>
      <w:r w:rsidR="005549F7" w:rsidRPr="005549F7">
        <w:t>Contrato de Alienação Fiduciária de Imóveis</w:t>
      </w:r>
      <w:r w:rsidR="005549F7">
        <w:t xml:space="preserve"> </w:t>
      </w:r>
      <w:r w:rsidR="005549F7" w:rsidRPr="007025AD">
        <w:t>(“</w:t>
      </w:r>
      <w:r w:rsidR="005549F7" w:rsidRPr="007025AD">
        <w:rPr>
          <w:b/>
        </w:rPr>
        <w:t>Substituição ou Reforço da Garantia</w:t>
      </w:r>
      <w:r w:rsidR="005549F7" w:rsidRPr="007025AD">
        <w:t>”)</w:t>
      </w:r>
      <w:r w:rsidR="005549F7">
        <w:t xml:space="preserve">. </w:t>
      </w:r>
      <w:bookmarkEnd w:id="69"/>
    </w:p>
    <w:p w14:paraId="0D4CF2C5" w14:textId="44544FFE" w:rsidR="006D5B12" w:rsidRPr="007025AD" w:rsidRDefault="00CA5437" w:rsidP="0006719C">
      <w:pPr>
        <w:pStyle w:val="Level3"/>
      </w:pPr>
      <w:r>
        <w:t xml:space="preserve">Além das hipóteses previstas neste </w:t>
      </w:r>
      <w:r w:rsidR="007675D2">
        <w:t>Contrato</w:t>
      </w:r>
      <w:r>
        <w:t xml:space="preserve"> e nos demais Documento da Operação</w:t>
      </w:r>
      <w:r w:rsidR="007675D2">
        <w:t xml:space="preserve">, a Cedente deverá proceder com a Substituição ou Reforço da Garantia, prevista na Cláusula </w:t>
      </w:r>
      <w:r w:rsidR="007675D2">
        <w:fldChar w:fldCharType="begin"/>
      </w:r>
      <w:r w:rsidR="007675D2">
        <w:instrText xml:space="preserve"> REF _Ref80202255 \r \h </w:instrText>
      </w:r>
      <w:r w:rsidR="007675D2">
        <w:fldChar w:fldCharType="separate"/>
      </w:r>
      <w:r w:rsidR="0006719C">
        <w:t>7.1.2</w:t>
      </w:r>
      <w:r w:rsidR="007675D2">
        <w:fldChar w:fldCharType="end"/>
      </w:r>
      <w:r w:rsidR="007675D2">
        <w:t xml:space="preserve"> acima, nas seguintes hipóteses: </w:t>
      </w:r>
      <w:r w:rsidR="007675D2" w:rsidRPr="007025AD">
        <w:rPr>
          <w:b/>
        </w:rPr>
        <w:t>(i)</w:t>
      </w:r>
      <w:r w:rsidR="007675D2" w:rsidRPr="007025AD">
        <w:t xml:space="preserve"> de invalidade, nulidade, inexequibilidade ou ineficácia do presente Contrato, declarada em sentença arbitral definitiva, decisão judicial de exigibilidade imediata para a qual não tenha sido obtido efeito suspensivo; </w:t>
      </w:r>
      <w:r w:rsidR="007675D2" w:rsidRPr="00643F9E">
        <w:rPr>
          <w:b/>
        </w:rPr>
        <w:t>(</w:t>
      </w:r>
      <w:r w:rsidR="007675D2" w:rsidRPr="007025AD">
        <w:rPr>
          <w:b/>
        </w:rPr>
        <w:t>ii</w:t>
      </w:r>
      <w:r w:rsidR="007675D2" w:rsidRPr="00643F9E">
        <w:rPr>
          <w:b/>
        </w:rPr>
        <w:t>)</w:t>
      </w:r>
      <w:r w:rsidR="007675D2" w:rsidRPr="00643F9E">
        <w:t xml:space="preserve"> previstas nos incisos I</w:t>
      </w:r>
      <w:r w:rsidR="007675D2" w:rsidRPr="007025AD">
        <w:t xml:space="preserve"> e</w:t>
      </w:r>
      <w:r w:rsidR="007675D2" w:rsidRPr="00643F9E">
        <w:t xml:space="preserve"> IV do artigo 1.425 do Código Civil; </w:t>
      </w:r>
      <w:r w:rsidR="007675D2" w:rsidRPr="00643F9E">
        <w:rPr>
          <w:b/>
        </w:rPr>
        <w:t>(</w:t>
      </w:r>
      <w:r w:rsidR="007675D2" w:rsidRPr="007025AD">
        <w:rPr>
          <w:b/>
        </w:rPr>
        <w:t>iii</w:t>
      </w:r>
      <w:r w:rsidR="007675D2" w:rsidRPr="00643F9E">
        <w:rPr>
          <w:b/>
        </w:rPr>
        <w:t>)</w:t>
      </w:r>
      <w:r w:rsidR="007675D2" w:rsidRPr="00643F9E">
        <w:t xml:space="preserve"> </w:t>
      </w:r>
      <w:r w:rsidR="007675D2" w:rsidRPr="007025AD">
        <w:t>de qualquer d</w:t>
      </w:r>
      <w:r w:rsidR="007675D2"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7675D2">
        <w:t xml:space="preserve"> e/ou</w:t>
      </w:r>
      <w:r w:rsidR="007675D2" w:rsidRPr="00643F9E">
        <w:t xml:space="preserve"> </w:t>
      </w:r>
      <w:r w:rsidR="007675D2" w:rsidRPr="007025AD">
        <w:rPr>
          <w:b/>
        </w:rPr>
        <w:t>(iv)</w:t>
      </w:r>
      <w:r w:rsidR="007675D2" w:rsidRPr="007025AD">
        <w:t xml:space="preserve"> de </w:t>
      </w:r>
      <w:r w:rsidR="007675D2" w:rsidRPr="007025AD">
        <w:lastRenderedPageBreak/>
        <w:t>constituição de Ônus sobre qualquer dos Direitos Cedidos por terceiro, exceto se a Cedente, em até 30 (trinta) dias contados da data do evento, obtiver medida judicial suspendendo o respectivo Ônus</w:t>
      </w:r>
      <w:r w:rsidR="006D5B12" w:rsidRPr="007025AD">
        <w:t>.</w:t>
      </w:r>
    </w:p>
    <w:p w14:paraId="2D28594D" w14:textId="62C55CB4" w:rsidR="00C22E05" w:rsidRDefault="00A81056" w:rsidP="007025AD">
      <w:pPr>
        <w:pStyle w:val="Level2"/>
      </w:pPr>
      <w:bookmarkStart w:id="70" w:name="_Ref80189769"/>
      <w:bookmarkStart w:id="71" w:name="_Hlk67066290"/>
      <w:bookmarkEnd w:id="64"/>
      <w:bookmarkEnd w:id="65"/>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A5336F">
        <w:t xml:space="preserve"> na Data de Verificação</w:t>
      </w:r>
      <w:r w:rsidRPr="007025AD">
        <w:t>, haverá liberação proporcional das Garantias Reais, observado o disposto nos respectivos Contratos de Garantia</w:t>
      </w:r>
      <w:bookmarkStart w:id="72" w:name="_Hlk83877491"/>
      <w:r w:rsidR="00EF449B">
        <w:t>,</w:t>
      </w:r>
      <w:r w:rsidRPr="007025AD">
        <w:t xml:space="preserve"> </w:t>
      </w:r>
      <w:r w:rsidR="00C22E05" w:rsidRPr="00822361">
        <w:t>sendo certo que somente haverá liberação de qualquer dos Imóveis</w:t>
      </w:r>
      <w:r w:rsidR="00C22E05">
        <w:t xml:space="preserve"> (ou frações ideais deles, conforme o caso), observado o procedimento previsto no Contrato de Alienação Fiduciária de Imóveis,</w:t>
      </w:r>
      <w:r w:rsidR="00C22E05" w:rsidRPr="00822361">
        <w:t xml:space="preserve"> após a liberação da totalidade d</w:t>
      </w:r>
      <w:r w:rsidR="00C22E05">
        <w:t>a</w:t>
      </w:r>
      <w:r w:rsidR="00C22E05" w:rsidRPr="00822361">
        <w:t xml:space="preserve">s </w:t>
      </w:r>
      <w:r w:rsidR="00C22E05">
        <w:t xml:space="preserve">Duplicatas </w:t>
      </w:r>
      <w:r w:rsidRPr="007025AD">
        <w:t xml:space="preserve">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06719C">
        <w:t>7.1</w:t>
      </w:r>
      <w:r w:rsidR="008E65F4" w:rsidRPr="007025AD">
        <w:fldChar w:fldCharType="end"/>
      </w:r>
      <w:r w:rsidR="008E65F4" w:rsidRPr="007025AD">
        <w:t xml:space="preserve"> </w:t>
      </w:r>
      <w:r w:rsidRPr="007025AD">
        <w:t>acima</w:t>
      </w:r>
      <w:bookmarkEnd w:id="72"/>
    </w:p>
    <w:p w14:paraId="216671EB" w14:textId="49757873" w:rsidR="00A81056" w:rsidRPr="007025AD" w:rsidRDefault="00A81056" w:rsidP="00C22E05">
      <w:pPr>
        <w:pStyle w:val="Level3"/>
      </w:pPr>
      <w:r w:rsidRPr="007025AD">
        <w:t xml:space="preserve">Para os fins desta Cláusula, </w:t>
      </w:r>
      <w:r w:rsidR="00646E5B">
        <w:t xml:space="preserve">mediante comunicação enviada pela Cedente ao Agente Fiduciário indicando o(s) Imóvel(is) a ser liberado(s), </w:t>
      </w:r>
      <w:r w:rsidRPr="007025AD">
        <w:t>fica, o Agente Fiduciário, autorizado a assinar o competente “Termo de Liberação”</w:t>
      </w:r>
      <w:r w:rsidR="00646E5B">
        <w:t xml:space="preserve">, dentro de </w:t>
      </w:r>
      <w:r w:rsidR="008B41D0" w:rsidRPr="00ED0267">
        <w:t xml:space="preserve">30 (trinta) dias </w:t>
      </w:r>
      <w:r w:rsidR="008B41D0">
        <w:t>corridos contados d</w:t>
      </w:r>
      <w:r w:rsidR="008B41D0" w:rsidRPr="00ED0267">
        <w:t xml:space="preserve">a </w:t>
      </w:r>
      <w:r w:rsidR="008B41D0">
        <w:t>data da verificação d</w:t>
      </w:r>
      <w:r w:rsidR="008B41D0" w:rsidRPr="00ED0267">
        <w:t xml:space="preserve">o Índice de Cobertura </w:t>
      </w:r>
      <w:r w:rsidR="008B41D0">
        <w:t>em que tenha sido constatado o excesso</w:t>
      </w:r>
      <w:r w:rsidR="00646E5B">
        <w:t>,</w:t>
      </w:r>
      <w:r w:rsidRPr="007025AD">
        <w:t xml:space="preserve"> e a praticar todos os demais atos necessários à liberação </w:t>
      </w:r>
      <w:r w:rsidR="00C22E05">
        <w:t xml:space="preserve">total ou parcial </w:t>
      </w:r>
      <w:r w:rsidR="00EF375E">
        <w:t xml:space="preserve">das Duplicatas, </w:t>
      </w:r>
      <w:r w:rsidR="00AF2316">
        <w:t xml:space="preserve">nos termos da Cláusula </w:t>
      </w:r>
      <w:r w:rsidR="00AF2316">
        <w:fldChar w:fldCharType="begin"/>
      </w:r>
      <w:r w:rsidR="00AF2316">
        <w:instrText xml:space="preserve"> REF _Ref80216401 \r \h </w:instrText>
      </w:r>
      <w:r w:rsidR="00AF2316">
        <w:fldChar w:fldCharType="separate"/>
      </w:r>
      <w:r w:rsidR="0006719C">
        <w:t>10.2</w:t>
      </w:r>
      <w:r w:rsidR="00AF2316">
        <w:fldChar w:fldCharType="end"/>
      </w:r>
      <w:r w:rsidR="00AF2316">
        <w:t xml:space="preserve"> abaixo</w:t>
      </w:r>
      <w:r w:rsidR="00C22E05">
        <w:t>,</w:t>
      </w:r>
      <w:r w:rsidR="008E65F4" w:rsidRPr="007025AD">
        <w:t xml:space="preserve"> </w:t>
      </w:r>
      <w:r w:rsidRPr="007025AD">
        <w:t xml:space="preserve">independentemente de aprovação em Assembleia Geral. </w:t>
      </w:r>
      <w:bookmarkStart w:id="73" w:name="_Ref14039712"/>
      <w:bookmarkStart w:id="74" w:name="_Ref25765916"/>
      <w:bookmarkEnd w:id="70"/>
    </w:p>
    <w:p w14:paraId="711BBCCA" w14:textId="55A2B7CC" w:rsidR="00206C23" w:rsidRPr="00A424C7" w:rsidRDefault="00206C23" w:rsidP="00C00BD0">
      <w:pPr>
        <w:pStyle w:val="Level1"/>
        <w:rPr>
          <w:sz w:val="20"/>
          <w:lang w:val="pt-BR"/>
        </w:rPr>
      </w:pPr>
      <w:bookmarkStart w:id="75" w:name="_Ref61797116"/>
      <w:bookmarkEnd w:id="71"/>
      <w:bookmarkEnd w:id="73"/>
      <w:bookmarkEnd w:id="74"/>
      <w:r w:rsidRPr="00A424C7">
        <w:rPr>
          <w:sz w:val="20"/>
          <w:lang w:val="pt-BR"/>
        </w:rPr>
        <w:t xml:space="preserve">DECLARAÇÕES E OBRIGAÇÕES </w:t>
      </w:r>
      <w:r w:rsidR="004E4DB5" w:rsidRPr="00A424C7">
        <w:rPr>
          <w:sz w:val="20"/>
          <w:lang w:val="pt-BR"/>
        </w:rPr>
        <w:t>DA CEDENTE</w:t>
      </w:r>
      <w:bookmarkEnd w:id="75"/>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0EABD58F" w:rsidR="00206C23" w:rsidRPr="00A424C7" w:rsidRDefault="00247871" w:rsidP="001F204D">
      <w:pPr>
        <w:pStyle w:val="Level4"/>
        <w:tabs>
          <w:tab w:val="clear" w:pos="2041"/>
          <w:tab w:val="num" w:pos="1361"/>
        </w:tabs>
        <w:ind w:left="1360"/>
        <w:rPr>
          <w:szCs w:val="20"/>
        </w:rPr>
      </w:pPr>
      <w:r w:rsidRPr="00A424C7">
        <w:rPr>
          <w:szCs w:val="20"/>
        </w:rPr>
        <w:t xml:space="preserve">é legítima titular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w:t>
      </w:r>
      <w:r w:rsidR="00206C23" w:rsidRPr="00A424C7">
        <w:rPr>
          <w:szCs w:val="20"/>
        </w:rPr>
        <w:t>em benefício de terceiros, enquanto vigorar a presente Cessão Fiduciária;</w:t>
      </w:r>
    </w:p>
    <w:p w14:paraId="0F973F90" w14:textId="33982377" w:rsidR="00F67A60" w:rsidRPr="00E13A34"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xml:space="preserve"> </w:t>
      </w:r>
      <w:r w:rsidRPr="00A424C7">
        <w:rPr>
          <w:szCs w:val="20"/>
        </w:rPr>
        <w:t xml:space="preserve">objeto da presente Cessão Fiduciária atendem </w:t>
      </w:r>
      <w:r w:rsidR="005C5DFC">
        <w:rPr>
          <w:szCs w:val="20"/>
        </w:rPr>
        <w:t xml:space="preserve">(ou, com relação às futuras, atenderão) </w:t>
      </w:r>
      <w:r w:rsidRPr="00A424C7">
        <w:rPr>
          <w:szCs w:val="20"/>
        </w:rPr>
        <w:t xml:space="preserve">aos requisitos </w:t>
      </w:r>
      <w:r w:rsidRPr="00E13A34">
        <w:rPr>
          <w:szCs w:val="20"/>
        </w:rPr>
        <w:t xml:space="preserve">da </w:t>
      </w:r>
      <w:r w:rsidRPr="00454F1E">
        <w:rPr>
          <w:szCs w:val="20"/>
        </w:rPr>
        <w:t>Lei nº 5.474, de 18 de julho de 1968</w:t>
      </w:r>
      <w:r w:rsidRPr="00E13A34">
        <w:rPr>
          <w:szCs w:val="20"/>
        </w:rPr>
        <w:t>, conforme alterada;</w:t>
      </w:r>
      <w:r w:rsidR="00E13A34">
        <w:rPr>
          <w:szCs w:val="20"/>
        </w:rPr>
        <w:t xml:space="preserve"> </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r w:rsidRPr="009974FC">
        <w:t xml:space="preserve">é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r w:rsidRPr="009974FC">
        <w:t xml:space="preserve">é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w:t>
      </w:r>
      <w:r w:rsidRPr="009974FC">
        <w:lastRenderedPageBreak/>
        <w:t xml:space="preserve">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09491C0E"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 </w:t>
      </w:r>
      <w:r w:rsidR="0048000D">
        <w:t>Cartório de RTD</w:t>
      </w:r>
      <w:r>
        <w:t xml:space="preserve">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57275173"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76" w:name="_Hlk80097381"/>
      <w:r w:rsidR="00BD7937">
        <w:t>Cedente</w:t>
      </w:r>
      <w:bookmarkEnd w:id="76"/>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rsidRPr="007D6699">
        <w:t>Cedente</w:t>
      </w:r>
      <w:r w:rsidRPr="007D6699">
        <w:t xml:space="preserve">; </w:t>
      </w:r>
      <w:r w:rsidRPr="00454F1E">
        <w:rPr>
          <w:b/>
        </w:rPr>
        <w:t>(c)</w:t>
      </w:r>
      <w:r w:rsidRPr="00454F1E">
        <w:t xml:space="preserve"> não resultarão em </w:t>
      </w:r>
      <w:r w:rsidRPr="00454F1E">
        <w:rPr>
          <w:b/>
        </w:rPr>
        <w:t>(c.1)</w:t>
      </w:r>
      <w:r w:rsidRPr="00454F1E">
        <w:t xml:space="preserve"> vencimento antecipado de qualquer obrigação estabelecida em qualquer contrato ou instrumento do qual a </w:t>
      </w:r>
      <w:r w:rsidR="00BD7937" w:rsidRPr="00454F1E">
        <w:t xml:space="preserve">Cedente </w:t>
      </w:r>
      <w:r w:rsidRPr="00454F1E">
        <w:t xml:space="preserve">seja parte e/ou pelo qual qualquer de seus respectivos bens ou propriedades esteja sujeito, ou </w:t>
      </w:r>
      <w:r w:rsidRPr="00454F1E">
        <w:rPr>
          <w:b/>
        </w:rPr>
        <w:t>(c.2)</w:t>
      </w:r>
      <w:r w:rsidRPr="00454F1E">
        <w:t> rescisão de qualquer desses contratos ou instrumentos;</w:t>
      </w:r>
      <w:r w:rsidRPr="007D6699">
        <w:t xml:space="preserve"> </w:t>
      </w:r>
      <w:r w:rsidRPr="007D6699">
        <w:rPr>
          <w:b/>
        </w:rPr>
        <w:t>(</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r w:rsidR="00E13A34">
        <w:t xml:space="preserve"> </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r w:rsidR="005C5DFC">
        <w:t xml:space="preserve"> e</w:t>
      </w:r>
    </w:p>
    <w:p w14:paraId="7DC212C5" w14:textId="492B4601" w:rsidR="00232F80" w:rsidRPr="006D42E5" w:rsidRDefault="00232F80" w:rsidP="007025AD">
      <w:pPr>
        <w:pStyle w:val="Level4"/>
        <w:tabs>
          <w:tab w:val="clear" w:pos="2041"/>
          <w:tab w:val="num" w:pos="1361"/>
        </w:tabs>
        <w:ind w:left="1361"/>
      </w:pPr>
      <w:r w:rsidRPr="0006719C">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r w:rsidR="005C5DFC" w:rsidRPr="006D42E5">
        <w:t>.</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lastRenderedPageBreak/>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FBEC44B"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 xml:space="preserve">ao </w:t>
      </w:r>
      <w:r w:rsidR="0048000D">
        <w:t>Cartório de RTD</w:t>
      </w:r>
      <w:r>
        <w:t>;</w:t>
      </w:r>
      <w:r w:rsidR="00811FC4">
        <w:t xml:space="preserve"> </w:t>
      </w:r>
    </w:p>
    <w:p w14:paraId="4A3594B4" w14:textId="31C8D5AE"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 xml:space="preserve">Contrato,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(ii)</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26D99715"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r w:rsidR="00C11DC3">
        <w:rPr>
          <w:szCs w:val="20"/>
        </w:rPr>
        <w:t xml:space="preserve">que afete negativamente </w:t>
      </w:r>
      <w:r w:rsidRPr="00A424C7">
        <w:rPr>
          <w:szCs w:val="20"/>
        </w:rPr>
        <w:t xml:space="preserve">os </w:t>
      </w:r>
      <w:r w:rsidR="00666CD0" w:rsidRPr="00A424C7">
        <w:rPr>
          <w:szCs w:val="20"/>
        </w:rPr>
        <w:t xml:space="preserve">Direitos Cedidos </w:t>
      </w:r>
      <w:r w:rsidR="00225EBF" w:rsidRPr="00A424C7">
        <w:rPr>
          <w:szCs w:val="20"/>
        </w:rPr>
        <w:t>e/ou o presente C</w:t>
      </w:r>
      <w:r w:rsidRPr="00A424C7">
        <w:rPr>
          <w:szCs w:val="20"/>
        </w:rPr>
        <w:t>ontrato</w:t>
      </w:r>
      <w:r w:rsidR="00C11DC3">
        <w:rPr>
          <w:szCs w:val="20"/>
        </w:rPr>
        <w:t xml:space="preserve"> ou que inviabilize</w:t>
      </w:r>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r w:rsidR="00C11DC3">
        <w:rPr>
          <w:b/>
          <w:szCs w:val="20"/>
        </w:rPr>
        <w:t>b</w:t>
      </w:r>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F6B734B"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Cedidos;</w:t>
      </w:r>
    </w:p>
    <w:p w14:paraId="5F4B1FA0" w14:textId="5F8AEC69" w:rsidR="00747FDD" w:rsidRPr="00A424C7" w:rsidRDefault="00AE7DFA" w:rsidP="001F204D">
      <w:pPr>
        <w:pStyle w:val="Level4"/>
        <w:tabs>
          <w:tab w:val="clear" w:pos="2041"/>
          <w:tab w:val="num" w:pos="1361"/>
        </w:tabs>
        <w:ind w:left="1360"/>
        <w:rPr>
          <w:szCs w:val="20"/>
        </w:rPr>
      </w:pPr>
      <w:r>
        <w:lastRenderedPageBreak/>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04013D7"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Direitos Cedidos</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Direitos Cedidos</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65F72338"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r w:rsidR="00E23C81">
        <w:rPr>
          <w:szCs w:val="20"/>
        </w:rPr>
        <w:t xml:space="preserve"> arbitrados em juízo</w:t>
      </w:r>
      <w:r w:rsidRPr="00D764B7">
        <w:t xml:space="preserve">)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73D1CD72" w:rsidR="00747FDD" w:rsidRPr="00A424C7" w:rsidRDefault="00747FDD" w:rsidP="001F204D">
      <w:pPr>
        <w:pStyle w:val="Level4"/>
        <w:tabs>
          <w:tab w:val="clear" w:pos="2041"/>
          <w:tab w:val="num" w:pos="1361"/>
        </w:tabs>
        <w:ind w:left="1360"/>
        <w:rPr>
          <w:szCs w:val="20"/>
        </w:rPr>
      </w:pPr>
      <w:r w:rsidRPr="00A424C7">
        <w:rPr>
          <w:bCs/>
          <w:szCs w:val="20"/>
        </w:rPr>
        <w:t>fornecer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Direitos Cedidos</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14EBF796" w14:textId="77E0FE7A"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w:t>
      </w:r>
      <w:r w:rsidRPr="001D2BB8">
        <w:t xml:space="preserve">em </w:t>
      </w:r>
      <w:r w:rsidRPr="00454F1E">
        <w:rPr>
          <w:b/>
        </w:rPr>
        <w:t>(a)</w:t>
      </w:r>
      <w:r w:rsidRPr="00454F1E">
        <w:t xml:space="preserve"> vencimento antecipado de qualquer obrigação estabelecida em qualquer outro contrato ou instrumento firmado pela Cedente;</w:t>
      </w:r>
      <w:r w:rsidRPr="001D2BB8">
        <w:t xml:space="preserve"> </w:t>
      </w:r>
      <w:r w:rsidRPr="001D2BB8">
        <w:rPr>
          <w:b/>
        </w:rPr>
        <w:t>(b)</w:t>
      </w:r>
      <w:r w:rsidRPr="001D2BB8">
        <w:t xml:space="preserve"> criação de qualquer ônus sobre qualquer ativo ou bem da Cedente, exceto os</w:t>
      </w:r>
      <w:r w:rsidRPr="00D764B7">
        <w:t xml:space="preserve">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36CA447F" w14:textId="114E24BD" w:rsidR="00206C23" w:rsidRPr="00A424C7" w:rsidRDefault="007A7E61" w:rsidP="001F204D">
      <w:pPr>
        <w:pStyle w:val="Level1"/>
        <w:rPr>
          <w:sz w:val="20"/>
          <w:lang w:val="pt-BR"/>
        </w:rPr>
      </w:pPr>
      <w:bookmarkStart w:id="77" w:name="_Ref80192035"/>
      <w:r w:rsidRPr="00A424C7">
        <w:rPr>
          <w:sz w:val="20"/>
          <w:lang w:val="pt-BR"/>
        </w:rPr>
        <w:t>INADIMPLEMENTO DAS OBRIGAÇÕES GARANTIDAS E EXCUSSÃO</w:t>
      </w:r>
      <w:r w:rsidR="00EB40D0" w:rsidRPr="00A424C7">
        <w:rPr>
          <w:sz w:val="20"/>
          <w:lang w:val="pt-BR"/>
        </w:rPr>
        <w:t xml:space="preserve"> DA GARANTIA</w:t>
      </w:r>
      <w:bookmarkEnd w:id="77"/>
    </w:p>
    <w:p w14:paraId="7C73C1D2" w14:textId="72D659CA" w:rsidR="00F80380" w:rsidRPr="001525E7" w:rsidRDefault="00C765E3" w:rsidP="001F204D">
      <w:pPr>
        <w:pStyle w:val="Level2"/>
        <w:rPr>
          <w:szCs w:val="20"/>
        </w:rPr>
      </w:pPr>
      <w:bookmarkStart w:id="78"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 xml:space="preserve">tenham sido </w:t>
      </w:r>
      <w:r>
        <w:rPr>
          <w:szCs w:val="20"/>
        </w:rPr>
        <w:lastRenderedPageBreak/>
        <w:t>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78"/>
      <w:r w:rsidR="00D94052" w:rsidRPr="00A424C7">
        <w:rPr>
          <w:bCs/>
          <w:szCs w:val="20"/>
        </w:rPr>
        <w:t xml:space="preserve"> </w:t>
      </w:r>
    </w:p>
    <w:p w14:paraId="6CD58D96" w14:textId="77777777" w:rsidR="00F87DD9" w:rsidRPr="00E157E3" w:rsidRDefault="00F87DD9" w:rsidP="00F87DD9">
      <w:pPr>
        <w:pStyle w:val="Level2"/>
        <w:rPr>
          <w:szCs w:val="20"/>
        </w:rPr>
      </w:pPr>
      <w:bookmarkStart w:id="79" w:name="_Ref82641821"/>
      <w:r w:rsidRPr="00E157E3">
        <w:rPr>
          <w:szCs w:val="20"/>
        </w:rPr>
        <w:t>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w:t>
      </w:r>
      <w:bookmarkEnd w:id="79"/>
      <w:r w:rsidRPr="00E157E3">
        <w:rPr>
          <w:szCs w:val="20"/>
        </w:rPr>
        <w:t xml:space="preserve"> </w:t>
      </w:r>
    </w:p>
    <w:p w14:paraId="180EFFA0" w14:textId="1FF13E8F"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005C7AD0">
        <w:rPr>
          <w:szCs w:val="20"/>
        </w:rPr>
        <w:fldChar w:fldCharType="begin"/>
      </w:r>
      <w:r w:rsidR="005C7AD0">
        <w:rPr>
          <w:szCs w:val="20"/>
        </w:rPr>
        <w:instrText xml:space="preserve"> REF _Ref82641821 \r \h </w:instrText>
      </w:r>
      <w:r w:rsidR="005C7AD0">
        <w:rPr>
          <w:szCs w:val="20"/>
        </w:rPr>
      </w:r>
      <w:r w:rsidR="005C7AD0">
        <w:rPr>
          <w:szCs w:val="20"/>
        </w:rPr>
        <w:fldChar w:fldCharType="separate"/>
      </w:r>
      <w:r w:rsidR="0006719C">
        <w:rPr>
          <w:szCs w:val="20"/>
        </w:rPr>
        <w:t>9.2</w:t>
      </w:r>
      <w:r w:rsidR="005C7AD0">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 </w:t>
      </w:r>
      <w:r w:rsidR="0048000D">
        <w:rPr>
          <w:szCs w:val="20"/>
        </w:rPr>
        <w:t>Cartório de RTD</w:t>
      </w:r>
      <w:r w:rsidRPr="00E157E3">
        <w:rPr>
          <w:szCs w:val="20"/>
        </w:rPr>
        <w:t xml:space="preserve">, a qual deverá ser renovada anualmente com antecedência de 1 (um) mês de sua data de vencimento, ou sempre que solicitado pelo Agente Fiduciário. </w:t>
      </w:r>
    </w:p>
    <w:p w14:paraId="4610CDA3" w14:textId="7C8CA4BE"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06719C">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80" w:name="_Hlk61799215"/>
      <w:r w:rsidR="00880E51" w:rsidRPr="00F07A77">
        <w:t>maior valor oferecido pelos Direitos Cedidos</w:t>
      </w:r>
      <w:bookmarkEnd w:id="80"/>
      <w:r w:rsidR="00E23C81">
        <w:rPr>
          <w:szCs w:val="20"/>
        </w:rPr>
        <w:t>, observado que não poderá ser realizada a preço vil</w:t>
      </w:r>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(ii) e (iii) abaixo; </w:t>
      </w:r>
      <w:r w:rsidRPr="007025AD">
        <w:rPr>
          <w:b/>
          <w:bCs/>
          <w:szCs w:val="20"/>
          <w:lang w:eastAsia="pt-BR"/>
        </w:rPr>
        <w:t>(ii)</w:t>
      </w:r>
      <w:r w:rsidRPr="00A424C7">
        <w:rPr>
          <w:b/>
          <w:bCs/>
          <w:szCs w:val="20"/>
          <w:lang w:eastAsia="pt-BR"/>
        </w:rPr>
        <w:t xml:space="preserve"> </w:t>
      </w:r>
      <w:r w:rsidRPr="00A424C7">
        <w:rPr>
          <w:szCs w:val="20"/>
          <w:lang w:eastAsia="pt-BR"/>
        </w:rPr>
        <w:t xml:space="preserve">Remuneração, Encargos Moratórios e demais encargos e </w:t>
      </w:r>
      <w:r w:rsidRPr="00A424C7">
        <w:rPr>
          <w:szCs w:val="20"/>
          <w:lang w:eastAsia="pt-BR"/>
        </w:rPr>
        <w:lastRenderedPageBreak/>
        <w:t xml:space="preserve">despesas devidos sob as Obrigações Garantidas; e </w:t>
      </w:r>
      <w:r w:rsidRPr="007025AD">
        <w:rPr>
          <w:b/>
          <w:bCs/>
          <w:szCs w:val="20"/>
          <w:lang w:eastAsia="pt-BR"/>
        </w:rPr>
        <w:t>(iii)</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461DB9AC"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42D48B"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bookmarkStart w:id="81" w:name="_Hlk82509976"/>
      <w:r w:rsidR="00E23C81">
        <w:rPr>
          <w:szCs w:val="20"/>
        </w:rPr>
        <w:t xml:space="preserve"> arbitrados em juízo</w:t>
      </w:r>
      <w:bookmarkEnd w:id="81"/>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82"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82"/>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06719C">
      <w:pPr>
        <w:pStyle w:val="Body"/>
        <w:keepNext/>
        <w:ind w:left="709"/>
        <w:rPr>
          <w:szCs w:val="20"/>
          <w:lang w:val="pt-BR"/>
        </w:rPr>
      </w:pPr>
      <w:r w:rsidRPr="00A424C7">
        <w:rPr>
          <w:szCs w:val="20"/>
          <w:lang w:val="pt-BR"/>
        </w:rPr>
        <w:lastRenderedPageBreak/>
        <w:t xml:space="preserve">Se para </w:t>
      </w:r>
      <w:r w:rsidR="00BF1653" w:rsidRPr="00A424C7">
        <w:rPr>
          <w:szCs w:val="20"/>
          <w:lang w:val="pt-BR"/>
        </w:rPr>
        <w:t>a Cedente</w:t>
      </w:r>
      <w:r w:rsidRPr="00A424C7">
        <w:rPr>
          <w:szCs w:val="20"/>
          <w:lang w:val="pt-BR"/>
        </w:rPr>
        <w:t>:</w:t>
      </w:r>
    </w:p>
    <w:p w14:paraId="690D15E9" w14:textId="7E6F9BE9" w:rsidR="00CD7F28" w:rsidRPr="00F83109" w:rsidRDefault="004160AE" w:rsidP="0006719C">
      <w:pPr>
        <w:pStyle w:val="Body"/>
        <w:keepNext/>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83"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83"/>
    </w:p>
    <w:p w14:paraId="6CCEA264" w14:textId="77777777" w:rsidR="007831EC" w:rsidRPr="007025AD" w:rsidRDefault="007831EC" w:rsidP="007025AD">
      <w:pPr>
        <w:pStyle w:val="BodyText"/>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84"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84"/>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436869DF"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06719C">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na forma da Cláusula</w:t>
      </w:r>
      <w:r w:rsidR="00B14D57">
        <w:rPr>
          <w:szCs w:val="20"/>
          <w:shd w:val="clear" w:color="auto" w:fill="FFFFFF"/>
        </w:rPr>
        <w:t xml:space="preserve"> </w:t>
      </w:r>
      <w:r w:rsidR="00B14D57">
        <w:rPr>
          <w:szCs w:val="20"/>
          <w:shd w:val="clear" w:color="auto" w:fill="FFFFFF"/>
        </w:rPr>
        <w:fldChar w:fldCharType="begin"/>
      </w:r>
      <w:r w:rsidR="00B14D57">
        <w:rPr>
          <w:szCs w:val="20"/>
          <w:shd w:val="clear" w:color="auto" w:fill="FFFFFF"/>
        </w:rPr>
        <w:instrText xml:space="preserve"> REF _Ref83234160 \r \h </w:instrText>
      </w:r>
      <w:r w:rsidR="00B14D57">
        <w:rPr>
          <w:szCs w:val="20"/>
          <w:shd w:val="clear" w:color="auto" w:fill="FFFFFF"/>
        </w:rPr>
      </w:r>
      <w:r w:rsidR="00B14D57">
        <w:rPr>
          <w:szCs w:val="20"/>
          <w:shd w:val="clear" w:color="auto" w:fill="FFFFFF"/>
        </w:rPr>
        <w:fldChar w:fldCharType="separate"/>
      </w:r>
      <w:r w:rsidR="0006719C">
        <w:rPr>
          <w:szCs w:val="20"/>
          <w:shd w:val="clear" w:color="auto" w:fill="FFFFFF"/>
        </w:rPr>
        <w:t>4.1</w:t>
      </w:r>
      <w:r w:rsidR="00B14D57">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r w:rsidR="00B14D57">
        <w:rPr>
          <w:szCs w:val="20"/>
          <w:shd w:val="clear" w:color="auto" w:fill="FFFFFF"/>
        </w:rPr>
        <w:t xml:space="preserve"> </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lastRenderedPageBreak/>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85"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(ii)</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(iii)</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(iv)</w:t>
      </w:r>
      <w:r w:rsidRPr="00A96ED5">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85"/>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M.Cassab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4B18453C" w:rsidR="00515505" w:rsidRPr="00A424C7" w:rsidRDefault="00AD7240" w:rsidP="001F204D">
      <w:pPr>
        <w:pStyle w:val="Body"/>
        <w:rPr>
          <w:szCs w:val="20"/>
          <w:lang w:val="pt-BR"/>
        </w:rPr>
      </w:pPr>
      <w:bookmarkStart w:id="86" w:name="_Hlk58419793"/>
      <w:bookmarkStart w:id="87"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86"/>
      <w:bookmarkEnd w:id="87"/>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(i</w:t>
      </w:r>
      <w:r w:rsidR="00DB4B71" w:rsidRPr="007025AD">
        <w:rPr>
          <w:b/>
          <w:szCs w:val="20"/>
          <w:lang w:val="pt-BR"/>
        </w:rPr>
        <w:t>i</w:t>
      </w:r>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 xml:space="preserve">junto ao respectivo </w:t>
      </w:r>
      <w:r w:rsidR="0048000D">
        <w:rPr>
          <w:szCs w:val="20"/>
          <w:lang w:val="pt-BR"/>
        </w:rPr>
        <w:t>Cartório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r w:rsidR="00DB4B71" w:rsidRPr="007025AD">
        <w:rPr>
          <w:b/>
          <w:szCs w:val="20"/>
          <w:lang w:val="pt-BR"/>
        </w:rPr>
        <w:t>i</w:t>
      </w:r>
      <w:r w:rsidR="009B0EDE" w:rsidRPr="007025AD">
        <w:rPr>
          <w:b/>
          <w:szCs w:val="20"/>
          <w:lang w:val="pt-BR"/>
        </w:rPr>
        <w:t>ii)</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r w:rsidR="00515505" w:rsidRPr="007025AD">
        <w:rPr>
          <w:b/>
          <w:szCs w:val="20"/>
          <w:lang w:val="pt-BR"/>
        </w:rPr>
        <w:t>iv</w:t>
      </w:r>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r w:rsidR="00515505" w:rsidRPr="007025AD">
        <w:rPr>
          <w:b/>
          <w:szCs w:val="20"/>
          <w:lang w:val="pt-BR"/>
        </w:rPr>
        <w:t>vii</w:t>
      </w:r>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receber, dar e receber </w:t>
      </w:r>
      <w:r w:rsidR="009B0EDE" w:rsidRPr="00A424C7">
        <w:rPr>
          <w:szCs w:val="20"/>
          <w:lang w:val="pt-BR"/>
        </w:rPr>
        <w:lastRenderedPageBreak/>
        <w:t>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r w:rsidR="00515505" w:rsidRPr="007025AD">
        <w:rPr>
          <w:b/>
          <w:szCs w:val="20"/>
          <w:lang w:val="pt-BR"/>
        </w:rPr>
        <w:t>viii</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r w:rsidR="00515505" w:rsidRPr="007025AD">
        <w:rPr>
          <w:b/>
          <w:szCs w:val="20"/>
          <w:lang w:val="pt-BR"/>
        </w:rPr>
        <w:t>ix</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para fins de cobrança, recebimento de valores, transferência da posse e da propriedade, concessão ou recebimento de isenções e liberações</w:t>
      </w:r>
      <w:r w:rsidR="009B0EDE" w:rsidRPr="006D42E5">
        <w:rPr>
          <w:szCs w:val="20"/>
          <w:lang w:val="pt-BR"/>
        </w:rPr>
        <w:t xml:space="preserve">, </w:t>
      </w:r>
      <w:r w:rsidR="009B0EDE" w:rsidRPr="0006719C">
        <w:rPr>
          <w:szCs w:val="20"/>
          <w:lang w:val="pt-BR"/>
        </w:rPr>
        <w:t>dar e receber quitação e transigir em nome da Outorgante</w:t>
      </w:r>
      <w:r w:rsidR="00A61E5E" w:rsidRPr="00A61E5E">
        <w:rPr>
          <w:szCs w:val="20"/>
          <w:lang w:val="pt-BR"/>
        </w:rPr>
        <w:t xml:space="preserve"> no âmbito da</w:t>
      </w:r>
      <w:r w:rsidR="009B0EDE" w:rsidRPr="00A424C7">
        <w:rPr>
          <w:szCs w:val="20"/>
          <w:lang w:val="pt-BR"/>
        </w:rPr>
        <w:t xml:space="preserv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r w:rsidR="00515505" w:rsidRPr="007025AD">
        <w:rPr>
          <w:b/>
          <w:szCs w:val="20"/>
          <w:lang w:val="pt-BR"/>
        </w:rPr>
        <w:t>xii</w:t>
      </w:r>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55AAD52C" w:rsidR="00E87C92" w:rsidRPr="0006719C" w:rsidRDefault="009F393E" w:rsidP="0006719C">
      <w:pPr>
        <w:pStyle w:val="Body"/>
        <w:spacing w:before="140" w:after="0"/>
        <w:ind w:left="680"/>
        <w:rPr>
          <w:b/>
          <w:lang w:val="pt-BR"/>
        </w:rPr>
      </w:pPr>
      <w:r w:rsidRPr="0006719C">
        <w:rPr>
          <w:b/>
          <w:highlight w:val="yellow"/>
          <w:lang w:val="pt-BR"/>
        </w:rPr>
        <w:t>[</w:t>
      </w:r>
      <w:r w:rsidR="0006719C" w:rsidRPr="0006719C">
        <w:rPr>
          <w:b/>
          <w:bCs/>
          <w:highlight w:val="yellow"/>
          <w:lang w:val="pt-BR"/>
        </w:rPr>
        <w:t>NOTA LEFOSSE: PENDENTE ATUALIZAÇÃO CONFORME VERSÃO FINAL DA ESCRITURA DE EMISSÃO</w:t>
      </w:r>
      <w:r w:rsidRPr="0006719C">
        <w:rPr>
          <w:b/>
          <w:highlight w:val="yellow"/>
          <w:lang w:val="pt-BR"/>
        </w:rPr>
        <w:t>]</w:t>
      </w:r>
    </w:p>
    <w:p w14:paraId="1632B0D3" w14:textId="31B6589C" w:rsidR="009F393E" w:rsidRDefault="009F393E" w:rsidP="00E87C92">
      <w:pPr>
        <w:pStyle w:val="Body"/>
        <w:spacing w:before="140" w:after="0"/>
        <w:ind w:left="680"/>
        <w:rPr>
          <w:lang w:val="pt-BR"/>
        </w:rPr>
      </w:pPr>
    </w:p>
    <w:tbl>
      <w:tblPr>
        <w:tblStyle w:val="TableGrid"/>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88"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89" w:name="_Ref515458557"/>
          </w:p>
        </w:tc>
        <w:tc>
          <w:tcPr>
            <w:tcW w:w="5566" w:type="dxa"/>
          </w:tcPr>
          <w:p w14:paraId="7FD07BCD" w14:textId="083702E8"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89"/>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90" w:name="_Ref515458567"/>
          </w:p>
        </w:tc>
        <w:tc>
          <w:tcPr>
            <w:tcW w:w="5566" w:type="dxa"/>
          </w:tcPr>
          <w:p w14:paraId="7A1ED57C" w14:textId="1435973B"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90"/>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4A553501" w:rsidR="009F393E" w:rsidRPr="00124CCF" w:rsidRDefault="009F393E" w:rsidP="00B23975">
            <w:pPr>
              <w:pStyle w:val="Level4"/>
              <w:numPr>
                <w:ilvl w:val="0"/>
                <w:numId w:val="0"/>
              </w:numPr>
            </w:pPr>
            <w:r w:rsidRPr="00124CCF">
              <w:t xml:space="preserve">Para todos os fins de direito e efeitos, a data de emissão das Debêntures será </w:t>
            </w:r>
            <w:r w:rsidR="00A31EA2" w:rsidRPr="00454F1E">
              <w:rPr>
                <w:highlight w:val="yellow"/>
              </w:rPr>
              <w:t>[</w:t>
            </w:r>
            <w:r w:rsidR="00A31EA2" w:rsidRPr="00454F1E">
              <w:rPr>
                <w:highlight w:val="yellow"/>
              </w:rPr>
              <w:sym w:font="Symbol" w:char="F0B7"/>
            </w:r>
            <w:r w:rsidR="00A31EA2" w:rsidRPr="00454F1E">
              <w:rPr>
                <w:highlight w:val="yellow"/>
              </w:rPr>
              <w:t>]</w:t>
            </w:r>
            <w:r w:rsidRPr="00124CCF">
              <w:t xml:space="preserve"> de </w:t>
            </w:r>
            <w:r w:rsidR="00A31EA2">
              <w:t xml:space="preserve">[setembro] </w:t>
            </w:r>
            <w:r w:rsidRPr="00124CCF">
              <w:t>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2C3160F0"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pro rata temporis</w:t>
            </w:r>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2988CAA5"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(ii)</w:t>
            </w:r>
            <w:r w:rsidRPr="00124CCF">
              <w:t xml:space="preserve"> 7,00% (sete inteiros por cento) ao ano, base 252 (duzentos e cinquenta e dois) Dias Úteis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w:t>
            </w:r>
            <w:r w:rsidRPr="00124CCF">
              <w:rPr>
                <w:iCs/>
                <w:szCs w:val="20"/>
              </w:rPr>
              <w:lastRenderedPageBreak/>
              <w:t xml:space="preserve">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(ii)</w:t>
            </w:r>
            <w:r w:rsidRPr="00124CCF">
              <w:rPr>
                <w:bCs/>
                <w:szCs w:val="20"/>
              </w:rPr>
              <w:t xml:space="preserve"> da Remuneração, calculada </w:t>
            </w:r>
            <w:r w:rsidRPr="00124CCF">
              <w:rPr>
                <w:bCs/>
                <w:i/>
                <w:szCs w:val="20"/>
              </w:rPr>
              <w:t>pro rata temporis</w:t>
            </w:r>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(iii)</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(ii) acima, nos termos da Escritura de Emissão.</w:t>
            </w:r>
          </w:p>
        </w:tc>
      </w:tr>
      <w:tr w:rsidR="009F393E" w:rsidRPr="00124CCF" w14:paraId="43C8E46E" w14:textId="77777777" w:rsidTr="00454F1E">
        <w:trPr>
          <w:trHeight w:val="5565"/>
        </w:trPr>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calculada pro rata temporis</w:t>
            </w:r>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06719C" w:rsidRDefault="009F393E" w:rsidP="00B23975">
            <w:pPr>
              <w:pStyle w:val="Level4"/>
              <w:numPr>
                <w:ilvl w:val="0"/>
                <w:numId w:val="0"/>
              </w:numPr>
              <w:rPr>
                <w:bCs/>
                <w:iCs/>
                <w:szCs w:val="20"/>
              </w:rPr>
            </w:pPr>
            <w:r w:rsidRPr="0006719C">
              <w:rPr>
                <w:bCs/>
                <w:i/>
                <w:szCs w:val="20"/>
              </w:rPr>
              <w:t>Amortização Extraordinária Obrigatória</w:t>
            </w:r>
            <w:r w:rsidRPr="0006719C">
              <w:rPr>
                <w:bCs/>
                <w:iCs/>
                <w:szCs w:val="20"/>
              </w:rPr>
              <w:t xml:space="preserve">. </w:t>
            </w:r>
          </w:p>
        </w:tc>
        <w:tc>
          <w:tcPr>
            <w:tcW w:w="5566" w:type="dxa"/>
          </w:tcPr>
          <w:p w14:paraId="75B9C10C" w14:textId="5E64553A" w:rsidR="009F393E" w:rsidRPr="0006719C" w:rsidRDefault="009F393E" w:rsidP="00B23975">
            <w:pPr>
              <w:pStyle w:val="Level4"/>
              <w:numPr>
                <w:ilvl w:val="0"/>
                <w:numId w:val="0"/>
              </w:numPr>
              <w:rPr>
                <w:bCs/>
                <w:iCs/>
                <w:szCs w:val="20"/>
              </w:rPr>
            </w:pPr>
            <w:r w:rsidRPr="0006719C">
              <w:rPr>
                <w:bCs/>
                <w:iCs/>
                <w:szCs w:val="20"/>
              </w:rPr>
              <w:t xml:space="preserve">Em até 10 (dez) Dias Úteis contados da alienação de qualquer dos Imóveis (conforme abaixo definido), observados os termos e condições do Contrato de Alienação Fiduciária de Imóveis, a </w:t>
            </w:r>
            <w:r w:rsidRPr="0006719C">
              <w:t>Cedente</w:t>
            </w:r>
            <w:r w:rsidRPr="0006719C">
              <w:rPr>
                <w:bCs/>
                <w:iCs/>
                <w:szCs w:val="20"/>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w:t>
            </w:r>
            <w:r w:rsidRPr="0006719C">
              <w:rPr>
                <w:bCs/>
                <w:iCs/>
                <w:szCs w:val="20"/>
              </w:rPr>
              <w:lastRenderedPageBreak/>
              <w:t>e trezentos e trinta mil reais), o que for menor (“</w:t>
            </w:r>
            <w:r w:rsidRPr="0006719C">
              <w:rPr>
                <w:b/>
                <w:iCs/>
                <w:szCs w:val="20"/>
              </w:rPr>
              <w:t>Amortização Extraordinária Obrigatória</w:t>
            </w:r>
            <w:r w:rsidRPr="0006719C">
              <w:rPr>
                <w:bCs/>
                <w:iCs/>
                <w:szCs w:val="20"/>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 xml:space="preserve">(ii)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(iii)</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C58460E"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(ii)</w:t>
            </w:r>
            <w:r w:rsidRPr="00124CCF">
              <w:rPr>
                <w:bCs/>
                <w:iCs/>
                <w:szCs w:val="20"/>
              </w:rPr>
              <w:t xml:space="preserve"> aos juros de mora compensatórios, à taxa de 1% (um por cento) ao mês, calculados </w:t>
            </w:r>
            <w:r w:rsidRPr="00124CCF">
              <w:rPr>
                <w:bCs/>
                <w:i/>
                <w:szCs w:val="20"/>
              </w:rPr>
              <w:t>pro rata temporis</w:t>
            </w:r>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91"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91"/>
            <w:r w:rsidRPr="007025AD">
              <w:rPr>
                <w:b/>
                <w:szCs w:val="20"/>
              </w:rPr>
              <w:t>(a)</w:t>
            </w:r>
            <w:r w:rsidRPr="00124CCF">
              <w:rPr>
                <w:szCs w:val="20"/>
              </w:rPr>
              <w:t xml:space="preserve"> esta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92" w:name="_DV_M230"/>
            <w:bookmarkStart w:id="93" w:name="_DV_M231"/>
            <w:bookmarkStart w:id="94" w:name="_DV_M232"/>
            <w:bookmarkStart w:id="95" w:name="_DV_M233"/>
            <w:bookmarkEnd w:id="92"/>
            <w:bookmarkEnd w:id="93"/>
            <w:bookmarkEnd w:id="94"/>
            <w:bookmarkEnd w:id="95"/>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pro rata temporis</w:t>
            </w:r>
            <w:r w:rsidRPr="00124CCF">
              <w:t xml:space="preserve"> desde a Primeira Data de Integralização (inclusive) ou da Data de Pagamento da Remuneração imediatamente anterior, de forma </w:t>
            </w:r>
            <w:r w:rsidRPr="00124CCF">
              <w:rPr>
                <w:i/>
                <w:iCs/>
              </w:rPr>
              <w:t>pro rata temporis</w:t>
            </w:r>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96" w:name="_Ref496130368"/>
            <w:bookmarkStart w:id="97" w:name="_Ref518417172"/>
            <w:bookmarkStart w:id="98" w:name="_Ref76482577"/>
            <w:r w:rsidRPr="00124CCF">
              <w:rPr>
                <w:i/>
              </w:rPr>
              <w:t>Destinação dos Recursos</w:t>
            </w:r>
            <w:r w:rsidRPr="00124CCF">
              <w:t xml:space="preserve">. </w:t>
            </w:r>
            <w:bookmarkStart w:id="99" w:name="_Ref514864281"/>
            <w:bookmarkEnd w:id="96"/>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97"/>
            <w:bookmarkEnd w:id="98"/>
            <w:bookmarkEnd w:id="99"/>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88"/>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ListParagraph"/>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ListParagraph"/>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77937C5" w:rsidR="00D97BAA" w:rsidRPr="00047B63" w:rsidRDefault="00D97BAA" w:rsidP="00454F1E">
      <w:pPr>
        <w:pStyle w:val="Heading"/>
        <w:spacing w:before="140" w:after="0"/>
        <w:jc w:val="center"/>
        <w:rPr>
          <w:sz w:val="20"/>
          <w:szCs w:val="20"/>
        </w:rPr>
      </w:pPr>
      <w:r w:rsidRPr="00047B63">
        <w:rPr>
          <w:sz w:val="20"/>
          <w:szCs w:val="20"/>
        </w:rPr>
        <w:t xml:space="preserve">ANEXO </w:t>
      </w:r>
      <w:r w:rsidR="00DF0711" w:rsidRPr="00047B63">
        <w:rPr>
          <w:sz w:val="20"/>
          <w:szCs w:val="20"/>
        </w:rPr>
        <w:t>I</w:t>
      </w:r>
      <w:r w:rsidR="007E24DE" w:rsidRPr="00047B63">
        <w:rPr>
          <w:sz w:val="20"/>
          <w:szCs w:val="20"/>
        </w:rPr>
        <w:t>II</w:t>
      </w:r>
    </w:p>
    <w:p w14:paraId="505D285A" w14:textId="4C40503A" w:rsidR="005261AC" w:rsidRPr="00047B63" w:rsidRDefault="005261AC" w:rsidP="00454F1E">
      <w:pPr>
        <w:pStyle w:val="Heading"/>
        <w:spacing w:before="140" w:after="0"/>
        <w:jc w:val="center"/>
        <w:rPr>
          <w:sz w:val="20"/>
          <w:szCs w:val="20"/>
        </w:rPr>
      </w:pPr>
      <w:r w:rsidRPr="00047B63">
        <w:rPr>
          <w:sz w:val="20"/>
          <w:szCs w:val="20"/>
        </w:rPr>
        <w:t>MODELO DE ADITAMENTO</w:t>
      </w:r>
      <w:r w:rsidR="000C051A" w:rsidRPr="00047B63">
        <w:rPr>
          <w:sz w:val="20"/>
          <w:szCs w:val="20"/>
        </w:rPr>
        <w:t xml:space="preserve"> AO CONTRATO</w:t>
      </w:r>
    </w:p>
    <w:p w14:paraId="3AFA9451" w14:textId="3A18C90F" w:rsidR="005261AC" w:rsidRPr="00047B63" w:rsidRDefault="005261AC" w:rsidP="00454F1E">
      <w:pPr>
        <w:pStyle w:val="Heading"/>
        <w:spacing w:before="140" w:after="0"/>
        <w:jc w:val="center"/>
        <w:rPr>
          <w:sz w:val="20"/>
          <w:szCs w:val="20"/>
        </w:rPr>
      </w:pPr>
    </w:p>
    <w:p w14:paraId="7844B86D" w14:textId="3CF2C17E" w:rsidR="000C051A" w:rsidRPr="00454F1E" w:rsidRDefault="000C051A" w:rsidP="00454F1E">
      <w:pPr>
        <w:pStyle w:val="Heading"/>
        <w:spacing w:before="140" w:after="0"/>
        <w:jc w:val="center"/>
        <w:rPr>
          <w:b w:val="0"/>
          <w:sz w:val="20"/>
          <w:szCs w:val="20"/>
        </w:rPr>
      </w:pPr>
      <w:r w:rsidRPr="00454F1E">
        <w:rPr>
          <w:sz w:val="20"/>
          <w:szCs w:val="20"/>
        </w:rPr>
        <w:t>[</w:t>
      </w:r>
      <w:r w:rsidRPr="00454F1E">
        <w:rPr>
          <w:sz w:val="20"/>
          <w:szCs w:val="20"/>
        </w:rPr>
        <w:sym w:font="Symbol" w:char="F0B7"/>
      </w:r>
      <w:r w:rsidRPr="00454F1E">
        <w:rPr>
          <w:sz w:val="20"/>
          <w:szCs w:val="20"/>
        </w:rPr>
        <w:t>] ADITAMENTO AO CONTRATO DE CESSÃO FIDUCIÁRIA DE DIREITOS CREDITÓRIOS</w:t>
      </w:r>
      <w:r w:rsidR="004832FF" w:rsidRPr="00047B63">
        <w:rPr>
          <w:sz w:val="20"/>
          <w:szCs w:val="20"/>
        </w:rPr>
        <w:t xml:space="preserve"> E CONTA VINCULADA</w:t>
      </w:r>
      <w:r w:rsidRPr="00454F1E">
        <w:rPr>
          <w:sz w:val="20"/>
          <w:szCs w:val="20"/>
        </w:rPr>
        <w:t xml:space="preserve"> EM GARANTIA E OUTRAS AVENÇAS</w:t>
      </w:r>
    </w:p>
    <w:p w14:paraId="4D2ABD4A" w14:textId="07E649CF" w:rsidR="004832FF" w:rsidRPr="00047B63" w:rsidRDefault="000C051A">
      <w:pPr>
        <w:pStyle w:val="Body"/>
        <w:widowControl w:val="0"/>
        <w:spacing w:before="140" w:after="0"/>
        <w:rPr>
          <w:szCs w:val="20"/>
          <w:lang w:val="pt-BR"/>
        </w:rPr>
      </w:pPr>
      <w:r w:rsidRPr="00454F1E">
        <w:rPr>
          <w:szCs w:val="20"/>
          <w:lang w:val="pt-BR"/>
        </w:rPr>
        <w:t>Pelo presente “</w:t>
      </w:r>
      <w:bookmarkStart w:id="100" w:name="_Hlk76635693"/>
      <w:r w:rsidRPr="00454F1E">
        <w:rPr>
          <w:i/>
          <w:iCs/>
          <w:szCs w:val="20"/>
          <w:lang w:val="pt-BR"/>
        </w:rPr>
        <w:t>[</w:t>
      </w:r>
      <w:r w:rsidRPr="00454F1E">
        <w:rPr>
          <w:i/>
          <w:iCs/>
          <w:szCs w:val="20"/>
          <w:lang w:val="pt-BR"/>
        </w:rPr>
        <w:sym w:font="Symbol" w:char="F0B7"/>
      </w:r>
      <w:r w:rsidRPr="00454F1E">
        <w:rPr>
          <w:i/>
          <w:iCs/>
          <w:szCs w:val="20"/>
          <w:lang w:val="pt-BR"/>
        </w:rPr>
        <w:t xml:space="preserve">] Aditamento ao </w:t>
      </w:r>
      <w:r w:rsidRPr="00454F1E">
        <w:rPr>
          <w:i/>
          <w:szCs w:val="20"/>
          <w:lang w:val="pt-BR"/>
        </w:rPr>
        <w:t xml:space="preserve">Contrato de Cessão Fiduciária de Direitos Creditórios </w:t>
      </w:r>
      <w:r w:rsidR="004832FF" w:rsidRPr="00047B63">
        <w:rPr>
          <w:i/>
          <w:szCs w:val="20"/>
          <w:lang w:val="pt-BR"/>
        </w:rPr>
        <w:t xml:space="preserve">e Conta Vinculada </w:t>
      </w:r>
      <w:r w:rsidRPr="00454F1E">
        <w:rPr>
          <w:i/>
          <w:szCs w:val="20"/>
          <w:lang w:val="pt-BR"/>
        </w:rPr>
        <w:t>em Garantia e Outras Avenças</w:t>
      </w:r>
      <w:bookmarkEnd w:id="100"/>
      <w:r w:rsidRPr="00454F1E">
        <w:rPr>
          <w:i/>
          <w:iCs/>
          <w:szCs w:val="20"/>
          <w:lang w:val="pt-BR"/>
        </w:rPr>
        <w:t xml:space="preserve">” </w:t>
      </w:r>
      <w:r w:rsidRPr="00454F1E">
        <w:rPr>
          <w:szCs w:val="20"/>
          <w:lang w:val="pt-BR"/>
        </w:rPr>
        <w:t>(</w:t>
      </w:r>
      <w:r w:rsidRPr="00454F1E">
        <w:rPr>
          <w:bCs/>
          <w:szCs w:val="20"/>
          <w:lang w:val="pt-BR"/>
        </w:rPr>
        <w:t>“</w:t>
      </w:r>
      <w:r w:rsidRPr="00454F1E">
        <w:rPr>
          <w:b/>
          <w:szCs w:val="20"/>
          <w:lang w:val="pt-BR"/>
        </w:rPr>
        <w:t>Aditamento</w:t>
      </w:r>
      <w:r w:rsidRPr="00454F1E">
        <w:rPr>
          <w:szCs w:val="20"/>
          <w:lang w:val="pt-BR"/>
        </w:rPr>
        <w:t>”)</w:t>
      </w:r>
      <w:r w:rsidR="004832FF" w:rsidRPr="00047B63">
        <w:rPr>
          <w:szCs w:val="20"/>
          <w:lang w:val="pt-BR"/>
        </w:rPr>
        <w:t>, as Partes, conforme abaixo definido:</w:t>
      </w:r>
    </w:p>
    <w:p w14:paraId="7BACA6E8" w14:textId="3D3F9F78" w:rsidR="004832FF" w:rsidRPr="00047B63" w:rsidRDefault="004832FF">
      <w:pPr>
        <w:pStyle w:val="Body"/>
        <w:widowControl w:val="0"/>
        <w:spacing w:before="140" w:after="0"/>
        <w:rPr>
          <w:szCs w:val="20"/>
          <w:lang w:val="pt-BR"/>
        </w:rPr>
      </w:pPr>
      <w:r w:rsidRPr="00047B63">
        <w:rPr>
          <w:szCs w:val="20"/>
          <w:lang w:val="pt-BR"/>
        </w:rPr>
        <w:t>como cedente:</w:t>
      </w:r>
    </w:p>
    <w:p w14:paraId="298C091F" w14:textId="77777777" w:rsidR="004832FF" w:rsidRPr="00047B63" w:rsidRDefault="004832FF">
      <w:pPr>
        <w:pStyle w:val="Parties"/>
        <w:numPr>
          <w:ilvl w:val="0"/>
          <w:numId w:val="30"/>
        </w:numPr>
        <w:autoSpaceDE/>
        <w:autoSpaceDN/>
        <w:adjustRightInd/>
        <w:spacing w:before="140" w:after="0"/>
        <w:rPr>
          <w:szCs w:val="20"/>
        </w:rPr>
      </w:pPr>
      <w:r w:rsidRPr="00454F1E">
        <w:rPr>
          <w:b/>
          <w:szCs w:val="20"/>
        </w:rPr>
        <w:t>GPC QUÍMICA S.A.</w:t>
      </w:r>
      <w:r w:rsidRPr="00454F1E">
        <w:rPr>
          <w:szCs w:val="20"/>
        </w:rPr>
        <w:t>, sociedade por ações, sem registro de emissor de valores mobiliários perante a Comissão de Valores Mobiliários (“</w:t>
      </w:r>
      <w:r w:rsidRPr="00454F1E">
        <w:rPr>
          <w:b/>
          <w:szCs w:val="20"/>
        </w:rPr>
        <w:t>CVM</w:t>
      </w:r>
      <w:r w:rsidRPr="00454F1E">
        <w:rPr>
          <w:szCs w:val="20"/>
        </w:rPr>
        <w:t>”), com sede na Cidade do Rio de Janeiro, Estado do Rio de Janeiro, na Rua do Passeio, nº 70, Pavimento 5, CEP 20021-290, inscrita no Cadastro Nacional da Pessoa Jurídica do Ministério da Economia (“</w:t>
      </w:r>
      <w:r w:rsidRPr="00454F1E">
        <w:rPr>
          <w:b/>
          <w:szCs w:val="20"/>
        </w:rPr>
        <w:t>CNPJ/ME</w:t>
      </w:r>
      <w:r w:rsidRPr="00454F1E">
        <w:rPr>
          <w:szCs w:val="20"/>
        </w:rPr>
        <w:t>”) sob o nº 90.195.892/0001-16, neste ato representada nos termos de seu estatuto social (“</w:t>
      </w:r>
      <w:r w:rsidRPr="00454F1E">
        <w:rPr>
          <w:b/>
          <w:szCs w:val="20"/>
        </w:rPr>
        <w:t>Cedente</w:t>
      </w:r>
      <w:r w:rsidRPr="00454F1E">
        <w:rPr>
          <w:szCs w:val="20"/>
        </w:rPr>
        <w:t>”)</w:t>
      </w:r>
      <w:r w:rsidRPr="00047B63">
        <w:rPr>
          <w:bCs/>
          <w:szCs w:val="20"/>
        </w:rPr>
        <w:t xml:space="preserve">; </w:t>
      </w:r>
    </w:p>
    <w:p w14:paraId="7C46A108" w14:textId="77777777" w:rsidR="004832FF" w:rsidRPr="00047B63" w:rsidRDefault="004832FF">
      <w:pPr>
        <w:pStyle w:val="Body"/>
        <w:widowControl w:val="0"/>
        <w:spacing w:before="140" w:after="0"/>
        <w:rPr>
          <w:szCs w:val="20"/>
          <w:lang w:val="pt-BR"/>
        </w:rPr>
      </w:pPr>
      <w:r w:rsidRPr="00047B63">
        <w:rPr>
          <w:szCs w:val="20"/>
          <w:lang w:val="pt-BR"/>
        </w:rPr>
        <w:t>e, como representante da comunhão dos Debenturistas (conforme abaixo definidos):</w:t>
      </w:r>
    </w:p>
    <w:p w14:paraId="3C9CA7A4" w14:textId="77777777" w:rsidR="004832FF" w:rsidRPr="00047B63" w:rsidRDefault="004832FF">
      <w:pPr>
        <w:pStyle w:val="Parties"/>
        <w:numPr>
          <w:ilvl w:val="0"/>
          <w:numId w:val="30"/>
        </w:numPr>
        <w:tabs>
          <w:tab w:val="clear" w:pos="680"/>
        </w:tabs>
        <w:autoSpaceDE/>
        <w:autoSpaceDN/>
        <w:adjustRightInd/>
        <w:spacing w:before="140" w:after="0"/>
        <w:rPr>
          <w:szCs w:val="20"/>
        </w:rPr>
      </w:pPr>
      <w:r w:rsidRPr="00454F1E">
        <w:rPr>
          <w:b/>
          <w:szCs w:val="20"/>
        </w:rPr>
        <w:t>SIMPLIFIC PAVARINI DISTRIBUIDORA DE TÍTULOS E VALORES MOBILIÁRIOS LTDA.</w:t>
      </w:r>
      <w:r w:rsidRPr="00454F1E">
        <w:rPr>
          <w:szCs w:val="20"/>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(conforme abaixo definidas) </w:t>
      </w:r>
      <w:r w:rsidRPr="00454F1E">
        <w:rPr>
          <w:bCs/>
          <w:color w:val="000000"/>
          <w:szCs w:val="20"/>
        </w:rPr>
        <w:t>(“</w:t>
      </w:r>
      <w:r w:rsidRPr="00454F1E">
        <w:rPr>
          <w:b/>
          <w:bCs/>
          <w:color w:val="000000"/>
          <w:szCs w:val="20"/>
        </w:rPr>
        <w:t>Agente Fiduciário</w:t>
      </w:r>
      <w:r w:rsidRPr="00454F1E">
        <w:rPr>
          <w:bCs/>
          <w:color w:val="000000"/>
          <w:szCs w:val="20"/>
        </w:rPr>
        <w:t>” e “</w:t>
      </w:r>
      <w:r w:rsidRPr="00454F1E">
        <w:rPr>
          <w:b/>
          <w:bCs/>
          <w:color w:val="000000"/>
          <w:szCs w:val="20"/>
        </w:rPr>
        <w:t>Debenturistas</w:t>
      </w:r>
      <w:r w:rsidRPr="00454F1E">
        <w:rPr>
          <w:bCs/>
          <w:color w:val="000000"/>
          <w:szCs w:val="20"/>
        </w:rPr>
        <w:t>”, respectivamente)</w:t>
      </w:r>
      <w:r w:rsidRPr="00454F1E">
        <w:rPr>
          <w:b/>
          <w:szCs w:val="20"/>
        </w:rPr>
        <w:t>.</w:t>
      </w:r>
    </w:p>
    <w:p w14:paraId="60D8229B" w14:textId="77777777" w:rsidR="004832FF" w:rsidRPr="00047B63" w:rsidRDefault="004832FF">
      <w:pPr>
        <w:pStyle w:val="Parties"/>
        <w:numPr>
          <w:ilvl w:val="0"/>
          <w:numId w:val="0"/>
        </w:numPr>
        <w:spacing w:before="140" w:after="0"/>
        <w:rPr>
          <w:spacing w:val="-2"/>
          <w:szCs w:val="20"/>
        </w:rPr>
      </w:pPr>
      <w:r w:rsidRPr="00047B63">
        <w:rPr>
          <w:spacing w:val="-2"/>
          <w:szCs w:val="20"/>
        </w:rPr>
        <w:t>sendo a Cedente e o Agente Fiduciário doravante denominados, em conjunto, como “</w:t>
      </w:r>
      <w:r w:rsidRPr="00047B63">
        <w:rPr>
          <w:b/>
          <w:spacing w:val="-2"/>
          <w:szCs w:val="20"/>
        </w:rPr>
        <w:t>Partes</w:t>
      </w:r>
      <w:r w:rsidRPr="00047B63">
        <w:rPr>
          <w:spacing w:val="-2"/>
          <w:szCs w:val="20"/>
        </w:rPr>
        <w:t>” e, individual e indistintamente, como “</w:t>
      </w:r>
      <w:r w:rsidRPr="00047B63">
        <w:rPr>
          <w:b/>
          <w:spacing w:val="-2"/>
          <w:szCs w:val="20"/>
        </w:rPr>
        <w:t>Parte</w:t>
      </w:r>
      <w:r w:rsidRPr="00047B63">
        <w:rPr>
          <w:spacing w:val="-2"/>
          <w:szCs w:val="20"/>
        </w:rPr>
        <w:t xml:space="preserve">”. </w:t>
      </w:r>
    </w:p>
    <w:p w14:paraId="5EB480F4" w14:textId="77777777" w:rsidR="004832FF" w:rsidRPr="00047B63" w:rsidRDefault="004832FF">
      <w:pPr>
        <w:pStyle w:val="Body"/>
        <w:widowControl w:val="0"/>
        <w:spacing w:before="140" w:after="0"/>
        <w:rPr>
          <w:b/>
          <w:szCs w:val="20"/>
          <w:lang w:val="pt-BR"/>
        </w:rPr>
      </w:pPr>
      <w:r w:rsidRPr="00047B63">
        <w:rPr>
          <w:b/>
          <w:szCs w:val="20"/>
          <w:lang w:val="pt-BR"/>
        </w:rPr>
        <w:t>CONSIDERANDO QUE:</w:t>
      </w:r>
    </w:p>
    <w:p w14:paraId="4DC3F904"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foi realizada a Assembleia Geral Extraordinária da Cedente (“</w:t>
      </w:r>
      <w:r w:rsidRPr="00454F1E">
        <w:rPr>
          <w:b/>
          <w:szCs w:val="20"/>
        </w:rPr>
        <w:t>AGE Cedente</w:t>
      </w:r>
      <w:r w:rsidRPr="00454F1E">
        <w:rPr>
          <w:szCs w:val="20"/>
        </w:rPr>
        <w:t>”) que aprovou, dentre outros: [</w:t>
      </w:r>
      <w:r w:rsidRPr="00454F1E">
        <w:rPr>
          <w:b/>
          <w:bCs/>
          <w:szCs w:val="20"/>
        </w:rPr>
        <w:t>(i)</w:t>
      </w:r>
      <w:r w:rsidRPr="00454F1E">
        <w:rPr>
          <w:szCs w:val="20"/>
        </w:rPr>
        <w:t xml:space="preserve"> a 1ª (primeira) emissão de debêntures simples, não conversíveis em ações, da espécie com garantia real, com garantia adicional fidejussória, em série única, da Cedente (“</w:t>
      </w:r>
      <w:r w:rsidRPr="00454F1E">
        <w:rPr>
          <w:b/>
          <w:bCs/>
          <w:szCs w:val="20"/>
        </w:rPr>
        <w:t>Debêntures</w:t>
      </w:r>
      <w:r w:rsidRPr="00454F1E">
        <w:rPr>
          <w:szCs w:val="20"/>
        </w:rPr>
        <w:t>”), no montante total de até R$60.000.000,00 (sessenta milhões de reais), podendo ser diminuído em razão da Distribuição Parcial (conforme definido na Escritura de Emissão) (“</w:t>
      </w:r>
      <w:r w:rsidRPr="00454F1E">
        <w:rPr>
          <w:b/>
          <w:bCs/>
          <w:szCs w:val="20"/>
        </w:rPr>
        <w:t>Emissão</w:t>
      </w:r>
      <w:r w:rsidRPr="00454F1E">
        <w:rPr>
          <w:szCs w:val="20"/>
        </w:rPr>
        <w:t>”), para distribuição pública com esforços restritos e seus termos e condições, nos termos da Lei nº 6.385, de 07 de dezembro de 1976, conforme alterada, da Instrução da CVM nº 476, de 16 de janeiro de 2009, conforme alterada (“</w:t>
      </w:r>
      <w:r w:rsidRPr="00454F1E">
        <w:rPr>
          <w:b/>
          <w:szCs w:val="20"/>
        </w:rPr>
        <w:t>Instrução CVM 476</w:t>
      </w:r>
      <w:r w:rsidRPr="00454F1E">
        <w:rPr>
          <w:szCs w:val="20"/>
        </w:rPr>
        <w:t>”) e demais disposições legais e regulamentares aplicáveis</w:t>
      </w:r>
      <w:r w:rsidRPr="00454F1E" w:rsidDel="00E34C0E">
        <w:rPr>
          <w:szCs w:val="20"/>
        </w:rPr>
        <w:t xml:space="preserve"> </w:t>
      </w:r>
      <w:r w:rsidRPr="00454F1E">
        <w:rPr>
          <w:szCs w:val="20"/>
        </w:rPr>
        <w:t>(“</w:t>
      </w:r>
      <w:r w:rsidRPr="00454F1E">
        <w:rPr>
          <w:b/>
          <w:bCs/>
          <w:szCs w:val="20"/>
        </w:rPr>
        <w:t>Oferta</w:t>
      </w:r>
      <w:r w:rsidRPr="00454F1E">
        <w:rPr>
          <w:szCs w:val="20"/>
        </w:rPr>
        <w:t xml:space="preserve">”); e </w:t>
      </w:r>
      <w:r w:rsidRPr="00454F1E">
        <w:rPr>
          <w:b/>
          <w:szCs w:val="20"/>
        </w:rPr>
        <w:t>(ii)</w:t>
      </w:r>
      <w:r w:rsidRPr="00454F1E">
        <w:rPr>
          <w:szCs w:val="20"/>
        </w:rPr>
        <w:t xml:space="preserve"> a prática, pelos diretores da Cedente, de todos os atos necessários à efetivação das deliberações constantes da ordem do dia, inclusive celebrar todos os documentos necessários à concretização da Emissão e da Oferta, incluindo eventuais aditamentos], nos termos dos artigos 59, </w:t>
      </w:r>
      <w:r w:rsidRPr="00454F1E">
        <w:rPr>
          <w:i/>
          <w:szCs w:val="20"/>
        </w:rPr>
        <w:t>caput</w:t>
      </w:r>
      <w:r w:rsidRPr="00454F1E">
        <w:rPr>
          <w:szCs w:val="20"/>
        </w:rPr>
        <w:t>, e 122, IV, da Lei nº 6.404, de 15 de dezembro de 1976, conforme alterada (“</w:t>
      </w:r>
      <w:r w:rsidRPr="00454F1E">
        <w:rPr>
          <w:b/>
          <w:szCs w:val="20"/>
        </w:rPr>
        <w:t>Lei das Sociedades por Ações</w:t>
      </w:r>
      <w:r w:rsidRPr="00454F1E">
        <w:rPr>
          <w:szCs w:val="20"/>
        </w:rPr>
        <w:t>”)</w:t>
      </w:r>
      <w:r w:rsidRPr="00047B63">
        <w:rPr>
          <w:szCs w:val="20"/>
        </w:rPr>
        <w:t>;</w:t>
      </w:r>
      <w:r w:rsidRPr="00454F1E">
        <w:rPr>
          <w:szCs w:val="20"/>
        </w:rPr>
        <w:t xml:space="preserve"> </w:t>
      </w:r>
    </w:p>
    <w:p w14:paraId="7234E943"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[a Emissão, a Oferta, a outorga das Garantias (conforme abaixo definido), incluindo a constituição da presente Cessão Fiduciária (conforme abaixo definida), pela Cedente, e a </w:t>
      </w:r>
      <w:r w:rsidRPr="00454F1E">
        <w:rPr>
          <w:szCs w:val="20"/>
        </w:rPr>
        <w:lastRenderedPageBreak/>
        <w:t xml:space="preserve">celebração deste Contrato e dos demais Contratos de Garantia, dentre outros, foram aprovadas em Reunião do Conselho de Administração da Cedente realizada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em conformidade com o disposto no artigo 18, item (o), do estatuto social da Cedente (“</w:t>
      </w:r>
      <w:r w:rsidRPr="00454F1E">
        <w:rPr>
          <w:b/>
          <w:szCs w:val="20"/>
        </w:rPr>
        <w:t>RCA Cedente</w:t>
      </w:r>
      <w:r w:rsidRPr="00454F1E">
        <w:rPr>
          <w:szCs w:val="20"/>
        </w:rPr>
        <w:t>” e, em conjunto com a AGE Cedente, “</w:t>
      </w:r>
      <w:r w:rsidRPr="00454F1E">
        <w:rPr>
          <w:b/>
          <w:szCs w:val="20"/>
        </w:rPr>
        <w:t>Aprovações da Cedente</w:t>
      </w:r>
      <w:r w:rsidRPr="00454F1E">
        <w:rPr>
          <w:szCs w:val="20"/>
        </w:rPr>
        <w:t xml:space="preserve">”)]; </w:t>
      </w:r>
    </w:p>
    <w:p w14:paraId="72E5B53C"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a Cedente, na qualidade de emissora das Debêntures, o Agente Fiduciário, na qualidade de representante dos Debenturistas, </w:t>
      </w:r>
      <w:r w:rsidRPr="00454F1E">
        <w:rPr>
          <w:bCs/>
          <w:szCs w:val="20"/>
        </w:rPr>
        <w:t xml:space="preserve">Apolo Tubos e Equipamentos S.A., </w:t>
      </w:r>
      <w:r w:rsidRPr="00454F1E">
        <w:rPr>
          <w:szCs w:val="20"/>
        </w:rPr>
        <w:t xml:space="preserve">Dexxos Participações S.A. e </w:t>
      </w:r>
      <w:r w:rsidRPr="00454F1E">
        <w:rPr>
          <w:bCs/>
          <w:szCs w:val="20"/>
        </w:rPr>
        <w:t>Apolo Tubulars S.A. (em conjunto, “</w:t>
      </w:r>
      <w:r w:rsidRPr="00454F1E">
        <w:rPr>
          <w:b/>
          <w:bCs/>
          <w:szCs w:val="20"/>
        </w:rPr>
        <w:t>Fiadores</w:t>
      </w:r>
      <w:r w:rsidRPr="00454F1E">
        <w:rPr>
          <w:bCs/>
          <w:szCs w:val="20"/>
        </w:rPr>
        <w:t xml:space="preserve">”), na qualidade de fiadores, </w:t>
      </w:r>
      <w:r w:rsidRPr="00454F1E">
        <w:rPr>
          <w:szCs w:val="20"/>
        </w:rPr>
        <w:t>celebraram o “</w:t>
      </w:r>
      <w:r w:rsidRPr="00454F1E">
        <w:rPr>
          <w:i/>
          <w:iCs/>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GPC Química S.A.</w:t>
      </w:r>
      <w:r w:rsidRPr="00454F1E">
        <w:rPr>
          <w:szCs w:val="20"/>
        </w:rPr>
        <w:t>”</w:t>
      </w:r>
      <w:r w:rsidRPr="00454F1E">
        <w:rPr>
          <w:color w:val="000000" w:themeColor="text1"/>
          <w:szCs w:val="20"/>
        </w:rPr>
        <w:t xml:space="preserve"> (“</w:t>
      </w:r>
      <w:r w:rsidRPr="00454F1E">
        <w:rPr>
          <w:b/>
          <w:color w:val="000000" w:themeColor="text1"/>
          <w:szCs w:val="20"/>
        </w:rPr>
        <w:t>Escritura de Emissão</w:t>
      </w:r>
      <w:r w:rsidRPr="00454F1E">
        <w:rPr>
          <w:color w:val="000000" w:themeColor="text1"/>
          <w:szCs w:val="20"/>
        </w:rPr>
        <w:t>”)</w:t>
      </w:r>
      <w:r w:rsidRPr="00047B63">
        <w:rPr>
          <w:szCs w:val="20"/>
        </w:rPr>
        <w:t xml:space="preserve">; </w:t>
      </w:r>
    </w:p>
    <w:p w14:paraId="7166AF69" w14:textId="77777777" w:rsidR="004832FF" w:rsidRPr="00047B63" w:rsidRDefault="004832FF" w:rsidP="00454F1E">
      <w:pPr>
        <w:pStyle w:val="Recitals"/>
        <w:widowControl w:val="0"/>
        <w:numPr>
          <w:ilvl w:val="1"/>
          <w:numId w:val="93"/>
        </w:numPr>
        <w:spacing w:before="140" w:after="0"/>
        <w:rPr>
          <w:szCs w:val="20"/>
        </w:rPr>
      </w:pPr>
      <w:r w:rsidRPr="00454F1E">
        <w:rPr>
          <w:szCs w:val="20"/>
        </w:rPr>
        <w:t>a totalidade dos recursos captados por meio da Emissão, conforme previsto na Cláusula 4.1 da Escritura de Emissão, será destinada, pela Cedente, para reforço de capital de giro ou pagamento de dívidas pré-existentes no âmbito da gestão ordinária dos negócios da Cedente;</w:t>
      </w:r>
    </w:p>
    <w:p w14:paraId="0B644FA6" w14:textId="6B9986FB" w:rsidR="004832FF" w:rsidRPr="00047B63" w:rsidRDefault="004832FF" w:rsidP="00454F1E">
      <w:pPr>
        <w:pStyle w:val="Recitals"/>
        <w:widowControl w:val="0"/>
        <w:numPr>
          <w:ilvl w:val="1"/>
          <w:numId w:val="93"/>
        </w:numPr>
        <w:spacing w:before="140" w:after="0"/>
        <w:rPr>
          <w:szCs w:val="20"/>
        </w:rPr>
      </w:pPr>
      <w:r w:rsidRPr="00454F1E">
        <w:rPr>
          <w:szCs w:val="20"/>
        </w:rPr>
        <w:t xml:space="preserve">as Debêntures contam com as seguintes garantias, outorgadas em favor do Agente Fiduciário, na qualidade de representante da comunhão dos Debenturistas: </w:t>
      </w:r>
      <w:r w:rsidRPr="00454F1E">
        <w:rPr>
          <w:b/>
          <w:szCs w:val="20"/>
        </w:rPr>
        <w:t>(i)</w:t>
      </w:r>
      <w:r w:rsidRPr="00454F1E">
        <w:rPr>
          <w:szCs w:val="20"/>
        </w:rPr>
        <w:t xml:space="preserve"> fiança prestada pelos Fiadores, que se obrigam solidariamente como fiadores e principais pagadores </w:t>
      </w:r>
      <w:r w:rsidRPr="00454F1E">
        <w:rPr>
          <w:bCs/>
          <w:szCs w:val="20"/>
        </w:rPr>
        <w:t xml:space="preserve">pelo pagamento integral de todos os valores devidos pela </w:t>
      </w:r>
      <w:r w:rsidRPr="00454F1E">
        <w:rPr>
          <w:szCs w:val="20"/>
        </w:rPr>
        <w:t xml:space="preserve">Cedente </w:t>
      </w:r>
      <w:r w:rsidRPr="00454F1E">
        <w:rPr>
          <w:bCs/>
          <w:szCs w:val="20"/>
        </w:rPr>
        <w:t>no âmbito da Emissão (“</w:t>
      </w:r>
      <w:r w:rsidRPr="00454F1E">
        <w:rPr>
          <w:b/>
          <w:szCs w:val="20"/>
        </w:rPr>
        <w:t>Fiança</w:t>
      </w:r>
      <w:r w:rsidRPr="00454F1E">
        <w:rPr>
          <w:bCs/>
          <w:szCs w:val="20"/>
        </w:rPr>
        <w:t xml:space="preserve">”); </w:t>
      </w:r>
      <w:r w:rsidRPr="00454F1E">
        <w:rPr>
          <w:b/>
          <w:szCs w:val="20"/>
        </w:rPr>
        <w:t>(ii)</w:t>
      </w:r>
      <w:r w:rsidRPr="00454F1E">
        <w:rPr>
          <w:szCs w:val="20"/>
        </w:rPr>
        <w:t xml:space="preserve"> a presente Cessão Fiduciária; e </w:t>
      </w:r>
      <w:r w:rsidRPr="00454F1E">
        <w:rPr>
          <w:b/>
          <w:szCs w:val="20"/>
        </w:rPr>
        <w:t>(iii)</w:t>
      </w:r>
      <w:r w:rsidRPr="00454F1E">
        <w:rPr>
          <w:szCs w:val="20"/>
        </w:rPr>
        <w:t xml:space="preserve"> alienação fiduciária, em caráter irrevogável e irretratável, pela Cedente, em favor dos Debenturistas, representados pelo Agente Fiduciário, de determinados imóveis de propriedade da Cedente, compreendidos pelos imóveis das matrículas de </w:t>
      </w:r>
      <w:r w:rsidRPr="00A61E5E">
        <w:rPr>
          <w:szCs w:val="20"/>
        </w:rPr>
        <w:t xml:space="preserve">nº </w:t>
      </w:r>
      <w:r w:rsidR="00A61E5E" w:rsidRPr="0006719C">
        <w:rPr>
          <w:szCs w:val="20"/>
        </w:rPr>
        <w:t>67.320</w:t>
      </w:r>
      <w:r w:rsidR="00A61E5E" w:rsidRPr="00A61E5E">
        <w:rPr>
          <w:szCs w:val="20"/>
        </w:rPr>
        <w:t xml:space="preserve"> e</w:t>
      </w:r>
      <w:r w:rsidR="00A61E5E">
        <w:rPr>
          <w:szCs w:val="20"/>
        </w:rPr>
        <w:t xml:space="preserve"> 67.321</w:t>
      </w:r>
      <w:r w:rsidR="00A61E5E" w:rsidRPr="00454F1E">
        <w:rPr>
          <w:szCs w:val="20"/>
        </w:rPr>
        <w:t xml:space="preserve"> </w:t>
      </w:r>
      <w:r w:rsidRPr="00454F1E">
        <w:rPr>
          <w:szCs w:val="20"/>
        </w:rPr>
        <w:t xml:space="preserve"> junto </w:t>
      </w:r>
      <w:r w:rsidRPr="00A61E5E">
        <w:rPr>
          <w:szCs w:val="20"/>
        </w:rPr>
        <w:t xml:space="preserve">ao </w:t>
      </w:r>
      <w:r w:rsidR="00A61E5E" w:rsidRPr="0006719C">
        <w:rPr>
          <w:szCs w:val="20"/>
        </w:rPr>
        <w:t>3</w:t>
      </w:r>
      <w:r w:rsidRPr="00A61E5E">
        <w:rPr>
          <w:szCs w:val="20"/>
        </w:rPr>
        <w:t>º Ofício</w:t>
      </w:r>
      <w:r w:rsidRPr="00454F1E">
        <w:rPr>
          <w:szCs w:val="20"/>
        </w:rPr>
        <w:t xml:space="preserve"> de Registro de Imóveis do Rio de Janeiro, Estado do Rio de Janeiro (“</w:t>
      </w:r>
      <w:r w:rsidRPr="00454F1E">
        <w:rPr>
          <w:b/>
          <w:szCs w:val="20"/>
        </w:rPr>
        <w:t>Imóveis</w:t>
      </w:r>
      <w:r w:rsidRPr="00454F1E">
        <w:rPr>
          <w:szCs w:val="20"/>
        </w:rPr>
        <w:t>”), conforme os termos e condições previstos no “</w:t>
      </w:r>
      <w:r w:rsidRPr="00454F1E">
        <w:rPr>
          <w:i/>
          <w:iCs/>
          <w:szCs w:val="20"/>
        </w:rPr>
        <w:t>Contrato de Alienação Fiduciária de Bens Imóveis em Garantia</w:t>
      </w:r>
      <w:r w:rsidRPr="00454F1E">
        <w:rPr>
          <w:szCs w:val="20"/>
        </w:rPr>
        <w:t>”</w:t>
      </w:r>
      <w:r w:rsidRPr="00047B63">
        <w:rPr>
          <w:szCs w:val="20"/>
        </w:rPr>
        <w:t xml:space="preserve">, celebrado em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2021 entre a </w:t>
      </w:r>
      <w:r w:rsidRPr="00454F1E">
        <w:rPr>
          <w:szCs w:val="20"/>
        </w:rPr>
        <w:t>Cedente</w:t>
      </w:r>
      <w:r w:rsidRPr="00047B63">
        <w:rPr>
          <w:szCs w:val="20"/>
        </w:rPr>
        <w:t xml:space="preserve"> e o Agente Fiduciário, na qualidade de representante dos Debenturistas</w:t>
      </w:r>
      <w:r w:rsidRPr="00454F1E">
        <w:rPr>
          <w:szCs w:val="20"/>
        </w:rPr>
        <w:t xml:space="preserve"> (“</w:t>
      </w:r>
      <w:r w:rsidRPr="00454F1E">
        <w:rPr>
          <w:b/>
          <w:szCs w:val="20"/>
        </w:rPr>
        <w:t>Alienação Fiduciária de Imóveis</w:t>
      </w:r>
      <w:r w:rsidRPr="00454F1E">
        <w:rPr>
          <w:szCs w:val="20"/>
        </w:rPr>
        <w:t>” e, em conjunto com a Cessão Fiduciária, “</w:t>
      </w:r>
      <w:r w:rsidRPr="00454F1E">
        <w:rPr>
          <w:b/>
          <w:szCs w:val="20"/>
        </w:rPr>
        <w:t>Garantias Reais</w:t>
      </w:r>
      <w:r w:rsidRPr="00454F1E">
        <w:rPr>
          <w:szCs w:val="20"/>
        </w:rPr>
        <w:t>” e, em conjunto com a Fiança, “</w:t>
      </w:r>
      <w:r w:rsidRPr="00454F1E">
        <w:rPr>
          <w:b/>
          <w:bCs/>
          <w:szCs w:val="20"/>
        </w:rPr>
        <w:t>Garantias</w:t>
      </w:r>
      <w:r w:rsidRPr="00454F1E">
        <w:rPr>
          <w:szCs w:val="20"/>
        </w:rPr>
        <w:t>”; e “</w:t>
      </w:r>
      <w:r w:rsidRPr="00454F1E">
        <w:rPr>
          <w:b/>
          <w:szCs w:val="20"/>
        </w:rPr>
        <w:t>Contrato de Alienação Fiduciária de Imóveis</w:t>
      </w:r>
      <w:r w:rsidRPr="00454F1E">
        <w:rPr>
          <w:szCs w:val="20"/>
        </w:rPr>
        <w:t>” e, em conjunto com este Contrato, “</w:t>
      </w:r>
      <w:r w:rsidRPr="00454F1E">
        <w:rPr>
          <w:b/>
          <w:szCs w:val="20"/>
        </w:rPr>
        <w:t>Contratos de Garantia</w:t>
      </w:r>
      <w:r w:rsidRPr="00454F1E">
        <w:rPr>
          <w:szCs w:val="20"/>
        </w:rPr>
        <w:t>”, respectivamente);</w:t>
      </w:r>
    </w:p>
    <w:p w14:paraId="22505A90" w14:textId="15C0CCE8" w:rsidR="004832FF" w:rsidRPr="00047B63" w:rsidRDefault="004832FF" w:rsidP="00454F1E">
      <w:pPr>
        <w:pStyle w:val="Recitals"/>
        <w:widowControl w:val="0"/>
        <w:numPr>
          <w:ilvl w:val="1"/>
          <w:numId w:val="93"/>
        </w:numPr>
        <w:spacing w:before="140" w:after="0"/>
        <w:rPr>
          <w:szCs w:val="20"/>
        </w:rPr>
      </w:pPr>
      <w:r w:rsidRPr="00454F1E">
        <w:rPr>
          <w:szCs w:val="20"/>
        </w:rPr>
        <w:t>a Cedente é única e legítima titular da conta corrente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de titularidade da Cedente, na agência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Banco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w:t>
      </w:r>
      <w:r w:rsidRPr="00454F1E">
        <w:rPr>
          <w:rFonts w:eastAsia="Arial Unicode MS"/>
          <w:w w:val="0"/>
          <w:szCs w:val="20"/>
        </w:rPr>
        <w:t xml:space="preserve"> </w:t>
      </w:r>
      <w:r w:rsidRPr="00454F1E">
        <w:rPr>
          <w:szCs w:val="20"/>
        </w:rPr>
        <w:t>na qualidade de banco arrecadador e administrador de tal conta vinculada (“</w:t>
      </w:r>
      <w:r w:rsidRPr="00454F1E">
        <w:rPr>
          <w:b/>
          <w:szCs w:val="20"/>
        </w:rPr>
        <w:t>Conta Vinculada</w:t>
      </w:r>
      <w:r w:rsidRPr="00454F1E">
        <w:rPr>
          <w:szCs w:val="20"/>
        </w:rPr>
        <w:t>” e “</w:t>
      </w:r>
      <w:r w:rsidRPr="00454F1E">
        <w:rPr>
          <w:b/>
          <w:szCs w:val="20"/>
        </w:rPr>
        <w:t>Banco Administrador</w:t>
      </w:r>
      <w:r w:rsidRPr="00454F1E">
        <w:rPr>
          <w:szCs w:val="20"/>
        </w:rPr>
        <w:t>”, respectivamente), movimentável exclusivamente nos termos deste Contrato e do “</w:t>
      </w:r>
      <w:r w:rsidRPr="00454F1E">
        <w:rPr>
          <w:i/>
          <w:szCs w:val="20"/>
        </w:rPr>
        <w:t>Contrato de Prestação de Serviços de Depositário</w:t>
      </w:r>
      <w:r w:rsidRPr="00454F1E">
        <w:rPr>
          <w:szCs w:val="20"/>
        </w:rPr>
        <w:t xml:space="preserve">” [a ser] celebrado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entre a Cedente e o Banco Administrador, com a interveniência e anuência do Agente Fiduciário (“</w:t>
      </w:r>
      <w:r w:rsidRPr="00454F1E">
        <w:rPr>
          <w:b/>
          <w:szCs w:val="20"/>
        </w:rPr>
        <w:t>Contrato de Administração de Contas</w:t>
      </w:r>
      <w:r w:rsidRPr="00454F1E">
        <w:rPr>
          <w:szCs w:val="20"/>
        </w:rPr>
        <w:t>”), na qual deverão ser depositados, pelas respectivas contrapartes dos Direitos Cedidos (conforme abaixo definidos), os recursos oriundos dos Direitos Cedidos nos termos deste Contrato;</w:t>
      </w:r>
      <w:r w:rsidRPr="00047B63">
        <w:rPr>
          <w:bCs/>
          <w:szCs w:val="20"/>
        </w:rPr>
        <w:t xml:space="preserve"> </w:t>
      </w:r>
    </w:p>
    <w:p w14:paraId="7FAF162F" w14:textId="3B06D194" w:rsidR="004832FF" w:rsidRPr="00047B63" w:rsidRDefault="004832FF" w:rsidP="00454F1E">
      <w:pPr>
        <w:pStyle w:val="Recitals"/>
        <w:widowControl w:val="0"/>
        <w:numPr>
          <w:ilvl w:val="1"/>
          <w:numId w:val="93"/>
        </w:numPr>
        <w:spacing w:before="140" w:after="0"/>
        <w:rPr>
          <w:szCs w:val="20"/>
        </w:rPr>
      </w:pPr>
      <w:r w:rsidRPr="00454F1E">
        <w:rPr>
          <w:szCs w:val="20"/>
        </w:rPr>
        <w:t xml:space="preserve">a Cedente </w:t>
      </w:r>
      <w:r w:rsidR="001A5AA2" w:rsidRPr="00454F1E">
        <w:rPr>
          <w:szCs w:val="20"/>
        </w:rPr>
        <w:t xml:space="preserve">cedeu </w:t>
      </w:r>
      <w:r w:rsidRPr="00454F1E">
        <w:rPr>
          <w:szCs w:val="20"/>
        </w:rPr>
        <w:t xml:space="preserve">fiduciariamente, aos Debenturistas, representados pelo Agente Fiduciário, os Direitos Cedidos, </w:t>
      </w:r>
      <w:r w:rsidR="001A5AA2" w:rsidRPr="00454F1E">
        <w:rPr>
          <w:szCs w:val="20"/>
        </w:rPr>
        <w:t xml:space="preserve">por meio do </w:t>
      </w:r>
      <w:r w:rsidR="001A5AA2" w:rsidRPr="00047B63">
        <w:rPr>
          <w:szCs w:val="20"/>
        </w:rPr>
        <w:t>“</w:t>
      </w:r>
      <w:r w:rsidR="001A5AA2" w:rsidRPr="00047B63">
        <w:rPr>
          <w:i/>
          <w:szCs w:val="20"/>
        </w:rPr>
        <w:t>Contrato de Cessão Fiduciária de Direitos Creditórios e Conta Vinculada em Garantia e Outras Avenças</w:t>
      </w:r>
      <w:r w:rsidR="001A5AA2" w:rsidRPr="00047B63">
        <w:rPr>
          <w:i/>
          <w:iCs/>
          <w:szCs w:val="20"/>
        </w:rPr>
        <w:t xml:space="preserve">” </w:t>
      </w:r>
      <w:r w:rsidR="001A5AA2" w:rsidRPr="00047B63">
        <w:rPr>
          <w:iCs/>
          <w:szCs w:val="20"/>
        </w:rPr>
        <w:t xml:space="preserve">celebrado em </w:t>
      </w:r>
      <w:r w:rsidR="001A5AA2" w:rsidRPr="00454F1E">
        <w:rPr>
          <w:iCs/>
          <w:szCs w:val="20"/>
          <w:highlight w:val="yellow"/>
        </w:rPr>
        <w:t>[</w:t>
      </w:r>
      <w:r w:rsidR="001A5AA2" w:rsidRPr="00454F1E">
        <w:rPr>
          <w:iCs/>
          <w:szCs w:val="20"/>
          <w:highlight w:val="yellow"/>
        </w:rPr>
        <w:sym w:font="Symbol" w:char="F0B7"/>
      </w:r>
      <w:r w:rsidR="001A5AA2" w:rsidRPr="00454F1E">
        <w:rPr>
          <w:iCs/>
          <w:szCs w:val="20"/>
          <w:highlight w:val="yellow"/>
        </w:rPr>
        <w:t>]</w:t>
      </w:r>
      <w:r w:rsidR="001A5AA2" w:rsidRPr="00047B63">
        <w:rPr>
          <w:iCs/>
          <w:szCs w:val="20"/>
        </w:rPr>
        <w:t xml:space="preserve"> de </w:t>
      </w:r>
      <w:r w:rsidR="001A5AA2" w:rsidRPr="00047B63">
        <w:rPr>
          <w:iCs/>
          <w:szCs w:val="20"/>
          <w:highlight w:val="yellow"/>
        </w:rPr>
        <w:t>[</w:t>
      </w:r>
      <w:r w:rsidR="001A5AA2" w:rsidRPr="00047B63">
        <w:rPr>
          <w:iCs/>
          <w:szCs w:val="20"/>
          <w:highlight w:val="yellow"/>
        </w:rPr>
        <w:sym w:font="Symbol" w:char="F0B7"/>
      </w:r>
      <w:r w:rsidR="001A5AA2" w:rsidRPr="00047B63">
        <w:rPr>
          <w:iCs/>
          <w:szCs w:val="20"/>
          <w:highlight w:val="yellow"/>
        </w:rPr>
        <w:t>]</w:t>
      </w:r>
      <w:r w:rsidR="001A5AA2" w:rsidRPr="00047B63">
        <w:rPr>
          <w:iCs/>
          <w:szCs w:val="20"/>
        </w:rPr>
        <w:t xml:space="preserve"> de 2021 (“</w:t>
      </w:r>
      <w:r w:rsidR="001A5AA2" w:rsidRPr="00454F1E">
        <w:rPr>
          <w:b/>
          <w:iCs/>
          <w:szCs w:val="20"/>
        </w:rPr>
        <w:t>Contrato</w:t>
      </w:r>
      <w:r w:rsidR="001A5AA2" w:rsidRPr="00047B63">
        <w:rPr>
          <w:iCs/>
          <w:szCs w:val="20"/>
        </w:rPr>
        <w:t>”)</w:t>
      </w:r>
      <w:r w:rsidRPr="00454F1E">
        <w:rPr>
          <w:szCs w:val="20"/>
        </w:rPr>
        <w:t>;</w:t>
      </w:r>
    </w:p>
    <w:p w14:paraId="7AF2FB09" w14:textId="77777777" w:rsidR="004832FF" w:rsidRPr="00047B63" w:rsidRDefault="004832FF" w:rsidP="00454F1E">
      <w:pPr>
        <w:pStyle w:val="Recitals"/>
        <w:widowControl w:val="0"/>
        <w:numPr>
          <w:ilvl w:val="1"/>
          <w:numId w:val="93"/>
        </w:numPr>
        <w:spacing w:before="140" w:after="0"/>
        <w:rPr>
          <w:szCs w:val="20"/>
        </w:rPr>
      </w:pPr>
      <w:r w:rsidRPr="00454F1E">
        <w:rPr>
          <w:szCs w:val="20"/>
        </w:rPr>
        <w:t>a presente Cessão Fiduciária é constituída, sem prejuízo das demais Garantias, para assegurar o cumprimento de todas as Obrigações Garantidas (conforme abaixo definidas);</w:t>
      </w:r>
    </w:p>
    <w:p w14:paraId="5695931C" w14:textId="761F178D" w:rsidR="004832FF" w:rsidRPr="00047B63" w:rsidRDefault="004832FF" w:rsidP="00454F1E">
      <w:pPr>
        <w:pStyle w:val="Recitals"/>
        <w:widowControl w:val="0"/>
        <w:numPr>
          <w:ilvl w:val="1"/>
          <w:numId w:val="93"/>
        </w:numPr>
        <w:spacing w:before="140" w:after="0"/>
        <w:rPr>
          <w:szCs w:val="20"/>
        </w:rPr>
      </w:pPr>
      <w:r w:rsidRPr="00454F1E">
        <w:rPr>
          <w:szCs w:val="20"/>
        </w:rPr>
        <w:t xml:space="preserve">o Contrato é parte integrante de negócio jurídico complexo, de interesses recíprocos, e, por </w:t>
      </w:r>
      <w:r w:rsidRPr="00454F1E">
        <w:rPr>
          <w:szCs w:val="20"/>
        </w:rPr>
        <w:lastRenderedPageBreak/>
        <w:t xml:space="preserve">conseguinte, deverá ser interpretado em conjunto com: </w:t>
      </w:r>
      <w:r w:rsidRPr="00454F1E">
        <w:rPr>
          <w:b/>
          <w:szCs w:val="20"/>
        </w:rPr>
        <w:t>(i)</w:t>
      </w:r>
      <w:r w:rsidRPr="00454F1E">
        <w:rPr>
          <w:szCs w:val="20"/>
        </w:rPr>
        <w:t xml:space="preserve"> a Escritura de Emissão; </w:t>
      </w:r>
      <w:r w:rsidRPr="00454F1E">
        <w:rPr>
          <w:b/>
          <w:szCs w:val="20"/>
        </w:rPr>
        <w:t>(ii)</w:t>
      </w:r>
      <w:r w:rsidRPr="00454F1E">
        <w:rPr>
          <w:szCs w:val="20"/>
        </w:rPr>
        <w:t xml:space="preserve"> o “</w:t>
      </w:r>
      <w:r w:rsidRPr="00454F1E">
        <w:rPr>
          <w:i/>
          <w:szCs w:val="20"/>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454F1E">
        <w:rPr>
          <w:szCs w:val="20"/>
        </w:rPr>
        <w:t xml:space="preserve">.”, celebrado entre a Cedente e instituição intermediária líder; </w:t>
      </w:r>
      <w:r w:rsidRPr="00454F1E">
        <w:rPr>
          <w:b/>
          <w:szCs w:val="20"/>
        </w:rPr>
        <w:t>(iii)</w:t>
      </w:r>
      <w:r w:rsidRPr="00454F1E">
        <w:rPr>
          <w:szCs w:val="20"/>
        </w:rPr>
        <w:t xml:space="preserve"> os Contratos de Garantia e </w:t>
      </w:r>
      <w:r w:rsidRPr="00454F1E">
        <w:rPr>
          <w:b/>
          <w:szCs w:val="20"/>
        </w:rPr>
        <w:t>(v)</w:t>
      </w:r>
      <w:r w:rsidRPr="00454F1E">
        <w:rPr>
          <w:szCs w:val="20"/>
        </w:rPr>
        <w:t xml:space="preserve"> os demais documentos relativos à Emissão e à Oferta (em conjunto, “</w:t>
      </w:r>
      <w:r w:rsidRPr="00454F1E">
        <w:rPr>
          <w:b/>
          <w:szCs w:val="20"/>
        </w:rPr>
        <w:t>Documentos da Operação</w:t>
      </w:r>
      <w:r w:rsidRPr="00454F1E">
        <w:rPr>
          <w:szCs w:val="20"/>
        </w:rPr>
        <w:t>”);</w:t>
      </w:r>
    </w:p>
    <w:p w14:paraId="43398957" w14:textId="16BFD734" w:rsidR="004832FF" w:rsidRPr="00047B63" w:rsidRDefault="004832FF" w:rsidP="00454F1E">
      <w:pPr>
        <w:pStyle w:val="Recitals"/>
        <w:widowControl w:val="0"/>
        <w:numPr>
          <w:ilvl w:val="1"/>
          <w:numId w:val="93"/>
        </w:numPr>
        <w:spacing w:before="140" w:after="0"/>
        <w:rPr>
          <w:szCs w:val="20"/>
          <w:lang w:eastAsia="en-GB"/>
        </w:rPr>
      </w:pPr>
      <w:r w:rsidRPr="00454F1E">
        <w:rPr>
          <w:szCs w:val="20"/>
        </w:rPr>
        <w:t>as Partes dispuseram do tempo e condições adequadas para a avaliação e discussão de todas as cláusulas e condições constantes d</w:t>
      </w:r>
      <w:r w:rsidR="001A5AA2" w:rsidRPr="00454F1E">
        <w:rPr>
          <w:szCs w:val="20"/>
        </w:rPr>
        <w:t>o</w:t>
      </w:r>
      <w:r w:rsidRPr="00454F1E">
        <w:rPr>
          <w:szCs w:val="20"/>
        </w:rPr>
        <w:t xml:space="preserve"> </w:t>
      </w:r>
      <w:r w:rsidR="001A5AA2" w:rsidRPr="00454F1E">
        <w:rPr>
          <w:szCs w:val="20"/>
        </w:rPr>
        <w:t>Contrato</w:t>
      </w:r>
      <w:r w:rsidRPr="00454F1E">
        <w:rPr>
          <w:szCs w:val="20"/>
        </w:rPr>
        <w:t>, cuja celebração é pautada pelos princípios da probidade e boa-fé</w:t>
      </w:r>
      <w:r w:rsidR="001A5AA2" w:rsidRPr="00047B63">
        <w:rPr>
          <w:szCs w:val="20"/>
          <w:lang w:eastAsia="en-GB"/>
        </w:rPr>
        <w:t>;</w:t>
      </w:r>
      <w:r w:rsidRPr="00047B63">
        <w:rPr>
          <w:szCs w:val="20"/>
          <w:lang w:eastAsia="en-GB"/>
        </w:rPr>
        <w:t xml:space="preserve"> </w:t>
      </w:r>
    </w:p>
    <w:p w14:paraId="5C5DCB75" w14:textId="34C428A6" w:rsidR="000C051A" w:rsidRPr="00454F1E" w:rsidRDefault="00150AA6" w:rsidP="00454F1E">
      <w:pPr>
        <w:pStyle w:val="Recitals"/>
        <w:widowControl w:val="0"/>
        <w:numPr>
          <w:ilvl w:val="1"/>
          <w:numId w:val="93"/>
        </w:numPr>
        <w:spacing w:before="140" w:after="0"/>
        <w:rPr>
          <w:szCs w:val="20"/>
        </w:rPr>
      </w:pPr>
      <w:r w:rsidRPr="00454F1E">
        <w:rPr>
          <w:szCs w:val="20"/>
        </w:rPr>
        <w:t xml:space="preserve">nos termos da Cláusula </w:t>
      </w:r>
      <w:r w:rsidRPr="00454F1E">
        <w:rPr>
          <w:szCs w:val="20"/>
        </w:rPr>
        <w:fldChar w:fldCharType="begin"/>
      </w:r>
      <w:r w:rsidRPr="00454F1E">
        <w:rPr>
          <w:szCs w:val="20"/>
        </w:rPr>
        <w:instrText xml:space="preserve"> REF _Ref61795367 \r \h </w:instrText>
      </w:r>
      <w:r w:rsidR="00047B63" w:rsidRPr="00454F1E">
        <w:rPr>
          <w:szCs w:val="20"/>
        </w:rPr>
        <w:instrText xml:space="preserve"> \* MERGEFORMAT </w:instrText>
      </w:r>
      <w:r w:rsidRPr="00454F1E">
        <w:rPr>
          <w:szCs w:val="20"/>
        </w:rPr>
      </w:r>
      <w:r w:rsidRPr="00454F1E">
        <w:rPr>
          <w:szCs w:val="20"/>
        </w:rPr>
        <w:fldChar w:fldCharType="separate"/>
      </w:r>
      <w:r w:rsidR="0006719C">
        <w:rPr>
          <w:szCs w:val="20"/>
        </w:rPr>
        <w:t>3.2</w:t>
      </w:r>
      <w:r w:rsidRPr="00454F1E">
        <w:rPr>
          <w:szCs w:val="20"/>
        </w:rPr>
        <w:fldChar w:fldCharType="end"/>
      </w:r>
      <w:r w:rsidRPr="00454F1E">
        <w:rPr>
          <w:szCs w:val="20"/>
        </w:rPr>
        <w:t xml:space="preserve"> do Contrato, a Cedente obrigou-se a aditar o Contrato trimestralmente</w:t>
      </w:r>
      <w:r w:rsidRPr="00047B63">
        <w:rPr>
          <w:szCs w:val="20"/>
        </w:rPr>
        <w:t xml:space="preserve">, até o dia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do mês em questão, ou no Dia Útil imediatamente posterior, com a finalidade de atualizar o Anexo V para incluir e/ou substituir Duplicatas, conforme aplicável</w:t>
      </w:r>
      <w:r w:rsidR="000C051A" w:rsidRPr="00454F1E">
        <w:rPr>
          <w:szCs w:val="20"/>
        </w:rPr>
        <w:t>;</w:t>
      </w:r>
    </w:p>
    <w:p w14:paraId="18074591" w14:textId="23A18E8C" w:rsidR="000C051A" w:rsidRPr="00454F1E" w:rsidRDefault="000C051A" w:rsidP="00454F1E">
      <w:pPr>
        <w:pStyle w:val="Recitals"/>
        <w:widowControl w:val="0"/>
        <w:numPr>
          <w:ilvl w:val="1"/>
          <w:numId w:val="93"/>
        </w:numPr>
        <w:spacing w:before="140" w:after="0"/>
        <w:rPr>
          <w:szCs w:val="20"/>
        </w:rPr>
      </w:pPr>
      <w:bookmarkStart w:id="101" w:name="_Ref74225451"/>
      <w:r w:rsidRPr="00454F1E">
        <w:rPr>
          <w:szCs w:val="20"/>
        </w:rPr>
        <w:t>as Partes desejam aditar o Contrato de maneira a</w:t>
      </w:r>
      <w:r w:rsidR="0048000D" w:rsidRPr="00454F1E">
        <w:rPr>
          <w:szCs w:val="20"/>
        </w:rPr>
        <w:t xml:space="preserve"> alterar o Anexo V</w:t>
      </w:r>
      <w:bookmarkEnd w:id="101"/>
      <w:r w:rsidRPr="00454F1E">
        <w:rPr>
          <w:szCs w:val="20"/>
        </w:rPr>
        <w:t>.</w:t>
      </w:r>
    </w:p>
    <w:p w14:paraId="6A0493C1" w14:textId="28AA3F7A" w:rsidR="000C051A" w:rsidRPr="00454F1E" w:rsidRDefault="000C051A" w:rsidP="00454F1E">
      <w:pPr>
        <w:pStyle w:val="Recitals"/>
        <w:widowControl w:val="0"/>
        <w:numPr>
          <w:ilvl w:val="0"/>
          <w:numId w:val="0"/>
        </w:numPr>
        <w:spacing w:before="140" w:after="0"/>
        <w:rPr>
          <w:bCs/>
          <w:szCs w:val="20"/>
        </w:rPr>
      </w:pPr>
      <w:r w:rsidRPr="00454F1E">
        <w:rPr>
          <w:b/>
          <w:szCs w:val="20"/>
        </w:rPr>
        <w:t xml:space="preserve">RESOLVEM </w:t>
      </w:r>
      <w:r w:rsidRPr="00454F1E">
        <w:rPr>
          <w:bCs/>
          <w:szCs w:val="20"/>
        </w:rPr>
        <w:t xml:space="preserve">as Partes, na melhor forma de direito, aditar </w:t>
      </w:r>
      <w:r w:rsidRPr="00454F1E">
        <w:rPr>
          <w:szCs w:val="20"/>
        </w:rPr>
        <w:t>o Contrato</w:t>
      </w:r>
      <w:r w:rsidRPr="00454F1E">
        <w:rPr>
          <w:bCs/>
          <w:szCs w:val="20"/>
        </w:rPr>
        <w:t>, por meio do presente Aditamento, observadas as cláusulas, condições e características abaixo.</w:t>
      </w:r>
    </w:p>
    <w:p w14:paraId="4CA54946" w14:textId="7BDC3A86" w:rsidR="000C051A" w:rsidRPr="00454F1E" w:rsidRDefault="000C051A" w:rsidP="00454F1E">
      <w:pPr>
        <w:pStyle w:val="Recitals"/>
        <w:widowControl w:val="0"/>
        <w:numPr>
          <w:ilvl w:val="0"/>
          <w:numId w:val="0"/>
        </w:numPr>
        <w:spacing w:before="140" w:after="0"/>
        <w:rPr>
          <w:bCs/>
          <w:szCs w:val="20"/>
        </w:rPr>
      </w:pPr>
      <w:r w:rsidRPr="00454F1E">
        <w:rPr>
          <w:bCs/>
          <w:szCs w:val="20"/>
        </w:rPr>
        <w:t xml:space="preserve">Os termos aqui iniciados em letra maiúscula, estejam no singular ou no plural, terão o significado a eles atribuídos no </w:t>
      </w:r>
      <w:r w:rsidRPr="00454F1E">
        <w:rPr>
          <w:szCs w:val="20"/>
        </w:rPr>
        <w:t>Contrato</w:t>
      </w:r>
      <w:r w:rsidRPr="00454F1E">
        <w:rPr>
          <w:bCs/>
          <w:szCs w:val="20"/>
        </w:rPr>
        <w:t>.</w:t>
      </w:r>
    </w:p>
    <w:p w14:paraId="6A450F40" w14:textId="02E8E998"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48000D" w:rsidRPr="00047B63">
        <w:rPr>
          <w:sz w:val="20"/>
        </w:rPr>
        <w:t>PRIMEIRA</w:t>
      </w:r>
      <w:r w:rsidRPr="00047B63">
        <w:rPr>
          <w:sz w:val="20"/>
        </w:rPr>
        <w:t xml:space="preserve"> – REQUISITOS</w:t>
      </w:r>
    </w:p>
    <w:p w14:paraId="7666F76B" w14:textId="77777777" w:rsidR="000C051A" w:rsidRPr="00454F1E" w:rsidRDefault="000C051A" w:rsidP="00454F1E">
      <w:pPr>
        <w:pStyle w:val="Level2"/>
        <w:widowControl w:val="0"/>
        <w:numPr>
          <w:ilvl w:val="1"/>
          <w:numId w:val="87"/>
        </w:numPr>
        <w:spacing w:before="140" w:after="0"/>
        <w:rPr>
          <w:b/>
          <w:szCs w:val="20"/>
        </w:rPr>
      </w:pPr>
      <w:r w:rsidRPr="00454F1E">
        <w:rPr>
          <w:b/>
          <w:szCs w:val="20"/>
        </w:rPr>
        <w:t>Averbações e Registros</w:t>
      </w:r>
    </w:p>
    <w:p w14:paraId="672EB6A9" w14:textId="14BDA9EE" w:rsidR="000C051A" w:rsidRPr="00454F1E" w:rsidRDefault="00047B63" w:rsidP="00454F1E">
      <w:pPr>
        <w:pStyle w:val="Level3"/>
        <w:widowControl w:val="0"/>
        <w:numPr>
          <w:ilvl w:val="2"/>
          <w:numId w:val="87"/>
        </w:numPr>
        <w:spacing w:before="140" w:after="0"/>
        <w:ind w:left="1360" w:hanging="680"/>
        <w:rPr>
          <w:szCs w:val="20"/>
        </w:rPr>
      </w:pPr>
      <w:r>
        <w:rPr>
          <w:bCs/>
          <w:szCs w:val="20"/>
        </w:rPr>
        <w:t xml:space="preserve">As Partes deverão proceder ao </w:t>
      </w:r>
      <w:r w:rsidRPr="006F245F">
        <w:rPr>
          <w:bCs/>
          <w:szCs w:val="20"/>
        </w:rPr>
        <w:t>registro ou averbação d</w:t>
      </w:r>
      <w:r>
        <w:rPr>
          <w:bCs/>
          <w:szCs w:val="20"/>
        </w:rPr>
        <w:t>o</w:t>
      </w:r>
      <w:r w:rsidRPr="006F245F">
        <w:rPr>
          <w:bCs/>
          <w:szCs w:val="20"/>
        </w:rPr>
        <w:t xml:space="preserve"> Contrato</w:t>
      </w:r>
      <w:r>
        <w:rPr>
          <w:bCs/>
          <w:szCs w:val="20"/>
        </w:rPr>
        <w:t>, deste Aditamento</w:t>
      </w:r>
      <w:r w:rsidRPr="006F245F">
        <w:rPr>
          <w:bCs/>
          <w:szCs w:val="20"/>
        </w:rPr>
        <w:t xml:space="preserve"> </w:t>
      </w:r>
      <w:r>
        <w:rPr>
          <w:bCs/>
          <w:szCs w:val="20"/>
        </w:rPr>
        <w:t xml:space="preserve">e quaisquer demais aditamentos </w:t>
      </w:r>
      <w:r w:rsidRPr="006F245F">
        <w:rPr>
          <w:bCs/>
          <w:szCs w:val="20"/>
        </w:rPr>
        <w:t xml:space="preserve">no </w:t>
      </w:r>
      <w:r w:rsidRPr="00AC4740">
        <w:rPr>
          <w:szCs w:val="20"/>
        </w:rPr>
        <w:t xml:space="preserve">competente Cartório de Registro </w:t>
      </w:r>
      <w:r w:rsidRPr="00A424C7">
        <w:rPr>
          <w:szCs w:val="20"/>
        </w:rPr>
        <w:t xml:space="preserve">de Títulos e Documentos da </w:t>
      </w:r>
      <w:r>
        <w:rPr>
          <w:szCs w:val="20"/>
        </w:rPr>
        <w:t>C</w:t>
      </w:r>
      <w:r w:rsidRPr="00A424C7">
        <w:rPr>
          <w:szCs w:val="20"/>
        </w:rPr>
        <w:t>idade d</w:t>
      </w:r>
      <w:r>
        <w:rPr>
          <w:szCs w:val="20"/>
        </w:rPr>
        <w:t>o</w:t>
      </w:r>
      <w:r w:rsidRPr="00A424C7">
        <w:rPr>
          <w:szCs w:val="20"/>
        </w:rPr>
        <w:t xml:space="preserve"> </w:t>
      </w:r>
      <w:r>
        <w:rPr>
          <w:szCs w:val="20"/>
        </w:rPr>
        <w:t>Rio de Janeiro</w:t>
      </w:r>
      <w:r w:rsidRPr="00A424C7">
        <w:rPr>
          <w:szCs w:val="20"/>
        </w:rPr>
        <w:t xml:space="preserve">, </w:t>
      </w:r>
      <w:r>
        <w:rPr>
          <w:szCs w:val="20"/>
        </w:rPr>
        <w:t>E</w:t>
      </w:r>
      <w:r w:rsidRPr="00A424C7">
        <w:rPr>
          <w:szCs w:val="20"/>
        </w:rPr>
        <w:t>stado d</w:t>
      </w:r>
      <w:r>
        <w:rPr>
          <w:szCs w:val="20"/>
        </w:rPr>
        <w:t>o</w:t>
      </w:r>
      <w:r w:rsidRPr="00A424C7">
        <w:rPr>
          <w:szCs w:val="20"/>
        </w:rPr>
        <w:t xml:space="preserve"> </w:t>
      </w:r>
      <w:r>
        <w:rPr>
          <w:szCs w:val="20"/>
        </w:rPr>
        <w:t>Rio de Janeiro</w:t>
      </w:r>
      <w:r w:rsidRPr="00A424C7">
        <w:rPr>
          <w:szCs w:val="20"/>
        </w:rPr>
        <w:t xml:space="preserve"> (“</w:t>
      </w:r>
      <w:r w:rsidRPr="00A424C7">
        <w:rPr>
          <w:b/>
          <w:szCs w:val="20"/>
        </w:rPr>
        <w:t>Cartório de RTD</w:t>
      </w:r>
      <w:r w:rsidRPr="00A424C7">
        <w:rPr>
          <w:szCs w:val="20"/>
        </w:rPr>
        <w:t>”)</w:t>
      </w:r>
      <w:r w:rsidRPr="006F245F">
        <w:rPr>
          <w:bCs/>
          <w:szCs w:val="20"/>
        </w:rPr>
        <w:t>, obrigando-se a Cedente, por si ou por seus sucessores, por este ato, a requerer o registro do presente</w:t>
      </w:r>
      <w:r w:rsidRPr="00432FF8">
        <w:t xml:space="preserve"> </w:t>
      </w:r>
      <w:r>
        <w:t>Aditamento</w:t>
      </w:r>
      <w:r w:rsidRPr="00000303">
        <w:t xml:space="preserve"> junto </w:t>
      </w:r>
      <w:r>
        <w:t>ao</w:t>
      </w:r>
      <w:r w:rsidRPr="00000303">
        <w:t xml:space="preserve"> </w:t>
      </w:r>
      <w:r>
        <w:rPr>
          <w:szCs w:val="20"/>
        </w:rPr>
        <w:t>Cartório de RTD</w:t>
      </w:r>
      <w:r w:rsidRPr="00000303">
        <w:t xml:space="preserve"> no prazo de até </w:t>
      </w:r>
      <w:r>
        <w:t>5 (cinco)</w:t>
      </w:r>
      <w:r w:rsidRPr="00000303">
        <w:t xml:space="preserve"> Dias Úteis contados da data de assinatura deste </w:t>
      </w:r>
      <w:r>
        <w:t>Aditamento</w:t>
      </w:r>
      <w:r w:rsidRPr="00432FF8">
        <w:t>, nos termos do artigo 129 da Lei n.º 6.015, de 31 de dezembro de 1973, conforme alterada (“</w:t>
      </w:r>
      <w:r w:rsidRPr="006F245F">
        <w:rPr>
          <w:b/>
        </w:rPr>
        <w:t>Lei de Registros Públicos</w:t>
      </w:r>
      <w:r w:rsidRPr="00432FF8">
        <w:t>”)</w:t>
      </w:r>
      <w:r>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Contrato, sob pena de descumprimento d</w:t>
      </w:r>
      <w:r>
        <w:t>o</w:t>
      </w:r>
      <w:r w:rsidRPr="006F245F">
        <w:t xml:space="preserve"> Contrato, e praticarem todos os atos e/ou tomarem todas as providências que forem solicitadas pelo Agente Fiduciário com o objetivo de aperfeiçoar ou formalizar os atos jurídicos necessários para a constituição da garantia prevista n</w:t>
      </w:r>
      <w:r>
        <w:t>o</w:t>
      </w:r>
      <w:r w:rsidRPr="006F245F">
        <w:t xml:space="preserve"> Contrato</w:t>
      </w:r>
      <w:r>
        <w:t>.</w:t>
      </w:r>
    </w:p>
    <w:p w14:paraId="062255BA" w14:textId="21003D7B" w:rsidR="000C051A" w:rsidRPr="00047B63" w:rsidRDefault="000C051A" w:rsidP="00454F1E">
      <w:pPr>
        <w:pStyle w:val="Level1"/>
        <w:widowControl/>
        <w:numPr>
          <w:ilvl w:val="0"/>
          <w:numId w:val="87"/>
        </w:numPr>
        <w:spacing w:before="140" w:after="0"/>
        <w:jc w:val="center"/>
        <w:rPr>
          <w:sz w:val="20"/>
        </w:rPr>
      </w:pPr>
      <w:r w:rsidRPr="00047B63">
        <w:rPr>
          <w:sz w:val="20"/>
        </w:rPr>
        <w:t xml:space="preserve">CLÁUSULA </w:t>
      </w:r>
      <w:r w:rsidR="008F32A8">
        <w:rPr>
          <w:sz w:val="20"/>
        </w:rPr>
        <w:t>SEGUNDA</w:t>
      </w:r>
      <w:r w:rsidRPr="00047B63">
        <w:rPr>
          <w:sz w:val="20"/>
        </w:rPr>
        <w:t xml:space="preserve"> – ADITAMENTO</w:t>
      </w:r>
    </w:p>
    <w:p w14:paraId="6E3F7C5C" w14:textId="292AB466" w:rsidR="000C051A" w:rsidRPr="00454F1E" w:rsidRDefault="008F32A8" w:rsidP="00454F1E">
      <w:pPr>
        <w:pStyle w:val="Level3"/>
        <w:widowControl w:val="0"/>
        <w:numPr>
          <w:ilvl w:val="2"/>
          <w:numId w:val="87"/>
        </w:numPr>
        <w:spacing w:before="140" w:after="0"/>
        <w:rPr>
          <w:szCs w:val="20"/>
        </w:rPr>
      </w:pPr>
      <w:r>
        <w:rPr>
          <w:szCs w:val="20"/>
        </w:rPr>
        <w:t>N</w:t>
      </w:r>
      <w:r w:rsidRPr="007C11E9">
        <w:rPr>
          <w:szCs w:val="20"/>
        </w:rPr>
        <w:t xml:space="preserve">os termos da Cláusula </w:t>
      </w:r>
      <w:r w:rsidRPr="007C11E9">
        <w:rPr>
          <w:szCs w:val="20"/>
        </w:rPr>
        <w:fldChar w:fldCharType="begin"/>
      </w:r>
      <w:r w:rsidRPr="007C11E9">
        <w:rPr>
          <w:szCs w:val="20"/>
        </w:rPr>
        <w:instrText xml:space="preserve"> REF _Ref61795367 \r \h  \* MERGEFORMAT </w:instrText>
      </w:r>
      <w:r w:rsidRPr="007C11E9">
        <w:rPr>
          <w:szCs w:val="20"/>
        </w:rPr>
      </w:r>
      <w:r w:rsidRPr="007C11E9">
        <w:rPr>
          <w:szCs w:val="20"/>
        </w:rPr>
        <w:fldChar w:fldCharType="separate"/>
      </w:r>
      <w:r w:rsidR="0006719C">
        <w:rPr>
          <w:szCs w:val="20"/>
        </w:rPr>
        <w:t>3.2</w:t>
      </w:r>
      <w:r w:rsidRPr="007C11E9">
        <w:rPr>
          <w:szCs w:val="20"/>
        </w:rPr>
        <w:fldChar w:fldCharType="end"/>
      </w:r>
      <w:r w:rsidRPr="007C11E9">
        <w:rPr>
          <w:szCs w:val="20"/>
        </w:rPr>
        <w:t xml:space="preserve"> do Contrato, </w:t>
      </w:r>
      <w:r w:rsidR="00512AC6">
        <w:rPr>
          <w:szCs w:val="20"/>
        </w:rPr>
        <w:t xml:space="preserve">as Partes resolvem aditar o Contrato de forma a </w:t>
      </w:r>
      <w:r w:rsidRPr="007C11E9">
        <w:rPr>
          <w:szCs w:val="20"/>
        </w:rPr>
        <w:t>atualizar o Anexo V para incluir e/ou substituir Duplicatas, conforme aplicável</w:t>
      </w:r>
      <w:r w:rsidR="00512AC6">
        <w:rPr>
          <w:szCs w:val="20"/>
        </w:rPr>
        <w:t>, de forma que o referido Anexo V passa a viger na forma do Anexo A a este Aditamento.</w:t>
      </w:r>
    </w:p>
    <w:p w14:paraId="6291C53C" w14:textId="1F444183"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512AC6">
        <w:rPr>
          <w:sz w:val="20"/>
        </w:rPr>
        <w:t>TERCEIRA</w:t>
      </w:r>
      <w:r w:rsidRPr="00047B63">
        <w:rPr>
          <w:sz w:val="20"/>
        </w:rPr>
        <w:t xml:space="preserve"> – DISPOSIÇÕES GERAIS</w:t>
      </w:r>
    </w:p>
    <w:p w14:paraId="0D488BC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Declarações das Partes</w:t>
      </w:r>
    </w:p>
    <w:p w14:paraId="33272A3C" w14:textId="5EE92CA0" w:rsidR="000C051A" w:rsidRPr="00454F1E" w:rsidRDefault="000C051A" w:rsidP="00454F1E">
      <w:pPr>
        <w:pStyle w:val="Level3"/>
        <w:widowControl w:val="0"/>
        <w:numPr>
          <w:ilvl w:val="2"/>
          <w:numId w:val="87"/>
        </w:numPr>
        <w:spacing w:before="140" w:after="0"/>
        <w:rPr>
          <w:bCs/>
          <w:szCs w:val="20"/>
        </w:rPr>
      </w:pPr>
      <w:r w:rsidRPr="00454F1E">
        <w:rPr>
          <w:bCs/>
          <w:szCs w:val="20"/>
        </w:rPr>
        <w:lastRenderedPageBreak/>
        <w:t xml:space="preserve">A Cedente declara e garante todas as declarações e garantias </w:t>
      </w:r>
      <w:r w:rsidRPr="00454F1E">
        <w:rPr>
          <w:szCs w:val="20"/>
        </w:rPr>
        <w:t>previstas no Contrato de, sendo tais verdadeiras, corretas e plenamente válidas e eficazes na data de assinatura deste Aditamento.</w:t>
      </w:r>
    </w:p>
    <w:p w14:paraId="008C0A94" w14:textId="77CDCCB7" w:rsidR="000C051A" w:rsidRPr="00454F1E" w:rsidRDefault="000C051A" w:rsidP="00454F1E">
      <w:pPr>
        <w:pStyle w:val="Level3"/>
        <w:widowControl w:val="0"/>
        <w:numPr>
          <w:ilvl w:val="2"/>
          <w:numId w:val="87"/>
        </w:numPr>
        <w:spacing w:before="140" w:after="0"/>
        <w:rPr>
          <w:bCs/>
          <w:szCs w:val="20"/>
        </w:rPr>
      </w:pPr>
      <w:r w:rsidRPr="00454F1E">
        <w:rPr>
          <w:szCs w:val="20"/>
        </w:rPr>
        <w:t>A Cedente</w:t>
      </w:r>
      <w:r w:rsidRPr="00454F1E">
        <w:rPr>
          <w:bCs/>
          <w:szCs w:val="20"/>
        </w:rPr>
        <w:t xml:space="preserve"> obriga-se ainda a observar as obrigações adicionais previstas </w:t>
      </w:r>
      <w:r w:rsidRPr="00454F1E">
        <w:rPr>
          <w:szCs w:val="20"/>
        </w:rPr>
        <w:t>no Contrato</w:t>
      </w:r>
      <w:r w:rsidRPr="00454F1E">
        <w:rPr>
          <w:bCs/>
          <w:szCs w:val="20"/>
        </w:rPr>
        <w:t>.</w:t>
      </w:r>
    </w:p>
    <w:p w14:paraId="177E8DE2" w14:textId="435D8183" w:rsidR="000C051A" w:rsidRPr="00454F1E" w:rsidRDefault="000C051A" w:rsidP="00454F1E">
      <w:pPr>
        <w:pStyle w:val="Level3"/>
        <w:widowControl w:val="0"/>
        <w:numPr>
          <w:ilvl w:val="2"/>
          <w:numId w:val="87"/>
        </w:numPr>
        <w:spacing w:before="140" w:after="0"/>
        <w:rPr>
          <w:b/>
          <w:szCs w:val="20"/>
        </w:rPr>
      </w:pPr>
      <w:r w:rsidRPr="00454F1E">
        <w:rPr>
          <w:szCs w:val="20"/>
        </w:rPr>
        <w:t>As Partes, neste ato, declaram que todas as obrigações assumidas no Contrato se aplicam a este Aditamento, como se aqui estivessem transcritas.</w:t>
      </w:r>
    </w:p>
    <w:p w14:paraId="0C55F4DE"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Ratificações</w:t>
      </w:r>
    </w:p>
    <w:p w14:paraId="589FAACF" w14:textId="472A3FD7" w:rsidR="000C051A" w:rsidRPr="00454F1E" w:rsidRDefault="000C051A" w:rsidP="00454F1E">
      <w:pPr>
        <w:pStyle w:val="Level3"/>
        <w:widowControl w:val="0"/>
        <w:numPr>
          <w:ilvl w:val="2"/>
          <w:numId w:val="87"/>
        </w:numPr>
        <w:spacing w:before="140" w:after="0"/>
        <w:rPr>
          <w:szCs w:val="20"/>
        </w:rPr>
      </w:pPr>
      <w:r w:rsidRPr="00454F1E">
        <w:rPr>
          <w:szCs w:val="20"/>
        </w:rPr>
        <w:t xml:space="preserve">As alterações feitas no Contrato por meio deste Aditamento não implicam novação. </w:t>
      </w:r>
    </w:p>
    <w:p w14:paraId="0068AFF4" w14:textId="6450503B" w:rsidR="000C051A" w:rsidRPr="00454F1E" w:rsidRDefault="000C051A" w:rsidP="00454F1E">
      <w:pPr>
        <w:pStyle w:val="Level3"/>
        <w:widowControl w:val="0"/>
        <w:numPr>
          <w:ilvl w:val="2"/>
          <w:numId w:val="87"/>
        </w:numPr>
        <w:spacing w:before="140" w:after="0"/>
        <w:rPr>
          <w:szCs w:val="20"/>
        </w:rPr>
      </w:pPr>
      <w:r w:rsidRPr="00454F1E">
        <w:rPr>
          <w:szCs w:val="20"/>
        </w:rPr>
        <w:t>Ficam ratificadas, nos termos em que se encontram redigidas, todas as demais cláusulas, itens, características e condições estabelecidas no Contrato que não tenham sido expressamente alteradas por este Aditamento.</w:t>
      </w:r>
    </w:p>
    <w:p w14:paraId="4B32D492" w14:textId="77777777" w:rsidR="000C051A" w:rsidRPr="00454F1E" w:rsidRDefault="000C051A" w:rsidP="00454F1E">
      <w:pPr>
        <w:pStyle w:val="Level2"/>
        <w:widowControl w:val="0"/>
        <w:numPr>
          <w:ilvl w:val="1"/>
          <w:numId w:val="87"/>
        </w:numPr>
        <w:spacing w:before="140" w:after="0"/>
        <w:rPr>
          <w:b/>
          <w:szCs w:val="20"/>
        </w:rPr>
      </w:pPr>
      <w:r w:rsidRPr="00454F1E">
        <w:rPr>
          <w:b/>
          <w:szCs w:val="20"/>
        </w:rPr>
        <w:t>Irrevogabilidade; Sucessão</w:t>
      </w:r>
    </w:p>
    <w:p w14:paraId="7811AFF7" w14:textId="77777777" w:rsidR="000C051A" w:rsidRPr="00454F1E" w:rsidRDefault="000C051A" w:rsidP="00454F1E">
      <w:pPr>
        <w:pStyle w:val="Level3"/>
        <w:widowControl w:val="0"/>
        <w:numPr>
          <w:ilvl w:val="2"/>
          <w:numId w:val="87"/>
        </w:numPr>
        <w:spacing w:before="140" w:after="0"/>
        <w:rPr>
          <w:b/>
          <w:szCs w:val="20"/>
        </w:rPr>
      </w:pPr>
      <w:r w:rsidRPr="00454F1E">
        <w:rPr>
          <w:szCs w:val="20"/>
        </w:rPr>
        <w:t>Este Aditamento é firmado em caráter irrevogável e irretratável obrigando as Partes ao seu fiel, pontual e integral cumprimento por si e por seus sucessores e cessionários, a qualquer título.</w:t>
      </w:r>
    </w:p>
    <w:p w14:paraId="5998978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Renúncia</w:t>
      </w:r>
    </w:p>
    <w:p w14:paraId="4DFA1F89" w14:textId="6DF4EBB2" w:rsidR="000C051A" w:rsidRPr="00454F1E" w:rsidRDefault="000C051A" w:rsidP="00454F1E">
      <w:pPr>
        <w:pStyle w:val="Level3"/>
        <w:widowControl w:val="0"/>
        <w:numPr>
          <w:ilvl w:val="2"/>
          <w:numId w:val="87"/>
        </w:numPr>
        <w:spacing w:before="140" w:after="0"/>
        <w:rPr>
          <w:b/>
          <w:szCs w:val="20"/>
        </w:rPr>
      </w:pPr>
      <w:r w:rsidRPr="00454F1E">
        <w:rPr>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Cedente previstas neste Aditamento, prejudicará tais direitos, faculdades ou remédios, ou será interpretado como constituindo uma renúncia aos mesmos ou concordância com tal inadimplemento, nem constituirá novação ou modificação de quaisquer outras obrigações assumidas pela Cedente neste Aditamento ou precedente no tocante a qualquer outro inadimplemento ou atraso.</w:t>
      </w:r>
    </w:p>
    <w:p w14:paraId="0F98B087" w14:textId="77777777" w:rsidR="000C051A" w:rsidRPr="00454F1E" w:rsidRDefault="000C051A" w:rsidP="00454F1E">
      <w:pPr>
        <w:pStyle w:val="Level2"/>
        <w:widowControl w:val="0"/>
        <w:numPr>
          <w:ilvl w:val="1"/>
          <w:numId w:val="87"/>
        </w:numPr>
        <w:spacing w:before="140" w:after="0"/>
        <w:rPr>
          <w:szCs w:val="20"/>
        </w:rPr>
      </w:pPr>
      <w:r w:rsidRPr="00454F1E">
        <w:rPr>
          <w:b/>
          <w:szCs w:val="20"/>
        </w:rPr>
        <w:t>Independência das Disposições do Aditamento à Escritura de Emissão</w:t>
      </w:r>
    </w:p>
    <w:p w14:paraId="6FB8D1C7" w14:textId="77777777" w:rsidR="000C051A" w:rsidRPr="00454F1E" w:rsidRDefault="000C051A" w:rsidP="00454F1E">
      <w:pPr>
        <w:pStyle w:val="Level3"/>
        <w:widowControl w:val="0"/>
        <w:numPr>
          <w:ilvl w:val="2"/>
          <w:numId w:val="87"/>
        </w:numPr>
        <w:spacing w:before="140" w:after="0"/>
        <w:rPr>
          <w:b/>
          <w:szCs w:val="20"/>
        </w:rPr>
      </w:pPr>
      <w:r w:rsidRPr="00454F1E">
        <w:rPr>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54BBF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Título Executivo Extrajudicial e Execução Específica</w:t>
      </w:r>
    </w:p>
    <w:p w14:paraId="6DBC22E2" w14:textId="77777777" w:rsidR="000C051A" w:rsidRPr="00454F1E" w:rsidRDefault="000C051A" w:rsidP="00454F1E">
      <w:pPr>
        <w:pStyle w:val="Level3"/>
        <w:widowControl w:val="0"/>
        <w:numPr>
          <w:ilvl w:val="2"/>
          <w:numId w:val="87"/>
        </w:numPr>
        <w:spacing w:before="140" w:after="0"/>
        <w:rPr>
          <w:szCs w:val="20"/>
        </w:rPr>
      </w:pPr>
      <w:r w:rsidRPr="00454F1E">
        <w:rPr>
          <w:szCs w:val="20"/>
        </w:rPr>
        <w:t>Este Aditamento e a Cessão Fiduciária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9339B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Foro</w:t>
      </w:r>
    </w:p>
    <w:p w14:paraId="5C1A77B3" w14:textId="77777777" w:rsidR="000C051A" w:rsidRPr="00454F1E" w:rsidRDefault="000C051A" w:rsidP="00454F1E">
      <w:pPr>
        <w:pStyle w:val="Level3"/>
        <w:widowControl w:val="0"/>
        <w:numPr>
          <w:ilvl w:val="2"/>
          <w:numId w:val="87"/>
        </w:numPr>
        <w:spacing w:before="140" w:after="0"/>
        <w:rPr>
          <w:b/>
          <w:szCs w:val="20"/>
        </w:rPr>
      </w:pPr>
      <w:r w:rsidRPr="00454F1E">
        <w:rPr>
          <w:szCs w:val="20"/>
        </w:rPr>
        <w:t xml:space="preserve">Fica eleito o foro da Cidade de São Paulo, Estado de São Paulo, para dirimir quaisquer dúvidas ou controvérsias oriundas deste Aditamento, com renúncia a </w:t>
      </w:r>
      <w:r w:rsidRPr="00454F1E">
        <w:rPr>
          <w:szCs w:val="20"/>
        </w:rPr>
        <w:lastRenderedPageBreak/>
        <w:t>qualquer outro, por mais privilegiado que seja.</w:t>
      </w:r>
    </w:p>
    <w:p w14:paraId="7E6EF3C7"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sz w:val="20"/>
          <w:lang w:val="pt-BR"/>
        </w:rPr>
        <w:t>São Paulo, [</w:t>
      </w:r>
      <w:r w:rsidRPr="00047B63">
        <w:rPr>
          <w:b w:val="0"/>
          <w:sz w:val="20"/>
        </w:rPr>
        <w:sym w:font="Symbol" w:char="F0B7"/>
      </w:r>
      <w:r w:rsidRPr="00454F1E">
        <w:rPr>
          <w:b w:val="0"/>
          <w:sz w:val="20"/>
          <w:lang w:val="pt-BR"/>
        </w:rPr>
        <w:t>] de [</w:t>
      </w:r>
      <w:r w:rsidRPr="00047B63">
        <w:rPr>
          <w:b w:val="0"/>
          <w:sz w:val="20"/>
        </w:rPr>
        <w:sym w:font="Symbol" w:char="F0B7"/>
      </w:r>
      <w:r w:rsidRPr="00454F1E">
        <w:rPr>
          <w:b w:val="0"/>
          <w:sz w:val="20"/>
          <w:lang w:val="pt-BR"/>
        </w:rPr>
        <w:t>] de 2021.</w:t>
      </w:r>
    </w:p>
    <w:p w14:paraId="018B0CC3" w14:textId="2081A48B" w:rsidR="000C051A" w:rsidRDefault="000C051A" w:rsidP="00454F1E">
      <w:pPr>
        <w:pStyle w:val="Level1"/>
        <w:keepNext w:val="0"/>
        <w:numPr>
          <w:ilvl w:val="0"/>
          <w:numId w:val="0"/>
        </w:numPr>
        <w:spacing w:before="140" w:after="0"/>
        <w:ind w:left="680"/>
        <w:jc w:val="center"/>
        <w:rPr>
          <w:b w:val="0"/>
          <w:i/>
          <w:sz w:val="20"/>
          <w:lang w:val="pt-BR"/>
        </w:rPr>
      </w:pPr>
      <w:r w:rsidRPr="00454F1E">
        <w:rPr>
          <w:b w:val="0"/>
          <w:i/>
          <w:sz w:val="20"/>
          <w:lang w:val="pt-BR"/>
        </w:rPr>
        <w:t>(O restante da página foi intencionalmente deixado em branco)</w:t>
      </w:r>
    </w:p>
    <w:p w14:paraId="28922E2E" w14:textId="0B0271B5" w:rsidR="0006719C" w:rsidRDefault="0006719C" w:rsidP="0006719C">
      <w:pPr>
        <w:pStyle w:val="Body"/>
        <w:ind w:left="680"/>
        <w:jc w:val="center"/>
      </w:pPr>
    </w:p>
    <w:p w14:paraId="77D0DBCE" w14:textId="52383498" w:rsidR="0006719C" w:rsidRPr="0006719C" w:rsidRDefault="0006719C" w:rsidP="0006719C">
      <w:pPr>
        <w:pStyle w:val="Body"/>
        <w:ind w:left="680"/>
        <w:rPr>
          <w:lang w:val="pt-BR"/>
        </w:rPr>
      </w:pPr>
      <w:r w:rsidRPr="0006719C">
        <w:rPr>
          <w:highlight w:val="lightGray"/>
          <w:lang w:val="pt-BR"/>
        </w:rPr>
        <w:t xml:space="preserve">[Nota: Incluir páginas de assinaturas das partes </w:t>
      </w:r>
      <w:r>
        <w:rPr>
          <w:highlight w:val="lightGray"/>
          <w:lang w:val="pt-BR"/>
        </w:rPr>
        <w:t xml:space="preserve">e testemunhas </w:t>
      </w:r>
      <w:r w:rsidRPr="0006719C">
        <w:rPr>
          <w:highlight w:val="lightGray"/>
          <w:lang w:val="pt-BR"/>
        </w:rPr>
        <w:t>quando da celebração do Aditamento]</w:t>
      </w:r>
    </w:p>
    <w:p w14:paraId="015E8089" w14:textId="2175B16F" w:rsidR="005261AC" w:rsidRDefault="005261AC" w:rsidP="00D97BAA">
      <w:pPr>
        <w:pStyle w:val="Heading"/>
        <w:jc w:val="center"/>
        <w:rPr>
          <w:sz w:val="20"/>
          <w:szCs w:val="20"/>
        </w:rPr>
      </w:pPr>
    </w:p>
    <w:p w14:paraId="125C4D62" w14:textId="77777777" w:rsidR="005261AC" w:rsidRDefault="005261AC" w:rsidP="00D97BAA">
      <w:pPr>
        <w:pStyle w:val="Heading"/>
        <w:jc w:val="center"/>
        <w:rPr>
          <w:sz w:val="20"/>
          <w:szCs w:val="20"/>
        </w:rPr>
        <w:sectPr w:rsidR="005261AC" w:rsidSect="00BE1B7F">
          <w:pgSz w:w="11906" w:h="16838" w:code="9"/>
          <w:pgMar w:top="1417" w:right="1701" w:bottom="1417" w:left="1418" w:header="708" w:footer="708" w:gutter="0"/>
          <w:cols w:space="708"/>
          <w:docGrid w:linePitch="360"/>
        </w:sectPr>
      </w:pPr>
    </w:p>
    <w:p w14:paraId="5F6C26F0" w14:textId="227DFF12"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56AF19A6" w:rsidR="005F318C" w:rsidRPr="00A424C7" w:rsidRDefault="005F318C" w:rsidP="005F318C">
      <w:pPr>
        <w:spacing w:after="0" w:line="240" w:lineRule="auto"/>
        <w:rPr>
          <w:rFonts w:ascii="Arial" w:hAnsi="Arial" w:cs="Arial"/>
          <w:b/>
          <w:bCs/>
          <w:sz w:val="20"/>
          <w:szCs w:val="20"/>
        </w:rPr>
      </w:pPr>
    </w:p>
    <w:p w14:paraId="5DF4C598" w14:textId="156C42F1"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67DDDE9" w14:textId="163B49CE" w:rsidR="004F2310" w:rsidRDefault="0006719C">
      <w:pPr>
        <w:spacing w:after="0" w:line="240" w:lineRule="auto"/>
        <w:rPr>
          <w:rFonts w:ascii="Arial" w:eastAsia="Times New Roman" w:hAnsi="Arial" w:cs="Arial"/>
          <w:color w:val="000000"/>
          <w:w w:val="0"/>
          <w:sz w:val="20"/>
          <w:szCs w:val="20"/>
        </w:rPr>
      </w:pPr>
      <w:r w:rsidRPr="0006719C">
        <w:rPr>
          <w:rFonts w:ascii="Arial" w:hAnsi="Arial" w:cs="Arial"/>
          <w:sz w:val="20"/>
          <w:szCs w:val="20"/>
          <w:highlight w:val="yellow"/>
        </w:rPr>
        <w:t>[</w:t>
      </w:r>
      <w:r w:rsidRPr="0006719C">
        <w:rPr>
          <w:rFonts w:ascii="Arial" w:hAnsi="Arial" w:cs="Arial"/>
          <w:b/>
          <w:sz w:val="20"/>
          <w:szCs w:val="20"/>
          <w:highlight w:val="yellow"/>
        </w:rPr>
        <w:t>NOTA LEFOSSE: INCLUIR MODELO DE NOTIFICAÇÃO NORMALMENTE UTILIZADO PELA CIA. GPC, FAVOR ENVIAR SUGESTÃO PARA AVALIAÇÃO DO GRUPO.</w:t>
      </w:r>
      <w:r w:rsidRPr="0006719C">
        <w:rPr>
          <w:rFonts w:ascii="Arial" w:hAnsi="Arial" w:cs="Arial"/>
          <w:sz w:val="20"/>
          <w:szCs w:val="20"/>
          <w:highlight w:val="yellow"/>
        </w:rPr>
        <w:t>]</w:t>
      </w:r>
      <w:r w:rsidR="004F2310">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200834BB" w:rsidR="0061060F" w:rsidRPr="0006719C" w:rsidRDefault="0006719C" w:rsidP="0006719C">
      <w:pPr>
        <w:spacing w:after="0" w:line="240" w:lineRule="auto"/>
        <w:jc w:val="both"/>
        <w:rPr>
          <w:rFonts w:ascii="Arial" w:hAnsi="Arial" w:cs="Arial"/>
          <w:b/>
          <w:sz w:val="20"/>
          <w:szCs w:val="20"/>
        </w:rPr>
      </w:pPr>
      <w:r w:rsidRPr="0006719C">
        <w:rPr>
          <w:rFonts w:ascii="Arial" w:hAnsi="Arial" w:cs="Arial"/>
          <w:b/>
          <w:sz w:val="20"/>
          <w:szCs w:val="20"/>
          <w:highlight w:val="yellow"/>
        </w:rPr>
        <w:t>[NOTA LEFOSSE: GPC, FAVOR ENVIAR A LISTA DE DUP</w:t>
      </w:r>
      <w:bookmarkStart w:id="102" w:name="_GoBack"/>
      <w:bookmarkEnd w:id="102"/>
      <w:r w:rsidRPr="0006719C">
        <w:rPr>
          <w:rFonts w:ascii="Arial" w:hAnsi="Arial" w:cs="Arial"/>
          <w:b/>
          <w:sz w:val="20"/>
          <w:szCs w:val="20"/>
          <w:highlight w:val="yellow"/>
        </w:rPr>
        <w:t>LICATAS CEDIDAS, QUANDO ESTIVERMOS PRÓXIMO DA ASSINATURA.]</w:t>
      </w:r>
    </w:p>
    <w:p w14:paraId="25E36F62" w14:textId="77777777" w:rsidR="0061060F" w:rsidRPr="0006719C" w:rsidRDefault="0061060F" w:rsidP="004F2310">
      <w:pPr>
        <w:spacing w:after="0" w:line="240" w:lineRule="auto"/>
        <w:rPr>
          <w:rFonts w:ascii="Arial" w:hAnsi="Arial" w:cs="Arial"/>
          <w:b/>
          <w:sz w:val="20"/>
          <w:szCs w:val="20"/>
        </w:rPr>
      </w:pPr>
    </w:p>
    <w:p w14:paraId="5AB7A73F" w14:textId="79E9020B" w:rsidR="00916C01" w:rsidRPr="00454F1E" w:rsidRDefault="00916C01">
      <w:pPr>
        <w:spacing w:after="0" w:line="240" w:lineRule="auto"/>
        <w:rPr>
          <w:rStyle w:val="Emphasis"/>
          <w:rFonts w:ascii="Arial" w:eastAsia="Times New Roman" w:hAnsi="Arial" w:cs="Arial"/>
          <w:sz w:val="20"/>
          <w:szCs w:val="24"/>
        </w:rPr>
      </w:pPr>
    </w:p>
    <w:bookmarkEnd w:id="0"/>
    <w:p w14:paraId="43E2CE15" w14:textId="3941AC04" w:rsidR="00916C01" w:rsidRPr="006C05B0" w:rsidRDefault="00916C01" w:rsidP="00916C01">
      <w:pPr>
        <w:pStyle w:val="Body"/>
        <w:rPr>
          <w:rStyle w:val="Emphasis"/>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2EFF" w14:textId="77777777" w:rsidR="001C795F" w:rsidRDefault="001C795F" w:rsidP="00206C23">
      <w:pPr>
        <w:spacing w:after="0" w:line="240" w:lineRule="auto"/>
      </w:pPr>
      <w:r>
        <w:separator/>
      </w:r>
    </w:p>
  </w:endnote>
  <w:endnote w:type="continuationSeparator" w:id="0">
    <w:p w14:paraId="5E381AAC" w14:textId="77777777" w:rsidR="001C795F" w:rsidRDefault="001C795F" w:rsidP="00206C23">
      <w:pPr>
        <w:spacing w:after="0" w:line="240" w:lineRule="auto"/>
      </w:pPr>
      <w:r>
        <w:continuationSeparator/>
      </w:r>
    </w:p>
  </w:endnote>
  <w:endnote w:type="continuationNotice" w:id="1">
    <w:p w14:paraId="7EAFB0DD" w14:textId="77777777" w:rsidR="001C795F" w:rsidRDefault="001C7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C402" w14:textId="0500CBF8" w:rsidR="00B749F2" w:rsidRDefault="00B749F2">
    <w:pPr>
      <w:pStyle w:val="Footer"/>
      <w:jc w:val="center"/>
    </w:pPr>
  </w:p>
  <w:p w14:paraId="6619FC5C" w14:textId="3377F0B9" w:rsidR="00B749F2" w:rsidRPr="000F681C" w:rsidRDefault="00B749F2" w:rsidP="00E25511">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76F72" w14:textId="77777777" w:rsidR="001C795F" w:rsidRDefault="001C795F" w:rsidP="00206C23">
      <w:pPr>
        <w:spacing w:after="0" w:line="240" w:lineRule="auto"/>
      </w:pPr>
      <w:r>
        <w:separator/>
      </w:r>
    </w:p>
  </w:footnote>
  <w:footnote w:type="continuationSeparator" w:id="0">
    <w:p w14:paraId="3BCDD838" w14:textId="77777777" w:rsidR="001C795F" w:rsidRDefault="001C795F" w:rsidP="00206C23">
      <w:pPr>
        <w:spacing w:after="0" w:line="240" w:lineRule="auto"/>
      </w:pPr>
      <w:r>
        <w:continuationSeparator/>
      </w:r>
    </w:p>
  </w:footnote>
  <w:footnote w:type="continuationNotice" w:id="1">
    <w:p w14:paraId="2A58C5D0" w14:textId="77777777" w:rsidR="001C795F" w:rsidRDefault="001C7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090" w14:textId="666D57A8" w:rsidR="00B749F2" w:rsidRDefault="00B749F2" w:rsidP="00666CD0">
    <w:pPr>
      <w:pStyle w:val="Header"/>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B749F2" w:rsidRPr="00010DE3" w:rsidRDefault="00B749F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B749F2" w:rsidRPr="00010DE3" w:rsidRDefault="00B749F2" w:rsidP="00010DE3">
                    <w:pPr>
                      <w:spacing w:after="0"/>
                      <w:jc w:val="right"/>
                      <w:rPr>
                        <w:rFonts w:cs="Calibri"/>
                        <w:color w:val="000000"/>
                        <w:sz w:val="20"/>
                      </w:rPr>
                    </w:pPr>
                  </w:p>
                </w:txbxContent>
              </v:textbox>
              <w10:wrap anchorx="page" anchory="page"/>
            </v:shape>
          </w:pict>
        </mc:Fallback>
      </mc:AlternateContent>
    </w:r>
    <w:r>
      <w:rPr>
        <w:rFonts w:ascii="Arial" w:hAnsi="Arial" w:cs="Arial"/>
        <w:b/>
      </w:rPr>
      <w:t>Minuta Lefosse</w:t>
    </w:r>
  </w:p>
  <w:p w14:paraId="0BC8C397" w14:textId="1EA76464" w:rsidR="00B749F2" w:rsidRDefault="00B749F2" w:rsidP="00666CD0">
    <w:pPr>
      <w:pStyle w:val="Header"/>
      <w:jc w:val="right"/>
      <w:rPr>
        <w:rFonts w:ascii="Arial" w:hAnsi="Arial" w:cs="Arial"/>
        <w:b/>
      </w:rPr>
    </w:pPr>
    <w:r>
      <w:rPr>
        <w:rFonts w:ascii="Arial" w:hAnsi="Arial" w:cs="Arial"/>
        <w:b/>
      </w:rPr>
      <w:t>30.09.2021</w:t>
    </w:r>
  </w:p>
  <w:p w14:paraId="10862637" w14:textId="798B7FDE" w:rsidR="00B749F2" w:rsidRPr="008B21C4" w:rsidRDefault="00B749F2" w:rsidP="00666CD0">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DD" w14:textId="77777777" w:rsidR="00B749F2" w:rsidRDefault="00B749F2">
    <w:pPr>
      <w:pStyle w:val="Header"/>
      <w:jc w:val="right"/>
      <w:rPr>
        <w:i/>
      </w:rPr>
    </w:pPr>
    <w:r>
      <w:rPr>
        <w:i/>
      </w:rPr>
      <w:t>Minuta SCBF</w:t>
    </w:r>
  </w:p>
  <w:p w14:paraId="2FB48F1F" w14:textId="77777777" w:rsidR="00B749F2" w:rsidRDefault="00B749F2">
    <w:pPr>
      <w:pStyle w:val="Header"/>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2CA80DEC" w:rsidR="00B749F2" w:rsidRPr="004624A5" w:rsidRDefault="00B749F2" w:rsidP="004624A5">
    <w:pPr>
      <w:pStyle w:val="Header"/>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B749F2" w:rsidRPr="00010DE3" w:rsidRDefault="00B749F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B749F2" w:rsidRPr="00010DE3" w:rsidRDefault="00B749F2"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0E226A04"/>
    <w:multiLevelType w:val="multilevel"/>
    <w:tmpl w:val="54361D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7F7D0C"/>
    <w:multiLevelType w:val="multilevel"/>
    <w:tmpl w:val="9616317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21" w15:restartNumberingAfterBreak="0">
    <w:nsid w:val="3D3D0939"/>
    <w:multiLevelType w:val="multilevel"/>
    <w:tmpl w:val="58E016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D58FE"/>
    <w:multiLevelType w:val="multilevel"/>
    <w:tmpl w:val="27A8B87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33F25FA"/>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9"/>
  </w:num>
  <w:num w:numId="4">
    <w:abstractNumId w:val="5"/>
  </w:num>
  <w:num w:numId="5">
    <w:abstractNumId w:val="18"/>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10"/>
  </w:num>
  <w:num w:numId="14">
    <w:abstractNumId w:val="32"/>
  </w:num>
  <w:num w:numId="15">
    <w:abstractNumId w:val="9"/>
  </w:num>
  <w:num w:numId="16">
    <w:abstractNumId w:val="5"/>
  </w:num>
  <w:num w:numId="17">
    <w:abstractNumId w:val="5"/>
  </w:num>
  <w:num w:numId="18">
    <w:abstractNumId w:val="26"/>
  </w:num>
  <w:num w:numId="19">
    <w:abstractNumId w:val="15"/>
  </w:num>
  <w:num w:numId="20">
    <w:abstractNumId w:val="29"/>
  </w:num>
  <w:num w:numId="21">
    <w:abstractNumId w:val="29"/>
  </w:num>
  <w:num w:numId="22">
    <w:abstractNumId w:val="29"/>
  </w:num>
  <w:num w:numId="23">
    <w:abstractNumId w:val="2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19"/>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0"/>
  </w:num>
  <w:num w:numId="34">
    <w:abstractNumId w:val="29"/>
  </w:num>
  <w:num w:numId="35">
    <w:abstractNumId w:val="29"/>
  </w:num>
  <w:num w:numId="36">
    <w:abstractNumId w:val="29"/>
  </w:num>
  <w:num w:numId="37">
    <w:abstractNumId w:val="29"/>
  </w:num>
  <w:num w:numId="38">
    <w:abstractNumId w:val="27"/>
  </w:num>
  <w:num w:numId="39">
    <w:abstractNumId w:val="29"/>
  </w:num>
  <w:num w:numId="40">
    <w:abstractNumId w:val="20"/>
  </w:num>
  <w:num w:numId="41">
    <w:abstractNumId w:val="29"/>
  </w:num>
  <w:num w:numId="42">
    <w:abstractNumId w:val="24"/>
  </w:num>
  <w:num w:numId="43">
    <w:abstractNumId w:val="29"/>
  </w:num>
  <w:num w:numId="44">
    <w:abstractNumId w:val="2"/>
  </w:num>
  <w:num w:numId="45">
    <w:abstractNumId w:val="36"/>
  </w:num>
  <w:num w:numId="46">
    <w:abstractNumId w:val="12"/>
  </w:num>
  <w:num w:numId="47">
    <w:abstractNumId w:val="14"/>
  </w:num>
  <w:num w:numId="48">
    <w:abstractNumId w:val="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9"/>
  </w:num>
  <w:num w:numId="52">
    <w:abstractNumId w:val="29"/>
  </w:num>
  <w:num w:numId="53">
    <w:abstractNumId w:val="29"/>
  </w:num>
  <w:num w:numId="54">
    <w:abstractNumId w:val="7"/>
  </w:num>
  <w:num w:numId="55">
    <w:abstractNumId w:val="29"/>
  </w:num>
  <w:num w:numId="56">
    <w:abstractNumId w:val="31"/>
  </w:num>
  <w:num w:numId="57">
    <w:abstractNumId w:val="29"/>
  </w:num>
  <w:num w:numId="58">
    <w:abstractNumId w:val="37"/>
  </w:num>
  <w:num w:numId="59">
    <w:abstractNumId w:val="4"/>
  </w:num>
  <w:num w:numId="60">
    <w:abstractNumId w:val="29"/>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5"/>
    </w:lvlOverride>
  </w:num>
  <w:num w:numId="63">
    <w:abstractNumId w:val="25"/>
  </w:num>
  <w:num w:numId="64">
    <w:abstractNumId w:val="23"/>
  </w:num>
  <w:num w:numId="65">
    <w:abstractNumId w:val="38"/>
  </w:num>
  <w:num w:numId="66">
    <w:abstractNumId w:val="6"/>
  </w:num>
  <w:num w:numId="67">
    <w:abstractNumId w:val="29"/>
  </w:num>
  <w:num w:numId="68">
    <w:abstractNumId w:val="11"/>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34"/>
  </w:num>
  <w:num w:numId="86">
    <w:abstractNumId w:val="16"/>
  </w:num>
  <w:num w:numId="87">
    <w:abstractNumId w:val="8"/>
  </w:num>
  <w:num w:numId="88">
    <w:abstractNumId w:val="21"/>
  </w:num>
  <w:num w:numId="89">
    <w:abstractNumId w:val="13"/>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33"/>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483F"/>
    <w:rsid w:val="00014AF9"/>
    <w:rsid w:val="000152FE"/>
    <w:rsid w:val="000153EC"/>
    <w:rsid w:val="000165FD"/>
    <w:rsid w:val="000171C9"/>
    <w:rsid w:val="000177F5"/>
    <w:rsid w:val="00020BF1"/>
    <w:rsid w:val="000219C8"/>
    <w:rsid w:val="00023219"/>
    <w:rsid w:val="00024372"/>
    <w:rsid w:val="00026662"/>
    <w:rsid w:val="0002752F"/>
    <w:rsid w:val="00027BEA"/>
    <w:rsid w:val="000310E3"/>
    <w:rsid w:val="000311EC"/>
    <w:rsid w:val="0003230C"/>
    <w:rsid w:val="000323C9"/>
    <w:rsid w:val="0003260E"/>
    <w:rsid w:val="00032DA3"/>
    <w:rsid w:val="0003315B"/>
    <w:rsid w:val="000336ED"/>
    <w:rsid w:val="000338C0"/>
    <w:rsid w:val="00033D74"/>
    <w:rsid w:val="00033DBA"/>
    <w:rsid w:val="00034485"/>
    <w:rsid w:val="000346D4"/>
    <w:rsid w:val="00034DDC"/>
    <w:rsid w:val="00034E72"/>
    <w:rsid w:val="0003556E"/>
    <w:rsid w:val="00037718"/>
    <w:rsid w:val="00040364"/>
    <w:rsid w:val="00043266"/>
    <w:rsid w:val="00043929"/>
    <w:rsid w:val="00043E36"/>
    <w:rsid w:val="00043FB1"/>
    <w:rsid w:val="000445C6"/>
    <w:rsid w:val="00044DBA"/>
    <w:rsid w:val="00045337"/>
    <w:rsid w:val="00045D7D"/>
    <w:rsid w:val="00046EBE"/>
    <w:rsid w:val="00047B63"/>
    <w:rsid w:val="00050075"/>
    <w:rsid w:val="00050626"/>
    <w:rsid w:val="00050818"/>
    <w:rsid w:val="00050CD9"/>
    <w:rsid w:val="00050E5B"/>
    <w:rsid w:val="000527A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6719C"/>
    <w:rsid w:val="00067680"/>
    <w:rsid w:val="00070B72"/>
    <w:rsid w:val="00070D22"/>
    <w:rsid w:val="00071932"/>
    <w:rsid w:val="000738EC"/>
    <w:rsid w:val="00074B51"/>
    <w:rsid w:val="00075A2B"/>
    <w:rsid w:val="0007786A"/>
    <w:rsid w:val="00080452"/>
    <w:rsid w:val="000817FC"/>
    <w:rsid w:val="00083EF4"/>
    <w:rsid w:val="00084118"/>
    <w:rsid w:val="00084EF9"/>
    <w:rsid w:val="00085567"/>
    <w:rsid w:val="00085821"/>
    <w:rsid w:val="00085E6D"/>
    <w:rsid w:val="0008602F"/>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051A"/>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5F"/>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4DE"/>
    <w:rsid w:val="000F07D7"/>
    <w:rsid w:val="000F0CD3"/>
    <w:rsid w:val="000F1A98"/>
    <w:rsid w:val="000F2561"/>
    <w:rsid w:val="000F3594"/>
    <w:rsid w:val="000F3BA4"/>
    <w:rsid w:val="000F4388"/>
    <w:rsid w:val="000F45EB"/>
    <w:rsid w:val="000F4C06"/>
    <w:rsid w:val="000F5054"/>
    <w:rsid w:val="000F543B"/>
    <w:rsid w:val="000F5AED"/>
    <w:rsid w:val="000F681C"/>
    <w:rsid w:val="000F6885"/>
    <w:rsid w:val="000F69EC"/>
    <w:rsid w:val="000F6B41"/>
    <w:rsid w:val="000F7479"/>
    <w:rsid w:val="0010115C"/>
    <w:rsid w:val="00101FFA"/>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19D"/>
    <w:rsid w:val="0014278F"/>
    <w:rsid w:val="0014300A"/>
    <w:rsid w:val="001440A9"/>
    <w:rsid w:val="0014418F"/>
    <w:rsid w:val="00144A32"/>
    <w:rsid w:val="00144BCD"/>
    <w:rsid w:val="00145946"/>
    <w:rsid w:val="00145DC7"/>
    <w:rsid w:val="001474F0"/>
    <w:rsid w:val="00147886"/>
    <w:rsid w:val="001501F5"/>
    <w:rsid w:val="00150522"/>
    <w:rsid w:val="00150AA6"/>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0C2D"/>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3515"/>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3086"/>
    <w:rsid w:val="00194369"/>
    <w:rsid w:val="00194764"/>
    <w:rsid w:val="0019545A"/>
    <w:rsid w:val="00195B4E"/>
    <w:rsid w:val="00197693"/>
    <w:rsid w:val="001A1630"/>
    <w:rsid w:val="001A169D"/>
    <w:rsid w:val="001A21AD"/>
    <w:rsid w:val="001A44F1"/>
    <w:rsid w:val="001A5AA2"/>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509"/>
    <w:rsid w:val="001C4668"/>
    <w:rsid w:val="001C46AA"/>
    <w:rsid w:val="001C47AA"/>
    <w:rsid w:val="001C492B"/>
    <w:rsid w:val="001C51B6"/>
    <w:rsid w:val="001C6EB3"/>
    <w:rsid w:val="001C6EC6"/>
    <w:rsid w:val="001C7213"/>
    <w:rsid w:val="001C795F"/>
    <w:rsid w:val="001D0EE0"/>
    <w:rsid w:val="001D146B"/>
    <w:rsid w:val="001D1695"/>
    <w:rsid w:val="001D209C"/>
    <w:rsid w:val="001D2BB8"/>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67A8"/>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4D5A"/>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C7CDF"/>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6C5"/>
    <w:rsid w:val="002F270B"/>
    <w:rsid w:val="002F2931"/>
    <w:rsid w:val="002F3153"/>
    <w:rsid w:val="002F3532"/>
    <w:rsid w:val="002F3655"/>
    <w:rsid w:val="002F36EA"/>
    <w:rsid w:val="002F58BE"/>
    <w:rsid w:val="002F63A1"/>
    <w:rsid w:val="002F69DF"/>
    <w:rsid w:val="002F75F5"/>
    <w:rsid w:val="00300D16"/>
    <w:rsid w:val="00301437"/>
    <w:rsid w:val="00301907"/>
    <w:rsid w:val="00302E56"/>
    <w:rsid w:val="00302F76"/>
    <w:rsid w:val="003038A6"/>
    <w:rsid w:val="00304130"/>
    <w:rsid w:val="00304367"/>
    <w:rsid w:val="00304806"/>
    <w:rsid w:val="003049BB"/>
    <w:rsid w:val="0030619B"/>
    <w:rsid w:val="003061C9"/>
    <w:rsid w:val="00306EEF"/>
    <w:rsid w:val="00307035"/>
    <w:rsid w:val="0031116E"/>
    <w:rsid w:val="003115AB"/>
    <w:rsid w:val="00311BE1"/>
    <w:rsid w:val="00312014"/>
    <w:rsid w:val="003129CF"/>
    <w:rsid w:val="00312D82"/>
    <w:rsid w:val="003130D7"/>
    <w:rsid w:val="00314676"/>
    <w:rsid w:val="00314A29"/>
    <w:rsid w:val="00315387"/>
    <w:rsid w:val="00316B95"/>
    <w:rsid w:val="003175BB"/>
    <w:rsid w:val="003176CC"/>
    <w:rsid w:val="00317D05"/>
    <w:rsid w:val="00320272"/>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BDF"/>
    <w:rsid w:val="00367DDA"/>
    <w:rsid w:val="0037065F"/>
    <w:rsid w:val="00370672"/>
    <w:rsid w:val="00370B69"/>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14AE"/>
    <w:rsid w:val="00392788"/>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37C3"/>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17F"/>
    <w:rsid w:val="00423C53"/>
    <w:rsid w:val="00424084"/>
    <w:rsid w:val="0042497E"/>
    <w:rsid w:val="00425A4D"/>
    <w:rsid w:val="00425E83"/>
    <w:rsid w:val="004268FA"/>
    <w:rsid w:val="00426EC8"/>
    <w:rsid w:val="004279BA"/>
    <w:rsid w:val="00431775"/>
    <w:rsid w:val="0043187C"/>
    <w:rsid w:val="0043223D"/>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47D9A"/>
    <w:rsid w:val="00450C79"/>
    <w:rsid w:val="004517FE"/>
    <w:rsid w:val="004523DD"/>
    <w:rsid w:val="00452709"/>
    <w:rsid w:val="00453C69"/>
    <w:rsid w:val="004541DE"/>
    <w:rsid w:val="00454EF9"/>
    <w:rsid w:val="00454F1E"/>
    <w:rsid w:val="00455AD5"/>
    <w:rsid w:val="004567A7"/>
    <w:rsid w:val="00457004"/>
    <w:rsid w:val="0046143B"/>
    <w:rsid w:val="00461FFB"/>
    <w:rsid w:val="004624A5"/>
    <w:rsid w:val="00462521"/>
    <w:rsid w:val="004633D7"/>
    <w:rsid w:val="0046351D"/>
    <w:rsid w:val="004641FB"/>
    <w:rsid w:val="00464336"/>
    <w:rsid w:val="00464361"/>
    <w:rsid w:val="00464709"/>
    <w:rsid w:val="00464DCF"/>
    <w:rsid w:val="00467AF8"/>
    <w:rsid w:val="00470799"/>
    <w:rsid w:val="00472738"/>
    <w:rsid w:val="00473A98"/>
    <w:rsid w:val="00473DB5"/>
    <w:rsid w:val="00474A9D"/>
    <w:rsid w:val="00475057"/>
    <w:rsid w:val="004755AA"/>
    <w:rsid w:val="0047587F"/>
    <w:rsid w:val="00476372"/>
    <w:rsid w:val="00476A91"/>
    <w:rsid w:val="0048000D"/>
    <w:rsid w:val="00480465"/>
    <w:rsid w:val="00480813"/>
    <w:rsid w:val="004808F7"/>
    <w:rsid w:val="004809C6"/>
    <w:rsid w:val="00480FED"/>
    <w:rsid w:val="004815AB"/>
    <w:rsid w:val="00482363"/>
    <w:rsid w:val="004825F0"/>
    <w:rsid w:val="004832FF"/>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1C21"/>
    <w:rsid w:val="004D20F0"/>
    <w:rsid w:val="004D2B0C"/>
    <w:rsid w:val="004E0E9D"/>
    <w:rsid w:val="004E177B"/>
    <w:rsid w:val="004E1D3E"/>
    <w:rsid w:val="004E261C"/>
    <w:rsid w:val="004E2B86"/>
    <w:rsid w:val="004E4DB5"/>
    <w:rsid w:val="004E4F28"/>
    <w:rsid w:val="004E6FCB"/>
    <w:rsid w:val="004F03D0"/>
    <w:rsid w:val="004F0759"/>
    <w:rsid w:val="004F14B7"/>
    <w:rsid w:val="004F1BEB"/>
    <w:rsid w:val="004F1D91"/>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07607"/>
    <w:rsid w:val="00510137"/>
    <w:rsid w:val="005115F4"/>
    <w:rsid w:val="00511EEF"/>
    <w:rsid w:val="0051219B"/>
    <w:rsid w:val="005126A2"/>
    <w:rsid w:val="00512AC6"/>
    <w:rsid w:val="00512F44"/>
    <w:rsid w:val="005142AD"/>
    <w:rsid w:val="00514457"/>
    <w:rsid w:val="00515505"/>
    <w:rsid w:val="00515B22"/>
    <w:rsid w:val="00516744"/>
    <w:rsid w:val="0051687D"/>
    <w:rsid w:val="00516A42"/>
    <w:rsid w:val="00516F48"/>
    <w:rsid w:val="0051707F"/>
    <w:rsid w:val="00517442"/>
    <w:rsid w:val="00517A1E"/>
    <w:rsid w:val="00521037"/>
    <w:rsid w:val="00521A64"/>
    <w:rsid w:val="0052298D"/>
    <w:rsid w:val="00525653"/>
    <w:rsid w:val="00525D9E"/>
    <w:rsid w:val="005261AC"/>
    <w:rsid w:val="005262F4"/>
    <w:rsid w:val="0052665E"/>
    <w:rsid w:val="00527189"/>
    <w:rsid w:val="00527F54"/>
    <w:rsid w:val="005311BD"/>
    <w:rsid w:val="005315FC"/>
    <w:rsid w:val="00532F82"/>
    <w:rsid w:val="00533349"/>
    <w:rsid w:val="00533EDA"/>
    <w:rsid w:val="00534AD0"/>
    <w:rsid w:val="005354D7"/>
    <w:rsid w:val="00536462"/>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49F7"/>
    <w:rsid w:val="0055568E"/>
    <w:rsid w:val="00555FBE"/>
    <w:rsid w:val="005564C6"/>
    <w:rsid w:val="0056005D"/>
    <w:rsid w:val="00560585"/>
    <w:rsid w:val="005606AB"/>
    <w:rsid w:val="00561A7F"/>
    <w:rsid w:val="00562328"/>
    <w:rsid w:val="005625BA"/>
    <w:rsid w:val="005628AC"/>
    <w:rsid w:val="0056370D"/>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0EF6"/>
    <w:rsid w:val="005926C9"/>
    <w:rsid w:val="00592BA8"/>
    <w:rsid w:val="00593053"/>
    <w:rsid w:val="005931EC"/>
    <w:rsid w:val="005946BE"/>
    <w:rsid w:val="00595576"/>
    <w:rsid w:val="00596720"/>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9CC"/>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0A0"/>
    <w:rsid w:val="005C5C95"/>
    <w:rsid w:val="005C5DFC"/>
    <w:rsid w:val="005C6DA5"/>
    <w:rsid w:val="005C6F18"/>
    <w:rsid w:val="005C7AD0"/>
    <w:rsid w:val="005D20D3"/>
    <w:rsid w:val="005D2235"/>
    <w:rsid w:val="005D257C"/>
    <w:rsid w:val="005D36CB"/>
    <w:rsid w:val="005D3865"/>
    <w:rsid w:val="005D4FDC"/>
    <w:rsid w:val="005D6318"/>
    <w:rsid w:val="005D64BC"/>
    <w:rsid w:val="005D6E8B"/>
    <w:rsid w:val="005D6FF5"/>
    <w:rsid w:val="005D72C1"/>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2B3"/>
    <w:rsid w:val="005E7808"/>
    <w:rsid w:val="005E7C77"/>
    <w:rsid w:val="005E7FB8"/>
    <w:rsid w:val="005F0C50"/>
    <w:rsid w:val="005F2A29"/>
    <w:rsid w:val="005F2D4A"/>
    <w:rsid w:val="005F2E56"/>
    <w:rsid w:val="005F318C"/>
    <w:rsid w:val="005F3F38"/>
    <w:rsid w:val="005F543B"/>
    <w:rsid w:val="005F56CC"/>
    <w:rsid w:val="005F575F"/>
    <w:rsid w:val="005F6401"/>
    <w:rsid w:val="005F708A"/>
    <w:rsid w:val="005F78A3"/>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5A82"/>
    <w:rsid w:val="00646755"/>
    <w:rsid w:val="00646E5B"/>
    <w:rsid w:val="00647273"/>
    <w:rsid w:val="00647DAB"/>
    <w:rsid w:val="00650DD5"/>
    <w:rsid w:val="00651622"/>
    <w:rsid w:val="00651F2C"/>
    <w:rsid w:val="00652B00"/>
    <w:rsid w:val="006530B1"/>
    <w:rsid w:val="006543F7"/>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1DB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1FE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17AF"/>
    <w:rsid w:val="006D1F9C"/>
    <w:rsid w:val="006D320A"/>
    <w:rsid w:val="006D376A"/>
    <w:rsid w:val="006D42E5"/>
    <w:rsid w:val="006D5874"/>
    <w:rsid w:val="006D58F5"/>
    <w:rsid w:val="006D5B12"/>
    <w:rsid w:val="006D611C"/>
    <w:rsid w:val="006D6793"/>
    <w:rsid w:val="006E0A95"/>
    <w:rsid w:val="006E0DDE"/>
    <w:rsid w:val="006E104B"/>
    <w:rsid w:val="006E2A61"/>
    <w:rsid w:val="006E3CAC"/>
    <w:rsid w:val="006E4942"/>
    <w:rsid w:val="006E67BF"/>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2A"/>
    <w:rsid w:val="006F7730"/>
    <w:rsid w:val="006F7866"/>
    <w:rsid w:val="007002B9"/>
    <w:rsid w:val="007004C8"/>
    <w:rsid w:val="00701340"/>
    <w:rsid w:val="0070178B"/>
    <w:rsid w:val="007025AD"/>
    <w:rsid w:val="00702FE7"/>
    <w:rsid w:val="007036F6"/>
    <w:rsid w:val="00703C0E"/>
    <w:rsid w:val="00704839"/>
    <w:rsid w:val="007055EA"/>
    <w:rsid w:val="0070782E"/>
    <w:rsid w:val="00707AAB"/>
    <w:rsid w:val="00707EEA"/>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3F2A"/>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4359"/>
    <w:rsid w:val="007571EF"/>
    <w:rsid w:val="0075762E"/>
    <w:rsid w:val="00757C34"/>
    <w:rsid w:val="00760493"/>
    <w:rsid w:val="00760DD0"/>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5D2"/>
    <w:rsid w:val="00767E3E"/>
    <w:rsid w:val="0077104F"/>
    <w:rsid w:val="007716B2"/>
    <w:rsid w:val="00771AAF"/>
    <w:rsid w:val="00773034"/>
    <w:rsid w:val="00773FF6"/>
    <w:rsid w:val="00774D1D"/>
    <w:rsid w:val="00780637"/>
    <w:rsid w:val="0078179B"/>
    <w:rsid w:val="0078199C"/>
    <w:rsid w:val="007831EC"/>
    <w:rsid w:val="007834A2"/>
    <w:rsid w:val="00784AF8"/>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4A55"/>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2E4"/>
    <w:rsid w:val="007C2FA8"/>
    <w:rsid w:val="007C307E"/>
    <w:rsid w:val="007C3234"/>
    <w:rsid w:val="007C3F7F"/>
    <w:rsid w:val="007C46F5"/>
    <w:rsid w:val="007C49FE"/>
    <w:rsid w:val="007C540F"/>
    <w:rsid w:val="007C599B"/>
    <w:rsid w:val="007C6582"/>
    <w:rsid w:val="007C7EB7"/>
    <w:rsid w:val="007D0954"/>
    <w:rsid w:val="007D0CC3"/>
    <w:rsid w:val="007D23FC"/>
    <w:rsid w:val="007D2CDD"/>
    <w:rsid w:val="007D3346"/>
    <w:rsid w:val="007D38A8"/>
    <w:rsid w:val="007D3BF0"/>
    <w:rsid w:val="007D3EFA"/>
    <w:rsid w:val="007D4D27"/>
    <w:rsid w:val="007D51AF"/>
    <w:rsid w:val="007D53B9"/>
    <w:rsid w:val="007D54DF"/>
    <w:rsid w:val="007D5900"/>
    <w:rsid w:val="007D6420"/>
    <w:rsid w:val="007D6699"/>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47E"/>
    <w:rsid w:val="007F694A"/>
    <w:rsid w:val="007F71B9"/>
    <w:rsid w:val="007F735A"/>
    <w:rsid w:val="007F7A8F"/>
    <w:rsid w:val="007F7D98"/>
    <w:rsid w:val="008002BD"/>
    <w:rsid w:val="008006C7"/>
    <w:rsid w:val="008026C9"/>
    <w:rsid w:val="00802A9D"/>
    <w:rsid w:val="00802C09"/>
    <w:rsid w:val="00803115"/>
    <w:rsid w:val="00803CB4"/>
    <w:rsid w:val="00804195"/>
    <w:rsid w:val="00805772"/>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406"/>
    <w:rsid w:val="00821608"/>
    <w:rsid w:val="00821945"/>
    <w:rsid w:val="00821E49"/>
    <w:rsid w:val="0082275F"/>
    <w:rsid w:val="00822A12"/>
    <w:rsid w:val="00822B69"/>
    <w:rsid w:val="008243E3"/>
    <w:rsid w:val="00825161"/>
    <w:rsid w:val="00825714"/>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51E"/>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3DA"/>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705"/>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1C09"/>
    <w:rsid w:val="008B25D3"/>
    <w:rsid w:val="008B32A8"/>
    <w:rsid w:val="008B3BD4"/>
    <w:rsid w:val="008B3BE7"/>
    <w:rsid w:val="008B41D0"/>
    <w:rsid w:val="008B4334"/>
    <w:rsid w:val="008B5509"/>
    <w:rsid w:val="008B55D6"/>
    <w:rsid w:val="008B565E"/>
    <w:rsid w:val="008B6B38"/>
    <w:rsid w:val="008B6BF3"/>
    <w:rsid w:val="008B7291"/>
    <w:rsid w:val="008B7497"/>
    <w:rsid w:val="008B75D4"/>
    <w:rsid w:val="008C0516"/>
    <w:rsid w:val="008C181C"/>
    <w:rsid w:val="008C21A6"/>
    <w:rsid w:val="008C220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D766B"/>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2A8"/>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1A"/>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3AD7"/>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C23"/>
    <w:rsid w:val="00947EA6"/>
    <w:rsid w:val="009505D9"/>
    <w:rsid w:val="00950896"/>
    <w:rsid w:val="0095167D"/>
    <w:rsid w:val="00951C9C"/>
    <w:rsid w:val="009522DC"/>
    <w:rsid w:val="009538C7"/>
    <w:rsid w:val="00953C20"/>
    <w:rsid w:val="00953D54"/>
    <w:rsid w:val="009552CA"/>
    <w:rsid w:val="0095616F"/>
    <w:rsid w:val="009564C0"/>
    <w:rsid w:val="009602A5"/>
    <w:rsid w:val="009613D8"/>
    <w:rsid w:val="00962012"/>
    <w:rsid w:val="009624EE"/>
    <w:rsid w:val="009625C5"/>
    <w:rsid w:val="0096275F"/>
    <w:rsid w:val="00962762"/>
    <w:rsid w:val="00962DB9"/>
    <w:rsid w:val="00962EB4"/>
    <w:rsid w:val="00963FE6"/>
    <w:rsid w:val="009649A1"/>
    <w:rsid w:val="00964A49"/>
    <w:rsid w:val="00965516"/>
    <w:rsid w:val="00965D17"/>
    <w:rsid w:val="0096653C"/>
    <w:rsid w:val="009670F0"/>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184F"/>
    <w:rsid w:val="009C2227"/>
    <w:rsid w:val="009C2BAF"/>
    <w:rsid w:val="009C46AF"/>
    <w:rsid w:val="009C48C8"/>
    <w:rsid w:val="009C4C62"/>
    <w:rsid w:val="009C51D2"/>
    <w:rsid w:val="009C51EA"/>
    <w:rsid w:val="009C62DD"/>
    <w:rsid w:val="009C694E"/>
    <w:rsid w:val="009C73A2"/>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1F3E"/>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38BC"/>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1EA2"/>
    <w:rsid w:val="00A32152"/>
    <w:rsid w:val="00A32262"/>
    <w:rsid w:val="00A33860"/>
    <w:rsid w:val="00A36A4F"/>
    <w:rsid w:val="00A40BDD"/>
    <w:rsid w:val="00A4105B"/>
    <w:rsid w:val="00A41AEA"/>
    <w:rsid w:val="00A41D02"/>
    <w:rsid w:val="00A42318"/>
    <w:rsid w:val="00A424C7"/>
    <w:rsid w:val="00A4281C"/>
    <w:rsid w:val="00A42BB2"/>
    <w:rsid w:val="00A43267"/>
    <w:rsid w:val="00A440C8"/>
    <w:rsid w:val="00A44468"/>
    <w:rsid w:val="00A44E90"/>
    <w:rsid w:val="00A4525B"/>
    <w:rsid w:val="00A452E9"/>
    <w:rsid w:val="00A4604A"/>
    <w:rsid w:val="00A47477"/>
    <w:rsid w:val="00A47A63"/>
    <w:rsid w:val="00A508E2"/>
    <w:rsid w:val="00A51999"/>
    <w:rsid w:val="00A51FA8"/>
    <w:rsid w:val="00A52252"/>
    <w:rsid w:val="00A52465"/>
    <w:rsid w:val="00A5336F"/>
    <w:rsid w:val="00A54733"/>
    <w:rsid w:val="00A54E89"/>
    <w:rsid w:val="00A55230"/>
    <w:rsid w:val="00A560E8"/>
    <w:rsid w:val="00A56662"/>
    <w:rsid w:val="00A567C7"/>
    <w:rsid w:val="00A56B47"/>
    <w:rsid w:val="00A56F33"/>
    <w:rsid w:val="00A6073C"/>
    <w:rsid w:val="00A61DD6"/>
    <w:rsid w:val="00A61E5E"/>
    <w:rsid w:val="00A6217E"/>
    <w:rsid w:val="00A62B04"/>
    <w:rsid w:val="00A63CB6"/>
    <w:rsid w:val="00A6419F"/>
    <w:rsid w:val="00A6474D"/>
    <w:rsid w:val="00A65877"/>
    <w:rsid w:val="00A665C8"/>
    <w:rsid w:val="00A6712B"/>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2B7"/>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0C8D"/>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6F8"/>
    <w:rsid w:val="00B14B67"/>
    <w:rsid w:val="00B14CD2"/>
    <w:rsid w:val="00B14D57"/>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1D2"/>
    <w:rsid w:val="00B354FE"/>
    <w:rsid w:val="00B35D80"/>
    <w:rsid w:val="00B371E4"/>
    <w:rsid w:val="00B40172"/>
    <w:rsid w:val="00B40826"/>
    <w:rsid w:val="00B40F9A"/>
    <w:rsid w:val="00B41B30"/>
    <w:rsid w:val="00B42A21"/>
    <w:rsid w:val="00B42A29"/>
    <w:rsid w:val="00B43004"/>
    <w:rsid w:val="00B43FE8"/>
    <w:rsid w:val="00B441F0"/>
    <w:rsid w:val="00B44B93"/>
    <w:rsid w:val="00B46409"/>
    <w:rsid w:val="00B46B0B"/>
    <w:rsid w:val="00B46C87"/>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3C8B"/>
    <w:rsid w:val="00B64A0C"/>
    <w:rsid w:val="00B64F3A"/>
    <w:rsid w:val="00B70465"/>
    <w:rsid w:val="00B708A3"/>
    <w:rsid w:val="00B7099E"/>
    <w:rsid w:val="00B71668"/>
    <w:rsid w:val="00B7212A"/>
    <w:rsid w:val="00B72347"/>
    <w:rsid w:val="00B72F67"/>
    <w:rsid w:val="00B749F2"/>
    <w:rsid w:val="00B74C5A"/>
    <w:rsid w:val="00B74EC0"/>
    <w:rsid w:val="00B7572D"/>
    <w:rsid w:val="00B75BE6"/>
    <w:rsid w:val="00B7602B"/>
    <w:rsid w:val="00B761DA"/>
    <w:rsid w:val="00B7631E"/>
    <w:rsid w:val="00B76D18"/>
    <w:rsid w:val="00B77412"/>
    <w:rsid w:val="00B779A6"/>
    <w:rsid w:val="00B803CD"/>
    <w:rsid w:val="00B819E0"/>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3C7A"/>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B7667"/>
    <w:rsid w:val="00BC0181"/>
    <w:rsid w:val="00BC062A"/>
    <w:rsid w:val="00BC0EBC"/>
    <w:rsid w:val="00BC1134"/>
    <w:rsid w:val="00BC1E9F"/>
    <w:rsid w:val="00BC27D6"/>
    <w:rsid w:val="00BC2BE0"/>
    <w:rsid w:val="00BC40C7"/>
    <w:rsid w:val="00BC4693"/>
    <w:rsid w:val="00BC4BA6"/>
    <w:rsid w:val="00BC54CB"/>
    <w:rsid w:val="00BC617A"/>
    <w:rsid w:val="00BC788F"/>
    <w:rsid w:val="00BC7F83"/>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7FA"/>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05"/>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16C5"/>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3A8"/>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437"/>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5F94"/>
    <w:rsid w:val="00CB6A2F"/>
    <w:rsid w:val="00CB76A7"/>
    <w:rsid w:val="00CB77A6"/>
    <w:rsid w:val="00CB7D63"/>
    <w:rsid w:val="00CB7EF8"/>
    <w:rsid w:val="00CC0D99"/>
    <w:rsid w:val="00CC3634"/>
    <w:rsid w:val="00CC3737"/>
    <w:rsid w:val="00CC3DDC"/>
    <w:rsid w:val="00CC5821"/>
    <w:rsid w:val="00CC651D"/>
    <w:rsid w:val="00CC65CF"/>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D6D"/>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752"/>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6FB5"/>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3F8"/>
    <w:rsid w:val="00D63400"/>
    <w:rsid w:val="00D64162"/>
    <w:rsid w:val="00D64AD4"/>
    <w:rsid w:val="00D64D48"/>
    <w:rsid w:val="00D66DD2"/>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59D1"/>
    <w:rsid w:val="00D86648"/>
    <w:rsid w:val="00D8679A"/>
    <w:rsid w:val="00D86E80"/>
    <w:rsid w:val="00D9021C"/>
    <w:rsid w:val="00D90EB2"/>
    <w:rsid w:val="00D91D72"/>
    <w:rsid w:val="00D92337"/>
    <w:rsid w:val="00D94052"/>
    <w:rsid w:val="00D95708"/>
    <w:rsid w:val="00D9570B"/>
    <w:rsid w:val="00D95787"/>
    <w:rsid w:val="00D9633F"/>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4E0"/>
    <w:rsid w:val="00DB1672"/>
    <w:rsid w:val="00DB1C3D"/>
    <w:rsid w:val="00DB4434"/>
    <w:rsid w:val="00DB4B71"/>
    <w:rsid w:val="00DB5839"/>
    <w:rsid w:val="00DB64D0"/>
    <w:rsid w:val="00DB65BC"/>
    <w:rsid w:val="00DB70A6"/>
    <w:rsid w:val="00DB779B"/>
    <w:rsid w:val="00DC1C98"/>
    <w:rsid w:val="00DC2DD7"/>
    <w:rsid w:val="00DC43DD"/>
    <w:rsid w:val="00DC537B"/>
    <w:rsid w:val="00DC5E56"/>
    <w:rsid w:val="00DC6CAD"/>
    <w:rsid w:val="00DC766D"/>
    <w:rsid w:val="00DD009F"/>
    <w:rsid w:val="00DD0623"/>
    <w:rsid w:val="00DD065A"/>
    <w:rsid w:val="00DD07C5"/>
    <w:rsid w:val="00DD0862"/>
    <w:rsid w:val="00DD0B53"/>
    <w:rsid w:val="00DD1438"/>
    <w:rsid w:val="00DD2015"/>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9E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A34"/>
    <w:rsid w:val="00E13CE7"/>
    <w:rsid w:val="00E14CEC"/>
    <w:rsid w:val="00E14F4C"/>
    <w:rsid w:val="00E157E3"/>
    <w:rsid w:val="00E160FE"/>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6C5C"/>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3177"/>
    <w:rsid w:val="00EA48BF"/>
    <w:rsid w:val="00EA496E"/>
    <w:rsid w:val="00EA4E28"/>
    <w:rsid w:val="00EA6000"/>
    <w:rsid w:val="00EA6442"/>
    <w:rsid w:val="00EA6B4B"/>
    <w:rsid w:val="00EB0BC0"/>
    <w:rsid w:val="00EB16B2"/>
    <w:rsid w:val="00EB25D2"/>
    <w:rsid w:val="00EB2A2D"/>
    <w:rsid w:val="00EB40D0"/>
    <w:rsid w:val="00EB531F"/>
    <w:rsid w:val="00EB6364"/>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75E"/>
    <w:rsid w:val="00EF3D3D"/>
    <w:rsid w:val="00EF3E4F"/>
    <w:rsid w:val="00EF42B9"/>
    <w:rsid w:val="00EF449B"/>
    <w:rsid w:val="00EF490C"/>
    <w:rsid w:val="00EF5872"/>
    <w:rsid w:val="00EF61F8"/>
    <w:rsid w:val="00EF6AB9"/>
    <w:rsid w:val="00EF7A37"/>
    <w:rsid w:val="00EF7E49"/>
    <w:rsid w:val="00F00660"/>
    <w:rsid w:val="00F01296"/>
    <w:rsid w:val="00F015C7"/>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2AD"/>
    <w:rsid w:val="00F214BE"/>
    <w:rsid w:val="00F21DFB"/>
    <w:rsid w:val="00F22750"/>
    <w:rsid w:val="00F22CBB"/>
    <w:rsid w:val="00F232FC"/>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4194"/>
    <w:rsid w:val="00F54F92"/>
    <w:rsid w:val="00F55286"/>
    <w:rsid w:val="00F55F1D"/>
    <w:rsid w:val="00F56F36"/>
    <w:rsid w:val="00F60879"/>
    <w:rsid w:val="00F60F2C"/>
    <w:rsid w:val="00F61632"/>
    <w:rsid w:val="00F616AB"/>
    <w:rsid w:val="00F618F4"/>
    <w:rsid w:val="00F62B09"/>
    <w:rsid w:val="00F633F9"/>
    <w:rsid w:val="00F63F8A"/>
    <w:rsid w:val="00F64A76"/>
    <w:rsid w:val="00F64BF0"/>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636"/>
    <w:rsid w:val="00FA1F10"/>
    <w:rsid w:val="00FA1F59"/>
    <w:rsid w:val="00FA23BA"/>
    <w:rsid w:val="00FA3333"/>
    <w:rsid w:val="00FA339A"/>
    <w:rsid w:val="00FA44D0"/>
    <w:rsid w:val="00FA4658"/>
    <w:rsid w:val="00FA4C25"/>
    <w:rsid w:val="00FA5CBD"/>
    <w:rsid w:val="00FA5F74"/>
    <w:rsid w:val="00FA65CB"/>
    <w:rsid w:val="00FA6A17"/>
    <w:rsid w:val="00FB0AAF"/>
    <w:rsid w:val="00FB264D"/>
    <w:rsid w:val="00FB2D72"/>
    <w:rsid w:val="00FB37F4"/>
    <w:rsid w:val="00FB3B74"/>
    <w:rsid w:val="00FB5137"/>
    <w:rsid w:val="00FB6D85"/>
    <w:rsid w:val="00FB740F"/>
    <w:rsid w:val="00FC0036"/>
    <w:rsid w:val="00FC00BA"/>
    <w:rsid w:val="00FC045B"/>
    <w:rsid w:val="00FC08F8"/>
    <w:rsid w:val="00FC1294"/>
    <w:rsid w:val="00FC22F9"/>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105"/>
    <w:rsid w:val="00FE548E"/>
    <w:rsid w:val="00FE6BC6"/>
    <w:rsid w:val="00FE7915"/>
    <w:rsid w:val="00FF1A61"/>
    <w:rsid w:val="00FF1CD7"/>
    <w:rsid w:val="00FF33C0"/>
    <w:rsid w:val="00FF38D3"/>
    <w:rsid w:val="00FF44B6"/>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Heading1">
    <w:name w:val="heading 1"/>
    <w:aliases w:val="Clause"/>
    <w:basedOn w:val="Normal"/>
    <w:next w:val="Normal"/>
    <w:link w:val="Heading1Char"/>
    <w:qFormat/>
    <w:rsid w:val="003B4B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Heading3">
    <w:name w:val="heading 3"/>
    <w:basedOn w:val="Normal"/>
    <w:next w:val="Normal"/>
    <w:link w:val="Heading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leGrid">
    <w:name w:val="Table Grid"/>
    <w:basedOn w:val="Table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5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06522"/>
  </w:style>
  <w:style w:type="paragraph" w:styleId="Footer">
    <w:name w:val="footer"/>
    <w:basedOn w:val="Normal"/>
    <w:link w:val="FooterChar"/>
    <w:uiPriority w:val="99"/>
    <w:unhideWhenUsed/>
    <w:rsid w:val="009065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06522"/>
  </w:style>
  <w:style w:type="paragraph" w:styleId="BodyText">
    <w:name w:val="Body Text"/>
    <w:basedOn w:val="Normal"/>
    <w:link w:val="BodyTextChar"/>
    <w:rsid w:val="00E932C6"/>
    <w:pPr>
      <w:spacing w:after="0" w:line="240" w:lineRule="auto"/>
      <w:jc w:val="both"/>
    </w:pPr>
    <w:rPr>
      <w:rFonts w:ascii="Times New Roman" w:eastAsia="Times New Roman" w:hAnsi="Times New Roman"/>
      <w:sz w:val="24"/>
      <w:szCs w:val="24"/>
      <w:lang w:val="pt-PT" w:eastAsia="pt-BR"/>
    </w:rPr>
  </w:style>
  <w:style w:type="character" w:customStyle="1" w:styleId="BodyTextChar">
    <w:name w:val="Body Text Char"/>
    <w:link w:val="BodyText"/>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FC43F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43F4"/>
    <w:rPr>
      <w:rFonts w:ascii="Tahoma" w:hAnsi="Tahoma" w:cs="Tahoma"/>
      <w:sz w:val="16"/>
      <w:szCs w:val="16"/>
      <w:lang w:eastAsia="en-US"/>
    </w:rPr>
  </w:style>
  <w:style w:type="character" w:customStyle="1" w:styleId="Heading1Char">
    <w:name w:val="Heading 1 Char"/>
    <w:aliases w:val="Clause Char"/>
    <w:link w:val="Heading1"/>
    <w:rsid w:val="003B4BDE"/>
    <w:rPr>
      <w:rFonts w:ascii="Cambria" w:eastAsia="Times New Roman" w:hAnsi="Cambria" w:cs="Times New Roman"/>
      <w:b/>
      <w:bCs/>
      <w:kern w:val="32"/>
      <w:sz w:val="32"/>
      <w:szCs w:val="32"/>
      <w:lang w:eastAsia="en-US"/>
    </w:rPr>
  </w:style>
  <w:style w:type="paragraph" w:styleId="ListBullet">
    <w:name w:val="List Bullet"/>
    <w:basedOn w:val="Normal"/>
    <w:unhideWhenUsed/>
    <w:rsid w:val="00A6293C"/>
    <w:pPr>
      <w:numPr>
        <w:numId w:val="1"/>
      </w:numPr>
      <w:contextualSpacing/>
    </w:pPr>
  </w:style>
  <w:style w:type="character" w:styleId="CommentReference">
    <w:name w:val="annotation reference"/>
    <w:unhideWhenUsed/>
    <w:rsid w:val="001B3A4D"/>
    <w:rPr>
      <w:sz w:val="16"/>
      <w:szCs w:val="16"/>
    </w:rPr>
  </w:style>
  <w:style w:type="paragraph" w:styleId="CommentText">
    <w:name w:val="annotation text"/>
    <w:basedOn w:val="Normal"/>
    <w:link w:val="CommentTextChar"/>
    <w:uiPriority w:val="99"/>
    <w:unhideWhenUsed/>
    <w:rsid w:val="001B3A4D"/>
    <w:rPr>
      <w:sz w:val="20"/>
      <w:szCs w:val="20"/>
      <w:lang w:eastAsia="x-none"/>
    </w:rPr>
  </w:style>
  <w:style w:type="character" w:customStyle="1" w:styleId="CommentTextChar">
    <w:name w:val="Comment Text Char"/>
    <w:link w:val="CommentText"/>
    <w:uiPriority w:val="99"/>
    <w:rsid w:val="001B3A4D"/>
    <w:rPr>
      <w:lang w:val="pt-BR"/>
    </w:rPr>
  </w:style>
  <w:style w:type="paragraph" w:styleId="CommentSubject">
    <w:name w:val="annotation subject"/>
    <w:basedOn w:val="CommentText"/>
    <w:next w:val="CommentText"/>
    <w:link w:val="CommentSubjectChar"/>
    <w:uiPriority w:val="99"/>
    <w:semiHidden/>
    <w:unhideWhenUsed/>
    <w:rsid w:val="001B3A4D"/>
    <w:rPr>
      <w:b/>
      <w:bCs/>
    </w:rPr>
  </w:style>
  <w:style w:type="character" w:customStyle="1" w:styleId="CommentSubjectChar">
    <w:name w:val="Comment Subject Char"/>
    <w:link w:val="CommentSubject"/>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ListParagraph">
    <w:name w:val="List Paragraph"/>
    <w:aliases w:val="Vitor Título,Vitor T’tulo"/>
    <w:basedOn w:val="Normal"/>
    <w:link w:val="ListParagraph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NoSpacing">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ion">
    <w:name w:val="Revision"/>
    <w:hidden/>
    <w:rsid w:val="000153EC"/>
    <w:rPr>
      <w:sz w:val="22"/>
      <w:szCs w:val="22"/>
      <w:lang w:eastAsia="en-US"/>
    </w:rPr>
  </w:style>
  <w:style w:type="character" w:customStyle="1" w:styleId="Heading2Char">
    <w:name w:val="Heading 2 Char"/>
    <w:link w:val="Heading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link w:val="Level1Char"/>
    <w:uiPriority w:val="99"/>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BodyText2">
    <w:name w:val="Body Text 2"/>
    <w:basedOn w:val="Normal"/>
    <w:link w:val="BodyText2Char"/>
    <w:rsid w:val="002A49BD"/>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2A49BD"/>
    <w:rPr>
      <w:rFonts w:ascii="Times New Roman" w:eastAsia="Times New Roman" w:hAnsi="Times New Roman"/>
      <w:lang w:val="en-US" w:eastAsia="en-US"/>
    </w:rPr>
  </w:style>
  <w:style w:type="character" w:customStyle="1" w:styleId="ListParagraphChar">
    <w:name w:val="List Paragraph Char"/>
    <w:aliases w:val="Vitor Título Char,Vitor T’tulo Char"/>
    <w:link w:val="ListParagraph"/>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Heading4Char">
    <w:name w:val="Heading 4 Char"/>
    <w:basedOn w:val="DefaultParagraphFont"/>
    <w:link w:val="Heading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BodyText3">
    <w:name w:val="Body Text 3"/>
    <w:basedOn w:val="Normal"/>
    <w:link w:val="BodyText3Char"/>
    <w:unhideWhenUsed/>
    <w:rsid w:val="00DB4434"/>
    <w:pPr>
      <w:spacing w:after="120"/>
    </w:pPr>
    <w:rPr>
      <w:sz w:val="16"/>
      <w:szCs w:val="16"/>
    </w:rPr>
  </w:style>
  <w:style w:type="character" w:customStyle="1" w:styleId="BodyText3Char">
    <w:name w:val="Body Text 3 Char"/>
    <w:basedOn w:val="DefaultParagraphFont"/>
    <w:link w:val="BodyText3"/>
    <w:rsid w:val="00DB4434"/>
    <w:rPr>
      <w:sz w:val="16"/>
      <w:szCs w:val="16"/>
      <w:lang w:eastAsia="en-US"/>
    </w:rPr>
  </w:style>
  <w:style w:type="character" w:styleId="Strong">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uiPriority w:val="99"/>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uiPriority w:val="99"/>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uiPriority w:val="99"/>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uiPriority w:val="99"/>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uiPriority w:val="99"/>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Heading3Char">
    <w:name w:val="Heading 3 Char"/>
    <w:basedOn w:val="DefaultParagraphFont"/>
    <w:link w:val="Heading3"/>
    <w:rsid w:val="00D07D8B"/>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uiPriority w:val="99"/>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DefaultParagraphFont"/>
    <w:uiPriority w:val="99"/>
    <w:semiHidden/>
    <w:unhideWhenUsed/>
    <w:rsid w:val="00B46409"/>
    <w:rPr>
      <w:color w:val="605E5C"/>
      <w:shd w:val="clear" w:color="auto" w:fill="E1DFDD"/>
    </w:rPr>
  </w:style>
  <w:style w:type="character" w:customStyle="1" w:styleId="MenoPendente2">
    <w:name w:val="Menção Pendente2"/>
    <w:basedOn w:val="DefaultParagraphFont"/>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uiPriority w:val="99"/>
    <w:rsid w:val="00D97A22"/>
    <w:rPr>
      <w:rFonts w:ascii="Arial" w:hAnsi="Arial" w:cs="Arial"/>
      <w:szCs w:val="22"/>
      <w:lang w:eastAsia="en-US"/>
    </w:rPr>
  </w:style>
  <w:style w:type="character" w:customStyle="1" w:styleId="UnresolvedMention1">
    <w:name w:val="Unresolved Mention1"/>
    <w:basedOn w:val="DefaultParagraphFont"/>
    <w:uiPriority w:val="99"/>
    <w:semiHidden/>
    <w:unhideWhenUsed/>
    <w:rsid w:val="00EE1060"/>
    <w:rPr>
      <w:color w:val="605E5C"/>
      <w:shd w:val="clear" w:color="auto" w:fill="E1DFDD"/>
    </w:rPr>
  </w:style>
  <w:style w:type="character" w:styleId="Emphasis">
    <w:name w:val="Emphasis"/>
    <w:basedOn w:val="DefaultParagraphFont"/>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DefaultParagraphFont"/>
    <w:link w:val="mm4"/>
    <w:rsid w:val="00D403A8"/>
    <w:rPr>
      <w:rFonts w:ascii="Verdana" w:eastAsia="Times New Roman" w:hAnsi="Verdana"/>
    </w:rPr>
  </w:style>
  <w:style w:type="paragraph" w:styleId="EnvelopeReturn">
    <w:name w:val="envelope return"/>
    <w:basedOn w:val="Normal"/>
    <w:link w:val="EnvelopeReturn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EnvelopeReturnChar">
    <w:name w:val="Envelope Return Char"/>
    <w:basedOn w:val="DefaultParagraphFont"/>
    <w:link w:val="EnvelopeReturn"/>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DefaultParagraphFont"/>
    <w:uiPriority w:val="99"/>
    <w:semiHidden/>
    <w:unhideWhenUsed/>
    <w:rsid w:val="00C17A9A"/>
    <w:rPr>
      <w:color w:val="605E5C"/>
      <w:shd w:val="clear" w:color="auto" w:fill="E1DFDD"/>
    </w:rPr>
  </w:style>
  <w:style w:type="paragraph" w:styleId="Title">
    <w:name w:val="Title"/>
    <w:basedOn w:val="Normal"/>
    <w:link w:val="Title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itleChar">
    <w:name w:val="Title Char"/>
    <w:basedOn w:val="DefaultParagraphFont"/>
    <w:link w:val="Title"/>
    <w:uiPriority w:val="99"/>
    <w:rsid w:val="00916C01"/>
    <w:rPr>
      <w:rFonts w:ascii="Times New Roman" w:eastAsia="Times New Roman" w:hAnsi="Times New Roman"/>
      <w:b/>
      <w:sz w:val="28"/>
    </w:rPr>
  </w:style>
  <w:style w:type="character" w:customStyle="1" w:styleId="UnresolvedMention2">
    <w:name w:val="Unresolved Mention2"/>
    <w:basedOn w:val="DefaultParagraphFont"/>
    <w:uiPriority w:val="99"/>
    <w:semiHidden/>
    <w:unhideWhenUsed/>
    <w:rsid w:val="00CB1C7C"/>
    <w:rPr>
      <w:color w:val="605E5C"/>
      <w:shd w:val="clear" w:color="auto" w:fill="E1DFDD"/>
    </w:rPr>
  </w:style>
  <w:style w:type="character" w:customStyle="1" w:styleId="MenoPendente30">
    <w:name w:val="Menção Pendente3"/>
    <w:basedOn w:val="DefaultParagraphFont"/>
    <w:uiPriority w:val="99"/>
    <w:semiHidden/>
    <w:unhideWhenUsed/>
    <w:rsid w:val="008B15F8"/>
    <w:rPr>
      <w:color w:val="605E5C"/>
      <w:shd w:val="clear" w:color="auto" w:fill="E1DFDD"/>
    </w:rPr>
  </w:style>
  <w:style w:type="character" w:styleId="FollowedHyperlink">
    <w:name w:val="FollowedHyperlink"/>
    <w:basedOn w:val="DefaultParagraphFont"/>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DefaultParagraphFont"/>
    <w:rsid w:val="00CB3300"/>
    <w:rPr>
      <w:rFonts w:ascii="Arial" w:hAnsi="Arial"/>
      <w:szCs w:val="24"/>
      <w:lang w:val="en-GB" w:eastAsia="en-US"/>
    </w:rPr>
  </w:style>
  <w:style w:type="character" w:customStyle="1" w:styleId="Level4Char">
    <w:name w:val="Level 4 Char"/>
    <w:link w:val="Level4"/>
    <w:uiPriority w:val="99"/>
    <w:locked/>
    <w:rsid w:val="009F393E"/>
    <w:rPr>
      <w:rFonts w:ascii="Arial" w:hAnsi="Arial" w:cs="Arial"/>
      <w:szCs w:val="22"/>
      <w:lang w:eastAsia="en-US"/>
    </w:rPr>
  </w:style>
  <w:style w:type="character" w:customStyle="1" w:styleId="Level1Char">
    <w:name w:val="Level 1 Char"/>
    <w:link w:val="Level1"/>
    <w:uiPriority w:val="99"/>
    <w:rsid w:val="000C051A"/>
    <w:rPr>
      <w:rFonts w:ascii="Arial" w:eastAsia="Times New Roman" w:hAnsi="Arial" w:cs="Arial"/>
      <w:b/>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3.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0E6D745-65DD-4756-A9DD-42A6E2D77B62}">
  <ds:schemaRefs>
    <ds:schemaRef ds:uri="http://www.imanage.com/work/xmlschema"/>
  </ds:schemaRefs>
</ds:datastoreItem>
</file>

<file path=customXml/itemProps4.xml><?xml version="1.0" encoding="utf-8"?>
<ds:datastoreItem xmlns:ds="http://schemas.openxmlformats.org/officeDocument/2006/customXml" ds:itemID="{81D69074-7B9A-4F4A-98B2-B1DB53E822BA}">
  <ds:schemaRefs>
    <ds:schemaRef ds:uri="http://schemas.openxmlformats.org/officeDocument/2006/bibliography"/>
  </ds:schemaRefs>
</ds:datastoreItem>
</file>

<file path=customXml/itemProps5.xml><?xml version="1.0" encoding="utf-8"?>
<ds:datastoreItem xmlns:ds="http://schemas.openxmlformats.org/officeDocument/2006/customXml" ds:itemID="{1D94C651-74E9-4787-8C79-C584E9C9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14397</Words>
  <Characters>77746</Characters>
  <Application>Microsoft Office Word</Application>
  <DocSecurity>0</DocSecurity>
  <Lines>647</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2</cp:revision>
  <cp:lastPrinted>2015-06-17T04:23:00Z</cp:lastPrinted>
  <dcterms:created xsi:type="dcterms:W3CDTF">2021-09-30T16:11:00Z</dcterms:created>
  <dcterms:modified xsi:type="dcterms:W3CDTF">2021-09-30T16:11:00Z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