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wmf" ContentType="image/x-wmf"/>
  <Override PartName="/word/media/image6.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Props25.xml" ContentType="application/vnd.openxmlformats-officedocument.customXmlProperties+xml"/>
  <Override PartName="/customXml/item13.xml" ContentType="application/xml"/>
  <Override PartName="/customXml/item1.xml" ContentType="application/xml"/>
  <Override PartName="/customXml/itemProps26.xml" ContentType="application/vnd.openxmlformats-officedocument.customXmlProperties+xml"/>
  <Override PartName="/customXml/itemProps1.xml" ContentType="application/vnd.openxmlformats-officedocument.customXmlProperties+xml"/>
  <Override PartName="/customXml/item14.xml" ContentType="application/xml"/>
  <Override PartName="/customXml/item2.xml" ContentType="application/xml"/>
  <Override PartName="/customXml/item3.xml" ContentType="application/xml"/>
  <Override PartName="/customXml/item15.xml" ContentType="application/xml"/>
  <Override PartName="/customXml/itemProps27.xml" ContentType="application/vnd.openxmlformats-officedocument.customXmlProperties+xml"/>
  <Override PartName="/customXml/itemProps2.xml" ContentType="application/vnd.openxmlformats-officedocument.customXmlProperties+xml"/>
  <Override PartName="/customXml/item4.xml" ContentType="application/xml"/>
  <Override PartName="/customXml/item16.xml" ContentType="application/xml"/>
  <Override PartName="/customXml/itemProps3.xml" ContentType="application/vnd.openxmlformats-officedocument.customXmlProperties+xml"/>
  <Override PartName="/customXml/itemProps28.xml" ContentType="application/vnd.openxmlformats-officedocument.customXmlProperties+xml"/>
  <Override PartName="/customXml/item5.xml" ContentType="application/xml"/>
  <Override PartName="/customXml/item17.xml" ContentType="application/xml"/>
  <Override PartName="/customXml/itemProps4.xml" ContentType="application/vnd.openxmlformats-officedocument.customXmlProperties+xml"/>
  <Override PartName="/customXml/itemProps29.xml" ContentType="application/vnd.openxmlformats-officedocument.customXmlProperties+xml"/>
  <Override PartName="/customXml/itemProps5.xml" ContentType="application/vnd.openxmlformats-officedocument.customXmlProperties+xml"/>
  <Override PartName="/customXml/item6.xml" ContentType="application/xml"/>
  <Override PartName="/customXml/item18.xml" ContentType="application/xml"/>
  <Override PartName="/customXml/itemProps6.xml" ContentType="application/vnd.openxmlformats-officedocument.customXmlProperties+xml"/>
  <Override PartName="/customXml/item7.xml" ContentType="application/xml"/>
  <Override PartName="/customXml/item19.xml" ContentType="application/xml"/>
  <Override PartName="/customXml/itemProps7.xml" ContentType="application/vnd.openxmlformats-officedocument.customXmlProperties+xml"/>
  <Override PartName="/customXml/item8.xml" ContentType="application/xml"/>
  <Override PartName="/customXml/item30.xml" ContentType="application/xml"/>
  <Override PartName="/customXml/itemProps8.xml" ContentType="application/vnd.openxmlformats-officedocument.customXmlProperties+xml"/>
  <Override PartName="/customXml/item9.xml" ContentType="application/xml"/>
  <Override PartName="/customXml/item31.xml" ContentType="application/xml"/>
  <Override PartName="/customXml/itemProps9.xml" ContentType="application/vnd.openxmlformats-officedocument.customXmlProperties+xml"/>
  <Override PartName="/customXml/item32.xml" ContentType="application/xml"/>
  <Override PartName="/customXml/item10.xml" ContentType="application/xml"/>
  <Override PartName="/customXml/itemProps22.xml" ContentType="application/vnd.openxmlformats-officedocument.customXmlProperties+xml"/>
  <Override PartName="/customXml/itemProps10.xml" ContentType="application/vnd.openxmlformats-officedocument.customXmlProperties+xml"/>
  <Override PartName="/customXml/item11.xml" ContentType="application/xml"/>
  <Override PartName="/customXml/itemProps23.xml" ContentType="application/vnd.openxmlformats-officedocument.customXmlProperties+xml"/>
  <Override PartName="/customXml/itemProps11.xml" ContentType="application/vnd.openxmlformats-officedocument.customXmlProperties+xml"/>
  <Override PartName="/customXml/item12.xml" ContentType="application/xml"/>
  <Override PartName="/customXml/itemProps2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20.xml" ContentType="application/xml"/>
  <Override PartName="/customXml/itemProps32.xml" ContentType="application/vnd.openxmlformats-officedocument.customXmlProperties+xml"/>
  <Override PartName="/customXml/itemProps20.xml" ContentType="application/vnd.openxmlformats-officedocument.customXmlProperties+xml"/>
  <Override PartName="/customXml/item21.xml" ContentType="application/xml"/>
  <Override PartName="/customXml/itemProps21.xml" ContentType="application/vnd.openxmlformats-officedocument.customXmlProperties+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Props30.xml" ContentType="application/vnd.openxmlformats-officedocument.customXmlProperties+xml"/>
  <Override PartName="/customXml/itemProps31.xml" ContentType="application/vnd.openxmlformats-officedocument.customXmlProperties+xml"/>
  <Override PartName="/customXml/item33.xml" ContentType="application/xml"/>
  <Override PartName="/customXml/itemProps33.xml" ContentType="application/vnd.openxmlformats-officedocument.customXmlProperties+xml"/>
  <Override PartName="/customXml/item34.xml" ContentType="application/xml"/>
  <Override PartName="/customXml/itemProps34.xml" ContentType="application/vnd.openxmlformats-officedocument.customXmlProperties+xml"/>
  <Override PartName="/customXml/item35.xml" ContentType="application/xml"/>
  <Override PartName="/customXml/itemProps35.xml" ContentType="application/vnd.openxmlformats-officedocument.customXmlProperties+xml"/>
  <Override PartName="/customXml/item36.xml" ContentType="application/xml"/>
  <Override PartName="/customXml/itemProps36.xml" ContentType="application/vnd.openxmlformats-officedocument.customXmlProperties+xml"/>
  <Override PartName="/customXml/item37.xml" ContentType="application/xml"/>
  <Override PartName="/customXml/itemProps37.xml" ContentType="application/vnd.openxmlformats-officedocument.customXmlProperties+xml"/>
  <Override PartName="/customXml/item38.xml" ContentType="application/xml"/>
  <Override PartName="/customXml/itemProps38.xml" ContentType="application/vnd.openxmlformats-officedocument.customXmlProperties+xml"/>
  <Override PartName="/customXml/item39.xml" ContentType="application/xml"/>
  <Override PartName="/customXml/itemProps39.xml" ContentType="application/vnd.openxmlformats-officedocument.customXmlProperties+xml"/>
  <Override PartName="/customXml/item40.xml" ContentType="application/xml"/>
  <Override PartName="/customXml/itemProps40.xml" ContentType="application/vnd.openxmlformats-officedocument.customXmlProperties+xml"/>
  <Override PartName="/customXml/item41.xml" ContentType="application/xml"/>
  <Override PartName="/customXml/itemProps41.xml" ContentType="application/vnd.openxmlformats-officedocument.customXmlProperties+xml"/>
  <Override PartName="/customXml/_rels/item5.xml.rels" ContentType="application/vnd.openxmlformats-package.relationships+xml"/>
  <Override PartName="/customXml/_rels/item13.xml.rels" ContentType="application/vnd.openxmlformats-package.relationships+xml"/>
  <Override PartName="/customXml/_rels/item1.xml.rels" ContentType="application/vnd.openxmlformats-package.relationships+xml"/>
  <Override PartName="/customXml/_rels/item9.xml.rels" ContentType="application/vnd.openxmlformats-package.relationships+xml"/>
  <Override PartName="/customXml/_rels/item17.xml.rels" ContentType="application/vnd.openxmlformats-package.relationships+xml"/>
  <Override PartName="/customXml/_rels/item6.xml.rels" ContentType="application/vnd.openxmlformats-package.relationships+xml"/>
  <Override PartName="/customXml/_rels/item14.xml.rels" ContentType="application/vnd.openxmlformats-package.relationships+xml"/>
  <Override PartName="/customXml/_rels/item10.xml.rels" ContentType="application/vnd.openxmlformats-package.relationships+xml"/>
  <Override PartName="/customXml/_rels/item2.xml.rels" ContentType="application/vnd.openxmlformats-package.relationships+xml"/>
  <Override PartName="/customXml/_rels/item15.xml.rels" ContentType="application/vnd.openxmlformats-package.relationships+xml"/>
  <Override PartName="/customXml/_rels/item7.xml.rels" ContentType="application/vnd.openxmlformats-package.relationships+xml"/>
  <Override PartName="/customXml/_rels/item3.xml.rels" ContentType="application/vnd.openxmlformats-package.relationships+xml"/>
  <Override PartName="/customXml/_rels/item11.xml.rels" ContentType="application/vnd.openxmlformats-package.relationships+xml"/>
  <Override PartName="/customXml/_rels/item16.xml.rels" ContentType="application/vnd.openxmlformats-package.relationships+xml"/>
  <Override PartName="/customXml/_rels/item8.xml.rels" ContentType="application/vnd.openxmlformats-package.relationships+xml"/>
  <Override PartName="/customXml/_rels/item4.xml.rels" ContentType="application/vnd.openxmlformats-package.relationships+xml"/>
  <Override PartName="/customXml/_rels/item12.xml.rels" ContentType="application/vnd.openxmlformats-package.relationships+xml"/>
  <Override PartName="/customXml/_rels/item18.xml.rels" ContentType="application/vnd.openxmlformats-package.relationships+xml"/>
  <Override PartName="/customXml/_rels/item19.xml.rels" ContentType="application/vnd.openxmlformats-package.relationships+xml"/>
  <Override PartName="/customXml/_rels/item30.xml.rels" ContentType="application/vnd.openxmlformats-package.relationships+xml"/>
  <Override PartName="/customXml/_rels/item31.xml.rels" ContentType="application/vnd.openxmlformats-package.relationships+xml"/>
  <Override PartName="/customXml/_rels/item32.xml.rels" ContentType="application/vnd.openxmlformats-package.relationships+xml"/>
  <Override PartName="/customXml/_rels/item20.xml.rels" ContentType="application/vnd.openxmlformats-package.relationships+xml"/>
  <Override PartName="/customXml/_rels/item21.xml.rels" ContentType="application/vnd.openxmlformats-package.relationships+xml"/>
  <Override PartName="/customXml/_rels/item22.xml.rels" ContentType="application/vnd.openxmlformats-package.relationships+xml"/>
  <Override PartName="/customXml/_rels/item23.xml.rels" ContentType="application/vnd.openxmlformats-package.relationships+xml"/>
  <Override PartName="/customXml/_rels/item24.xml.rels" ContentType="application/vnd.openxmlformats-package.relationships+xml"/>
  <Override PartName="/customXml/_rels/item25.xml.rels" ContentType="application/vnd.openxmlformats-package.relationships+xml"/>
  <Override PartName="/customXml/_rels/item26.xml.rels" ContentType="application/vnd.openxmlformats-package.relationships+xml"/>
  <Override PartName="/customXml/_rels/item27.xml.rels" ContentType="application/vnd.openxmlformats-package.relationships+xml"/>
  <Override PartName="/customXml/_rels/item28.xml.rels" ContentType="application/vnd.openxmlformats-package.relationships+xml"/>
  <Override PartName="/customXml/_rels/item29.xml.rels" ContentType="application/vnd.openxmlformats-package.relationships+xml"/>
  <Override PartName="/customXml/_rels/item33.xml.rels" ContentType="application/vnd.openxmlformats-package.relationships+xml"/>
  <Override PartName="/customXml/_rels/item34.xml.rels" ContentType="application/vnd.openxmlformats-package.relationships+xml"/>
  <Override PartName="/customXml/_rels/item35.xml.rels" ContentType="application/vnd.openxmlformats-package.relationships+xml"/>
  <Override PartName="/customXml/_rels/item36.xml.rels" ContentType="application/vnd.openxmlformats-package.relationships+xml"/>
  <Override PartName="/customXml/_rels/item37.xml.rels" ContentType="application/vnd.openxmlformats-package.relationships+xml"/>
  <Override PartName="/customXml/_rels/item38.xml.rels" ContentType="application/vnd.openxmlformats-package.relationships+xml"/>
  <Override PartName="/customXml/_rels/item39.xml.rels" ContentType="application/vnd.openxmlformats-package.relationships+xml"/>
  <Override PartName="/customXml/_rels/item40.xml.rels" ContentType="application/vnd.openxmlformats-package.relationships+xml"/>
  <Override PartName="/customXml/_rels/item4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0" w:before="0" w:after="0"/>
        <w:contextualSpacing/>
        <w:rPr>
          <w:rFonts w:ascii="Calibri" w:hAnsi="Calibri" w:cs="Calibri" w:asciiTheme="minorHAnsi" w:cstheme="minorHAnsi" w:hAnsiTheme="minorHAnsi"/>
          <w:bCs/>
          <w:caps/>
          <w:sz w:val="24"/>
          <w:szCs w:val="24"/>
        </w:rPr>
      </w:pPr>
      <w:r>
        <w:rPr>
          <w:rFonts w:cs="Calibri" w:ascii="Calibri" w:hAnsi="Calibri" w:asciiTheme="minorHAnsi" w:cstheme="minorHAnsi" w:hAnsiTheme="minorHAnsi"/>
          <w:b/>
          <w:bCs/>
          <w:color w:val="000000"/>
          <w:sz w:val="24"/>
          <w:szCs w:val="24"/>
        </w:rPr>
        <w:t>INSTRUMENTO PARTICULAR DE</w:t>
      </w:r>
      <w:r>
        <w:rPr>
          <w:rFonts w:cs="Calibri" w:ascii="Calibri" w:hAnsi="Calibri" w:asciiTheme="minorHAnsi" w:cstheme="minorHAnsi" w:hAnsiTheme="minorHAnsi"/>
          <w:b/>
          <w:smallCaps/>
          <w:sz w:val="24"/>
          <w:szCs w:val="24"/>
        </w:rPr>
        <w:t xml:space="preserve"> </w:t>
      </w:r>
      <w:r>
        <w:rPr>
          <w:rFonts w:cs="Calibri" w:ascii="Calibri" w:hAnsi="Calibri" w:asciiTheme="minorHAnsi" w:cstheme="minorHAnsi" w:hAnsiTheme="minorHAnsi"/>
          <w:b/>
          <w:bCs/>
          <w:color w:val="000000"/>
          <w:sz w:val="24"/>
          <w:szCs w:val="24"/>
        </w:rPr>
        <w:t>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Pr>
          <w:rFonts w:cs="Calibri" w:ascii="Calibri" w:hAnsi="Calibri" w:asciiTheme="minorHAnsi" w:cstheme="minorHAnsi" w:hAnsiTheme="minorHAnsi"/>
          <w:b/>
          <w:sz w:val="24"/>
          <w:szCs w:val="24"/>
        </w:rPr>
        <w:t xml:space="preserve"> </w:t>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spacing w:lineRule="exact" w:line="340"/>
        <w:jc w:val="center"/>
        <w:rPr>
          <w:rFonts w:ascii="Calibri" w:hAnsi="Calibri" w:cs="Calibri" w:asciiTheme="minorHAnsi" w:cstheme="minorHAnsi" w:hAnsiTheme="minorHAnsi"/>
          <w:i/>
          <w:i/>
          <w:iCs/>
          <w:sz w:val="24"/>
          <w:szCs w:val="24"/>
        </w:rPr>
      </w:pPr>
      <w:bookmarkStart w:id="0" w:name="_DV_M1"/>
      <w:bookmarkEnd w:id="0"/>
      <w:r>
        <w:rPr>
          <w:rFonts w:cs="Calibri" w:ascii="Calibri" w:hAnsi="Calibri" w:asciiTheme="minorHAnsi" w:cstheme="minorHAnsi" w:hAnsiTheme="minorHAnsi"/>
          <w:i/>
          <w:iCs/>
          <w:sz w:val="24"/>
          <w:szCs w:val="24"/>
        </w:rPr>
        <w:t>entre</w:t>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spacing w:lineRule="exact" w:line="340"/>
        <w:jc w:val="center"/>
        <w:rPr>
          <w:rFonts w:ascii="Calibri" w:hAnsi="Calibri" w:cs="Calibri" w:asciiTheme="minorHAnsi" w:cstheme="minorHAnsi" w:hAnsiTheme="minorHAnsi"/>
          <w:b/>
          <w:b/>
          <w:bCs/>
          <w:color w:val="000000"/>
          <w:sz w:val="24"/>
          <w:szCs w:val="24"/>
        </w:rPr>
      </w:pPr>
      <w:bookmarkStart w:id="1" w:name="_DV_M2"/>
      <w:bookmarkEnd w:id="1"/>
      <w:r>
        <w:rPr>
          <w:rFonts w:cs="Calibri" w:ascii="Calibri" w:hAnsi="Calibri" w:asciiTheme="minorHAnsi" w:cstheme="minorHAnsi" w:hAnsiTheme="minorHAnsi"/>
          <w:b/>
          <w:bCs/>
          <w:color w:val="000000"/>
          <w:sz w:val="24"/>
          <w:szCs w:val="24"/>
        </w:rPr>
        <w:t>HOSPITAL CARE CALEDONIA S.A.</w:t>
      </w:r>
    </w:p>
    <w:p>
      <w:pPr>
        <w:pStyle w:val="Normal"/>
        <w:shd w:val="clear" w:color="auto" w:fill="FFFFFF"/>
        <w:spacing w:lineRule="exact" w:line="340"/>
        <w:jc w:val="center"/>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na qualidade de Emissora</w:t>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jc w:val="center"/>
        <w:rPr>
          <w:rFonts w:ascii="Calibri" w:hAnsi="Calibri" w:cs="Calibri" w:asciiTheme="minorHAnsi" w:cstheme="minorHAnsi" w:hAnsiTheme="minorHAnsi"/>
          <w:i/>
          <w:i/>
          <w:iCs/>
          <w:sz w:val="24"/>
          <w:szCs w:val="24"/>
        </w:rPr>
      </w:pPr>
      <w:r>
        <w:rPr>
          <w:rFonts w:cs="Calibri" w:cstheme="minorHAnsi" w:ascii="Calibri" w:hAnsi="Calibri"/>
          <w:i/>
          <w:iCs/>
          <w:sz w:val="24"/>
          <w:szCs w:val="24"/>
        </w:rPr>
      </w:r>
    </w:p>
    <w:p>
      <w:pPr>
        <w:pStyle w:val="Normal"/>
        <w:shd w:val="clear" w:color="auto" w:fill="FFFFFF"/>
        <w:spacing w:lineRule="exact" w:line="340"/>
        <w:jc w:val="center"/>
        <w:rPr>
          <w:rFonts w:ascii="Calibri" w:hAnsi="Calibri" w:cs="Calibri" w:asciiTheme="minorHAnsi" w:cstheme="minorHAnsi" w:hAnsiTheme="minorHAnsi"/>
          <w:b/>
          <w:b/>
          <w:caps/>
          <w:sz w:val="24"/>
          <w:szCs w:val="24"/>
        </w:rPr>
      </w:pPr>
      <w:bookmarkStart w:id="2" w:name="_DV_M5"/>
      <w:bookmarkStart w:id="3" w:name="_DV_M4"/>
      <w:bookmarkEnd w:id="2"/>
      <w:bookmarkEnd w:id="3"/>
      <w:r>
        <w:rPr>
          <w:rFonts w:cs="Calibri" w:ascii="Calibri" w:hAnsi="Calibri" w:asciiTheme="minorHAnsi" w:cstheme="minorHAnsi" w:hAnsiTheme="minorHAnsi"/>
          <w:b/>
          <w:caps/>
          <w:sz w:val="24"/>
          <w:szCs w:val="24"/>
        </w:rPr>
        <w:t>SIMPLIFIC PAVARINI DISTRIBUIDORA DE TÍTULOS E VALORES MOBILIÁRIOS</w:t>
      </w:r>
    </w:p>
    <w:p>
      <w:pPr>
        <w:pStyle w:val="Normal"/>
        <w:shd w:val="clear" w:color="auto" w:fill="FFFFFF"/>
        <w:spacing w:lineRule="exact" w:line="340"/>
        <w:jc w:val="center"/>
        <w:rPr>
          <w:rFonts w:ascii="Calibri" w:hAnsi="Calibri" w:cs="Calibri" w:asciiTheme="minorHAnsi" w:cstheme="minorHAnsi" w:hAnsiTheme="minorHAnsi"/>
          <w:i/>
          <w:i/>
          <w:sz w:val="24"/>
          <w:szCs w:val="24"/>
        </w:rPr>
      </w:pPr>
      <w:bookmarkStart w:id="4" w:name="_DV_M6"/>
      <w:bookmarkEnd w:id="4"/>
      <w:r>
        <w:rPr>
          <w:rFonts w:cs="Calibri" w:ascii="Calibri" w:hAnsi="Calibri" w:asciiTheme="minorHAnsi" w:cstheme="minorHAnsi" w:hAnsiTheme="minorHAnsi"/>
          <w:i/>
          <w:sz w:val="24"/>
          <w:szCs w:val="24"/>
        </w:rPr>
        <w:t>na qualidade de Agente Fiduciário</w:t>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i/>
          <w:i/>
          <w:iCs/>
          <w:sz w:val="24"/>
          <w:szCs w:val="24"/>
        </w:rPr>
      </w:pPr>
      <w:r>
        <w:rPr>
          <w:rFonts w:cs="Calibri" w:ascii="Calibri" w:hAnsi="Calibri" w:asciiTheme="minorHAnsi" w:cstheme="minorHAnsi" w:hAnsiTheme="minorHAnsi"/>
          <w:i/>
          <w:iCs/>
          <w:sz w:val="24"/>
          <w:szCs w:val="24"/>
        </w:rPr>
        <w:t>e, ainda,</w:t>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VERA CRUZ S.A.</w:t>
      </w:r>
    </w:p>
    <w:p>
      <w:pPr>
        <w:pStyle w:val="Normal"/>
        <w:spacing w:lineRule="exact" w:line="3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SÃO LUCAS S.A.</w:t>
      </w:r>
    </w:p>
    <w:p>
      <w:pPr>
        <w:pStyle w:val="Normal"/>
        <w:spacing w:lineRule="exact" w:line="340"/>
        <w:jc w:val="center"/>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SÃO LUCAS RIBEIRÂNIA LTDA.</w:t>
      </w:r>
    </w:p>
    <w:p>
      <w:pPr>
        <w:pStyle w:val="Normal"/>
        <w:shd w:val="clear" w:color="auto" w:fill="FFFFFF"/>
        <w:spacing w:lineRule="exact" w:line="340"/>
        <w:jc w:val="center"/>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na qualidade de Fiadores</w:t>
      </w:r>
    </w:p>
    <w:p>
      <w:pPr>
        <w:pStyle w:val="Normal"/>
        <w:spacing w:lineRule="exact" w:line="340"/>
        <w:jc w:val="center"/>
        <w:rPr>
          <w:rFonts w:ascii="Calibri" w:hAnsi="Calibri" w:cs="Calibri" w:asciiTheme="minorHAnsi" w:cstheme="minorHAnsi" w:hAnsiTheme="minorHAnsi"/>
          <w:i/>
          <w:i/>
          <w:iCs/>
          <w:smallCaps/>
          <w:sz w:val="24"/>
          <w:szCs w:val="24"/>
        </w:rPr>
      </w:pPr>
      <w:r>
        <w:rPr>
          <w:rFonts w:cs="Calibri" w:cstheme="minorHAnsi" w:ascii="Calibri" w:hAnsi="Calibri"/>
          <w:i/>
          <w:iCs/>
          <w:smallCaps/>
          <w:sz w:val="24"/>
          <w:szCs w:val="24"/>
        </w:rPr>
      </w:r>
    </w:p>
    <w:p>
      <w:pPr>
        <w:pStyle w:val="Normal"/>
        <w:spacing w:lineRule="exact" w:line="340"/>
        <w:jc w:val="center"/>
        <w:rPr>
          <w:rFonts w:ascii="Calibri" w:hAnsi="Calibri" w:cs="Calibri" w:asciiTheme="minorHAnsi" w:cstheme="minorHAnsi" w:hAnsiTheme="minorHAnsi"/>
          <w:i/>
          <w:i/>
          <w:iCs/>
          <w:smallCaps/>
          <w:sz w:val="24"/>
          <w:szCs w:val="24"/>
        </w:rPr>
      </w:pPr>
      <w:r>
        <w:rPr>
          <w:rFonts w:cs="Calibri" w:cstheme="minorHAnsi" w:ascii="Calibri" w:hAnsi="Calibri"/>
          <w:i/>
          <w:iCs/>
          <w:smallCaps/>
          <w:sz w:val="24"/>
          <w:szCs w:val="24"/>
        </w:rPr>
      </w:r>
    </w:p>
    <w:p>
      <w:pPr>
        <w:pStyle w:val="Normal"/>
        <w:spacing w:lineRule="exact" w:line="340"/>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___________________</w:t>
      </w:r>
    </w:p>
    <w:p>
      <w:pPr>
        <w:pStyle w:val="Normal"/>
        <w:spacing w:lineRule="exact" w:line="340"/>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Datado de</w:t>
      </w:r>
    </w:p>
    <w:p>
      <w:pPr>
        <w:pStyle w:val="Normal"/>
        <w:spacing w:lineRule="exact" w:line="340"/>
        <w:ind w:left="1418" w:hanging="1418"/>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w:t>
      </w:r>
      <w:r>
        <w:rPr>
          <w:rFonts w:cs="Calibri" w:ascii="Calibri" w:hAnsi="Calibri" w:asciiTheme="minorHAnsi" w:cstheme="minorHAnsi" w:hAnsiTheme="minorHAnsi"/>
          <w:color w:val="000000"/>
          <w:sz w:val="24"/>
          <w:szCs w:val="24"/>
          <w:highlight w:val="yellow"/>
        </w:rPr>
        <w:t>=</w:t>
      </w:r>
      <w:r>
        <w:rPr>
          <w:rFonts w:cs="Calibri" w:ascii="Calibri" w:hAnsi="Calibri" w:asciiTheme="minorHAnsi" w:cstheme="minorHAnsi" w:hAnsiTheme="minorHAnsi"/>
          <w:color w:val="000000"/>
          <w:sz w:val="24"/>
          <w:szCs w:val="24"/>
        </w:rPr>
        <w:t>] de [</w:t>
      </w:r>
      <w:r>
        <w:rPr>
          <w:rFonts w:cs="Calibri" w:ascii="Calibri" w:hAnsi="Calibri" w:asciiTheme="minorHAnsi" w:cstheme="minorHAnsi" w:hAnsiTheme="minorHAnsi"/>
          <w:color w:val="000000"/>
          <w:sz w:val="24"/>
          <w:szCs w:val="24"/>
          <w:highlight w:val="yellow"/>
        </w:rPr>
        <w:t>=</w:t>
      </w:r>
      <w:r>
        <w:rPr>
          <w:rFonts w:cs="Calibri" w:ascii="Calibri" w:hAnsi="Calibri" w:asciiTheme="minorHAnsi" w:cstheme="minorHAnsi" w:hAnsiTheme="minorHAnsi"/>
          <w:color w:val="000000"/>
          <w:sz w:val="24"/>
          <w:szCs w:val="24"/>
        </w:rPr>
        <w:t>] de 2021</w:t>
      </w:r>
    </w:p>
    <w:p>
      <w:pPr>
        <w:pStyle w:val="Normal"/>
        <w:spacing w:lineRule="exact" w:line="340"/>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___________________</w:t>
      </w:r>
      <w:bookmarkStart w:id="5" w:name="_Hlk68709183"/>
      <w:bookmarkEnd w:id="5"/>
    </w:p>
    <w:p>
      <w:pPr>
        <w:pStyle w:val="Normal"/>
        <w:pBdr>
          <w:bottom w:val="double" w:sz="6" w:space="1" w:color="000000"/>
        </w:pBdr>
        <w:shd w:val="clear" w:color="auto" w:fill="FFFFFF"/>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pBdr>
          <w:bottom w:val="double" w:sz="6" w:space="1" w:color="000000"/>
        </w:pBdr>
        <w:shd w:val="clear" w:color="auto" w:fill="FFFFFF"/>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pBdr>
          <w:bottom w:val="double" w:sz="6" w:space="1" w:color="000000"/>
        </w:pBdr>
        <w:spacing w:lineRule="exact" w:line="340"/>
        <w:jc w:val="center"/>
        <w:rPr>
          <w:rFonts w:ascii="Calibri" w:hAnsi="Calibri" w:cs="Calibri" w:asciiTheme="minorHAnsi" w:cstheme="minorHAnsi" w:hAnsiTheme="minorHAnsi"/>
          <w:smallCaps/>
          <w:color w:val="000000"/>
          <w:sz w:val="24"/>
          <w:szCs w:val="24"/>
        </w:rPr>
      </w:pPr>
      <w:r>
        <w:rPr>
          <w:rFonts w:cs="Calibri" w:cstheme="minorHAnsi" w:ascii="Calibri" w:hAnsi="Calibri"/>
          <w:smallCaps/>
          <w:color w:val="000000"/>
          <w:sz w:val="24"/>
          <w:szCs w:val="24"/>
        </w:rPr>
      </w:r>
    </w:p>
    <w:p>
      <w:pPr>
        <w:sectPr>
          <w:headerReference w:type="default" r:id="rId2"/>
          <w:type w:val="nextPage"/>
          <w:pgSz w:w="11906" w:h="16838"/>
          <w:pgMar w:left="1701" w:right="1701" w:header="720" w:top="1843" w:footer="0" w:bottom="1417" w:gutter="0"/>
          <w:pgNumType w:fmt="decimal"/>
          <w:formProt w:val="false"/>
          <w:textDirection w:val="lrTb"/>
          <w:docGrid w:type="default" w:linePitch="600" w:charSpace="28672"/>
        </w:sectPr>
      </w:pPr>
    </w:p>
    <w:p>
      <w:pPr>
        <w:pStyle w:val="Normal"/>
        <w:spacing w:lineRule="exact" w:line="340" w:before="0" w:after="240"/>
        <w:contextualSpacing/>
        <w:rPr>
          <w:rFonts w:ascii="Calibri" w:hAnsi="Calibri" w:cs="Calibri" w:asciiTheme="minorHAnsi" w:cstheme="minorHAnsi" w:hAnsiTheme="minorHAnsi"/>
          <w:b/>
          <w:b/>
          <w:sz w:val="24"/>
          <w:szCs w:val="24"/>
        </w:rPr>
      </w:pPr>
      <w:r>
        <w:rPr>
          <w:rFonts w:cs="Calibri" w:ascii="Calibri" w:hAnsi="Calibri" w:asciiTheme="minorHAnsi" w:cstheme="minorHAnsi" w:hAnsiTheme="minorHAnsi"/>
          <w:b/>
          <w:bCs/>
          <w:color w:val="000000"/>
          <w:sz w:val="24"/>
          <w:szCs w:val="24"/>
        </w:rPr>
        <w:t>INSTRUMENTO PARTICULAR DE</w:t>
      </w:r>
      <w:r>
        <w:rPr>
          <w:rFonts w:cs="Calibri" w:ascii="Calibri" w:hAnsi="Calibri" w:asciiTheme="minorHAnsi" w:cstheme="minorHAnsi" w:hAnsiTheme="minorHAnsi"/>
          <w:b/>
          <w:smallCaps/>
          <w:sz w:val="24"/>
          <w:szCs w:val="24"/>
        </w:rPr>
        <w:t xml:space="preserve"> </w:t>
      </w:r>
      <w:r>
        <w:rPr>
          <w:rFonts w:cs="Calibri" w:ascii="Calibri" w:hAnsi="Calibri" w:asciiTheme="minorHAnsi" w:cstheme="minorHAnsi" w:hAnsiTheme="minorHAnsi"/>
          <w:b/>
          <w:bCs/>
          <w:color w:val="000000"/>
          <w:sz w:val="24"/>
          <w:szCs w:val="24"/>
        </w:rPr>
        <w:t>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spacing w:lineRule="exact" w:line="3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before="0" w:after="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Pelo presente instrumento particular:</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val="false"/>
          <w:color w:val="000000"/>
          <w:sz w:val="24"/>
          <w:szCs w:val="24"/>
        </w:rPr>
        <w:t>HOSPITAL CARE CALEDONIA S.A.</w:t>
      </w:r>
      <w:r>
        <w:rPr>
          <w:rFonts w:eastAsia="Times New Roman" w:cs="Calibri" w:ascii="Calibri" w:hAnsi="Calibri" w:asciiTheme="minorHAnsi" w:cstheme="minorHAnsi" w:hAnsiTheme="minorHAnsi"/>
          <w:bCs w:val="false"/>
          <w:sz w:val="24"/>
          <w:szCs w:val="24"/>
          <w:lang w:eastAsia="en-US"/>
        </w:rPr>
        <w:t>, sociedade por ações, com registro de capital aberto perante a Comissão de Valores Mobiliários (“</w:t>
      </w:r>
      <w:r>
        <w:rPr>
          <w:rFonts w:eastAsia="Times New Roman" w:cs="Calibri" w:ascii="Calibri" w:hAnsi="Calibri" w:asciiTheme="minorHAnsi" w:cstheme="minorHAnsi" w:hAnsiTheme="minorHAnsi"/>
          <w:b/>
          <w:sz w:val="24"/>
          <w:szCs w:val="24"/>
          <w:lang w:eastAsia="en-US"/>
        </w:rPr>
        <w:t>CVM</w:t>
      </w:r>
      <w:r>
        <w:rPr>
          <w:rFonts w:eastAsia="Times New Roman" w:cs="Calibri" w:ascii="Calibri" w:hAnsi="Calibri" w:asciiTheme="minorHAnsi" w:cstheme="minorHAnsi" w:hAnsiTheme="minorHAnsi"/>
          <w:bCs w:val="false"/>
          <w:sz w:val="24"/>
          <w:szCs w:val="24"/>
          <w:lang w:eastAsia="en-US"/>
        </w:rPr>
        <w:t xml:space="preserve">”), com sede na </w:t>
      </w:r>
      <w:r>
        <w:rPr>
          <w:rFonts w:cs="Calibri" w:ascii="Calibri" w:hAnsi="Calibri" w:asciiTheme="minorHAnsi" w:cstheme="minorHAnsi" w:hAnsiTheme="minorHAnsi"/>
          <w:sz w:val="24"/>
          <w:szCs w:val="24"/>
        </w:rPr>
        <w:t>Cidade de Campinas, Estado de São Paulo, na Rua Bernardino de Campos, n° 230, 1°, 5°, 6° e 7° andares</w:t>
      </w:r>
      <w:r>
        <w:rPr>
          <w:rFonts w:eastAsia="Times New Roman" w:cs="Calibri" w:ascii="Calibri" w:hAnsi="Calibri" w:asciiTheme="minorHAnsi" w:cstheme="minorHAnsi" w:hAnsiTheme="minorHAnsi"/>
          <w:bCs w:val="false"/>
          <w:sz w:val="24"/>
          <w:szCs w:val="24"/>
          <w:lang w:eastAsia="en-US"/>
        </w:rPr>
        <w:t>, inscrita no Cadastro Nacional da Pessoa Jurídica (“</w:t>
      </w:r>
      <w:r>
        <w:rPr>
          <w:rFonts w:eastAsia="Times New Roman" w:cs="Calibri" w:ascii="Calibri" w:hAnsi="Calibri" w:asciiTheme="minorHAnsi" w:cstheme="minorHAnsi" w:hAnsiTheme="minorHAnsi"/>
          <w:b/>
          <w:bCs w:val="false"/>
          <w:sz w:val="24"/>
          <w:szCs w:val="24"/>
          <w:lang w:eastAsia="en-US"/>
        </w:rPr>
        <w:t>CNPJ</w:t>
      </w:r>
      <w:r>
        <w:rPr>
          <w:rFonts w:eastAsia="Times New Roman" w:cs="Calibri" w:ascii="Calibri" w:hAnsi="Calibri" w:asciiTheme="minorHAnsi" w:cstheme="minorHAnsi" w:hAnsiTheme="minorHAnsi"/>
          <w:bCs w:val="false"/>
          <w:sz w:val="24"/>
          <w:szCs w:val="24"/>
          <w:lang w:eastAsia="en-US"/>
        </w:rPr>
        <w:t>”) sob o nº </w:t>
      </w:r>
      <w:r>
        <w:rPr>
          <w:rFonts w:cs="Calibri" w:ascii="Calibri" w:hAnsi="Calibri" w:asciiTheme="minorHAnsi" w:cstheme="minorHAnsi" w:hAnsiTheme="minorHAnsi"/>
          <w:sz w:val="24"/>
          <w:szCs w:val="24"/>
        </w:rPr>
        <w:t>25.249.439/0001-83</w:t>
      </w:r>
      <w:r>
        <w:rPr>
          <w:rFonts w:eastAsia="Times New Roman" w:cs="Calibri" w:ascii="Calibri" w:hAnsi="Calibri" w:asciiTheme="minorHAnsi" w:cstheme="minorHAnsi" w:hAnsiTheme="minorHAnsi"/>
          <w:bCs w:val="false"/>
          <w:sz w:val="24"/>
          <w:szCs w:val="24"/>
          <w:lang w:eastAsia="en-US"/>
        </w:rPr>
        <w:t xml:space="preserve">, inscrita na </w:t>
      </w:r>
      <w:bookmarkStart w:id="6" w:name="_Hlk33784008"/>
      <w:r>
        <w:rPr>
          <w:rFonts w:eastAsia="Times New Roman" w:cs="Calibri" w:ascii="Calibri" w:hAnsi="Calibri" w:asciiTheme="minorHAnsi" w:cstheme="minorHAnsi" w:hAnsiTheme="minorHAnsi"/>
          <w:bCs w:val="false"/>
          <w:sz w:val="24"/>
          <w:szCs w:val="24"/>
          <w:lang w:eastAsia="en-US"/>
        </w:rPr>
        <w:t xml:space="preserve">Junta Comercial do Estado de </w:t>
      </w:r>
      <w:bookmarkEnd w:id="6"/>
      <w:r>
        <w:rPr>
          <w:rFonts w:eastAsia="Times New Roman" w:cs="Calibri" w:ascii="Calibri" w:hAnsi="Calibri" w:asciiTheme="minorHAnsi" w:cstheme="minorHAnsi" w:hAnsiTheme="minorHAnsi"/>
          <w:bCs w:val="false"/>
          <w:sz w:val="24"/>
          <w:szCs w:val="24"/>
          <w:lang w:eastAsia="en-US"/>
        </w:rPr>
        <w:t>São Paulo (“</w:t>
      </w:r>
      <w:r>
        <w:rPr>
          <w:rFonts w:cs="Calibri" w:ascii="Calibri" w:hAnsi="Calibri" w:asciiTheme="minorHAnsi" w:cstheme="minorHAnsi" w:hAnsiTheme="minorHAnsi"/>
          <w:b/>
          <w:sz w:val="24"/>
          <w:szCs w:val="24"/>
        </w:rPr>
        <w:t>JUCESP</w:t>
      </w:r>
      <w:r>
        <w:rPr>
          <w:rFonts w:eastAsia="Times New Roman" w:cs="Calibri" w:ascii="Calibri" w:hAnsi="Calibri" w:asciiTheme="minorHAnsi" w:cstheme="minorHAnsi" w:hAnsiTheme="minorHAnsi"/>
          <w:bCs w:val="false"/>
          <w:sz w:val="24"/>
          <w:szCs w:val="24"/>
          <w:lang w:eastAsia="en-US"/>
        </w:rPr>
        <w:t>”) sob o NIRE nº 35300493419, neste ato representada por seus representantes legais devidamente autorizados e identificados nas páginas de assinaturas do presente instrumento (“</w:t>
      </w:r>
      <w:r>
        <w:rPr>
          <w:rFonts w:eastAsia="Times New Roman" w:cs="Calibri" w:ascii="Calibri" w:hAnsi="Calibri" w:asciiTheme="minorHAnsi" w:cstheme="minorHAnsi" w:hAnsiTheme="minorHAnsi"/>
          <w:b/>
          <w:bCs w:val="false"/>
          <w:sz w:val="24"/>
          <w:szCs w:val="24"/>
          <w:lang w:eastAsia="en-US"/>
        </w:rPr>
        <w:t>Emissora</w:t>
      </w:r>
      <w:r>
        <w:rPr>
          <w:rFonts w:eastAsia="Times New Roman" w:cs="Calibri" w:ascii="Calibri" w:hAnsi="Calibri" w:asciiTheme="minorHAnsi" w:cstheme="minorHAnsi" w:hAnsiTheme="minorHAnsi"/>
          <w:bCs w:val="false"/>
          <w:sz w:val="24"/>
          <w:szCs w:val="24"/>
          <w:lang w:eastAsia="en-US"/>
        </w:rPr>
        <w:t>”)</w:t>
      </w:r>
      <w:r>
        <w:rPr>
          <w:rFonts w:cs="Calibri" w:ascii="Calibri" w:hAnsi="Calibri" w:asciiTheme="minorHAnsi" w:cstheme="minorHAnsi" w:hAnsiTheme="minorHAnsi"/>
          <w:sz w:val="24"/>
          <w:szCs w:val="24"/>
        </w:rPr>
        <w:t>; [</w:t>
      </w:r>
      <w:r>
        <w:rPr>
          <w:rFonts w:cs="Calibri" w:ascii="Calibri" w:hAnsi="Calibri" w:asciiTheme="minorHAnsi" w:cstheme="minorHAnsi" w:hAnsiTheme="minorHAnsi"/>
          <w:b/>
          <w:bCs w:val="false"/>
          <w:sz w:val="24"/>
          <w:szCs w:val="24"/>
          <w:highlight w:val="yellow"/>
          <w:u w:val="single"/>
        </w:rPr>
        <w:t>Nota SF</w:t>
      </w:r>
      <w:r>
        <w:rPr>
          <w:rFonts w:cs="Calibri" w:ascii="Calibri" w:hAnsi="Calibri" w:asciiTheme="minorHAnsi" w:cstheme="minorHAnsi" w:hAnsiTheme="minorHAnsi"/>
          <w:sz w:val="24"/>
          <w:szCs w:val="24"/>
          <w:highlight w:val="yellow"/>
        </w:rPr>
        <w:t>: Qualificação a ser confirmada no âmbito da due diligence</w:t>
      </w:r>
      <w:r>
        <w:rPr>
          <w:rFonts w:cs="Calibri" w:ascii="Calibri" w:hAnsi="Calibri" w:asciiTheme="minorHAnsi" w:cstheme="minorHAnsi" w:hAnsiTheme="minorHAnsi"/>
          <w:sz w:val="24"/>
          <w:szCs w:val="24"/>
        </w:rPr>
        <w:t>]</w:t>
      </w:r>
    </w:p>
    <w:p>
      <w:pPr>
        <w:pStyle w:val="Parties"/>
        <w:numPr>
          <w:ilvl w:val="0"/>
          <w:numId w:val="0"/>
        </w:numPr>
        <w:spacing w:lineRule="exact" w:line="340" w:before="0" w:after="240"/>
        <w:ind w:left="0" w:hanging="0"/>
        <w:rPr>
          <w:rFonts w:ascii="Calibri" w:hAnsi="Calibri" w:eastAsia="Times New Roman" w:cs="Calibri" w:asciiTheme="minorHAnsi" w:cstheme="minorHAnsi" w:hAnsiTheme="minorHAnsi"/>
          <w:bCs w:val="false"/>
          <w:sz w:val="24"/>
          <w:szCs w:val="24"/>
          <w:lang w:eastAsia="en-US"/>
        </w:rPr>
      </w:pPr>
      <w:r>
        <w:rPr>
          <w:rFonts w:eastAsia="Times New Roman" w:cs="Calibri" w:ascii="Calibri" w:hAnsi="Calibri" w:asciiTheme="minorHAnsi" w:cstheme="minorHAnsi" w:hAnsiTheme="minorHAnsi"/>
          <w:bCs w:val="false"/>
          <w:sz w:val="24"/>
          <w:szCs w:val="24"/>
          <w:lang w:eastAsia="en-US"/>
        </w:rPr>
        <w:t>ainda, na qualidade de agente fiduciário, representando os interesses da comunhão dos titulares das debêntures simples, não conversíveis em ações, da espécie com garantia real, com garantia adicional fidejussória, em série única, da 1ª (primeira) emissão da Emissora (“</w:t>
      </w:r>
      <w:r>
        <w:rPr>
          <w:rFonts w:eastAsia="Times New Roman" w:cs="Calibri" w:ascii="Calibri" w:hAnsi="Calibri" w:asciiTheme="minorHAnsi" w:cstheme="minorHAnsi" w:hAnsiTheme="minorHAnsi"/>
          <w:b/>
          <w:bCs w:val="false"/>
          <w:sz w:val="24"/>
          <w:szCs w:val="24"/>
          <w:lang w:eastAsia="en-US"/>
        </w:rPr>
        <w:t>Debenturistas</w:t>
      </w:r>
      <w:r>
        <w:rPr>
          <w:rFonts w:eastAsia="Times New Roman" w:cs="Calibri" w:ascii="Calibri" w:hAnsi="Calibri" w:asciiTheme="minorHAnsi" w:cstheme="minorHAnsi" w:hAnsiTheme="minorHAnsi"/>
          <w:bCs w:val="false"/>
          <w:sz w:val="24"/>
          <w:szCs w:val="24"/>
          <w:lang w:eastAsia="en-US"/>
        </w:rPr>
        <w:t>” e “</w:t>
      </w:r>
      <w:r>
        <w:rPr>
          <w:rFonts w:eastAsia="Times New Roman" w:cs="Calibri" w:ascii="Calibri" w:hAnsi="Calibri" w:asciiTheme="minorHAnsi" w:cstheme="minorHAnsi" w:hAnsiTheme="minorHAnsi"/>
          <w:b/>
          <w:bCs w:val="false"/>
          <w:sz w:val="24"/>
          <w:szCs w:val="24"/>
          <w:lang w:eastAsia="en-US"/>
        </w:rPr>
        <w:t>Emissão</w:t>
      </w:r>
      <w:r>
        <w:rPr>
          <w:rFonts w:eastAsia="Times New Roman" w:cs="Calibri" w:ascii="Calibri" w:hAnsi="Calibri" w:asciiTheme="minorHAnsi" w:cstheme="minorHAnsi" w:hAnsiTheme="minorHAnsi"/>
          <w:bCs w:val="false"/>
          <w:sz w:val="24"/>
          <w:szCs w:val="24"/>
          <w:lang w:eastAsia="en-US"/>
        </w:rPr>
        <w:t>”, respectivamente):</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caps/>
          <w:sz w:val="24"/>
          <w:szCs w:val="24"/>
        </w:rPr>
        <w:t>SIMPLIFIC PAVARINI DISTRIBUIDORA DE TÍTULOS E VALORES MOBILIÁRIOS</w:t>
      </w:r>
      <w:r>
        <w:rPr>
          <w:rFonts w:cs="Calibri" w:ascii="Calibri" w:hAnsi="Calibri" w:asciiTheme="minorHAnsi" w:cstheme="minorHAnsi" w:hAnsiTheme="minorHAnsi"/>
          <w:bCs w:val="false"/>
          <w:sz w:val="24"/>
          <w:szCs w:val="24"/>
        </w:rPr>
        <w:t>,</w:t>
      </w:r>
      <w:r>
        <w:rPr>
          <w:rFonts w:cs="Calibri" w:ascii="Calibri" w:hAnsi="Calibri" w:asciiTheme="minorHAnsi" w:cstheme="minorHAnsi" w:hAnsiTheme="minorHAnsi"/>
          <w:b/>
          <w:sz w:val="24"/>
          <w:szCs w:val="24"/>
        </w:rPr>
        <w:t xml:space="preserve"> </w:t>
      </w:r>
      <w:r>
        <w:rPr>
          <w:rFonts w:cs="Calibri" w:ascii="Calibri" w:hAnsi="Calibri" w:asciiTheme="minorHAnsi" w:cstheme="minorHAnsi" w:hAnsiTheme="minorHAnsi"/>
          <w:sz w:val="24"/>
          <w:szCs w:val="24"/>
        </w:rPr>
        <w:t xml:space="preserve">instituição financeira com localizada na Cidade de São Paulo, Estado de São Paulo, na Rua Joaquim Floriano, nº 466, bloco B, nº 1401, Itaim Bibi, CEP 04534-002, inscrita no CNPJ sob o nº 15.227.994/0004-01, </w:t>
      </w:r>
      <w:r>
        <w:rPr>
          <w:rFonts w:eastAsia="Times New Roman" w:cs="Calibri" w:ascii="Calibri" w:hAnsi="Calibri" w:asciiTheme="minorHAnsi" w:cstheme="minorHAnsi" w:hAnsiTheme="minorHAnsi"/>
          <w:bCs w:val="false"/>
          <w:sz w:val="24"/>
          <w:szCs w:val="24"/>
          <w:lang w:eastAsia="en-US"/>
        </w:rPr>
        <w:t>neste ato representada por seus representantes legais devidamente autorizados e identificados nas páginas de assinaturas do presente instrumento</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b/>
          <w:sz w:val="24"/>
          <w:szCs w:val="24"/>
        </w:rPr>
        <w:t>Agente Fiduciário</w:t>
      </w:r>
      <w:r>
        <w:rPr>
          <w:rFonts w:cs="Calibri" w:ascii="Calibri" w:hAnsi="Calibri" w:asciiTheme="minorHAnsi" w:cstheme="minorHAnsi" w:hAnsiTheme="minorHAnsi"/>
          <w:sz w:val="24"/>
          <w:szCs w:val="24"/>
        </w:rPr>
        <w:t xml:space="preserve">”); </w:t>
      </w:r>
      <w:del w:id="0" w:author="Pedro Oliveira" w:date="2021-06-23T14:51:00Z">
        <w:r>
          <w:rPr>
            <w:rFonts w:cs="Calibri" w:ascii="Calibri" w:hAnsi="Calibri" w:asciiTheme="minorHAnsi" w:cstheme="minorHAnsi" w:hAnsiTheme="minorHAnsi"/>
            <w:sz w:val="24"/>
            <w:szCs w:val="24"/>
          </w:rPr>
          <w:delText>[</w:delText>
        </w:r>
      </w:del>
      <w:del w:id="1" w:author="Pedro Oliveira" w:date="2021-06-23T14:51:00Z">
        <w:r>
          <w:rPr>
            <w:rFonts w:cs="Calibri" w:ascii="Calibri" w:hAnsi="Calibri" w:asciiTheme="minorHAnsi" w:cstheme="minorHAnsi" w:hAnsiTheme="minorHAnsi"/>
            <w:b/>
            <w:bCs w:val="false"/>
            <w:sz w:val="24"/>
            <w:szCs w:val="24"/>
            <w:highlight w:val="yellow"/>
            <w:u w:val="single"/>
          </w:rPr>
          <w:delText>Nota SF</w:delText>
        </w:r>
      </w:del>
      <w:del w:id="2" w:author="Pedro Oliveira" w:date="2021-06-23T14:51:00Z">
        <w:r>
          <w:rPr>
            <w:rFonts w:cs="Calibri" w:ascii="Calibri" w:hAnsi="Calibri" w:asciiTheme="minorHAnsi" w:cstheme="minorHAnsi" w:hAnsiTheme="minorHAnsi"/>
            <w:sz w:val="24"/>
            <w:szCs w:val="24"/>
            <w:highlight w:val="yellow"/>
          </w:rPr>
          <w:delText>: Pavarini, favor confirmar qualificação</w:delText>
        </w:r>
      </w:del>
      <w:del w:id="3" w:author="Pedro Oliveira" w:date="2021-06-23T14:51:00Z">
        <w:r>
          <w:rPr>
            <w:rFonts w:cs="Calibri" w:ascii="Calibri" w:hAnsi="Calibri" w:asciiTheme="minorHAnsi" w:cstheme="minorHAnsi" w:hAnsiTheme="minorHAnsi"/>
            <w:sz w:val="24"/>
            <w:szCs w:val="24"/>
          </w:rPr>
          <w:delText>]</w:delText>
        </w:r>
      </w:del>
    </w:p>
    <w:p>
      <w:pPr>
        <w:pStyle w:val="Parties"/>
        <w:numPr>
          <w:ilvl w:val="0"/>
          <w:numId w:val="0"/>
        </w:numPr>
        <w:spacing w:lineRule="exact" w:line="340" w:before="0" w:after="240"/>
        <w:ind w:left="0" w:hanging="0"/>
        <w:rPr>
          <w:rFonts w:ascii="Calibri" w:hAnsi="Calibri" w:cs="Calibri" w:asciiTheme="minorHAnsi" w:cstheme="minorHAnsi" w:hAnsiTheme="minorHAnsi"/>
          <w:bCs w:val="false"/>
          <w:sz w:val="24"/>
          <w:szCs w:val="24"/>
        </w:rPr>
      </w:pPr>
      <w:r>
        <w:rPr>
          <w:rFonts w:cs="Calibri" w:ascii="Calibri" w:hAnsi="Calibri" w:asciiTheme="minorHAnsi" w:cstheme="minorHAnsi" w:hAnsiTheme="minorHAnsi"/>
          <w:bCs w:val="false"/>
          <w:sz w:val="24"/>
          <w:szCs w:val="24"/>
        </w:rPr>
        <w:t xml:space="preserve">e, ainda, na qualidade de Fiadores (conforme definido abaixo), </w:t>
      </w:r>
      <w:r>
        <w:rPr>
          <w:rFonts w:cs="Calibri" w:ascii="Calibri" w:hAnsi="Calibri" w:asciiTheme="minorHAnsi" w:cstheme="minorHAnsi" w:hAnsiTheme="minorHAnsi"/>
          <w:sz w:val="24"/>
          <w:szCs w:val="24"/>
        </w:rPr>
        <w:t>respondendo de maneira irrevogável e irretratável, como devedores solidários e principais pagadores, pelo cumprimento de todas as obrigações atinentes à Escritura de Emissão, assumidas pela Emissora, até sua plena liquidação</w:t>
      </w:r>
      <w:r>
        <w:rPr>
          <w:rFonts w:cs="Calibri" w:ascii="Calibri" w:hAnsi="Calibri" w:asciiTheme="minorHAnsi" w:cstheme="minorHAnsi" w:hAnsiTheme="minorHAnsi"/>
          <w:bCs w:val="false"/>
          <w:sz w:val="24"/>
          <w:szCs w:val="24"/>
        </w:rPr>
        <w:t>:</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b/>
          <w:b/>
          <w:caps/>
          <w:sz w:val="24"/>
          <w:szCs w:val="24"/>
        </w:rPr>
      </w:pPr>
      <w:r>
        <w:rPr>
          <w:rFonts w:cs="Calibri" w:ascii="Calibri" w:hAnsi="Calibri" w:asciiTheme="minorHAnsi" w:cstheme="minorHAnsi" w:hAnsiTheme="minorHAnsi"/>
          <w:b/>
          <w:caps/>
          <w:sz w:val="24"/>
          <w:szCs w:val="24"/>
        </w:rPr>
        <w:t>HOSPITAL VERA CRUZ S.A.</w:t>
      </w:r>
      <w:r>
        <w:rPr>
          <w:rFonts w:cs="Calibri" w:ascii="Calibri" w:hAnsi="Calibri" w:asciiTheme="minorHAnsi" w:cstheme="minorHAnsi" w:hAnsiTheme="minorHAnsi"/>
          <w:bCs w:val="false"/>
          <w:sz w:val="24"/>
          <w:szCs w:val="24"/>
        </w:rPr>
        <w:t xml:space="preserve">, </w:t>
      </w:r>
      <w:r>
        <w:rPr>
          <w:rFonts w:eastAsia="Times New Roman" w:cs="Calibri" w:ascii="Calibri" w:hAnsi="Calibri" w:asciiTheme="minorHAnsi" w:cstheme="minorHAnsi" w:hAnsiTheme="minorHAnsi"/>
          <w:bCs w:val="false"/>
          <w:sz w:val="24"/>
          <w:szCs w:val="24"/>
          <w:lang w:eastAsia="en-US"/>
        </w:rPr>
        <w:t>sociedade por ações, sem registro de capital aberto perante a CVM</w:t>
      </w:r>
      <w:r>
        <w:rPr>
          <w:rFonts w:cs="Calibri" w:ascii="Calibri" w:hAnsi="Calibri" w:asciiTheme="minorHAnsi" w:cstheme="minorHAnsi" w:hAnsiTheme="minorHAnsi"/>
          <w:sz w:val="24"/>
          <w:szCs w:val="24"/>
        </w:rPr>
        <w:t xml:space="preserve">, </w:t>
      </w:r>
      <w:r>
        <w:rPr>
          <w:rFonts w:eastAsia="Times New Roman" w:cs="Calibri" w:ascii="Calibri" w:hAnsi="Calibri" w:asciiTheme="minorHAnsi" w:cstheme="minorHAnsi" w:hAnsiTheme="minorHAnsi"/>
          <w:bCs w:val="false"/>
          <w:sz w:val="24"/>
          <w:szCs w:val="24"/>
          <w:lang w:eastAsia="en-US"/>
        </w:rPr>
        <w:t xml:space="preserve">com sede na </w:t>
      </w:r>
      <w:r>
        <w:rPr>
          <w:rFonts w:cs="Calibri" w:ascii="Calibri" w:hAnsi="Calibri" w:asciiTheme="minorHAnsi" w:cstheme="minorHAnsi" w:hAnsiTheme="minorHAnsi"/>
          <w:sz w:val="24"/>
          <w:szCs w:val="24"/>
        </w:rPr>
        <w:t>Cidade de Campinas, Estado de São Paulo, na Av. Andrade Neves, nº 402, CEP 13.013-900</w:t>
      </w:r>
      <w:r>
        <w:rPr>
          <w:rFonts w:eastAsia="Times New Roman" w:cs="Calibri" w:ascii="Calibri" w:hAnsi="Calibri" w:asciiTheme="minorHAnsi" w:cstheme="minorHAnsi" w:hAnsiTheme="minorHAnsi"/>
          <w:bCs w:val="false"/>
          <w:sz w:val="24"/>
          <w:szCs w:val="24"/>
          <w:lang w:eastAsia="en-US"/>
        </w:rPr>
        <w:t xml:space="preserve">, inscrita perante o CNPJ sob o nº </w:t>
      </w:r>
      <w:r>
        <w:rPr>
          <w:rFonts w:cs="Calibri" w:ascii="Calibri" w:hAnsi="Calibri" w:asciiTheme="minorHAnsi" w:cstheme="minorHAnsi" w:hAnsiTheme="minorHAnsi"/>
          <w:sz w:val="24"/>
          <w:szCs w:val="24"/>
        </w:rPr>
        <w:t>46.009.718/0001-40</w:t>
      </w:r>
      <w:r>
        <w:rPr>
          <w:rFonts w:eastAsia="Times New Roman" w:cs="Calibri" w:ascii="Calibri" w:hAnsi="Calibri" w:asciiTheme="minorHAnsi" w:cstheme="minorHAnsi" w:hAnsiTheme="minorHAnsi"/>
          <w:bCs w:val="false"/>
          <w:sz w:val="24"/>
          <w:szCs w:val="24"/>
          <w:lang w:eastAsia="en-US"/>
        </w:rPr>
        <w:t xml:space="preserve">, inscrita na JUCESP sob o NIRE nº 35300058585, neste ato representada por seus representantes legais devidamente autorizados e identificados nas páginas de assinaturas do presente instrumento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b/>
          <w:bCs w:val="false"/>
          <w:sz w:val="24"/>
          <w:szCs w:val="24"/>
        </w:rPr>
        <w:t>Hospital Vera Cruz</w:t>
      </w:r>
      <w:r>
        <w:rPr>
          <w:rFonts w:cs="Calibri" w:ascii="Calibri" w:hAnsi="Calibri" w:asciiTheme="minorHAnsi" w:cstheme="minorHAnsi" w:hAnsiTheme="minorHAnsi"/>
          <w:sz w:val="24"/>
          <w:szCs w:val="24"/>
        </w:rPr>
        <w:t>”); [</w:t>
      </w:r>
      <w:r>
        <w:rPr>
          <w:rFonts w:cs="Calibri" w:ascii="Calibri" w:hAnsi="Calibri" w:asciiTheme="minorHAnsi" w:cstheme="minorHAnsi" w:hAnsiTheme="minorHAnsi"/>
          <w:b/>
          <w:bCs w:val="false"/>
          <w:sz w:val="24"/>
          <w:szCs w:val="24"/>
          <w:highlight w:val="yellow"/>
          <w:u w:val="single"/>
        </w:rPr>
        <w:t>Nota SF</w:t>
      </w:r>
      <w:r>
        <w:rPr>
          <w:rFonts w:cs="Calibri" w:ascii="Calibri" w:hAnsi="Calibri" w:asciiTheme="minorHAnsi" w:cstheme="minorHAnsi" w:hAnsiTheme="minorHAnsi"/>
          <w:sz w:val="24"/>
          <w:szCs w:val="24"/>
          <w:highlight w:val="yellow"/>
        </w:rPr>
        <w:t>: Qualificação a ser confirmada no âmbito da due diligence</w:t>
      </w:r>
      <w:r>
        <w:rPr>
          <w:rFonts w:cs="Calibri" w:ascii="Calibri" w:hAnsi="Calibri" w:asciiTheme="minorHAnsi" w:cstheme="minorHAnsi" w:hAnsiTheme="minorHAnsi"/>
          <w:sz w:val="24"/>
          <w:szCs w:val="24"/>
        </w:rPr>
        <w:t>]</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b/>
          <w:b/>
          <w:caps/>
          <w:sz w:val="24"/>
          <w:szCs w:val="24"/>
        </w:rPr>
      </w:pPr>
      <w:r>
        <w:rPr>
          <w:rFonts w:cs="Calibri" w:ascii="Calibri" w:hAnsi="Calibri" w:asciiTheme="minorHAnsi" w:cstheme="minorHAnsi" w:hAnsiTheme="minorHAnsi"/>
          <w:b/>
          <w:caps/>
          <w:sz w:val="24"/>
          <w:szCs w:val="24"/>
        </w:rPr>
        <w:t>HOSPITAL SÃO LUCAS S.A.</w:t>
      </w:r>
      <w:r>
        <w:rPr>
          <w:rFonts w:cs="Calibri" w:ascii="Calibri" w:hAnsi="Calibri" w:asciiTheme="minorHAnsi" w:cstheme="minorHAnsi" w:hAnsiTheme="minorHAnsi"/>
          <w:bCs w:val="false"/>
          <w:sz w:val="24"/>
          <w:szCs w:val="24"/>
        </w:rPr>
        <w:t>, sociedade por ações, sem registro de capital aberto perante a CVM</w:t>
      </w:r>
      <w:r>
        <w:rPr>
          <w:rFonts w:cs="Calibri" w:ascii="Calibri" w:hAnsi="Calibri" w:asciiTheme="minorHAnsi" w:cstheme="minorHAnsi" w:hAnsiTheme="minorHAnsi"/>
          <w:sz w:val="24"/>
          <w:szCs w:val="24"/>
        </w:rPr>
        <w:t xml:space="preserve">, </w:t>
      </w:r>
      <w:r>
        <w:rPr>
          <w:rFonts w:eastAsia="Times New Roman" w:cs="Calibri" w:ascii="Calibri" w:hAnsi="Calibri" w:asciiTheme="minorHAnsi" w:cstheme="minorHAnsi" w:hAnsiTheme="minorHAnsi"/>
          <w:bCs w:val="false"/>
          <w:sz w:val="24"/>
          <w:szCs w:val="24"/>
          <w:lang w:eastAsia="en-US"/>
        </w:rPr>
        <w:t xml:space="preserve">com sede na </w:t>
      </w:r>
      <w:r>
        <w:rPr>
          <w:rFonts w:cs="Calibri" w:ascii="Calibri" w:hAnsi="Calibri" w:asciiTheme="minorHAnsi" w:cstheme="minorHAnsi" w:hAnsiTheme="minorHAnsi"/>
          <w:sz w:val="24"/>
          <w:szCs w:val="24"/>
        </w:rPr>
        <w:t>Cidade de Ribeirão Preto, Estado de São Paulo, na Rua Bernardino de Campos, nº 1.426, CEP 14.015-130</w:t>
      </w:r>
      <w:r>
        <w:rPr>
          <w:rFonts w:eastAsia="Times New Roman" w:cs="Calibri" w:ascii="Calibri" w:hAnsi="Calibri" w:asciiTheme="minorHAnsi" w:cstheme="minorHAnsi" w:hAnsiTheme="minorHAnsi"/>
          <w:bCs w:val="false"/>
          <w:sz w:val="24"/>
          <w:szCs w:val="24"/>
          <w:lang w:eastAsia="en-US"/>
        </w:rPr>
        <w:t xml:space="preserve">, inscrita perante o CNPJ sob o nº 55.980.148/0001-21, inscrita na JUCESP, sob o NIRE nº 35300056612, neste ato representada por seus representantes legais devidamente autorizados e identificados nas páginas de assinaturas do presente instrumento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b/>
          <w:bCs w:val="false"/>
          <w:sz w:val="24"/>
          <w:szCs w:val="24"/>
        </w:rPr>
        <w:t>Hospital São Lucas</w:t>
      </w:r>
      <w:r>
        <w:rPr>
          <w:rFonts w:cs="Calibri" w:ascii="Calibri" w:hAnsi="Calibri" w:asciiTheme="minorHAnsi" w:cstheme="minorHAnsi" w:hAnsiTheme="minorHAnsi"/>
          <w:sz w:val="24"/>
          <w:szCs w:val="24"/>
        </w:rPr>
        <w:t>”); e [</w:t>
      </w:r>
      <w:r>
        <w:rPr>
          <w:rFonts w:cs="Calibri" w:ascii="Calibri" w:hAnsi="Calibri" w:asciiTheme="minorHAnsi" w:cstheme="minorHAnsi" w:hAnsiTheme="minorHAnsi"/>
          <w:b/>
          <w:bCs w:val="false"/>
          <w:sz w:val="24"/>
          <w:szCs w:val="24"/>
          <w:highlight w:val="yellow"/>
          <w:u w:val="single"/>
        </w:rPr>
        <w:t>Nota SF</w:t>
      </w:r>
      <w:r>
        <w:rPr>
          <w:rFonts w:cs="Calibri" w:ascii="Calibri" w:hAnsi="Calibri" w:asciiTheme="minorHAnsi" w:cstheme="minorHAnsi" w:hAnsiTheme="minorHAnsi"/>
          <w:sz w:val="24"/>
          <w:szCs w:val="24"/>
          <w:highlight w:val="yellow"/>
        </w:rPr>
        <w:t>: Qualificação a ser confirmada no âmbito da due diligence</w:t>
      </w:r>
      <w:r>
        <w:rPr>
          <w:rFonts w:cs="Calibri" w:ascii="Calibri" w:hAnsi="Calibri" w:asciiTheme="minorHAnsi" w:cstheme="minorHAnsi" w:hAnsiTheme="minorHAnsi"/>
          <w:sz w:val="24"/>
          <w:szCs w:val="24"/>
        </w:rPr>
        <w:t>]</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b/>
          <w:b/>
          <w:caps/>
          <w:sz w:val="24"/>
          <w:szCs w:val="24"/>
        </w:rPr>
      </w:pPr>
      <w:r>
        <w:rPr>
          <w:rFonts w:cs="Calibri" w:ascii="Calibri" w:hAnsi="Calibri" w:asciiTheme="minorHAnsi" w:cstheme="minorHAnsi" w:hAnsiTheme="minorHAnsi"/>
          <w:b/>
          <w:caps/>
          <w:sz w:val="24"/>
          <w:szCs w:val="24"/>
        </w:rPr>
        <w:t>SÃO LUCAS RIBEIRANIA LTDA.</w:t>
      </w:r>
      <w:r>
        <w:rPr>
          <w:rFonts w:cs="Calibri" w:ascii="Calibri" w:hAnsi="Calibri" w:asciiTheme="minorHAnsi" w:cstheme="minorHAnsi" w:hAnsiTheme="minorHAnsi"/>
          <w:bCs w:val="false"/>
          <w:caps/>
          <w:sz w:val="24"/>
          <w:szCs w:val="24"/>
        </w:rPr>
        <w:t>,</w:t>
      </w:r>
      <w:r>
        <w:rPr>
          <w:rFonts w:cs="Calibri" w:ascii="Calibri" w:hAnsi="Calibri" w:asciiTheme="minorHAnsi" w:cstheme="minorHAnsi" w:hAnsiTheme="minorHAnsi"/>
          <w:bCs w:val="false"/>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Pr>
          <w:rFonts w:eastAsia="Times New Roman" w:cs="Calibri" w:ascii="Calibri" w:hAnsi="Calibri" w:asciiTheme="minorHAnsi" w:cstheme="minorHAnsi" w:hAnsiTheme="minorHAnsi"/>
          <w:bCs w:val="false"/>
          <w:sz w:val="24"/>
          <w:szCs w:val="24"/>
          <w:lang w:eastAsia="en-US"/>
        </w:rPr>
        <w:t>neste ato representada por seus representantes legais devidamente autorizados e identificados nas páginas de assinaturas do presente instrumento</w:t>
      </w:r>
      <w:r>
        <w:rPr>
          <w:rFonts w:cs="Calibri" w:ascii="Calibri" w:hAnsi="Calibri" w:asciiTheme="minorHAnsi" w:cstheme="minorHAnsi" w:hAnsiTheme="minorHAnsi"/>
          <w:bCs w:val="false"/>
          <w:sz w:val="24"/>
          <w:szCs w:val="24"/>
        </w:rPr>
        <w:t xml:space="preserve"> (“</w:t>
      </w:r>
      <w:r>
        <w:rPr>
          <w:rFonts w:cs="Calibri" w:ascii="Calibri" w:hAnsi="Calibri" w:asciiTheme="minorHAnsi" w:cstheme="minorHAnsi" w:hAnsiTheme="minorHAnsi"/>
          <w:b/>
          <w:sz w:val="24"/>
          <w:szCs w:val="24"/>
        </w:rPr>
        <w:t>São Lucas Ribeirânia</w:t>
      </w:r>
      <w:r>
        <w:rPr>
          <w:rFonts w:cs="Calibri" w:ascii="Calibri" w:hAnsi="Calibri" w:asciiTheme="minorHAnsi" w:cstheme="minorHAnsi" w:hAnsiTheme="minorHAnsi"/>
          <w:bCs w:val="false"/>
          <w:sz w:val="24"/>
          <w:szCs w:val="24"/>
        </w:rPr>
        <w:t>” e, quando em conjunto com o Hospital Vera Cruz e Hospital São Lucas, os “</w:t>
      </w:r>
      <w:r>
        <w:rPr>
          <w:rFonts w:cs="Calibri" w:ascii="Calibri" w:hAnsi="Calibri" w:asciiTheme="minorHAnsi" w:cstheme="minorHAnsi" w:hAnsiTheme="minorHAnsi"/>
          <w:b/>
          <w:sz w:val="24"/>
          <w:szCs w:val="24"/>
        </w:rPr>
        <w:t>Fiadores</w:t>
      </w:r>
      <w:r>
        <w:rPr>
          <w:rFonts w:cs="Calibri" w:ascii="Calibri" w:hAnsi="Calibri" w:asciiTheme="minorHAnsi" w:cstheme="minorHAnsi" w:hAnsiTheme="minorHAnsi"/>
          <w:bCs w:val="false"/>
          <w:sz w:val="24"/>
          <w:szCs w:val="24"/>
        </w:rPr>
        <w:t xml:space="preserve">”);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b/>
          <w:bCs w:val="false"/>
          <w:sz w:val="24"/>
          <w:szCs w:val="24"/>
          <w:highlight w:val="yellow"/>
          <w:u w:val="single"/>
        </w:rPr>
        <w:t>Nota SF</w:t>
      </w:r>
      <w:r>
        <w:rPr>
          <w:rFonts w:cs="Calibri" w:ascii="Calibri" w:hAnsi="Calibri" w:asciiTheme="minorHAnsi" w:cstheme="minorHAnsi" w:hAnsiTheme="minorHAnsi"/>
          <w:sz w:val="24"/>
          <w:szCs w:val="24"/>
          <w:highlight w:val="yellow"/>
        </w:rPr>
        <w:t>: Qualificação a ser confirmada no âmbito da due diligence</w:t>
      </w:r>
      <w:r>
        <w:rPr>
          <w:rFonts w:cs="Calibri" w:ascii="Calibri" w:hAnsi="Calibri" w:asciiTheme="minorHAnsi" w:cstheme="minorHAnsi" w:hAnsiTheme="minorHAnsi"/>
          <w:sz w:val="24"/>
          <w:szCs w:val="24"/>
        </w:rPr>
        <w:t>]</w:t>
      </w:r>
    </w:p>
    <w:p>
      <w:pPr>
        <w:pStyle w:val="Normal"/>
        <w:spacing w:lineRule="exact" w:line="340" w:before="0" w:after="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vêm por esta e na melhor forma de direito celebrar o presente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 (“</w:t>
      </w:r>
      <w:r>
        <w:rPr>
          <w:rFonts w:cs="Calibri" w:ascii="Calibri" w:hAnsi="Calibri" w:asciiTheme="minorHAnsi" w:cstheme="minorHAnsi" w:hAnsiTheme="minorHAnsi"/>
          <w:b/>
          <w:sz w:val="24"/>
          <w:szCs w:val="24"/>
        </w:rPr>
        <w:t>Escritura de Emissão</w:t>
      </w:r>
      <w:r>
        <w:rPr>
          <w:rFonts w:cs="Calibri" w:ascii="Calibri" w:hAnsi="Calibri" w:asciiTheme="minorHAnsi" w:cstheme="minorHAnsi" w:hAnsiTheme="minorHAnsi"/>
          <w:sz w:val="24"/>
          <w:szCs w:val="24"/>
        </w:rPr>
        <w:t>”), que será regido pelas seguintes cláusulas e condições:</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AUTORIZAÇÕES</w:t>
      </w:r>
      <w:bookmarkStart w:id="7" w:name="_DV_M8"/>
      <w:bookmarkEnd w:id="7"/>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8" w:name="_DV_M9"/>
      <w:bookmarkEnd w:id="8"/>
      <w:r>
        <w:rPr>
          <w:rFonts w:cs="Calibri" w:ascii="Calibri" w:hAnsi="Calibri" w:asciiTheme="minorHAnsi" w:cstheme="minorHAnsi" w:hAnsiTheme="minorHAnsi"/>
          <w:b/>
          <w:sz w:val="24"/>
          <w:szCs w:val="24"/>
          <w:lang w:val="pt-BR"/>
        </w:rPr>
        <w:t>Autorização da Emissão pela Emissora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presente Escritura de Emissão é celebrada com base nas deliberações tomadas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da Emissora, realizada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sz w:val="24"/>
          <w:szCs w:val="24"/>
          <w:lang w:val="pt-BR"/>
        </w:rPr>
        <w:t>Aprovação Societária da Emissora</w:t>
      </w:r>
      <w:r>
        <w:rPr>
          <w:rFonts w:cs="Calibri" w:ascii="Calibri" w:hAnsi="Calibri" w:asciiTheme="minorHAnsi" w:cstheme="minorHAnsi" w:hAnsiTheme="minorHAnsi"/>
          <w:sz w:val="24"/>
          <w:szCs w:val="24"/>
          <w:lang w:val="pt-BR"/>
        </w:rPr>
        <w:t>”), na qual foram deliberados: (a) os termos e condições da Emissão, nos termos do artigo 59, parágrafo 1º, da Lei n° 6.404, de 15 de dezembro de 1976, conforme alterada (“</w:t>
      </w:r>
      <w:r>
        <w:rPr>
          <w:rFonts w:cs="Calibri" w:ascii="Calibri" w:hAnsi="Calibri" w:asciiTheme="minorHAnsi" w:cstheme="minorHAnsi" w:hAnsiTheme="minorHAnsi"/>
          <w:b/>
          <w:sz w:val="24"/>
          <w:szCs w:val="24"/>
          <w:lang w:val="pt-BR"/>
        </w:rPr>
        <w:t>Lei das Sociedades por Ações</w:t>
      </w:r>
      <w:r>
        <w:rPr>
          <w:rFonts w:cs="Calibri" w:ascii="Calibri" w:hAnsi="Calibri" w:asciiTheme="minorHAnsi" w:cstheme="minorHAnsi" w:hAnsiTheme="minorHAnsi"/>
          <w:sz w:val="24"/>
          <w:szCs w:val="24"/>
          <w:lang w:val="pt-BR"/>
        </w:rPr>
        <w:t>”), em conformidade com o disposto no estatuto social da Emissora; e (b) a autorização à Diretoria da Emissora para adotar todas e quaisquer medidas e celebrar todos os documentos necessários à Emissão e à Oferta Restrita (conforme definida abaixo), formalizar e efetivar a contratação dos Coordenadores (conforme definido abaixo), do Agente Fiduciário, dos assessores legais e dos prestadores de serviços necessários à implementação da Emissão e da Oferta Restrita, tais como Escriturador (conforme definido abaixo), Banco Liquidante (conforme definido abaixo), a B3 S.A. – Brasil, Bolsa, Balcão – Balcão B3 (“</w:t>
      </w:r>
      <w:r>
        <w:rPr>
          <w:rFonts w:cs="Calibri" w:ascii="Calibri" w:hAnsi="Calibri" w:asciiTheme="minorHAnsi" w:cstheme="minorHAnsi" w:hAnsiTheme="minorHAnsi"/>
          <w:b/>
          <w:sz w:val="24"/>
          <w:szCs w:val="24"/>
          <w:lang w:val="pt-BR"/>
        </w:rPr>
        <w:t>B3</w:t>
      </w:r>
      <w:r>
        <w:rPr>
          <w:rFonts w:cs="Calibri" w:ascii="Calibri" w:hAnsi="Calibri" w:asciiTheme="minorHAnsi" w:cstheme="minorHAnsi" w:hAnsiTheme="minorHAnsi"/>
          <w:sz w:val="24"/>
          <w:szCs w:val="24"/>
          <w:lang w:val="pt-BR"/>
        </w:rPr>
        <w:t xml:space="preserve">”), dentre outros, podendo, inclusive, celebrar aditamentos a esta Escritura de Emissão.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Autorização da Prestação de Fiança pelos Fiadores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Cs/>
          <w:sz w:val="24"/>
          <w:szCs w:val="24"/>
          <w:lang w:val="pt-BR"/>
        </w:rPr>
        <w:t xml:space="preserve">A constituição da Fiança (conforme definido abaixo) </w:t>
      </w:r>
      <w:r>
        <w:rPr>
          <w:rFonts w:cs="Calibri" w:ascii="Calibri" w:hAnsi="Calibri" w:asciiTheme="minorHAnsi" w:cstheme="minorHAnsi" w:hAnsiTheme="minorHAnsi"/>
          <w:sz w:val="24"/>
          <w:szCs w:val="24"/>
          <w:lang w:val="pt-BR"/>
        </w:rPr>
        <w:t>foi aprovada (i) pelo Hospital Vera Cruz, com base nas deliberações da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realizada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sz w:val="24"/>
          <w:szCs w:val="24"/>
          <w:lang w:val="pt-BR"/>
        </w:rPr>
        <w:t>Aprovação Societária Hospital Vera Cruz</w:t>
      </w:r>
      <w:r>
        <w:rPr>
          <w:rFonts w:cs="Calibri" w:ascii="Calibri" w:hAnsi="Calibri" w:asciiTheme="minorHAnsi" w:cstheme="minorHAnsi" w:hAnsiTheme="minorHAnsi"/>
          <w:bCs/>
          <w:sz w:val="24"/>
          <w:szCs w:val="24"/>
          <w:lang w:val="pt-BR"/>
        </w:rPr>
        <w:t>”</w:t>
      </w:r>
      <w:r>
        <w:rPr>
          <w:rFonts w:cs="Calibri" w:ascii="Calibri" w:hAnsi="Calibri" w:asciiTheme="minorHAnsi" w:cstheme="minorHAnsi" w:hAnsiTheme="minorHAnsi"/>
          <w:sz w:val="24"/>
          <w:szCs w:val="24"/>
          <w:lang w:val="pt-BR"/>
        </w:rPr>
        <w:t>); (ii) pelo Hospital São Lucas, com base nas deliberações da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realizada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sz w:val="24"/>
          <w:szCs w:val="24"/>
          <w:lang w:val="pt-BR"/>
        </w:rPr>
        <w:t>Aprovação Societária Hospital São Lucas</w:t>
      </w:r>
      <w:r>
        <w:rPr>
          <w:rFonts w:cs="Calibri" w:ascii="Calibri" w:hAnsi="Calibri" w:asciiTheme="minorHAnsi" w:cstheme="minorHAnsi" w:hAnsiTheme="minorHAnsi"/>
          <w:bCs/>
          <w:sz w:val="24"/>
          <w:szCs w:val="24"/>
          <w:lang w:val="pt-BR"/>
        </w:rPr>
        <w:t xml:space="preserve">”); e (iii) pelo São Lucas Ribeirânia, com base nas deliberações da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realizada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bCs/>
          <w:sz w:val="24"/>
          <w:szCs w:val="24"/>
          <w:lang w:val="pt-BR"/>
        </w:rPr>
        <w:t>Aprovação Societária São Lucas Ribeirânia</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Cs/>
          <w:sz w:val="24"/>
          <w:szCs w:val="24"/>
          <w:lang w:val="pt-BR"/>
        </w:rPr>
        <w:t xml:space="preserve"> e, em conjunto com a Aprovação Societária Hospital Vera Cruz e a Aprovação Societária Hospital São Lucas, “</w:t>
      </w:r>
      <w:r>
        <w:rPr>
          <w:rFonts w:cs="Calibri" w:ascii="Calibri" w:hAnsi="Calibri" w:asciiTheme="minorHAnsi" w:cstheme="minorHAnsi" w:hAnsiTheme="minorHAnsi"/>
          <w:b/>
          <w:sz w:val="24"/>
          <w:szCs w:val="24"/>
          <w:lang w:val="pt-BR"/>
        </w:rPr>
        <w:t>Aprovações Societárias dos Fiadores</w:t>
      </w:r>
      <w:r>
        <w:rPr>
          <w:rFonts w:cs="Calibri" w:ascii="Calibri" w:hAnsi="Calibri" w:asciiTheme="minorHAnsi" w:cstheme="minorHAnsi" w:hAnsiTheme="minorHAnsi"/>
          <w:bCs/>
          <w:sz w:val="24"/>
          <w:szCs w:val="24"/>
          <w:lang w:val="pt-BR"/>
        </w:rPr>
        <w:t>”; sendo Aprovações Societárias da Emissora e Aprovações Societárias dos Fiadores, em conjunto, “</w:t>
      </w:r>
      <w:r>
        <w:rPr>
          <w:rFonts w:cs="Calibri" w:ascii="Calibri" w:hAnsi="Calibri" w:asciiTheme="minorHAnsi" w:cstheme="minorHAnsi" w:hAnsiTheme="minorHAnsi"/>
          <w:b/>
          <w:sz w:val="24"/>
          <w:szCs w:val="24"/>
          <w:lang w:val="pt-BR"/>
        </w:rPr>
        <w:t>Aprovações Societárias</w:t>
      </w:r>
      <w:r>
        <w:rPr>
          <w:rFonts w:cs="Calibri" w:ascii="Calibri" w:hAnsi="Calibri" w:asciiTheme="minorHAnsi" w:cstheme="minorHAnsi" w:hAnsiTheme="minorHAnsi"/>
          <w:bCs/>
          <w:sz w:val="24"/>
          <w:szCs w:val="24"/>
          <w:lang w:val="pt-BR"/>
        </w:rPr>
        <w:t>”</w:t>
      </w:r>
      <w:r>
        <w:rPr>
          <w:rFonts w:cs="Calibri" w:ascii="Calibri" w:hAnsi="Calibri" w:asciiTheme="minorHAnsi" w:cstheme="minorHAnsi" w:hAnsiTheme="minorHAnsi"/>
          <w:sz w:val="24"/>
          <w:szCs w:val="24"/>
          <w:lang w:val="pt-BR"/>
        </w:rPr>
        <w:t>).</w:t>
      </w:r>
    </w:p>
    <w:p>
      <w:pPr>
        <w:pStyle w:val="Level1"/>
        <w:numPr>
          <w:ilvl w:val="0"/>
          <w:numId w:val="5"/>
        </w:numPr>
        <w:spacing w:lineRule="exact" w:line="340"/>
        <w:rPr>
          <w:rFonts w:ascii="Calibri" w:hAnsi="Calibri" w:cs="Calibri" w:asciiTheme="minorHAnsi" w:cstheme="minorHAnsi" w:hAnsiTheme="minorHAnsi"/>
          <w:sz w:val="24"/>
          <w:szCs w:val="24"/>
        </w:rPr>
      </w:pPr>
      <w:bookmarkStart w:id="9" w:name="_Ref62665243"/>
      <w:bookmarkStart w:id="10" w:name="_DV_M11"/>
      <w:bookmarkStart w:id="11" w:name="_DV_M10"/>
      <w:bookmarkEnd w:id="10"/>
      <w:bookmarkEnd w:id="11"/>
      <w:r>
        <w:rPr>
          <w:rFonts w:cs="Calibri" w:ascii="Calibri" w:hAnsi="Calibri" w:asciiTheme="minorHAnsi" w:cstheme="minorHAnsi" w:hAnsiTheme="minorHAnsi"/>
          <w:sz w:val="24"/>
          <w:szCs w:val="24"/>
        </w:rPr>
        <w:t>REQUISITOS</w:t>
      </w:r>
      <w:bookmarkEnd w:id="9"/>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Emissão será realizada com observância dos seguintes requisitos:</w:t>
      </w:r>
      <w:bookmarkStart w:id="12" w:name="_DV_M15"/>
      <w:bookmarkStart w:id="13" w:name="_DV_M14"/>
      <w:bookmarkStart w:id="14" w:name="_DV_M13"/>
      <w:bookmarkStart w:id="15" w:name="_DV_M12"/>
      <w:bookmarkEnd w:id="12"/>
      <w:bookmarkEnd w:id="13"/>
      <w:bookmarkEnd w:id="14"/>
      <w:bookmarkEnd w:id="15"/>
    </w:p>
    <w:p>
      <w:pPr>
        <w:pStyle w:val="Level2"/>
        <w:numPr>
          <w:ilvl w:val="1"/>
          <w:numId w:val="5"/>
        </w:numPr>
        <w:tabs>
          <w:tab w:val="clear" w:pos="709"/>
        </w:tabs>
        <w:spacing w:lineRule="exact" w:line="340" w:before="0" w:after="240"/>
        <w:ind w:left="709" w:hanging="709"/>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Dispensa de Registro na CVM e Registro na Associação Brasileira das Entidades dos Mercados Financeiro e de Capitais (“ANBIMA”)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distribuição pública com esforços restritos de distribuição, das Debêntures desta Emissão será realizada nos termos da Instrução CVM nº 476, de 16 de janeiro de 2009, conforme alterada (“</w:t>
      </w:r>
      <w:r>
        <w:rPr>
          <w:rFonts w:cs="Calibri" w:ascii="Calibri" w:hAnsi="Calibri" w:asciiTheme="minorHAnsi" w:cstheme="minorHAnsi" w:hAnsiTheme="minorHAnsi"/>
          <w:b/>
          <w:sz w:val="24"/>
          <w:szCs w:val="24"/>
          <w:lang w:val="pt-BR"/>
        </w:rPr>
        <w:t>Instrução CVM 476</w:t>
      </w:r>
      <w:r>
        <w:rPr>
          <w:rFonts w:cs="Calibri" w:ascii="Calibri" w:hAnsi="Calibri" w:asciiTheme="minorHAnsi" w:cstheme="minorHAnsi" w:hAnsiTheme="minorHAnsi"/>
          <w:sz w:val="24"/>
          <w:szCs w:val="24"/>
          <w:lang w:val="pt-BR"/>
        </w:rPr>
        <w:t>”)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(conforme abaixo definidos) e de encerramento da Oferta Restrita à CVM, nos termos, respectivamente, dos artigos 7º-A e 8º da Instrução CVM 476 (“</w:t>
      </w:r>
      <w:r>
        <w:rPr>
          <w:rFonts w:cs="Calibri" w:ascii="Calibri" w:hAnsi="Calibri" w:asciiTheme="minorHAnsi" w:cstheme="minorHAnsi" w:hAnsiTheme="minorHAnsi"/>
          <w:b/>
          <w:sz w:val="24"/>
          <w:szCs w:val="24"/>
          <w:lang w:val="pt-BR"/>
        </w:rPr>
        <w:t>Oferta Restrita</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Oferta Restrita será registrada na ANBIMA no prazo de 15 (quinze) dias contado do envio da comunicação de encerramento da Oferta Restrita, nos termos do artigo 16 e seguintes do “Código ANBIMA de Regulação e Melhores Práticas para Ofertas Públicas” (“</w:t>
      </w:r>
      <w:r>
        <w:rPr>
          <w:rFonts w:cs="Calibri" w:ascii="Calibri" w:hAnsi="Calibri" w:asciiTheme="minorHAnsi" w:cstheme="minorHAnsi" w:hAnsiTheme="minorHAnsi"/>
          <w:b/>
          <w:sz w:val="24"/>
          <w:szCs w:val="24"/>
          <w:lang w:val="pt-BR"/>
        </w:rPr>
        <w:t>Código ANBIMA</w:t>
      </w:r>
      <w:r>
        <w:rPr>
          <w:rFonts w:cs="Calibri" w:ascii="Calibri" w:hAnsi="Calibri" w:asciiTheme="minorHAnsi" w:cstheme="minorHAnsi" w:hAnsiTheme="minorHAnsi"/>
          <w:sz w:val="24"/>
          <w:szCs w:val="24"/>
          <w:lang w:val="pt-BR"/>
        </w:rPr>
        <w:t>”).</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Arquivamentos nas Juntas Comerciais e Publicações da ata da Aprovação Societária da Emissora e das atas das Aprovações Societárias dos Fiadores </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16" w:name="_DV_M16"/>
      <w:bookmarkEnd w:id="16"/>
      <w:r>
        <w:rPr>
          <w:rFonts w:cs="Calibri" w:ascii="Calibri" w:hAnsi="Calibri" w:asciiTheme="minorHAnsi" w:cstheme="minorHAnsi" w:hAnsiTheme="minorHAnsi"/>
          <w:sz w:val="24"/>
          <w:szCs w:val="24"/>
          <w:lang w:val="pt-BR"/>
        </w:rPr>
        <w:t xml:space="preserve">A ata da Aprovação Societária da Emissora será arquivada na </w:t>
      </w:r>
      <w:bookmarkStart w:id="17" w:name="_DV_M18"/>
      <w:bookmarkStart w:id="18" w:name="_DV_M17"/>
      <w:bookmarkEnd w:id="17"/>
      <w:bookmarkEnd w:id="18"/>
      <w:r>
        <w:rPr>
          <w:rFonts w:cs="Calibri" w:ascii="Calibri" w:hAnsi="Calibri" w:asciiTheme="minorHAnsi" w:cstheme="minorHAnsi" w:hAnsiTheme="minorHAnsi"/>
          <w:sz w:val="24"/>
          <w:szCs w:val="24"/>
          <w:lang w:val="pt-BR"/>
        </w:rPr>
        <w:t xml:space="preserve">JUCESP e será publicada no </w:t>
      </w:r>
      <w:r>
        <w:rPr>
          <w:rFonts w:cs="Calibri" w:ascii="Calibri" w:hAnsi="Calibri" w:asciiTheme="minorHAnsi" w:cstheme="minorHAnsi" w:hAnsiTheme="minorHAnsi"/>
          <w:b/>
          <w:sz w:val="24"/>
          <w:szCs w:val="24"/>
          <w:lang w:val="pt-BR"/>
        </w:rPr>
        <w:t>(i)</w:t>
      </w:r>
      <w:r>
        <w:rPr>
          <w:rFonts w:cs="Calibri" w:ascii="Calibri" w:hAnsi="Calibri" w:asciiTheme="minorHAnsi" w:cstheme="minorHAnsi" w:hAnsiTheme="minorHAnsi"/>
          <w:sz w:val="24"/>
          <w:szCs w:val="24"/>
          <w:lang w:val="pt-BR"/>
        </w:rPr>
        <w:t xml:space="preserve"> Diário Oficial do Estado de São Paulo (“</w:t>
      </w:r>
      <w:r>
        <w:rPr>
          <w:rFonts w:cs="Calibri" w:ascii="Calibri" w:hAnsi="Calibri" w:asciiTheme="minorHAnsi" w:cstheme="minorHAnsi" w:hAnsiTheme="minorHAnsi"/>
          <w:b/>
          <w:sz w:val="24"/>
          <w:szCs w:val="24"/>
          <w:lang w:val="pt-BR"/>
        </w:rPr>
        <w:t>DOESP</w:t>
      </w:r>
      <w:r>
        <w:rPr>
          <w:rFonts w:cs="Calibri" w:ascii="Calibri" w:hAnsi="Calibri" w:asciiTheme="minorHAnsi" w:cstheme="minorHAnsi" w:hAnsiTheme="minorHAnsi"/>
          <w:sz w:val="24"/>
          <w:szCs w:val="24"/>
          <w:lang w:val="pt-BR"/>
        </w:rPr>
        <w:t xml:space="preserve">”); e </w:t>
      </w:r>
      <w:r>
        <w:rPr>
          <w:rFonts w:cs="Calibri" w:ascii="Calibri" w:hAnsi="Calibri" w:asciiTheme="minorHAnsi" w:cstheme="minorHAnsi" w:hAnsiTheme="minorHAnsi"/>
          <w:b/>
          <w:sz w:val="24"/>
          <w:szCs w:val="24"/>
          <w:lang w:val="pt-BR"/>
        </w:rPr>
        <w:t>(ii)</w:t>
      </w:r>
      <w:r>
        <w:rPr>
          <w:rFonts w:cs="Calibri" w:ascii="Calibri" w:hAnsi="Calibri" w:asciiTheme="minorHAnsi" w:cstheme="minorHAnsi" w:hAnsiTheme="minorHAnsi"/>
          <w:sz w:val="24"/>
          <w:szCs w:val="24"/>
          <w:lang w:val="pt-BR"/>
        </w:rPr>
        <w:t xml:space="preserve"> no jornal “</w:t>
      </w:r>
      <w:r>
        <w:rPr>
          <w:rFonts w:cs="Calibri" w:ascii="Calibri" w:hAnsi="Calibri" w:asciiTheme="minorHAnsi" w:cstheme="minorHAnsi" w:hAnsiTheme="minorHAnsi"/>
          <w:color w:val="000000"/>
          <w:sz w:val="24"/>
          <w:szCs w:val="24"/>
          <w:lang w:val="pt-BR"/>
        </w:rPr>
        <w:t>Folha de São Paulo</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color w:val="000000"/>
          <w:sz w:val="24"/>
          <w:szCs w:val="24"/>
          <w:lang w:val="pt-BR"/>
        </w:rPr>
        <w:t>(em conjunto com o DOESP, denominados “</w:t>
      </w:r>
      <w:r>
        <w:rPr>
          <w:rFonts w:cs="Calibri" w:ascii="Calibri" w:hAnsi="Calibri" w:asciiTheme="minorHAnsi" w:cstheme="minorHAnsi" w:hAnsiTheme="minorHAnsi"/>
          <w:b/>
          <w:color w:val="000000"/>
          <w:sz w:val="24"/>
          <w:szCs w:val="24"/>
          <w:lang w:val="pt-BR"/>
        </w:rPr>
        <w:t>Jornais de Publicação da Emissora</w:t>
      </w: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sz w:val="24"/>
          <w:szCs w:val="24"/>
          <w:lang w:val="pt-BR"/>
        </w:rPr>
        <w:t xml:space="preserve">, de acordo com o inciso I do artigo 62 e com o artigo 289 da Lei das Sociedades por Ações.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atas das Aprovações Societárias dos Fiadores serão arquivadas na JUCESP e serão publicadas no </w:t>
      </w:r>
      <w:r>
        <w:rPr>
          <w:rFonts w:cs="Calibri" w:ascii="Calibri" w:hAnsi="Calibri" w:asciiTheme="minorHAnsi" w:cstheme="minorHAnsi" w:hAnsiTheme="minorHAnsi"/>
          <w:b/>
          <w:sz w:val="24"/>
          <w:szCs w:val="24"/>
          <w:lang w:val="pt-BR"/>
        </w:rPr>
        <w:t>(i)</w:t>
      </w:r>
      <w:r>
        <w:rPr>
          <w:rFonts w:cs="Calibri" w:ascii="Calibri" w:hAnsi="Calibri" w:asciiTheme="minorHAnsi" w:cstheme="minorHAnsi" w:hAnsiTheme="minorHAnsi"/>
          <w:sz w:val="24"/>
          <w:szCs w:val="24"/>
          <w:lang w:val="pt-BR"/>
        </w:rPr>
        <w:t xml:space="preserve"> DOESP; e </w:t>
      </w:r>
      <w:r>
        <w:rPr>
          <w:rFonts w:cs="Calibri" w:ascii="Calibri" w:hAnsi="Calibri" w:asciiTheme="minorHAnsi" w:cstheme="minorHAnsi" w:hAnsiTheme="minorHAnsi"/>
          <w:b/>
          <w:sz w:val="24"/>
          <w:szCs w:val="24"/>
          <w:lang w:val="pt-BR"/>
        </w:rPr>
        <w:t>(ii)</w:t>
      </w:r>
      <w:r>
        <w:rPr>
          <w:rFonts w:cs="Calibri" w:ascii="Calibri" w:hAnsi="Calibri" w:asciiTheme="minorHAnsi" w:cstheme="minorHAnsi" w:hAnsiTheme="minorHAnsi"/>
          <w:sz w:val="24"/>
          <w:szCs w:val="24"/>
          <w:lang w:val="pt-BR"/>
        </w:rPr>
        <w:t xml:space="preserve"> no jornal “</w:t>
      </w:r>
      <w:r>
        <w:rPr>
          <w:rFonts w:cs="Calibri" w:ascii="Calibri" w:hAnsi="Calibri" w:asciiTheme="minorHAnsi" w:cstheme="minorHAnsi" w:hAnsiTheme="minorHAnsi"/>
          <w:color w:val="000000"/>
          <w:sz w:val="24"/>
          <w:szCs w:val="24"/>
          <w:lang w:val="pt-BR"/>
        </w:rPr>
        <w:t>Folha de São Paulo</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color w:val="000000"/>
          <w:sz w:val="24"/>
          <w:szCs w:val="24"/>
          <w:lang w:val="pt-BR"/>
        </w:rPr>
        <w:t>(em conjunto com o DOESP, denominados “</w:t>
      </w:r>
      <w:r>
        <w:rPr>
          <w:rFonts w:cs="Calibri" w:ascii="Calibri" w:hAnsi="Calibri" w:asciiTheme="minorHAnsi" w:cstheme="minorHAnsi" w:hAnsiTheme="minorHAnsi"/>
          <w:b/>
          <w:color w:val="000000"/>
          <w:sz w:val="24"/>
          <w:szCs w:val="24"/>
          <w:lang w:val="pt-BR"/>
        </w:rPr>
        <w:t>Jornais de Publicação dos Fiadores</w:t>
      </w: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atas das Aprovações Societárias deverão ser protocoladas na JUCESP no prazo de até 5 (cinco) Dias Úteis a contar das respectivas datas de realização.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compromete-se a enviar ao Agente Fiduciário 1 (uma) via eletrônica (formato PDF) das atas das Aprovações Societárias contendo a chancela digital da JUCESP, no prazo de até 3 (três) Dias Úteis contados das datas de obtenção dos referidos registros.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19" w:name="_Ref427712429"/>
      <w:r>
        <w:rPr>
          <w:rFonts w:cs="Calibri" w:ascii="Calibri" w:hAnsi="Calibri" w:asciiTheme="minorHAnsi" w:cstheme="minorHAnsi" w:hAnsiTheme="minorHAnsi"/>
          <w:b/>
          <w:sz w:val="24"/>
          <w:szCs w:val="24"/>
          <w:lang w:val="pt-BR"/>
        </w:rPr>
        <w:t xml:space="preserve">Arquivamentos </w:t>
      </w:r>
      <w:bookmarkEnd w:id="19"/>
      <w:r>
        <w:rPr>
          <w:rFonts w:cs="Calibri" w:ascii="Calibri" w:hAnsi="Calibri" w:asciiTheme="minorHAnsi" w:cstheme="minorHAnsi" w:hAnsiTheme="minorHAnsi"/>
          <w:b/>
          <w:sz w:val="24"/>
          <w:szCs w:val="24"/>
          <w:lang w:val="pt-BR"/>
        </w:rPr>
        <w:t>e Registros da Escritura de Emissão e Aditamentos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20" w:name="_Ref38531590"/>
      <w:bookmarkStart w:id="21" w:name="_Ref427660038"/>
      <w:bookmarkStart w:id="22" w:name="_DV_M21"/>
      <w:bookmarkEnd w:id="22"/>
      <w:r>
        <w:rPr>
          <w:rFonts w:cs="Calibri" w:ascii="Calibri" w:hAnsi="Calibri" w:asciiTheme="minorHAnsi" w:cstheme="minorHAnsi" w:hAnsiTheme="minorHAnsi"/>
          <w:sz w:val="24"/>
          <w:szCs w:val="24"/>
          <w:lang w:val="pt-BR"/>
        </w:rPr>
        <w:t>A presente Escritura de Emissão e seus eventuais aditamentos serão arquivados na JUCESP de acordo com o inciso II e o parágrafo 3º do artigo 62 da Lei das Sociedades por Ações.</w:t>
      </w:r>
      <w:bookmarkEnd w:id="21"/>
      <w:r>
        <w:rPr>
          <w:rFonts w:cs="Calibri" w:ascii="Calibri" w:hAnsi="Calibri" w:asciiTheme="minorHAnsi" w:cstheme="minorHAnsi" w:hAnsiTheme="minorHAnsi"/>
          <w:sz w:val="24"/>
          <w:szCs w:val="24"/>
          <w:lang w:val="pt-BR"/>
        </w:rPr>
        <w:t xml:space="preserve"> A via original e os aditamentos à presente Escritura de Emissão deverão ser protocolados na JUCESP no prazo de até 5 (cinco) Dias Úteis a contar da data de celebração. </w:t>
      </w:r>
      <w:bookmarkEnd w:id="20"/>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23" w:name="_DV_M22"/>
      <w:bookmarkEnd w:id="23"/>
      <w:r>
        <w:rPr>
          <w:rFonts w:cs="Calibri" w:ascii="Calibri" w:hAnsi="Calibri" w:asciiTheme="minorHAnsi" w:cstheme="minorHAnsi" w:hAnsiTheme="minorHAnsi"/>
          <w:sz w:val="24"/>
          <w:szCs w:val="24"/>
          <w:lang w:val="pt-BR"/>
        </w:rPr>
        <w:t xml:space="preserve">A Emissora compromete-se a enviar ao Agente Fiduciário 1 (uma) via eletrônica (formato PDF), contendo a chancela digital da JUCESP, desta Escritura de Emissão e eventuais aditamentos arquivados na JUCESP, no prazo de até 3 (três) Dias Úteis contados da data da obtenção dos referidos registros.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presente Escritura de Emissão e seus eventuais aditamentos serão, em virtude da Fiança, protocolados para registro nos cartórios de registro de títulos e documentos (“</w:t>
      </w:r>
      <w:r>
        <w:rPr>
          <w:rFonts w:cs="Calibri" w:ascii="Calibri" w:hAnsi="Calibri" w:asciiTheme="minorHAnsi" w:cstheme="minorHAnsi" w:hAnsiTheme="minorHAnsi"/>
          <w:b/>
          <w:bCs/>
          <w:sz w:val="24"/>
          <w:szCs w:val="24"/>
          <w:lang w:val="pt-BR"/>
        </w:rPr>
        <w:t>RTDs</w:t>
      </w:r>
      <w:r>
        <w:rPr>
          <w:rFonts w:cs="Calibri" w:ascii="Calibri" w:hAnsi="Calibri" w:asciiTheme="minorHAnsi" w:cstheme="minorHAnsi" w:hAnsiTheme="minorHAnsi"/>
          <w:sz w:val="24"/>
          <w:szCs w:val="24"/>
          <w:lang w:val="pt-BR"/>
        </w:rPr>
        <w:t>”) [das Cidades de Campinas, São Paulo e Ribeirão Preto, todas no Estado de São Paulo]. A via original e os aditamentos à presente Escritura de Emissão deverão ser protocolados nos RTDs em até 5 (cinco) Dias Úteis a contar da data de celebração.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Escritura deverá ser registrada nos cartórios de RTD do domicílio das partes</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compromete-se a enviar ao Agente Fiduciário 1 (uma) via original comprovando o arquivamento nos RTDs ou 1 (uma) eletrônica (formato PDF), contendo a chancela digital dos RTDs, conforme aplicável, desta Escritura de Emissão e eventuais aditamentos arquivados nos RTDs, no prazo de até 3 (três) Dias Úteis contados da data da obtenção dos referidos registros.</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24" w:name="_DV_M23"/>
      <w:bookmarkEnd w:id="24"/>
      <w:r>
        <w:rPr>
          <w:rFonts w:cs="Calibri" w:ascii="Calibri" w:hAnsi="Calibri" w:asciiTheme="minorHAnsi" w:cstheme="minorHAnsi" w:hAnsiTheme="minorHAnsi"/>
          <w:b/>
          <w:sz w:val="24"/>
          <w:szCs w:val="24"/>
          <w:lang w:val="pt-BR"/>
        </w:rPr>
        <w:t>Depósito para Distribuição e Negociação</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25" w:name="_Ref491190764"/>
      <w:bookmarkStart w:id="26" w:name="_DV_M24"/>
      <w:bookmarkEnd w:id="26"/>
      <w:r>
        <w:rPr>
          <w:rFonts w:cs="Calibri" w:ascii="Calibri" w:hAnsi="Calibri" w:asciiTheme="minorHAnsi" w:cstheme="minorHAnsi" w:hAnsiTheme="minorHAnsi"/>
          <w:sz w:val="24"/>
          <w:szCs w:val="24"/>
          <w:lang w:val="pt-BR"/>
        </w:rPr>
        <w:t>As Debêntures serão depositadas para</w:t>
      </w:r>
      <w:bookmarkEnd w:id="25"/>
      <w:r>
        <w:rPr>
          <w:rFonts w:cs="Calibri" w:ascii="Calibri" w:hAnsi="Calibri" w:asciiTheme="minorHAnsi" w:cstheme="minorHAnsi" w:hAnsiTheme="minorHAnsi"/>
          <w:sz w:val="24"/>
          <w:szCs w:val="24"/>
          <w:lang w:val="pt-BR"/>
        </w:rPr>
        <w:t xml:space="preserve"> (i) distribuição pública no mercado primário por meio do MDA – Módulo de Distribuição de Ativos (“</w:t>
      </w:r>
      <w:r>
        <w:rPr>
          <w:rFonts w:cs="Calibri" w:ascii="Calibri" w:hAnsi="Calibri" w:asciiTheme="minorHAnsi" w:cstheme="minorHAnsi" w:hAnsiTheme="minorHAnsi"/>
          <w:b/>
          <w:sz w:val="24"/>
          <w:szCs w:val="24"/>
          <w:lang w:val="pt-BR"/>
        </w:rPr>
        <w:t>MDA</w:t>
      </w:r>
      <w:r>
        <w:rPr>
          <w:rFonts w:cs="Calibri" w:ascii="Calibri" w:hAnsi="Calibri" w:asciiTheme="minorHAnsi" w:cstheme="minorHAnsi" w:hAnsiTheme="minorHAnsi"/>
          <w:sz w:val="24"/>
          <w:szCs w:val="24"/>
          <w:lang w:val="pt-BR"/>
        </w:rPr>
        <w:t xml:space="preserve">”), administrado e operacionalizado pela B3, sendo a distribuição liquidada financeiramente por meio da B3; e </w:t>
      </w:r>
      <w:bookmarkStart w:id="27" w:name="_DV_M37"/>
      <w:bookmarkStart w:id="28" w:name="_DV_M36"/>
      <w:bookmarkStart w:id="29" w:name="_DV_M35"/>
      <w:bookmarkStart w:id="30" w:name="_DV_M34"/>
      <w:bookmarkStart w:id="31" w:name="_DV_M30"/>
      <w:bookmarkStart w:id="32" w:name="_DV_M29"/>
      <w:bookmarkStart w:id="33" w:name="_DV_M27"/>
      <w:bookmarkStart w:id="34" w:name="_DV_M26"/>
      <w:bookmarkStart w:id="35" w:name="_DV_M25"/>
      <w:bookmarkEnd w:id="27"/>
      <w:bookmarkEnd w:id="28"/>
      <w:bookmarkEnd w:id="29"/>
      <w:bookmarkEnd w:id="30"/>
      <w:bookmarkEnd w:id="31"/>
      <w:bookmarkEnd w:id="32"/>
      <w:bookmarkEnd w:id="33"/>
      <w:bookmarkEnd w:id="34"/>
      <w:bookmarkEnd w:id="35"/>
      <w:r>
        <w:rPr>
          <w:rFonts w:cs="Calibri" w:ascii="Calibri" w:hAnsi="Calibri" w:asciiTheme="minorHAnsi" w:cstheme="minorHAnsi" w:hAnsiTheme="minorHAnsi"/>
          <w:sz w:val="24"/>
          <w:szCs w:val="24"/>
          <w:lang w:val="pt-BR"/>
        </w:rPr>
        <w:t>(ii) negociação no mercado secundário por meio do CETIP21 – Títulos e Valores Mobiliários (“</w:t>
      </w:r>
      <w:r>
        <w:rPr>
          <w:rFonts w:cs="Calibri" w:ascii="Calibri" w:hAnsi="Calibri" w:asciiTheme="minorHAnsi" w:cstheme="minorHAnsi" w:hAnsiTheme="minorHAnsi"/>
          <w:b/>
          <w:sz w:val="24"/>
          <w:szCs w:val="24"/>
          <w:lang w:val="pt-BR"/>
        </w:rPr>
        <w:t>CETIP21</w:t>
      </w:r>
      <w:r>
        <w:rPr>
          <w:rFonts w:cs="Calibri" w:ascii="Calibri" w:hAnsi="Calibri" w:asciiTheme="minorHAnsi" w:cstheme="minorHAnsi" w:hAnsiTheme="minorHAnsi"/>
          <w:sz w:val="24"/>
          <w:szCs w:val="24"/>
          <w:lang w:val="pt-BR"/>
        </w:rPr>
        <w:t xml:space="preserve">”), administrado e operacionalizado pela B3, sendo as negociações liquidadas financeiramente e as Debêntures custodiadas eletronicamente na B3.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6" w:name="_Ref531639654"/>
      <w:r>
        <w:rPr>
          <w:rFonts w:cs="Calibri" w:ascii="Calibri" w:hAnsi="Calibri" w:asciiTheme="minorHAnsi" w:cstheme="minorHAnsi" w:hAnsiTheme="minorHAnsi"/>
          <w:sz w:val="24"/>
          <w:szCs w:val="24"/>
          <w:lang w:val="pt-BR"/>
        </w:rPr>
        <w:t xml:space="preserve">Não obstante o descrito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_Ref491190764 \r \h </w:instrText>
      </w:r>
      <w:r>
        <w:rPr>
          <w:sz w:val="24"/>
          <w:szCs w:val="24"/>
          <w:rFonts w:cs="Calibri" w:ascii="Calibri" w:hAnsi="Calibri"/>
          <w:lang w:val="pt-BR"/>
        </w:rPr>
        <w:fldChar w:fldCharType="separate"/>
      </w:r>
      <w:r>
        <w:rPr>
          <w:sz w:val="24"/>
          <w:szCs w:val="24"/>
          <w:rFonts w:cs="Calibri" w:ascii="Calibri" w:hAnsi="Calibri"/>
          <w:lang w:val="pt-BR"/>
        </w:rPr>
        <w:t>2.5.1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as Debêntures somente poderão ser negociadas, entre Investidores Qualificados, nos mercados regulamentados de valores mobiliários depois de decorridos 90 (noventa) dias contados de cada subscrição ou aquisição por Investidor Profissional (conforme abaixo definido), conforme disposto nos artigos 13 e 15 da Instrução CVM 476, salvo na hipótese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_Ref38530931 \r \h </w:instrText>
      </w:r>
      <w:r>
        <w:rPr>
          <w:sz w:val="24"/>
          <w:szCs w:val="24"/>
          <w:rFonts w:cs="Calibri" w:ascii="Calibri" w:hAnsi="Calibri"/>
          <w:lang w:val="pt-BR"/>
        </w:rPr>
        <w:fldChar w:fldCharType="separate"/>
      </w:r>
      <w:r>
        <w:rPr>
          <w:sz w:val="24"/>
          <w:szCs w:val="24"/>
          <w:rFonts w:cs="Calibri" w:ascii="Calibri" w:hAnsi="Calibri"/>
          <w:lang w:val="pt-BR"/>
        </w:rPr>
        <w:t>2.5.4</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 </w:t>
      </w:r>
      <w:bookmarkEnd w:id="36"/>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os fins desta Escritura de Emissão e nos termos da Instrução CVM 476, entende-se por: (i) “</w:t>
      </w:r>
      <w:r>
        <w:rPr>
          <w:rFonts w:cs="Calibri" w:ascii="Calibri" w:hAnsi="Calibri" w:asciiTheme="minorHAnsi" w:cstheme="minorHAnsi" w:hAnsiTheme="minorHAnsi"/>
          <w:b/>
          <w:sz w:val="24"/>
          <w:szCs w:val="24"/>
          <w:lang w:val="pt-BR"/>
        </w:rPr>
        <w:t>Investidores Qualificados</w:t>
      </w:r>
      <w:r>
        <w:rPr>
          <w:rFonts w:cs="Calibri" w:ascii="Calibri" w:hAnsi="Calibri" w:asciiTheme="minorHAnsi" w:cstheme="minorHAnsi" w:hAnsiTheme="minorHAnsi"/>
          <w:sz w:val="24"/>
          <w:szCs w:val="24"/>
          <w:lang w:val="pt-BR"/>
        </w:rPr>
        <w:t>” aqueles investidores referidos no artigo 12 da Resolução n° 30 da CVM, de 11 de maio de 2021, conforme alterada (“</w:t>
      </w:r>
      <w:r>
        <w:rPr>
          <w:rFonts w:cs="Calibri" w:ascii="Calibri" w:hAnsi="Calibri" w:asciiTheme="minorHAnsi" w:cstheme="minorHAnsi" w:hAnsiTheme="minorHAnsi"/>
          <w:b/>
          <w:bCs/>
          <w:sz w:val="24"/>
          <w:szCs w:val="24"/>
          <w:lang w:val="pt-BR"/>
        </w:rPr>
        <w:t>Resolução CVM 30</w:t>
      </w:r>
      <w:r>
        <w:rPr>
          <w:rFonts w:cs="Calibri" w:ascii="Calibri" w:hAnsi="Calibri" w:asciiTheme="minorHAnsi" w:cstheme="minorHAnsi" w:hAnsiTheme="minorHAnsi"/>
          <w:sz w:val="24"/>
          <w:szCs w:val="24"/>
          <w:lang w:val="pt-BR"/>
        </w:rPr>
        <w:t>”); e (ii)</w:t>
      </w:r>
      <w:r>
        <w:rPr>
          <w:rFonts w:cs="Calibri" w:ascii="Calibri" w:hAnsi="Calibri" w:asciiTheme="minorHAnsi" w:cstheme="minorHAnsi" w:hAnsiTheme="minorHAnsi"/>
          <w:b/>
          <w:sz w:val="24"/>
          <w:szCs w:val="24"/>
          <w:lang w:val="pt-BR"/>
        </w:rPr>
        <w:t xml:space="preserve">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sz w:val="24"/>
          <w:szCs w:val="24"/>
          <w:lang w:val="pt-BR"/>
        </w:rPr>
        <w:t>Investidores Profissionais</w:t>
      </w:r>
      <w:r>
        <w:rPr>
          <w:rFonts w:cs="Calibri" w:ascii="Calibri" w:hAnsi="Calibri" w:asciiTheme="minorHAnsi" w:cstheme="minorHAnsi" w:hAnsiTheme="minorHAnsi"/>
          <w:sz w:val="24"/>
          <w:szCs w:val="24"/>
          <w:lang w:val="pt-BR"/>
        </w:rPr>
        <w:t>” aqueles investidores referidos no artigo 11 da Resolução CVM 30.</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7" w:name="_Ref38530931"/>
      <w:r>
        <w:rPr>
          <w:rFonts w:cs="Calibri" w:ascii="Calibri" w:hAnsi="Calibri" w:asciiTheme="minorHAnsi" w:cstheme="minorHAnsi" w:hAnsiTheme="minorHAnsi"/>
          <w:sz w:val="24"/>
          <w:szCs w:val="24"/>
          <w:lang w:val="pt-BR"/>
        </w:rPr>
        <w:t xml:space="preserve">Não obstante o disposto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_Ref531639654 \r \h </w:instrText>
      </w:r>
      <w:r>
        <w:rPr>
          <w:sz w:val="24"/>
          <w:szCs w:val="24"/>
          <w:rFonts w:cs="Calibri" w:ascii="Calibri" w:hAnsi="Calibri"/>
          <w:lang w:val="pt-BR"/>
        </w:rPr>
        <w:fldChar w:fldCharType="separate"/>
      </w:r>
      <w:r>
        <w:rPr>
          <w:sz w:val="24"/>
          <w:szCs w:val="24"/>
          <w:rFonts w:cs="Calibri" w:ascii="Calibri" w:hAnsi="Calibri"/>
          <w:lang w:val="pt-BR"/>
        </w:rPr>
        <w:t>2.5.2</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caso as Debêntures que tenham sido subscritas e integralizadas pelos Coordenadores em razão do exercício da garantia firme de colocação, nos termos e condições estabelecidos no Contrato de Distribuição (conforme definido abaixo), venham a ser negociadas no mercado secundário, a negociação deverá ocorrer nas mesmas condições da Oferta Restrita, devendo o valor de transferência ser equivalente ao </w:t>
      </w:r>
      <w:r>
        <w:rPr>
          <w:rFonts w:cs="Calibri" w:ascii="Calibri" w:hAnsi="Calibri" w:asciiTheme="minorHAnsi" w:cstheme="minorHAnsi" w:hAnsiTheme="minorHAnsi"/>
          <w:sz w:val="24"/>
          <w:szCs w:val="24"/>
          <w:lang w:val="pt-BR" w:eastAsia="pt-BR"/>
        </w:rPr>
        <w:t>Valor Nominal Unitário,</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sz w:val="24"/>
          <w:szCs w:val="24"/>
          <w:lang w:val="pt-BR" w:eastAsia="pt-BR"/>
        </w:rPr>
        <w:t>ou saldo do Valor Nominal Unitário, conforme o caso,</w:t>
      </w:r>
      <w:r>
        <w:rPr>
          <w:rFonts w:cs="Calibri" w:ascii="Calibri" w:hAnsi="Calibri" w:asciiTheme="minorHAnsi" w:cstheme="minorHAnsi" w:hAnsiTheme="minorHAnsi"/>
          <w:sz w:val="24"/>
          <w:szCs w:val="24"/>
          <w:lang w:val="pt-BR"/>
        </w:rPr>
        <w:t xml:space="preserve"> acrescido da Remuneração, calculado </w:t>
      </w:r>
      <w:r>
        <w:rPr>
          <w:rFonts w:cs="Calibri" w:ascii="Calibri" w:hAnsi="Calibri" w:asciiTheme="minorHAnsi" w:cstheme="minorHAnsi" w:hAnsiTheme="minorHAnsi"/>
          <w:i/>
          <w:sz w:val="24"/>
          <w:szCs w:val="24"/>
          <w:lang w:val="pt-BR"/>
        </w:rPr>
        <w:t>pro rata temporis</w:t>
      </w:r>
      <w:r>
        <w:rPr>
          <w:rFonts w:cs="Calibri" w:ascii="Calibri" w:hAnsi="Calibri" w:asciiTheme="minorHAnsi" w:cstheme="minorHAnsi" w:hAnsiTheme="minorHAnsi"/>
          <w:sz w:val="24"/>
          <w:szCs w:val="24"/>
          <w:lang w:val="pt-BR"/>
        </w:rPr>
        <w:t xml:space="preserve">, desde a Data da Primeira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pelos Coordenadores, em razão do exercício da garantia firme pelos Coordenadores, observado o disposto no artigo 13, inciso II, e parágrafo único, da Instrução CVM 476. </w:t>
      </w:r>
      <w:bookmarkEnd w:id="37"/>
    </w:p>
    <w:p>
      <w:pPr>
        <w:pStyle w:val="Level1"/>
        <w:numPr>
          <w:ilvl w:val="0"/>
          <w:numId w:val="5"/>
        </w:numPr>
        <w:spacing w:lineRule="exact" w:line="340"/>
        <w:rPr>
          <w:rFonts w:ascii="Calibri" w:hAnsi="Calibri" w:cs="Calibri" w:asciiTheme="minorHAnsi" w:cstheme="minorHAnsi" w:hAnsiTheme="minorHAnsi"/>
          <w:sz w:val="24"/>
          <w:szCs w:val="24"/>
        </w:rPr>
      </w:pPr>
      <w:bookmarkStart w:id="38" w:name="_Ref62664867"/>
      <w:r>
        <w:rPr>
          <w:rFonts w:cs="Calibri" w:ascii="Calibri" w:hAnsi="Calibri" w:asciiTheme="minorHAnsi" w:cstheme="minorHAnsi" w:hAnsiTheme="minorHAnsi"/>
          <w:sz w:val="24"/>
          <w:szCs w:val="24"/>
        </w:rPr>
        <w:t>CARACTERÍSTICAS DA EMISSÃO</w:t>
      </w:r>
      <w:bookmarkEnd w:id="38"/>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Objeto Social da Emissora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De acordo com o artigo 3° do seu estatuto social, a Emissora tem como objeto social: [(a)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Objeto social a ser verificado no âmbito da due diligence.</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Número da Emissão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presente Emissão representa a </w:t>
      </w:r>
      <w:r>
        <w:rPr>
          <w:rFonts w:cs="Calibri" w:ascii="Calibri" w:hAnsi="Calibri" w:asciiTheme="minorHAnsi" w:cstheme="minorHAnsi" w:hAnsiTheme="minorHAnsi"/>
          <w:color w:val="000000"/>
          <w:sz w:val="24"/>
          <w:szCs w:val="24"/>
          <w:lang w:val="pt-BR"/>
        </w:rPr>
        <w:t>1ª (primeira)</w:t>
      </w:r>
      <w:r>
        <w:rPr>
          <w:rFonts w:cs="Calibri" w:ascii="Calibri" w:hAnsi="Calibri" w:asciiTheme="minorHAnsi" w:cstheme="minorHAnsi" w:hAnsiTheme="minorHAnsi"/>
          <w:sz w:val="24"/>
          <w:szCs w:val="24"/>
          <w:lang w:val="pt-BR"/>
        </w:rPr>
        <w:t xml:space="preserve"> emissão de debêntures da Emissora.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Valor Total da Emissão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9" w:name="_Hlk68713133"/>
      <w:r>
        <w:rPr>
          <w:rFonts w:cs="Calibri" w:ascii="Calibri" w:hAnsi="Calibri" w:asciiTheme="minorHAnsi" w:cstheme="minorHAnsi" w:hAnsiTheme="minorHAnsi"/>
          <w:sz w:val="24"/>
          <w:szCs w:val="24"/>
          <w:lang w:val="pt-BR"/>
        </w:rPr>
        <w:t xml:space="preserve">O valor total da Emissão será de </w:t>
      </w:r>
      <w:r>
        <w:rPr>
          <w:rFonts w:cs="Calibri" w:ascii="Calibri" w:hAnsi="Calibri" w:asciiTheme="minorHAnsi" w:cstheme="minorHAnsi" w:hAnsiTheme="minorHAnsi"/>
          <w:color w:val="000000"/>
          <w:sz w:val="24"/>
          <w:szCs w:val="24"/>
          <w:lang w:val="pt-BR"/>
        </w:rPr>
        <w:t>R$ 300.000.000,00 (trezentos milhões de reais</w:t>
      </w:r>
      <w:r>
        <w:rPr>
          <w:rFonts w:cs="Calibri" w:ascii="Calibri" w:hAnsi="Calibri" w:asciiTheme="minorHAnsi" w:cstheme="minorHAnsi" w:hAnsiTheme="minorHAnsi"/>
          <w:sz w:val="24"/>
          <w:szCs w:val="24"/>
          <w:lang w:val="pt-BR"/>
        </w:rPr>
        <w:t>, na Data de Emissão (conforme definida abaixo) (“</w:t>
      </w:r>
      <w:r>
        <w:rPr>
          <w:rFonts w:cs="Calibri" w:ascii="Calibri" w:hAnsi="Calibri" w:asciiTheme="minorHAnsi" w:cstheme="minorHAnsi" w:hAnsiTheme="minorHAnsi"/>
          <w:b/>
          <w:sz w:val="24"/>
          <w:szCs w:val="24"/>
          <w:lang w:val="pt-BR"/>
        </w:rPr>
        <w:t>Valor Total da Emissão</w:t>
      </w:r>
      <w:r>
        <w:rPr>
          <w:rFonts w:cs="Calibri" w:ascii="Calibri" w:hAnsi="Calibri" w:asciiTheme="minorHAnsi" w:cstheme="minorHAnsi" w:hAnsiTheme="minorHAnsi"/>
          <w:sz w:val="24"/>
          <w:szCs w:val="24"/>
          <w:lang w:val="pt-BR"/>
        </w:rPr>
        <w:t>”).</w:t>
      </w:r>
      <w:bookmarkEnd w:id="39"/>
      <w:r>
        <w:rPr>
          <w:rFonts w:cs="Calibri" w:ascii="Calibri" w:hAnsi="Calibri" w:asciiTheme="minorHAnsi" w:cstheme="minorHAnsi" w:hAnsiTheme="minorHAnsi"/>
          <w:sz w:val="24"/>
          <w:szCs w:val="24"/>
          <w:lang w:val="pt-BR"/>
        </w:rPr>
        <w:t xml:space="preserve"> </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Escriturador e Banco Liquidante</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sz w:val="24"/>
          <w:szCs w:val="24"/>
          <w:lang w:val="pt-BR"/>
        </w:rPr>
        <w:t xml:space="preserve">A instituição prestadora de serviços de banco liquidante das Debêntures é o </w:t>
      </w:r>
      <w:r>
        <w:rPr>
          <w:rFonts w:cs="Calibri" w:ascii="Calibri" w:hAnsi="Calibri" w:asciiTheme="minorHAnsi" w:cstheme="minorHAnsi" w:hAnsiTheme="minorHAnsi"/>
          <w:sz w:val="24"/>
          <w:szCs w:val="24"/>
        </w:rPr>
        <w:t>Itaú Unibanco S.A., instituição financeira com sede na Cidade de São Paulo, Estado de São Paulo, na Praça Alfredo Egydio de Souza Aranha, n° 100, Torre Olavo Setubal, inscrita no CNPJ/ME sob o nº 60.701.190/0001-04</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sz w:val="24"/>
          <w:szCs w:val="24"/>
          <w:lang w:val="pt-BR"/>
        </w:rPr>
        <w:t>Banco Liquidante</w:t>
      </w:r>
      <w:r>
        <w:rPr>
          <w:rFonts w:cs="Calibri" w:ascii="Calibri" w:hAnsi="Calibri" w:asciiTheme="minorHAnsi" w:cstheme="minorHAnsi" w:hAnsiTheme="minorHAnsi"/>
          <w:sz w:val="24"/>
          <w:szCs w:val="24"/>
          <w:lang w:val="pt-BR"/>
        </w:rPr>
        <w:t>”, cuja definição inclui qualquer outra instituição que venha a suceder o Banco Liquidante na prestação dos serviços de banco liquidante da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instituição prestadora de serviços de escrituração das Debêntures é a </w:t>
      </w:r>
      <w:r>
        <w:rPr>
          <w:rFonts w:cs="Calibri" w:ascii="Calibri" w:hAnsi="Calibri" w:asciiTheme="minorHAnsi" w:cstheme="minorHAnsi" w:hAnsiTheme="minorHAnsi"/>
          <w:sz w:val="24"/>
          <w:szCs w:val="24"/>
        </w:rPr>
        <w:t>Itaú Corretora de Valores S.A., instituição financeira com sede na cidade de São Paulo, Estado de São Paulo, na Avenida Brigadeiro Faria Lima, n° 2500, 3° andar, bairro Itaim Bibi, CEP 04.538.132, inscrita no CNPJ/ME sob o nº 61.194.353/0001-64</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bCs/>
          <w:sz w:val="24"/>
          <w:szCs w:val="24"/>
          <w:lang w:val="pt-BR"/>
        </w:rPr>
        <w:t>Escriturador</w:t>
      </w:r>
      <w:r>
        <w:rPr>
          <w:rFonts w:cs="Calibri" w:ascii="Calibri" w:hAnsi="Calibri" w:asciiTheme="minorHAnsi" w:cstheme="minorHAnsi" w:hAnsiTheme="minorHAnsi"/>
          <w:sz w:val="24"/>
          <w:szCs w:val="24"/>
          <w:lang w:val="pt-BR"/>
        </w:rPr>
        <w:t xml:space="preserve">”, cuja definição inclui qualquer outra instituição que venha a suceder o Escriturador na prestação dos serviços de escriturador das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40" w:name="_Ref38531111"/>
      <w:r>
        <w:rPr>
          <w:rFonts w:cs="Calibri" w:ascii="Calibri" w:hAnsi="Calibri" w:asciiTheme="minorHAnsi" w:cstheme="minorHAnsi" w:hAnsiTheme="minorHAnsi"/>
          <w:b/>
          <w:sz w:val="24"/>
          <w:szCs w:val="24"/>
          <w:lang w:val="pt-BR"/>
        </w:rPr>
        <w:t>Destinação dos Recursos</w:t>
      </w:r>
      <w:bookmarkStart w:id="41" w:name="_Ref531650201"/>
      <w:bookmarkEnd w:id="40"/>
      <w:bookmarkEnd w:id="41"/>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Os recursos obtidos pela Emissora com a Oferta Restrita serão destinados para o reforço de caixa e investimentos.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Conforme informado pela Companhia, os investimentos em questão são novas aquisições, que estão em andamento e são sigilosas, saldo de aquisições já efetuadas e investimentos em retrofit/infraestrutura, modernização de equipamentos de alta tecnologia em investidas e/ou novas aquisições</w:t>
      </w:r>
      <w:ins w:id="4" w:author="Autor desconhecido" w:date="2021-06-24T16:28:14Z">
        <w:r>
          <w:rPr>
            <w:rFonts w:cs="Calibri" w:ascii="Calibri" w:hAnsi="Calibri" w:asciiTheme="minorHAnsi" w:cstheme="minorHAnsi" w:hAnsiTheme="minorHAnsi"/>
            <w:sz w:val="24"/>
            <w:szCs w:val="24"/>
            <w:highlight w:val="yellow"/>
            <w:lang w:val="pt-BR"/>
          </w:rPr>
          <w:t xml:space="preserve">, </w:t>
        </w:r>
      </w:ins>
      <w:ins w:id="5" w:author="Autor desconhecido" w:date="2021-06-24T16:28:14Z">
        <w:r>
          <w:rPr>
            <w:rFonts w:cs="Calibri" w:ascii="Calibri" w:hAnsi="Calibri" w:asciiTheme="minorHAnsi" w:cstheme="minorHAnsi" w:hAnsiTheme="minorHAnsi"/>
            <w:sz w:val="24"/>
            <w:szCs w:val="24"/>
            <w:highlight w:val="yellow"/>
            <w:lang w:val="pt-BR"/>
          </w:rPr>
          <w:t xml:space="preserve">bem como quitação de </w:t>
        </w:r>
      </w:ins>
      <w:ins w:id="6" w:author="Autor desconhecido" w:date="2021-06-24T16:28:14Z">
        <w:r>
          <w:rPr>
            <w:rFonts w:cs="Calibri" w:ascii="Calibri" w:hAnsi="Calibri" w:asciiTheme="minorHAnsi" w:cstheme="minorHAnsi" w:hAnsiTheme="minorHAnsi"/>
            <w:sz w:val="24"/>
            <w:szCs w:val="24"/>
            <w:highlight w:val="yellow"/>
            <w:lang w:val="pt-BR"/>
          </w:rPr>
          <w:t>dívidas</w:t>
        </w:r>
      </w:ins>
      <w:ins w:id="7" w:author="Autor desconhecido" w:date="2021-06-24T16:28:14Z">
        <w:r>
          <w:rPr>
            <w:rFonts w:cs="Calibri" w:ascii="Calibri" w:hAnsi="Calibri" w:asciiTheme="minorHAnsi" w:cstheme="minorHAnsi" w:hAnsiTheme="minorHAnsi"/>
            <w:sz w:val="24"/>
            <w:szCs w:val="24"/>
            <w:highlight w:val="yellow"/>
            <w:lang w:val="pt-BR"/>
          </w:rPr>
          <w:t xml:space="preserve"> com custo maior</w:t>
        </w:r>
      </w:ins>
      <w:del w:id="8" w:author="Autor desconhecido" w:date="2021-06-24T16:28:12Z">
        <w:r>
          <w:rPr>
            <w:rFonts w:cs="Calibri" w:ascii="Calibri" w:hAnsi="Calibri" w:asciiTheme="minorHAnsi" w:cstheme="minorHAnsi" w:hAnsiTheme="minorHAnsi"/>
            <w:sz w:val="24"/>
            <w:szCs w:val="24"/>
            <w:highlight w:val="yellow"/>
            <w:lang w:val="pt-BR"/>
          </w:rPr>
          <w:delText>.</w:delText>
        </w:r>
      </w:del>
      <w:r>
        <w:rPr>
          <w:rFonts w:cs="Calibri" w:ascii="Calibri" w:hAnsi="Calibri" w:asciiTheme="minorHAnsi" w:cstheme="minorHAnsi" w:hAnsiTheme="minorHAnsi"/>
          <w:sz w:val="24"/>
          <w:szCs w:val="24"/>
          <w:highlight w:val="yellow"/>
          <w:lang w:val="pt-BR"/>
        </w:rPr>
        <w:t xml:space="preserve"> Coordenadores, favor informar se entendem necessário detalhar os investimentos nesta Cláusula. Caso o detalhamento não seja relevante do ponto de vista do investidor, sugerimos não detalhar, de modo a facilitar a comprovação, pela Companhia, da destinação dos recursos</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deverá enviar ao Agente Fiduciário em até 30 (trinta) dias corridos da data da efetiva destinação da totalidade dos recursos, declaração em papel timbrado e assinada por representante legal[, acompanhada dos comprovantes dos respectivos gastos,] atestando a destinação dos recursos da presente Emissão, podendo o Agente Fiduciário solicitar à Emissora todos os eventuais esclarecimentos e documentos adicionais que se façam necessários.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xml:space="preserve">: Cláusula a ser ajustada a depender da destinação dos recursos prevista na </w:t>
      </w:r>
      <w:bookmarkStart w:id="42" w:name="_Hlk75352498"/>
      <w:r>
        <w:rPr>
          <w:rFonts w:cs="Calibri" w:ascii="Calibri" w:hAnsi="Calibri" w:asciiTheme="minorHAnsi" w:cstheme="minorHAnsi" w:hAnsiTheme="minorHAnsi"/>
          <w:sz w:val="24"/>
          <w:szCs w:val="24"/>
          <w:highlight w:val="yellow"/>
          <w:lang w:val="pt-BR"/>
        </w:rPr>
        <w:t>Cláusula 3.5.1</w:t>
      </w:r>
      <w:bookmarkEnd w:id="42"/>
      <w:r>
        <w:rPr>
          <w:rFonts w:cs="Calibri" w:ascii="Calibri" w:hAnsi="Calibri" w:asciiTheme="minorHAnsi" w:cstheme="minorHAnsi" w:hAnsiTheme="minorHAnsi"/>
          <w:sz w:val="24"/>
          <w:szCs w:val="24"/>
          <w:highlight w:val="yellow"/>
          <w:lang w:val="pt-BR"/>
        </w:rPr>
        <w:t>. Caso não haja um detalhamento da destinação dos recursos na Cláusula 3.5.1, sugerimos seguir apenas com uma declaração prestada pela Companhia, atestando que os recursos foram utilizados para reforço de caixa e investimentos (sem a necessidade de apresentar comprovantes de gastos). Companhia sugere excluir a Cláusula. A ser discutido</w:t>
      </w:r>
      <w:r>
        <w:rPr>
          <w:rFonts w:cs="Calibri" w:ascii="Calibri" w:hAnsi="Calibri" w:asciiTheme="minorHAnsi" w:cstheme="minorHAnsi" w:hAnsiTheme="minorHAnsi"/>
          <w:sz w:val="24"/>
          <w:szCs w:val="24"/>
          <w:lang w:val="pt-BR"/>
        </w:rPr>
        <w:t>]</w:t>
      </w:r>
      <w:ins w:id="9" w:author="Pedro Oliveira" w:date="2021-06-23T14:54:00Z">
        <w:r>
          <w:rPr>
            <w:rFonts w:cs="Calibri" w:ascii="Calibri" w:hAnsi="Calibri" w:asciiTheme="minorHAnsi" w:cstheme="minorHAnsi" w:hAnsiTheme="minorHAnsi"/>
            <w:sz w:val="24"/>
            <w:szCs w:val="24"/>
            <w:lang w:val="pt-BR"/>
          </w:rPr>
          <w:t xml:space="preserve"> [Nota Pavarini: Ficamos no aguardo da definição da Cláusula 3.5.1]</w:t>
        </w:r>
      </w:ins>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Colocação, Plano de Distribuição e Público-alvo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objeto de distribuição pública, com esforços restritos de distribuição, nos termos da Instrução CVM 476, com a intermediação de instituições financeiras autorizadas a operar no sistema de distribuição de valores mobiliários (“</w:t>
      </w:r>
      <w:r>
        <w:rPr>
          <w:rFonts w:cs="Calibri" w:ascii="Calibri" w:hAnsi="Calibri" w:asciiTheme="minorHAnsi" w:cstheme="minorHAnsi" w:hAnsiTheme="minorHAnsi"/>
          <w:b/>
          <w:sz w:val="24"/>
          <w:szCs w:val="24"/>
          <w:lang w:val="pt-BR"/>
        </w:rPr>
        <w:t>Coordenadores</w:t>
      </w:r>
      <w:r>
        <w:rPr>
          <w:rFonts w:cs="Calibri" w:ascii="Calibri" w:hAnsi="Calibri" w:asciiTheme="minorHAnsi" w:cstheme="minorHAnsi" w:hAnsiTheme="minorHAnsi"/>
          <w:sz w:val="24"/>
          <w:szCs w:val="24"/>
          <w:lang w:val="pt-BR"/>
        </w:rPr>
        <w:t>”), sob o regime de garantia firme de colocação para o Valor Total da Emissão, nos termos do “Contrato de Estruturação, Coordenação e Colocação para Distribuição Pública com Esforços Restritos, sob o Regime de Garantia Firme de Colocação, de Debêntures Simples, Não Conversíveis em Ações, da Espécie Quirografária, com Garantia Adicional Fidejussória, em Série Única, da 1ª (Primeira) Emissão da Hospital Care Caledonia S.A.”, a ser celebrado entre a Emissora, os Coordenadores e os Fiadores (“</w:t>
      </w:r>
      <w:r>
        <w:rPr>
          <w:rFonts w:cs="Calibri" w:ascii="Calibri" w:hAnsi="Calibri" w:asciiTheme="minorHAnsi" w:cstheme="minorHAnsi" w:hAnsiTheme="minorHAnsi"/>
          <w:b/>
          <w:sz w:val="24"/>
          <w:szCs w:val="24"/>
          <w:lang w:val="pt-BR"/>
        </w:rPr>
        <w:t>Contrato de Distribuição</w:t>
      </w:r>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plano de distribuição será organizado pelos Coordenadores e seguirá os procedimentos descritos na Instrução CVM 476 e no Contrato de Distribuição, tendo como público-alvo exclusivamente Investidores Profissionais.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cs="Calibri" w:ascii="Calibri" w:hAnsi="Calibri" w:asciiTheme="minorHAnsi" w:cstheme="minorHAnsi" w:hAnsiTheme="minorHAnsi"/>
          <w:b/>
          <w:sz w:val="24"/>
          <w:szCs w:val="24"/>
          <w:lang w:val="pt-BR"/>
        </w:rPr>
        <w:t>Plano de Distribuição</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público-alvo da Oferta Restrita é composto exclusivamente por Investidores Profissionais, referidos no artigo 11 da Resolução CVM 30.</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Emissão e a Oferta Restrita não poderão ter seu valor e quantidade aumentados em nenhuma hipótese.</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colocação das Debêntures será realizada de acordo com os procedimentos do MDA, administrado e operacionalizado pela B3 e com o Plano de Distribuição descrito nesta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_Ref62664867 \n \h </w:instrText>
      </w:r>
      <w:r>
        <w:rPr>
          <w:sz w:val="24"/>
          <w:szCs w:val="24"/>
          <w:rFonts w:cs="Calibri" w:ascii="Calibri" w:hAnsi="Calibri"/>
          <w:lang w:val="pt-BR"/>
        </w:rPr>
        <w:fldChar w:fldCharType="separate"/>
      </w:r>
      <w:r>
        <w:rPr>
          <w:sz w:val="24"/>
          <w:szCs w:val="24"/>
          <w:rFonts w:cs="Calibri" w:ascii="Calibri" w:hAnsi="Calibri"/>
          <w:lang w:val="pt-BR"/>
        </w:rPr>
        <w:t>3</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No ato de subscrição e integralização das Debêntures, cada Investidor Profissional assinará declaração atestando, dentre outras coisas, estar ciente de que: (</w:t>
      </w:r>
      <w:bookmarkStart w:id="43" w:name="_Hlk72587232"/>
      <w:r>
        <w:rPr>
          <w:rFonts w:cs="Calibri" w:ascii="Calibri" w:hAnsi="Calibri" w:asciiTheme="minorHAnsi" w:cstheme="minorHAnsi" w:hAnsiTheme="minorHAnsi"/>
          <w:bCs/>
          <w:iCs/>
          <w:sz w:val="24"/>
          <w:szCs w:val="24"/>
          <w:lang w:val="pt-BR"/>
        </w:rPr>
        <w:t xml:space="preserve">a) a Oferta </w:t>
      </w:r>
      <w:r>
        <w:rPr>
          <w:rFonts w:cs="Calibri" w:ascii="Calibri" w:hAnsi="Calibri" w:asciiTheme="minorHAnsi" w:cstheme="minorHAnsi" w:hAnsiTheme="minorHAnsi"/>
          <w:sz w:val="24"/>
          <w:szCs w:val="24"/>
          <w:lang w:val="pt-BR"/>
        </w:rPr>
        <w:t>Restrita</w:t>
      </w:r>
      <w:r>
        <w:rPr>
          <w:rFonts w:cs="Calibri" w:ascii="Calibri" w:hAnsi="Calibri" w:asciiTheme="minorHAnsi" w:cstheme="minorHAnsi" w:hAnsiTheme="minorHAnsi"/>
          <w:bCs/>
          <w:iCs/>
          <w:sz w:val="24"/>
          <w:szCs w:val="24"/>
          <w:lang w:val="pt-BR"/>
        </w:rPr>
        <w:t xml:space="preserve"> não foi registrada perante a CVM e será registrada na ANBIMA nos termos do Código ANBIMA; (b) as Debêntures estão sujeitas às restrições de negociação previstas nesta Escritura de Emissão, no Contrato de Distribuição e na regulamentação aplicável; e (c) efetuaram sua própria análise com relação à capacidade de pagamento da Emissora e dos Fiadores</w:t>
      </w:r>
      <w:bookmarkEnd w:id="43"/>
      <w:r>
        <w:rPr>
          <w:rFonts w:cs="Calibri" w:ascii="Calibri" w:hAnsi="Calibri" w:asciiTheme="minorHAnsi" w:cstheme="minorHAnsi" w:hAnsiTheme="minorHAnsi"/>
          <w:bCs/>
          <w:iCs/>
          <w:sz w:val="24"/>
          <w:szCs w:val="24"/>
          <w:lang w:val="pt-BR"/>
        </w:rPr>
        <w:t xml:space="preserve"> (“</w:t>
      </w:r>
      <w:r>
        <w:rPr>
          <w:rFonts w:cs="Calibri" w:ascii="Calibri" w:hAnsi="Calibri" w:asciiTheme="minorHAnsi" w:cstheme="minorHAnsi" w:hAnsiTheme="minorHAnsi"/>
          <w:b/>
          <w:bCs/>
          <w:iCs/>
          <w:sz w:val="24"/>
          <w:szCs w:val="24"/>
          <w:lang w:val="pt-BR"/>
        </w:rPr>
        <w:t>Declaração de Investidor Profissional</w:t>
      </w:r>
      <w:r>
        <w:rPr>
          <w:rFonts w:cs="Calibri" w:ascii="Calibri" w:hAnsi="Calibri" w:asciiTheme="minorHAnsi" w:cstheme="minorHAnsi" w:hAnsiTheme="minorHAnsi"/>
          <w:bCs/>
          <w:iCs/>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 xml:space="preserve">Não </w:t>
      </w:r>
      <w:r>
        <w:rPr>
          <w:rFonts w:cs="Calibri" w:ascii="Calibri" w:hAnsi="Calibri" w:asciiTheme="minorHAnsi" w:cstheme="minorHAnsi" w:hAnsiTheme="minorHAnsi"/>
          <w:sz w:val="24"/>
          <w:szCs w:val="24"/>
          <w:lang w:val="pt-BR"/>
        </w:rPr>
        <w:t>existirão</w:t>
      </w:r>
      <w:r>
        <w:rPr>
          <w:rFonts w:cs="Calibri" w:ascii="Calibri" w:hAnsi="Calibri" w:asciiTheme="minorHAnsi" w:cstheme="minorHAnsi" w:hAnsiTheme="minorHAnsi"/>
          <w:bCs/>
          <w:iCs/>
          <w:sz w:val="24"/>
          <w:szCs w:val="24"/>
          <w:lang w:val="pt-BR"/>
        </w:rPr>
        <w:t xml:space="preserve"> reservas antecipadas, nem fixação de lotes mínimos ou máximos, independentemente de ordem cronológica.</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CARACTERÍSTICAS DAS DEBÊNTURES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44" w:name="_Ref420335418"/>
      <w:r>
        <w:rPr>
          <w:rFonts w:cs="Calibri" w:ascii="Calibri" w:hAnsi="Calibri" w:asciiTheme="minorHAnsi" w:cstheme="minorHAnsi" w:hAnsiTheme="minorHAnsi"/>
          <w:b/>
          <w:sz w:val="24"/>
          <w:szCs w:val="24"/>
          <w:lang w:val="pt-BR"/>
        </w:rPr>
        <w:t>Data de Emissão</w:t>
      </w:r>
      <w:bookmarkEnd w:id="44"/>
      <w:r>
        <w:rPr>
          <w:rFonts w:cs="Calibri" w:ascii="Calibri" w:hAnsi="Calibri" w:asciiTheme="minorHAnsi" w:cstheme="minorHAnsi" w:hAnsiTheme="minorHAnsi"/>
          <w:b/>
          <w:sz w:val="24"/>
          <w:szCs w:val="24"/>
          <w:lang w:val="pt-BR"/>
        </w:rPr>
        <w:t xml:space="preserve"> das Debêntures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todos os fins e efeitos legais, a data de emissão das Debêntures será o dia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sz w:val="24"/>
          <w:szCs w:val="24"/>
          <w:lang w:val="pt-BR"/>
        </w:rPr>
        <w:t>Data de Emissão</w:t>
      </w:r>
      <w:r>
        <w:rPr>
          <w:rFonts w:cs="Calibri" w:ascii="Calibri" w:hAnsi="Calibri" w:asciiTheme="minorHAnsi" w:cstheme="minorHAnsi" w:hAnsiTheme="minorHAnsi"/>
          <w:sz w:val="24"/>
          <w:szCs w:val="24"/>
          <w:lang w:val="pt-BR"/>
        </w:rPr>
        <w:t>”).</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Data de Início da Rentabilidade</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todos os fins e efeitos legais, a data de início da rentabilidade será a Data da Primeira Integralização (“</w:t>
      </w:r>
      <w:r>
        <w:rPr>
          <w:rFonts w:cs="Calibri" w:ascii="Calibri" w:hAnsi="Calibri" w:asciiTheme="minorHAnsi" w:cstheme="minorHAnsi" w:hAnsiTheme="minorHAnsi"/>
          <w:b/>
          <w:bCs/>
          <w:sz w:val="24"/>
          <w:szCs w:val="24"/>
          <w:lang w:val="pt-BR"/>
        </w:rPr>
        <w:t>Data de Início da Rentabilidade</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Forma, Tipo e Comprovação da Titularidade das Debêntures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Debêntures serão emitidas na forma nominativa e escritural, sem a emissão de cautelas e certificados.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Para todos os fins e efeitos legais, a titularidade das Debêntures será comprovada pelo extrato da conta de depósito emitido pelo Escriturador. Adicionalmente, será reconhecido, como comprovante de titularidade das Debêntures o extrato expedido pela B3 em nome dos Debenturistas para as Debêntures custodiadas eletronicamente na B3.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sz w:val="24"/>
          <w:szCs w:val="24"/>
          <w:lang w:val="pt-BR"/>
        </w:rPr>
        <w:t>Conversibilidade</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simples, ou seja, não conversíveis em ações de emissão da Emissora.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
          <w:sz w:val="24"/>
          <w:szCs w:val="24"/>
          <w:lang w:val="pt-BR"/>
        </w:rPr>
        <w:t>Espécie</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da espécie quirografária, com garantia adicional fidejussória nos termos desta Escritura de Emissão e nos termos do artigo 58 da Lei das Sociedades por Ações.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iCs/>
          <w:sz w:val="24"/>
          <w:szCs w:val="24"/>
          <w:lang w:val="pt-BR"/>
        </w:rPr>
      </w:pPr>
      <w:r>
        <w:rPr>
          <w:rFonts w:cs="Calibri" w:ascii="Calibri" w:hAnsi="Calibri" w:asciiTheme="minorHAnsi" w:cstheme="minorHAnsi" w:hAnsiTheme="minorHAnsi"/>
          <w:b/>
          <w:sz w:val="24"/>
          <w:szCs w:val="24"/>
          <w:lang w:val="pt-BR"/>
        </w:rPr>
        <w:t>Prazo e Data de Vencimento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45" w:name="_Hlk68713174"/>
      <w:r>
        <w:rPr>
          <w:rFonts w:cs="Calibri" w:ascii="Calibri" w:hAnsi="Calibri" w:asciiTheme="minorHAnsi" w:cstheme="minorHAnsi" w:hAnsiTheme="minorHAnsi"/>
          <w:sz w:val="24"/>
          <w:szCs w:val="24"/>
          <w:lang w:val="pt-BR"/>
        </w:rPr>
        <w:t>Ressalvadas as hipóteses de liquidação antecipada previstas na presente Escritura de Emissão, as Debêntures terão prazo de vencimento de 5 (cinco) anos contados da Data de Emissão, vencendo-se, portanto,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2026</w:t>
      </w:r>
      <w:bookmarkEnd w:id="45"/>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bCs/>
          <w:sz w:val="24"/>
          <w:szCs w:val="24"/>
          <w:lang w:val="pt-BR"/>
        </w:rPr>
        <w:t>Data de Vencimento</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Valor Nominal Unitário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46" w:name="_Hlk68713154"/>
      <w:r>
        <w:rPr>
          <w:rFonts w:cs="Calibri" w:ascii="Calibri" w:hAnsi="Calibri" w:asciiTheme="minorHAnsi" w:cstheme="minorHAnsi" w:hAnsiTheme="minorHAnsi"/>
          <w:sz w:val="24"/>
          <w:szCs w:val="24"/>
          <w:lang w:val="pt-BR"/>
        </w:rPr>
        <w:t>O valor nominal unitário das Debêntures, na Data de Emissão, será de R$</w:t>
      </w:r>
      <w:r>
        <w:rPr>
          <w:rFonts w:cs="Calibri" w:ascii="Calibri" w:hAnsi="Calibri" w:asciiTheme="minorHAnsi" w:cstheme="minorHAnsi" w:hAnsiTheme="minorHAnsi"/>
          <w:color w:val="000000"/>
          <w:sz w:val="24"/>
          <w:szCs w:val="24"/>
          <w:lang w:val="pt-BR"/>
        </w:rPr>
        <w:t>1.000,00</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color w:val="000000"/>
          <w:sz w:val="24"/>
          <w:szCs w:val="24"/>
          <w:lang w:val="pt-BR"/>
        </w:rPr>
        <w:t xml:space="preserve">mil </w:t>
      </w:r>
      <w:r>
        <w:rPr>
          <w:rFonts w:cs="Calibri" w:ascii="Calibri" w:hAnsi="Calibri" w:asciiTheme="minorHAnsi" w:cstheme="minorHAnsi" w:hAnsiTheme="minorHAnsi"/>
          <w:sz w:val="24"/>
          <w:szCs w:val="24"/>
          <w:lang w:val="pt-BR"/>
        </w:rPr>
        <w:t>reais) (“</w:t>
      </w:r>
      <w:r>
        <w:rPr>
          <w:rFonts w:cs="Calibri" w:ascii="Calibri" w:hAnsi="Calibri" w:asciiTheme="minorHAnsi" w:cstheme="minorHAnsi" w:hAnsiTheme="minorHAnsi"/>
          <w:b/>
          <w:sz w:val="24"/>
          <w:szCs w:val="24"/>
          <w:lang w:val="pt-BR"/>
        </w:rPr>
        <w:t>Valor Nominal Unitário</w:t>
      </w:r>
      <w:r>
        <w:rPr>
          <w:rFonts w:cs="Calibri" w:ascii="Calibri" w:hAnsi="Calibri" w:asciiTheme="minorHAnsi" w:cstheme="minorHAnsi" w:hAnsiTheme="minorHAnsi"/>
          <w:sz w:val="24"/>
          <w:szCs w:val="24"/>
          <w:lang w:val="pt-BR"/>
        </w:rPr>
        <w:t>”).</w:t>
      </w:r>
      <w:bookmarkEnd w:id="46"/>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47" w:name="_Ref420335400"/>
      <w:r>
        <w:rPr>
          <w:rFonts w:cs="Calibri" w:ascii="Calibri" w:hAnsi="Calibri" w:asciiTheme="minorHAnsi" w:cstheme="minorHAnsi" w:hAnsiTheme="minorHAnsi"/>
          <w:b/>
          <w:sz w:val="24"/>
          <w:szCs w:val="24"/>
          <w:lang w:val="pt-BR"/>
        </w:rPr>
        <w:t>Quantidade de Debêntures</w:t>
      </w:r>
      <w:bookmarkEnd w:id="47"/>
      <w:r>
        <w:rPr>
          <w:rFonts w:cs="Calibri" w:ascii="Calibri" w:hAnsi="Calibri" w:asciiTheme="minorHAnsi" w:cstheme="minorHAnsi" w:hAnsiTheme="minorHAnsi"/>
          <w:b/>
          <w:sz w:val="24"/>
          <w:szCs w:val="24"/>
          <w:lang w:val="pt-BR"/>
        </w:rPr>
        <w:t xml:space="preserve"> e Número de Séries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eastAsia="pt-BR"/>
        </w:rPr>
      </w:pPr>
      <w:bookmarkStart w:id="48" w:name="_Hlk68712970"/>
      <w:bookmarkStart w:id="49" w:name="_Ref38531037"/>
      <w:r>
        <w:rPr>
          <w:rFonts w:cs="Calibri" w:ascii="Calibri" w:hAnsi="Calibri" w:asciiTheme="minorHAnsi" w:cstheme="minorHAnsi" w:hAnsiTheme="minorHAnsi"/>
          <w:sz w:val="24"/>
          <w:szCs w:val="24"/>
          <w:lang w:val="pt-BR"/>
        </w:rPr>
        <w:t>Serão emitidas 300.000 (trezentas mil) Debêntures, em série única.</w:t>
      </w:r>
      <w:bookmarkEnd w:id="49"/>
      <w:r>
        <w:rPr>
          <w:rFonts w:cs="Calibri" w:ascii="Calibri" w:hAnsi="Calibri" w:asciiTheme="minorHAnsi" w:cstheme="minorHAnsi" w:hAnsiTheme="minorHAnsi"/>
          <w:sz w:val="24"/>
          <w:szCs w:val="24"/>
          <w:lang w:val="pt-BR"/>
        </w:rPr>
        <w:t xml:space="preserve"> </w:t>
      </w:r>
      <w:bookmarkEnd w:id="48"/>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Preço de Subscrição e Forma de Integralização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Pr>
          <w:rFonts w:cs="Calibri" w:ascii="Calibri" w:hAnsi="Calibri" w:asciiTheme="minorHAnsi" w:cstheme="minorHAnsi" w:hAnsiTheme="minorHAnsi"/>
          <w:b/>
          <w:bCs/>
          <w:sz w:val="24"/>
          <w:szCs w:val="24"/>
          <w:lang w:val="pt-BR"/>
        </w:rPr>
        <w:t>Data da Primeira Integralização</w:t>
      </w:r>
      <w:r>
        <w:rPr>
          <w:rFonts w:cs="Calibri" w:ascii="Calibri" w:hAnsi="Calibri" w:asciiTheme="minorHAnsi" w:cstheme="minorHAnsi" w:hAnsiTheme="minorHAnsi"/>
          <w:sz w:val="24"/>
          <w:szCs w:val="24"/>
          <w:lang w:val="pt-BR"/>
        </w:rPr>
        <w:t xml:space="preserve">”), ou, caso qualquer Debênture venha a ser integralizada em qualquer data diversa e posterior à Data da Primeira Integralização, a integralização deverá ser feita pelo Valor Nominal Unitário, acrescido da Remuneração, calculada </w:t>
      </w:r>
      <w:r>
        <w:rPr>
          <w:rFonts w:cs="Calibri" w:ascii="Calibri" w:hAnsi="Calibri" w:asciiTheme="minorHAnsi" w:cstheme="minorHAnsi" w:hAnsiTheme="minorHAnsi"/>
          <w:i/>
          <w:iCs/>
          <w:sz w:val="24"/>
          <w:szCs w:val="24"/>
          <w:lang w:val="pt-BR"/>
        </w:rPr>
        <w:t xml:space="preserve">pro rata temporis </w:t>
      </w:r>
      <w:r>
        <w:rPr>
          <w:rFonts w:cs="Calibri" w:ascii="Calibri" w:hAnsi="Calibri" w:asciiTheme="minorHAnsi" w:cstheme="minorHAnsi" w:hAnsiTheme="minorHAnsi"/>
          <w:sz w:val="24"/>
          <w:szCs w:val="24"/>
          <w:lang w:val="pt-BR"/>
        </w:rPr>
        <w:t xml:space="preserve">desde a Data de Início da Rentabilidade até a data da efetiva integralização, de acordo com as normas da B3.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0" w:name="_Hlk65923528"/>
      <w:r>
        <w:rPr>
          <w:rFonts w:cs="Calibri" w:ascii="Calibri" w:hAnsi="Calibri" w:asciiTheme="minorHAnsi" w:cstheme="minorHAnsi" w:hAnsiTheme="minorHAnsi"/>
          <w:sz w:val="24"/>
          <w:szCs w:val="24"/>
          <w:lang w:val="pt-BR"/>
        </w:rPr>
        <w:t>As Debêntures poderão ser subscritas com ágio ou deságio, a ser definido, conforme o caso, no ato de subscrição das Debêntures, desde que aplicado de forma igualitária à totalidade das Debêntures em cada data de integralização.</w:t>
      </w:r>
      <w:ins w:id="10" w:author="Autor desconhecido" w:date="2021-06-24T16:28:42Z">
        <w:bookmarkEnd w:id="50"/>
        <w:r>
          <w:rPr>
            <w:rFonts w:cs="Calibri" w:ascii="Calibri" w:hAnsi="Calibri" w:asciiTheme="minorHAnsi" w:cstheme="minorHAnsi" w:hAnsiTheme="minorHAnsi"/>
            <w:sz w:val="24"/>
            <w:szCs w:val="24"/>
            <w:lang w:val="pt-BR"/>
          </w:rPr>
          <w:t xml:space="preserve"> [</w:t>
        </w:r>
      </w:ins>
      <w:ins w:id="11" w:author="Autor desconhecido" w:date="2021-06-24T16:28:42Z">
        <w:r>
          <w:rPr>
            <w:rFonts w:cs="Calibri" w:ascii="Calibri" w:hAnsi="Calibri" w:asciiTheme="minorHAnsi" w:cstheme="minorHAnsi" w:hAnsiTheme="minorHAnsi"/>
            <w:b/>
            <w:bCs/>
            <w:sz w:val="24"/>
            <w:szCs w:val="24"/>
            <w:highlight w:val="yellow"/>
            <w:u w:val="single"/>
            <w:lang w:val="pt-BR"/>
          </w:rPr>
          <w:t xml:space="preserve">Nota </w:t>
        </w:r>
      </w:ins>
      <w:ins w:id="12" w:author="Autor desconhecido" w:date="2021-06-24T16:28:42Z">
        <w:r>
          <w:rPr>
            <w:rFonts w:eastAsia="Arial" w:cs="Calibri" w:ascii="Calibri" w:hAnsi="Calibri" w:asciiTheme="minorHAnsi" w:cstheme="minorHAnsi" w:hAnsiTheme="minorHAnsi"/>
            <w:b/>
            <w:bCs/>
            <w:sz w:val="24"/>
            <w:szCs w:val="24"/>
            <w:highlight w:val="yellow"/>
            <w:u w:val="single"/>
            <w:lang w:val="pt-BR" w:eastAsia="en-GB"/>
          </w:rPr>
          <w:t>Companhia: Se há garantia de colocação, é necessário a inclusão dessa cláusula?</w:t>
        </w:r>
      </w:ins>
      <w:ins w:id="13" w:author="Autor desconhecido" w:date="2021-06-24T16:28:42Z">
        <w:r>
          <w:rPr>
            <w:rFonts w:cs="Calibri" w:ascii="Calibri" w:hAnsi="Calibri" w:asciiTheme="minorHAnsi" w:cstheme="minorHAnsi" w:hAnsiTheme="minorHAnsi"/>
            <w:sz w:val="24"/>
            <w:szCs w:val="24"/>
            <w:lang w:val="pt-BR"/>
          </w:rPr>
          <w:t>]</w:t>
        </w:r>
      </w:ins>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iCs/>
          <w:sz w:val="24"/>
          <w:szCs w:val="24"/>
          <w:lang w:val="pt-BR"/>
        </w:rPr>
      </w:pPr>
      <w:r>
        <w:rPr>
          <w:rFonts w:cs="Calibri" w:ascii="Calibri" w:hAnsi="Calibri" w:asciiTheme="minorHAnsi" w:cstheme="minorHAnsi" w:hAnsiTheme="minorHAnsi"/>
          <w:b/>
          <w:iCs/>
          <w:sz w:val="24"/>
          <w:szCs w:val="24"/>
          <w:lang w:val="pt-BR"/>
        </w:rPr>
        <w:t>Atualização Monetária do Valor Nominal Unitário das Debêntures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1" w:name="_Hlk68713195"/>
      <w:bookmarkStart w:id="52" w:name="_Hlk68713202"/>
      <w:bookmarkEnd w:id="51"/>
      <w:r>
        <w:rPr>
          <w:rFonts w:cs="Calibri" w:ascii="Calibri" w:hAnsi="Calibri" w:asciiTheme="minorHAnsi" w:cstheme="minorHAnsi" w:hAnsiTheme="minorHAnsi"/>
          <w:sz w:val="24"/>
          <w:szCs w:val="24"/>
          <w:lang w:val="pt-BR"/>
        </w:rPr>
        <w:t>O Valor Nominal Unitário das Debêntures não será atualizado monetariamente.</w:t>
      </w:r>
      <w:bookmarkEnd w:id="52"/>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53" w:name="_Hlk68713195"/>
      <w:bookmarkStart w:id="54" w:name="_Ref420335077"/>
      <w:bookmarkEnd w:id="53"/>
      <w:r>
        <w:rPr>
          <w:rFonts w:cs="Calibri" w:ascii="Calibri" w:hAnsi="Calibri" w:asciiTheme="minorHAnsi" w:cstheme="minorHAnsi" w:hAnsiTheme="minorHAnsi"/>
          <w:b/>
          <w:sz w:val="24"/>
          <w:szCs w:val="24"/>
          <w:lang w:val="pt-BR"/>
        </w:rPr>
        <w:t>Remuneração das Debêntures</w:t>
      </w:r>
      <w:bookmarkEnd w:id="54"/>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bookmarkStart w:id="55" w:name="_Ref43244623"/>
      <w:r>
        <w:rPr>
          <w:rFonts w:cs="Calibri" w:ascii="Calibri" w:hAnsi="Calibri" w:asciiTheme="minorHAnsi" w:cstheme="minorHAnsi" w:hAnsiTheme="minorHAnsi"/>
          <w:sz w:val="24"/>
          <w:szCs w:val="24"/>
          <w:lang w:val="pt-BR"/>
        </w:rPr>
        <w:t>Sobre o Valor Nominal Unitário</w:t>
      </w:r>
      <w:r>
        <w:rPr>
          <w:rFonts w:cs="Calibri" w:ascii="Calibri" w:hAnsi="Calibri" w:asciiTheme="minorHAnsi" w:cstheme="minorHAnsi" w:hAnsiTheme="minorHAnsi"/>
          <w:sz w:val="24"/>
          <w:szCs w:val="24"/>
          <w:lang w:val="pt-BR" w:eastAsia="pt-BR"/>
        </w:rPr>
        <w:t xml:space="preserve"> ou saldo do Valor Nominal Unitário, conforme o caso,</w:t>
      </w:r>
      <w:r>
        <w:rPr>
          <w:rFonts w:cs="Calibri" w:ascii="Calibri" w:hAnsi="Calibri" w:asciiTheme="minorHAnsi" w:cstheme="minorHAnsi" w:hAnsiTheme="minorHAnsi"/>
          <w:sz w:val="24"/>
          <w:szCs w:val="24"/>
          <w:lang w:val="pt-BR"/>
        </w:rPr>
        <w:t xml:space="preserv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w:t>
      </w:r>
      <w:r>
        <w:rPr>
          <w:rFonts w:cs="Calibri" w:ascii="Calibri" w:hAnsi="Calibri" w:asciiTheme="minorHAnsi" w:cstheme="minorHAnsi" w:hAnsiTheme="minorHAnsi"/>
          <w:b/>
          <w:bCs/>
          <w:sz w:val="24"/>
          <w:szCs w:val="24"/>
          <w:lang w:val="pt-BR"/>
        </w:rPr>
        <w:t>Taxa DI</w:t>
      </w:r>
      <w:r>
        <w:rPr>
          <w:rFonts w:cs="Calibri" w:ascii="Calibri" w:hAnsi="Calibri" w:asciiTheme="minorHAnsi" w:cstheme="minorHAnsi" w:hAnsiTheme="minorHAnsi"/>
          <w:sz w:val="24"/>
          <w:szCs w:val="24"/>
          <w:lang w:val="pt-BR"/>
        </w:rPr>
        <w:t>”), acrescida de sobretaxa (</w:t>
      </w:r>
      <w:r>
        <w:rPr>
          <w:rFonts w:cs="Calibri" w:ascii="Calibri" w:hAnsi="Calibri" w:asciiTheme="minorHAnsi" w:cstheme="minorHAnsi" w:hAnsiTheme="minorHAnsi"/>
          <w:i/>
          <w:iCs/>
          <w:sz w:val="24"/>
          <w:szCs w:val="24"/>
          <w:lang w:val="pt-BR"/>
        </w:rPr>
        <w:t>spread</w:t>
      </w:r>
      <w:r>
        <w:rPr>
          <w:rFonts w:cs="Calibri" w:ascii="Calibri" w:hAnsi="Calibri" w:asciiTheme="minorHAnsi" w:cstheme="minorHAnsi" w:hAnsiTheme="minorHAnsi"/>
          <w:sz w:val="24"/>
          <w:szCs w:val="24"/>
          <w:lang w:val="pt-BR"/>
        </w:rPr>
        <w:t>) de 2,7000% (dois inteiros e sete mil décimos de milésimos por cento) ao ano, base de 252 Dias Úteis (“</w:t>
      </w:r>
      <w:r>
        <w:rPr>
          <w:rFonts w:cs="Calibri" w:ascii="Calibri" w:hAnsi="Calibri" w:asciiTheme="minorHAnsi" w:cstheme="minorHAnsi" w:hAnsiTheme="minorHAnsi"/>
          <w:b/>
          <w:bCs/>
          <w:sz w:val="24"/>
          <w:szCs w:val="24"/>
          <w:lang w:val="pt-BR"/>
        </w:rPr>
        <w:t>Remuneração</w:t>
      </w:r>
      <w:r>
        <w:rPr>
          <w:rFonts w:cs="Calibri" w:ascii="Calibri" w:hAnsi="Calibri" w:asciiTheme="minorHAnsi" w:cstheme="minorHAnsi" w:hAnsiTheme="minorHAnsi"/>
          <w:sz w:val="24"/>
          <w:szCs w:val="24"/>
          <w:lang w:val="pt-BR"/>
        </w:rPr>
        <w:t>”).</w:t>
      </w:r>
      <w:bookmarkEnd w:id="55"/>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Remuneração será calculada de forma exponencial e cumulativa </w:t>
      </w:r>
      <w:r>
        <w:rPr>
          <w:rFonts w:cs="Calibri" w:ascii="Calibri" w:hAnsi="Calibri" w:asciiTheme="minorHAnsi" w:cstheme="minorHAnsi" w:hAnsiTheme="minorHAnsi"/>
          <w:i/>
          <w:iCs/>
          <w:sz w:val="24"/>
          <w:szCs w:val="24"/>
          <w:lang w:val="pt-BR"/>
        </w:rPr>
        <w:t>pro rata temporis</w:t>
      </w:r>
      <w:r>
        <w:rPr>
          <w:rFonts w:cs="Calibri" w:ascii="Calibri" w:hAnsi="Calibri" w:asciiTheme="minorHAnsi" w:cstheme="minorHAnsi" w:hAnsiTheme="minorHAnsi"/>
          <w:sz w:val="24"/>
          <w:szCs w:val="24"/>
          <w:lang w:val="pt-BR"/>
        </w:rPr>
        <w:t xml:space="preserve"> por Dias Úteis decorridos, incidentes sobre o Valor Nominal Unitário, ou sobre o saldo do Valor Nominal Unitário, desde a Data de Início da Rentabilidade, ou Data de Pagamento da Remuneração</w:t>
      </w:r>
      <w:ins w:id="14" w:author="Pedro Oliveira" w:date="2021-06-23T15:01:00Z">
        <w:r>
          <w:rPr>
            <w:rFonts w:cs="Calibri" w:ascii="Calibri" w:hAnsi="Calibri" w:asciiTheme="minorHAnsi" w:cstheme="minorHAnsi" w:hAnsiTheme="minorHAnsi"/>
            <w:sz w:val="24"/>
            <w:szCs w:val="24"/>
            <w:lang w:val="pt-BR"/>
          </w:rPr>
          <w:t xml:space="preserve"> (</w:t>
        </w:r>
      </w:ins>
      <w:ins w:id="15" w:author="Pedro Oliveira" w:date="2021-06-23T15:00:00Z">
        <w:r>
          <w:rPr>
            <w:rFonts w:cs="Calibri" w:ascii="Calibri" w:hAnsi="Calibri" w:asciiTheme="minorHAnsi" w:cstheme="minorHAnsi" w:hAnsiTheme="minorHAnsi"/>
            <w:sz w:val="24"/>
            <w:szCs w:val="24"/>
            <w:lang w:val="pt-BR"/>
          </w:rPr>
          <w:t>conforme definido abai</w:t>
        </w:r>
      </w:ins>
      <w:ins w:id="16" w:author="Pedro Oliveira" w:date="2021-06-23T15:01:00Z">
        <w:r>
          <w:rPr>
            <w:rFonts w:cs="Calibri" w:ascii="Calibri" w:hAnsi="Calibri" w:asciiTheme="minorHAnsi" w:cstheme="minorHAnsi" w:hAnsiTheme="minorHAnsi"/>
            <w:sz w:val="24"/>
            <w:szCs w:val="24"/>
            <w:lang w:val="pt-BR"/>
          </w:rPr>
          <w:t>xo)</w:t>
        </w:r>
      </w:ins>
      <w:r>
        <w:rPr>
          <w:rFonts w:cs="Calibri" w:ascii="Calibri" w:hAnsi="Calibri" w:asciiTheme="minorHAnsi" w:cstheme="minorHAnsi" w:hAnsiTheme="minorHAnsi"/>
          <w:sz w:val="24"/>
          <w:szCs w:val="24"/>
          <w:lang w:val="pt-BR"/>
        </w:rPr>
        <w:t xml:space="preserve"> imediatamente anterior (inclusive), até a data de pagamento da Remuneração em questão, a data do resgate antecipado das Debêntures em decorrência de uma Oferta de Resgate Antecipado (conforme definido abaixo), ou a data de declaração de vencimento antecipado em decorrência de uma Hipótese de Vencimento Antecipado (conforme definido abaixo), o que ocorrer primeiro (exclusive). A Remuneração será calculada de acordo com a seguinte fórmula: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Favor confirmar fórmula</w:t>
      </w:r>
      <w:r>
        <w:rPr>
          <w:rFonts w:cs="Calibri" w:ascii="Calibri" w:hAnsi="Calibri" w:asciiTheme="minorHAnsi" w:cstheme="minorHAnsi" w:hAnsiTheme="minorHAnsi"/>
          <w:sz w:val="24"/>
          <w:szCs w:val="24"/>
          <w:lang w:val="pt-BR"/>
        </w:rPr>
        <w:t>]</w:t>
      </w:r>
    </w:p>
    <w:p>
      <w:pPr>
        <w:pStyle w:val="Level3"/>
        <w:numPr>
          <w:ilvl w:val="0"/>
          <w:numId w:val="0"/>
        </w:numPr>
        <w:tabs>
          <w:tab w:val="clear" w:pos="709"/>
          <w:tab w:val="left" w:pos="708" w:leader="none"/>
        </w:tabs>
        <w:spacing w:lineRule="exact" w:line="340" w:before="0" w:after="240"/>
        <w:ind w:left="709" w:hanging="0"/>
        <w:jc w:val="center"/>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J = VNe x (Fator Juros – 1)</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J = valor da Remuneração devida ao final do Período de Capitalização (conforme abaixo definido), calculado com 8 (oito) casas decimais, sem arredondamento;</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VNe = Valor Nominal Unitário ou saldo do Valor Nominal Unitário, informado/calculado com 8 (oito) casas decimais, sem arredondamento; 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Fator Juros = fator de juros composto pelo parâmetro de flutuação acrescido de </w:t>
      </w:r>
      <w:r>
        <w:rPr>
          <w:rFonts w:cs="Calibri" w:ascii="Calibri" w:hAnsi="Calibri" w:asciiTheme="minorHAnsi" w:cstheme="minorHAnsi" w:hAnsiTheme="minorHAnsi"/>
          <w:i/>
          <w:iCs/>
          <w:sz w:val="24"/>
          <w:szCs w:val="24"/>
          <w:lang w:val="pt-BR"/>
        </w:rPr>
        <w:t>spread</w:t>
      </w:r>
      <w:r>
        <w:rPr>
          <w:rFonts w:cs="Calibri" w:ascii="Calibri" w:hAnsi="Calibri" w:asciiTheme="minorHAnsi" w:cstheme="minorHAnsi" w:hAnsiTheme="minorHAnsi"/>
          <w:sz w:val="24"/>
          <w:szCs w:val="24"/>
          <w:lang w:val="pt-BR"/>
        </w:rPr>
        <w:t xml:space="preserve"> calculado com 9 (nove) casas decimais, com arredondamento, apurado da seguinte forma:</w:t>
      </w:r>
    </w:p>
    <w:p>
      <w:pPr>
        <w:pStyle w:val="Level3"/>
        <w:numPr>
          <w:ilvl w:val="0"/>
          <w:numId w:val="0"/>
        </w:numPr>
        <w:tabs>
          <w:tab w:val="clear" w:pos="709"/>
          <w:tab w:val="left" w:pos="708" w:leader="none"/>
        </w:tabs>
        <w:spacing w:lineRule="exact" w:line="340" w:before="0" w:after="240"/>
        <w:ind w:left="709" w:hanging="0"/>
        <w:jc w:val="center"/>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Fator Juros = (Fator DI x Fator Spread)</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drawing>
          <wp:anchor behindDoc="0" distT="0" distB="0" distL="114300" distR="114300" simplePos="0" locked="0" layoutInCell="1" allowOverlap="1" relativeHeight="2">
            <wp:simplePos x="0" y="0"/>
            <wp:positionH relativeFrom="margin">
              <wp:align>center</wp:align>
            </wp:positionH>
            <wp:positionV relativeFrom="paragraph">
              <wp:posOffset>951230</wp:posOffset>
            </wp:positionV>
            <wp:extent cx="2200275" cy="457200"/>
            <wp:effectExtent l="0" t="0" r="0" b="0"/>
            <wp:wrapTopAndBottom/>
            <wp:docPr id="2"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descr=""/>
                    <pic:cNvPicPr>
                      <a:picLocks noChangeAspect="1" noChangeArrowheads="1"/>
                    </pic:cNvPicPr>
                  </pic:nvPicPr>
                  <pic:blipFill>
                    <a:blip r:embed="rId3"/>
                    <a:srcRect l="0" t="1923" r="0" b="26339"/>
                    <a:stretch>
                      <a:fillRect/>
                    </a:stretch>
                  </pic:blipFill>
                  <pic:spPr bwMode="auto">
                    <a:xfrm>
                      <a:off x="0" y="0"/>
                      <a:ext cx="2200275" cy="457200"/>
                    </a:xfrm>
                    <a:prstGeom prst="rect">
                      <a:avLst/>
                    </a:prstGeom>
                  </pic:spPr>
                </pic:pic>
              </a:graphicData>
            </a:graphic>
          </wp:anchor>
        </w:drawing>
      </w:r>
      <w:r>
        <w:rPr>
          <w:rFonts w:cs="Calibri" w:ascii="Calibri" w:hAnsi="Calibri" w:asciiTheme="minorHAnsi" w:cstheme="minorHAnsi" w:hAnsiTheme="minorHAnsi"/>
          <w:sz w:val="24"/>
          <w:szCs w:val="24"/>
          <w:lang w:val="pt-BR"/>
        </w:rPr>
        <w:t>F</w:t>
      </w:r>
      <w:r>
        <w:rPr>
          <w:rFonts w:cs="Calibri" w:ascii="Calibri" w:hAnsi="Calibri" w:asciiTheme="minorHAnsi" w:cstheme="minorHAnsi" w:hAnsiTheme="minorHAnsi"/>
          <w:sz w:val="24"/>
          <w:szCs w:val="24"/>
          <w:lang w:val="pt-BR"/>
        </w:rPr>
        <w:t>ator DI = produtório das Taxas DI-Over, com uso de percentual aplicado, da data de início do Período de Capitalização, inclusive, até a data de cálculo, exclusive, calculado com 8 (oito) casas decimais, com arredondamento, apurado da seguinte forma:</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ins w:id="19" w:author="Pedro Oliveira" w:date="2021-06-23T15:03:00Z"/>
        </w:rPr>
      </w:pPr>
      <w:r>
        <w:rPr>
          <w:rFonts w:cs="Calibri" w:ascii="Calibri" w:hAnsi="Calibri" w:asciiTheme="minorHAnsi" w:cstheme="minorHAnsi" w:hAnsiTheme="minorHAnsi"/>
          <w:sz w:val="24"/>
          <w:szCs w:val="24"/>
          <w:lang w:val="pt-BR"/>
        </w:rPr>
        <w:t>n</w:t>
      </w:r>
      <w:r>
        <w:rPr>
          <w:rFonts w:cs="Calibri" w:ascii="Calibri" w:hAnsi="Calibri" w:asciiTheme="minorHAnsi" w:cstheme="minorHAnsi" w:hAnsiTheme="minorHAnsi"/>
          <w:sz w:val="24"/>
          <w:szCs w:val="24"/>
          <w:vertAlign w:val="subscript"/>
          <w:lang w:val="pt-BR"/>
        </w:rPr>
        <w:t>DI</w:t>
      </w:r>
      <w:r>
        <w:rPr>
          <w:rFonts w:cs="Calibri" w:ascii="Calibri" w:hAnsi="Calibri" w:asciiTheme="minorHAnsi" w:cstheme="minorHAnsi" w:hAnsiTheme="minorHAnsi"/>
          <w:sz w:val="24"/>
          <w:szCs w:val="24"/>
          <w:lang w:val="pt-BR"/>
        </w:rPr>
        <w:t xml:space="preserve"> = número total de Taxas DI-Over, consideradas </w:t>
      </w:r>
      <w:ins w:id="17" w:author="Pedro Oliveira" w:date="2021-06-23T15:03:00Z">
        <w:r>
          <w:rPr>
            <w:rFonts w:cs="Calibri" w:ascii="Calibri" w:hAnsi="Calibri" w:asciiTheme="minorHAnsi" w:cstheme="minorHAnsi" w:hAnsiTheme="minorHAnsi"/>
            <w:sz w:val="24"/>
            <w:szCs w:val="24"/>
            <w:lang w:val="pt-BR"/>
          </w:rPr>
          <w:t>em cada Período de Capitalização</w:t>
        </w:r>
      </w:ins>
      <w:del w:id="18" w:author="Pedro Oliveira" w:date="2021-06-23T15:03:00Z">
        <w:r>
          <w:rPr>
            <w:rFonts w:cs="Calibri" w:ascii="Calibri" w:hAnsi="Calibri" w:asciiTheme="minorHAnsi" w:cstheme="minorHAnsi" w:hAnsiTheme="minorHAnsi"/>
            <w:sz w:val="24"/>
            <w:szCs w:val="24"/>
            <w:lang w:val="pt-BR"/>
          </w:rPr>
          <w:delText>na atualização do ativo</w:delText>
        </w:r>
      </w:del>
      <w:r>
        <w:rPr>
          <w:rFonts w:cs="Calibri" w:ascii="Calibri" w:hAnsi="Calibri" w:asciiTheme="minorHAnsi" w:cstheme="minorHAnsi" w:hAnsiTheme="minorHAnsi"/>
          <w:sz w:val="24"/>
          <w:szCs w:val="24"/>
          <w:lang w:val="pt-BR"/>
        </w:rPr>
        <w:t>, sendo “n</w:t>
      </w:r>
      <w:r>
        <w:rPr>
          <w:rFonts w:cs="Calibri" w:ascii="Calibri" w:hAnsi="Calibri" w:asciiTheme="minorHAnsi" w:cstheme="minorHAnsi" w:hAnsiTheme="minorHAnsi"/>
          <w:sz w:val="24"/>
          <w:szCs w:val="24"/>
          <w:vertAlign w:val="subscript"/>
          <w:lang w:val="pt-BR"/>
        </w:rPr>
        <w:t>DI</w:t>
      </w:r>
      <w:r>
        <w:rPr>
          <w:rFonts w:cs="Calibri" w:ascii="Calibri" w:hAnsi="Calibri" w:asciiTheme="minorHAnsi" w:cstheme="minorHAnsi" w:hAnsiTheme="minorHAnsi"/>
          <w:sz w:val="24"/>
          <w:szCs w:val="24"/>
          <w:lang w:val="pt-BR"/>
        </w:rPr>
        <w:t>” um número inteiro;</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ins w:id="20" w:author="Pedro Oliveira" w:date="2021-06-23T15:03:00Z">
        <w:r>
          <w:rPr>
            <w:rFonts w:cs="Calibri" w:ascii="Calibri" w:hAnsi="Calibri" w:asciiTheme="minorHAnsi" w:cstheme="minorHAnsi" w:hAnsiTheme="minorHAnsi"/>
            <w:sz w:val="24"/>
            <w:szCs w:val="24"/>
            <w:lang w:val="pt-BR"/>
          </w:rPr>
          <w:t>k = número de ordem das Taxas DI, variando de 1 até n;</w:t>
        </w:r>
      </w:ins>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drawing>
          <wp:anchor behindDoc="0" distT="0" distB="0" distL="114300" distR="114300" simplePos="0" locked="0" layoutInCell="1" allowOverlap="1" relativeHeight="72">
            <wp:simplePos x="0" y="0"/>
            <wp:positionH relativeFrom="margin">
              <wp:align>center</wp:align>
            </wp:positionH>
            <wp:positionV relativeFrom="paragraph">
              <wp:posOffset>609600</wp:posOffset>
            </wp:positionV>
            <wp:extent cx="1581150" cy="561975"/>
            <wp:effectExtent l="0" t="0" r="0" b="0"/>
            <wp:wrapTopAndBottom/>
            <wp:docPr id="3"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
                    <pic:cNvPicPr>
                      <a:picLocks noChangeAspect="1" noChangeArrowheads="1"/>
                    </pic:cNvPicPr>
                  </pic:nvPicPr>
                  <pic:blipFill>
                    <a:blip r:embed="rId4"/>
                    <a:stretch>
                      <a:fillRect/>
                    </a:stretch>
                  </pic:blipFill>
                  <pic:spPr bwMode="auto">
                    <a:xfrm>
                      <a:off x="0" y="0"/>
                      <a:ext cx="1581150" cy="561975"/>
                    </a:xfrm>
                    <a:prstGeom prst="rect">
                      <a:avLst/>
                    </a:prstGeom>
                  </pic:spPr>
                </pic:pic>
              </a:graphicData>
            </a:graphic>
          </wp:anchor>
        </w:drawing>
      </w:r>
      <w:r>
        <w:rPr>
          <w:rFonts w:cs="Calibri" w:ascii="Calibri" w:hAnsi="Calibri" w:asciiTheme="minorHAnsi" w:cstheme="minorHAnsi" w:hAnsiTheme="minorHAnsi"/>
          <w:sz w:val="24"/>
          <w:szCs w:val="24"/>
          <w:lang w:val="pt-BR"/>
        </w:rPr>
        <w:t>T</w:t>
      </w:r>
      <w:r>
        <w:rPr>
          <w:rFonts w:cs="Calibri" w:ascii="Calibri" w:hAnsi="Calibri" w:asciiTheme="minorHAnsi" w:cstheme="minorHAnsi" w:hAnsiTheme="minorHAnsi"/>
          <w:sz w:val="24"/>
          <w:szCs w:val="24"/>
          <w:lang w:val="pt-BR"/>
        </w:rPr>
        <w:t>DI</w:t>
      </w:r>
      <w:r>
        <w:rPr>
          <w:rFonts w:cs="Calibri" w:ascii="Calibri" w:hAnsi="Calibri" w:asciiTheme="minorHAnsi" w:cstheme="minorHAnsi" w:hAnsiTheme="minorHAnsi"/>
          <w:sz w:val="24"/>
          <w:szCs w:val="24"/>
          <w:vertAlign w:val="subscript"/>
          <w:lang w:val="pt-BR"/>
        </w:rPr>
        <w:t>k</w:t>
      </w:r>
      <w:r>
        <w:rPr>
          <w:rFonts w:cs="Calibri" w:ascii="Calibri" w:hAnsi="Calibri" w:asciiTheme="minorHAnsi" w:cstheme="minorHAnsi" w:hAnsiTheme="minorHAnsi"/>
          <w:sz w:val="24"/>
          <w:szCs w:val="24"/>
          <w:lang w:val="pt-BR"/>
        </w:rPr>
        <w:t xml:space="preserve"> = Taxa DI-Over, expressa ao dia, calculada com 8 (oito) casas decimais com arredondamento, apurada da seguinte forma:</w:t>
      </w:r>
    </w:p>
    <w:p>
      <w:pPr>
        <w:pStyle w:val="Level3"/>
        <w:keepNext w:val="true"/>
        <w:keepLines/>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keepNext w:val="true"/>
        <w:keepLines/>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DI</w:t>
      </w:r>
      <w:r>
        <w:rPr>
          <w:rFonts w:cs="Calibri" w:ascii="Calibri" w:hAnsi="Calibri" w:asciiTheme="minorHAnsi" w:cstheme="minorHAnsi" w:hAnsiTheme="minorHAnsi"/>
          <w:sz w:val="24"/>
          <w:szCs w:val="24"/>
          <w:vertAlign w:val="subscript"/>
          <w:lang w:val="pt-BR"/>
        </w:rPr>
        <w:t>k</w:t>
      </w:r>
      <w:r>
        <w:rPr>
          <w:rFonts w:cs="Calibri" w:ascii="Calibri" w:hAnsi="Calibri" w:asciiTheme="minorHAnsi" w:cstheme="minorHAnsi" w:hAnsiTheme="minorHAnsi"/>
          <w:sz w:val="24"/>
          <w:szCs w:val="24"/>
          <w:lang w:val="pt-BR"/>
        </w:rPr>
        <w:t xml:space="preserve"> = Taxa DI-Over, divulgada pela B3 S.A. – Brasil, Bolsa, Balcão, válida por 1 (um) Dia Útil (</w:t>
      </w:r>
      <w:r>
        <w:rPr>
          <w:rFonts w:cs="Calibri" w:ascii="Calibri" w:hAnsi="Calibri" w:asciiTheme="minorHAnsi" w:cstheme="minorHAnsi" w:hAnsiTheme="minorHAnsi"/>
          <w:i/>
          <w:iCs/>
          <w:sz w:val="24"/>
          <w:szCs w:val="24"/>
          <w:lang w:val="pt-BR"/>
        </w:rPr>
        <w:t>overnight</w:t>
      </w:r>
      <w:r>
        <w:rPr>
          <w:rFonts w:cs="Calibri" w:ascii="Calibri" w:hAnsi="Calibri" w:asciiTheme="minorHAnsi" w:cstheme="minorHAnsi" w:hAnsiTheme="minorHAnsi"/>
          <w:sz w:val="24"/>
          <w:szCs w:val="24"/>
          <w:lang w:val="pt-BR"/>
        </w:rPr>
        <w:t>), utilizada com 2 (duas) casas decimais; 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ins w:id="21" w:author="Pedro Oliveira" w:date="2021-06-23T15:05:00Z"/>
        </w:rPr>
      </w:pPr>
      <w:r>
        <w:drawing>
          <wp:anchor behindDoc="0" distT="0" distB="0" distL="114300" distR="114300" simplePos="0" locked="0" layoutInCell="1" allowOverlap="1" relativeHeight="73">
            <wp:simplePos x="0" y="0"/>
            <wp:positionH relativeFrom="margin">
              <wp:align>center</wp:align>
            </wp:positionH>
            <wp:positionV relativeFrom="paragraph">
              <wp:posOffset>485775</wp:posOffset>
            </wp:positionV>
            <wp:extent cx="2085975" cy="800100"/>
            <wp:effectExtent l="0" t="0" r="0" b="0"/>
            <wp:wrapTopAndBottom/>
            <wp:docPr id="4"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
                    <pic:cNvPicPr>
                      <a:picLocks noChangeAspect="1" noChangeArrowheads="1"/>
                    </pic:cNvPicPr>
                  </pic:nvPicPr>
                  <pic:blipFill>
                    <a:blip r:embed="rId5"/>
                    <a:stretch>
                      <a:fillRect/>
                    </a:stretch>
                  </pic:blipFill>
                  <pic:spPr bwMode="auto">
                    <a:xfrm>
                      <a:off x="0" y="0"/>
                      <a:ext cx="2085975" cy="800100"/>
                    </a:xfrm>
                    <a:prstGeom prst="rect">
                      <a:avLst/>
                    </a:prstGeom>
                  </pic:spPr>
                </pic:pic>
              </a:graphicData>
            </a:graphic>
          </wp:anchor>
        </w:drawing>
        <w:drawing>
          <wp:anchor behindDoc="0" distT="0" distB="0" distL="114300" distR="114300" simplePos="0" locked="0" layoutInCell="1" allowOverlap="1" relativeHeight="74">
            <wp:simplePos x="0" y="0"/>
            <wp:positionH relativeFrom="column">
              <wp:posOffset>1415415</wp:posOffset>
            </wp:positionH>
            <wp:positionV relativeFrom="paragraph">
              <wp:posOffset>519430</wp:posOffset>
            </wp:positionV>
            <wp:extent cx="2052955" cy="657225"/>
            <wp:effectExtent l="0" t="0" r="0" b="0"/>
            <wp:wrapTight wrapText="bothSides">
              <wp:wrapPolygon edited="0">
                <wp:start x="8416" y="0"/>
                <wp:lineTo x="-3" y="8136"/>
                <wp:lineTo x="-3" y="11894"/>
                <wp:lineTo x="8416" y="21285"/>
                <wp:lineTo x="21443" y="21285"/>
                <wp:lineTo x="21443" y="0"/>
                <wp:lineTo x="8416" y="0"/>
              </wp:wrapPolygon>
            </wp:wrapTight>
            <wp:docPr id="5"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
                    <pic:cNvPicPr>
                      <a:picLocks noChangeAspect="1" noChangeArrowheads="1"/>
                    </pic:cNvPicPr>
                  </pic:nvPicPr>
                  <pic:blipFill>
                    <a:blip r:embed="rId6"/>
                    <a:stretch>
                      <a:fillRect/>
                    </a:stretch>
                  </pic:blipFill>
                  <pic:spPr bwMode="auto">
                    <a:xfrm>
                      <a:off x="0" y="0"/>
                      <a:ext cx="2052955" cy="657225"/>
                    </a:xfrm>
                    <a:prstGeom prst="rect">
                      <a:avLst/>
                    </a:prstGeom>
                  </pic:spPr>
                </pic:pic>
              </a:graphicData>
            </a:graphic>
          </wp:anchor>
        </w:drawing>
      </w:r>
      <w:r>
        <w:rPr>
          <w:rFonts w:cs="Calibri" w:ascii="Calibri" w:hAnsi="Calibri" w:asciiTheme="minorHAnsi" w:cstheme="minorHAnsi" w:hAnsiTheme="minorHAnsi"/>
          <w:sz w:val="24"/>
          <w:szCs w:val="24"/>
          <w:lang w:val="pt-BR"/>
        </w:rPr>
        <w:t>F</w:t>
      </w:r>
      <w:r>
        <w:rPr>
          <w:rFonts w:cs="Calibri" w:ascii="Calibri" w:hAnsi="Calibri" w:asciiTheme="minorHAnsi" w:cstheme="minorHAnsi" w:hAnsiTheme="minorHAnsi"/>
          <w:sz w:val="24"/>
          <w:szCs w:val="24"/>
          <w:lang w:val="pt-BR"/>
        </w:rPr>
        <w:t>atorSpread = sobretaxa de juros fixo, calculada com 9 (nove) casas decimais, com arredondamento, apurado da seguinte forma:</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ins w:id="23" w:author="Pedro Oliveira" w:date="2021-06-23T15:05:00Z"/>
        </w:rPr>
      </w:pPr>
      <w:ins w:id="22" w:author="Pedro Oliveira" w:date="2021-06-23T15:05:00Z">
        <w:r>
          <w:rPr>
            <w:rFonts w:cs="Calibri" w:cstheme="minorHAnsi" w:ascii="Calibri" w:hAnsi="Calibri"/>
            <w:sz w:val="24"/>
            <w:szCs w:val="24"/>
            <w:lang w:val="pt-BR"/>
          </w:rPr>
        </w:r>
      </w:ins>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ins w:id="25" w:author="Pedro Oliveira" w:date="2021-06-23T15:05:00Z"/>
        </w:rPr>
      </w:pPr>
      <w:ins w:id="24" w:author="Pedro Oliveira" w:date="2021-06-23T15:05:00Z">
        <w:r>
          <w:rPr>
            <w:rFonts w:cs="Calibri" w:cstheme="minorHAnsi" w:ascii="Calibri" w:hAnsi="Calibri"/>
            <w:sz w:val="24"/>
            <w:szCs w:val="24"/>
            <w:lang w:val="pt-BR"/>
          </w:rPr>
        </w:r>
      </w:ins>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onde: </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i/>
          <w:iCs/>
          <w:sz w:val="24"/>
          <w:szCs w:val="24"/>
          <w:lang w:val="pt-BR"/>
        </w:rPr>
        <w:t>spread</w:t>
      </w:r>
      <w:r>
        <w:rPr>
          <w:rFonts w:cs="Calibri" w:ascii="Calibri" w:hAnsi="Calibri" w:asciiTheme="minorHAnsi" w:cstheme="minorHAnsi" w:hAnsiTheme="minorHAnsi"/>
          <w:sz w:val="24"/>
          <w:szCs w:val="24"/>
          <w:lang w:val="pt-BR"/>
        </w:rPr>
        <w:t xml:space="preserve"> = 2,7000 (dois inteiros e setenta mil décimos de milésimos);</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 = número de dias úteis entre a data do próximo Período de Capitalização e a data do evento anterior, sendo “n” um número inteiro;</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del w:id="27" w:author="Pedro Oliveira" w:date="2021-06-23T15:05:00Z"/>
        </w:rPr>
      </w:pPr>
      <w:del w:id="26" w:author="Pedro Oliveira" w:date="2021-06-23T15:05:00Z">
        <w:r>
          <w:rPr>
            <w:rFonts w:cs="Calibri" w:ascii="Calibri" w:hAnsi="Calibri" w:asciiTheme="minorHAnsi" w:cstheme="minorHAnsi" w:hAnsiTheme="minorHAnsi"/>
            <w:sz w:val="24"/>
            <w:szCs w:val="24"/>
            <w:lang w:val="pt-BR"/>
          </w:rPr>
          <w:delText>[DT = número de dias úteis entre o último e o próximo Período de Capitalização, sendo “DT” um número inteiro;</w:delText>
        </w:r>
      </w:del>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DP = </w:t>
      </w:r>
      <w:ins w:id="28" w:author="Pedro Oliveira" w:date="2021-06-23T15:06:00Z">
        <w:r>
          <w:rPr>
            <w:rFonts w:cs="Calibri" w:ascii="Calibri" w:hAnsi="Calibri" w:asciiTheme="minorHAnsi" w:cstheme="minorHAnsi" w:hAnsiTheme="minorHAnsi"/>
            <w:sz w:val="24"/>
            <w:szCs w:val="24"/>
            <w:lang w:val="pt-BR"/>
          </w:rPr>
          <w:t>número de dias úteis entre a primeira Data de Integralização ou a data de pagamento de Remuneração imediatamente anterior, conforme o caso, e a data de cálculo, sendo "n" um número inteiro</w:t>
        </w:r>
      </w:ins>
      <w:del w:id="29" w:author="Pedro Oliveira" w:date="2021-06-23T15:06:00Z">
        <w:r>
          <w:rPr>
            <w:rFonts w:cs="Calibri" w:ascii="Calibri" w:hAnsi="Calibri" w:asciiTheme="minorHAnsi" w:cstheme="minorHAnsi" w:hAnsiTheme="minorHAnsi"/>
            <w:sz w:val="24"/>
            <w:szCs w:val="24"/>
            <w:lang w:val="pt-BR"/>
          </w:rPr>
          <w:delText>número de dias úteis entre o último Período de Capitalização e a data atual, sendo “DP” um número inteiro</w:delText>
        </w:r>
      </w:del>
      <w:r>
        <w:rPr>
          <w:rFonts w:cs="Calibri" w:ascii="Calibri" w:hAnsi="Calibri" w:asciiTheme="minorHAnsi" w:cstheme="minorHAnsi" w:hAnsiTheme="minorHAnsi"/>
          <w:sz w:val="24"/>
          <w:szCs w:val="24"/>
          <w:lang w:val="pt-BR"/>
        </w:rPr>
        <w:t>.</w:t>
      </w:r>
      <w:del w:id="30" w:author="Pedro Oliveira" w:date="2021-06-23T15:05:00Z">
        <w:r>
          <w:rPr>
            <w:rFonts w:cs="Calibri" w:ascii="Calibri" w:hAnsi="Calibri" w:asciiTheme="minorHAnsi" w:cstheme="minorHAnsi" w:hAnsiTheme="minorHAnsi"/>
            <w:sz w:val="24"/>
            <w:szCs w:val="24"/>
            <w:lang w:val="pt-BR"/>
          </w:rPr>
          <w:delText>] [</w:delText>
        </w:r>
      </w:del>
      <w:del w:id="31" w:author="Pedro Oliveira" w:date="2021-06-23T15:05:00Z">
        <w:r>
          <w:rPr>
            <w:rFonts w:cs="Calibri" w:ascii="Calibri" w:hAnsi="Calibri" w:asciiTheme="minorHAnsi" w:cstheme="minorHAnsi" w:hAnsiTheme="minorHAnsi"/>
            <w:b/>
            <w:bCs/>
            <w:sz w:val="24"/>
            <w:szCs w:val="24"/>
            <w:highlight w:val="yellow"/>
            <w:u w:val="single"/>
            <w:lang w:val="pt-BR"/>
          </w:rPr>
          <w:delText>Nota SF</w:delText>
        </w:r>
      </w:del>
      <w:del w:id="32" w:author="Pedro Oliveira" w:date="2021-06-23T15:05:00Z">
        <w:r>
          <w:rPr>
            <w:rFonts w:cs="Calibri" w:ascii="Calibri" w:hAnsi="Calibri" w:asciiTheme="minorHAnsi" w:cstheme="minorHAnsi" w:hAnsiTheme="minorHAnsi"/>
            <w:sz w:val="24"/>
            <w:szCs w:val="24"/>
            <w:highlight w:val="yellow"/>
            <w:lang w:val="pt-BR"/>
          </w:rPr>
          <w:delText>: Agente Fiduciário/B3, favor confirmar esse DP/DT é realmente necessário</w:delText>
        </w:r>
      </w:del>
      <w:del w:id="33" w:author="Pedro Oliveira" w:date="2021-06-23T15:05:00Z">
        <w:r>
          <w:rPr>
            <w:rFonts w:cs="Calibri" w:ascii="Calibri" w:hAnsi="Calibri" w:asciiTheme="minorHAnsi" w:cstheme="minorHAnsi" w:hAnsiTheme="minorHAnsi"/>
            <w:sz w:val="24"/>
            <w:szCs w:val="24"/>
            <w:lang w:val="pt-BR"/>
          </w:rPr>
          <w:delText>]</w:delText>
        </w:r>
      </w:del>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Efetua-se o produtório dos fatores diários (1 + </w:t>
      </w:r>
      <w:r>
        <w:rPr>
          <w:rFonts w:cs="Calibri" w:ascii="Calibri" w:hAnsi="Calibri" w:asciiTheme="minorHAnsi" w:cstheme="minorHAnsi" w:hAnsiTheme="minorHAnsi"/>
          <w:i/>
          <w:iCs/>
          <w:sz w:val="24"/>
          <w:szCs w:val="24"/>
          <w:lang w:val="pt-BR"/>
        </w:rPr>
        <w:t>TDI</w:t>
      </w:r>
      <w:r>
        <w:rPr>
          <w:rFonts w:cs="Calibri" w:ascii="Calibri" w:hAnsi="Calibri" w:asciiTheme="minorHAnsi" w:cstheme="minorHAnsi" w:hAnsiTheme="minorHAnsi"/>
          <w:i/>
          <w:iCs/>
          <w:sz w:val="24"/>
          <w:szCs w:val="24"/>
          <w:vertAlign w:val="subscript"/>
          <w:lang w:val="pt-BR"/>
        </w:rPr>
        <w:t>k</w:t>
      </w:r>
      <w:r>
        <w:rPr>
          <w:rFonts w:cs="Calibri" w:ascii="Calibri" w:hAnsi="Calibri" w:asciiTheme="minorHAnsi" w:cstheme="minorHAnsi" w:hAnsiTheme="minorHAnsi"/>
          <w:i/>
          <w:iCs/>
          <w:sz w:val="24"/>
          <w:szCs w:val="24"/>
          <w:lang w:val="pt-BR"/>
        </w:rPr>
        <w:t>)</w:t>
      </w:r>
      <w:r>
        <w:rPr>
          <w:rFonts w:cs="Calibri" w:ascii="Calibri" w:hAnsi="Calibri" w:asciiTheme="minorHAnsi" w:cstheme="minorHAnsi" w:hAnsiTheme="minorHAnsi"/>
          <w:sz w:val="24"/>
          <w:szCs w:val="24"/>
          <w:lang w:val="pt-BR"/>
        </w:rPr>
        <w:t>, sendo que a cada fator diário acumulado, trunca-se o resultado com 16 (dezesseis) casas decimais, aplicando-se o próximo fator diário, e assim por diante até o último considerado.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Se os fatores diários estiverem acumulados, considerar-se-á o fator resultante “Fator DI” com 8 (oito) casas decimais, com arredondamento.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fator resultante da expressão (Fator DI x Fator spread) é considerado com 9 (nove) casas decimais, com arredondamento.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Taxa DI deverá ser utilizada considerando idêntico número de casas decimais divulgado pelo órgão responsável pelo seu cálculo.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6" w:name="_Ref69840813"/>
      <w:r>
        <w:rPr>
          <w:rFonts w:cs="Calibri" w:ascii="Calibri" w:hAnsi="Calibri" w:asciiTheme="minorHAnsi" w:cstheme="minorHAnsi" w:hAnsiTheme="minorHAnsi"/>
          <w:sz w:val="24"/>
          <w:szCs w:val="24"/>
          <w:lang w:val="pt-BR"/>
        </w:rPr>
        <w:t xml:space="preserve">Observado o disposto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_Ref62664894 \n \h </w:instrText>
      </w:r>
      <w:r>
        <w:rPr>
          <w:sz w:val="24"/>
          <w:szCs w:val="24"/>
          <w:rFonts w:cs="Calibri" w:ascii="Calibri" w:hAnsi="Calibri"/>
          <w:lang w:val="pt-BR"/>
        </w:rPr>
        <w:fldChar w:fldCharType="separate"/>
      </w:r>
      <w:r>
        <w:rPr>
          <w:sz w:val="24"/>
          <w:szCs w:val="24"/>
          <w:rFonts w:cs="Calibri" w:ascii="Calibri" w:hAnsi="Calibri"/>
          <w:lang w:val="pt-BR"/>
        </w:rPr>
        <w:t>4.11.8</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6"/>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7" w:name="_Ref58678739"/>
      <w:r>
        <w:rPr>
          <w:rFonts w:cs="Calibri" w:ascii="Calibri" w:hAnsi="Calibri" w:asciiTheme="minorHAnsi" w:cstheme="minorHAnsi" w:hAnsiTheme="minorHAnsi"/>
          <w:sz w:val="24"/>
          <w:szCs w:val="24"/>
          <w:lang w:val="pt-BR"/>
        </w:rPr>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_Ref38530179 \n \h </w:instrText>
      </w:r>
      <w:r>
        <w:rPr>
          <w:sz w:val="24"/>
          <w:szCs w:val="24"/>
          <w:rFonts w:cs="Calibri" w:ascii="Calibri" w:hAnsi="Calibri"/>
          <w:lang w:val="pt-BR"/>
        </w:rPr>
        <w:fldChar w:fldCharType="separate"/>
      </w:r>
      <w:r>
        <w:rPr>
          <w:sz w:val="24"/>
          <w:szCs w:val="24"/>
          <w:rFonts w:cs="Calibri" w:ascii="Calibri" w:hAnsi="Calibri"/>
          <w:lang w:val="pt-BR"/>
        </w:rPr>
        <w:t>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90% (noventa por cento) das Debêntures em Circulação, em primeira ou segunda convocação, inclusive se por falta de quórum de instalação, em segunda convocação, e/ou de deliberação,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Pr>
          <w:rFonts w:cs="Calibri" w:ascii="Calibri" w:hAnsi="Calibri" w:asciiTheme="minorHAnsi" w:cstheme="minorHAnsi" w:hAnsiTheme="minorHAnsi"/>
          <w:sz w:val="24"/>
          <w:szCs w:val="24"/>
          <w:lang w:val="pt-BR" w:eastAsia="pt-BR"/>
        </w:rPr>
        <w:t xml:space="preserve"> ou saldo do Valor Nominal Unitário, conforme o caso,</w:t>
      </w:r>
      <w:r>
        <w:rPr>
          <w:rFonts w:cs="Calibri" w:ascii="Calibri" w:hAnsi="Calibri" w:asciiTheme="minorHAnsi" w:cstheme="minorHAnsi" w:hAnsiTheme="minorHAnsi"/>
          <w:sz w:val="24"/>
          <w:szCs w:val="24"/>
          <w:lang w:val="pt-BR"/>
        </w:rPr>
        <w:t xml:space="preserve"> acrescido da Remuneração devida até a data da efetiva aquisição, calculada </w:t>
      </w:r>
      <w:r>
        <w:rPr>
          <w:rFonts w:cs="Calibri" w:ascii="Calibri" w:hAnsi="Calibri" w:asciiTheme="minorHAnsi" w:cstheme="minorHAnsi" w:hAnsiTheme="minorHAnsi"/>
          <w:i/>
          <w:iCs/>
          <w:sz w:val="24"/>
          <w:szCs w:val="24"/>
          <w:lang w:val="pt-BR"/>
        </w:rPr>
        <w:t>pro rata temporis</w:t>
      </w:r>
      <w:r>
        <w:rPr>
          <w:rFonts w:cs="Calibri" w:ascii="Calibri" w:hAnsi="Calibri" w:asciiTheme="minorHAnsi" w:cstheme="minorHAnsi" w:hAnsiTheme="minorHAnsi"/>
          <w:sz w:val="24"/>
          <w:szCs w:val="24"/>
          <w:lang w:val="pt-BR"/>
        </w:rPr>
        <w:t>,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houve ausência de taxas, será utilizada a última Taxa DI divulgada oficialmente.</w:t>
      </w:r>
      <w:bookmarkStart w:id="58" w:name="_Ref62664894"/>
      <w:bookmarkEnd w:id="57"/>
      <w:bookmarkEnd w:id="58"/>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período de capitalização da Remuneração (“</w:t>
      </w:r>
      <w:r>
        <w:rPr>
          <w:rFonts w:cs="Calibri" w:ascii="Calibri" w:hAnsi="Calibri" w:asciiTheme="minorHAnsi" w:cstheme="minorHAnsi" w:hAnsiTheme="minorHAnsi"/>
          <w:b/>
          <w:sz w:val="24"/>
          <w:szCs w:val="24"/>
          <w:lang w:val="pt-BR"/>
        </w:rPr>
        <w:t>Período de Capitalização</w:t>
      </w:r>
      <w:r>
        <w:rPr>
          <w:rFonts w:cs="Calibri" w:ascii="Calibri" w:hAnsi="Calibri" w:asciiTheme="minorHAnsi" w:cstheme="minorHAnsi" w:hAnsiTheme="minorHAnsi"/>
          <w:sz w:val="24"/>
          <w:szCs w:val="24"/>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Os Fiadores, desde já, concordam com o disposto nas Cláusulas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_Ref69840813 \r \h </w:instrText>
      </w:r>
      <w:r>
        <w:rPr>
          <w:sz w:val="24"/>
          <w:szCs w:val="24"/>
          <w:rFonts w:cs="Calibri" w:ascii="Calibri" w:hAnsi="Calibri"/>
          <w:lang w:val="pt-BR"/>
        </w:rPr>
        <w:fldChar w:fldCharType="separate"/>
      </w:r>
      <w:r>
        <w:rPr>
          <w:sz w:val="24"/>
          <w:szCs w:val="24"/>
          <w:rFonts w:cs="Calibri" w:ascii="Calibri" w:hAnsi="Calibri"/>
          <w:lang w:val="pt-BR"/>
        </w:rPr>
        <w:t>4.11.7</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e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_Ref58678739 \r \h </w:instrText>
      </w:r>
      <w:r>
        <w:rPr>
          <w:sz w:val="24"/>
          <w:szCs w:val="24"/>
          <w:rFonts w:cs="Calibri" w:ascii="Calibri" w:hAnsi="Calibri"/>
          <w:lang w:val="pt-BR"/>
        </w:rPr>
        <w:fldChar w:fldCharType="separate"/>
      </w:r>
      <w:r>
        <w:rPr>
          <w:sz w:val="24"/>
          <w:szCs w:val="24"/>
          <w:rFonts w:cs="Calibri" w:ascii="Calibri" w:hAnsi="Calibri"/>
          <w:lang w:val="pt-BR"/>
        </w:rPr>
        <w:t>4.11.8</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declarando que o ali disposto não importará em novação, conforme definida e regulada nos termos do artigo 360 e seguintes da Lei nº 10.406, de 10 de janeiro de 2002, conforme alterada (“</w:t>
      </w:r>
      <w:r>
        <w:rPr>
          <w:rFonts w:cs="Calibri" w:ascii="Calibri" w:hAnsi="Calibri" w:asciiTheme="minorHAnsi" w:cstheme="minorHAnsi" w:hAnsiTheme="minorHAnsi"/>
          <w:b/>
          <w:bCs/>
          <w:sz w:val="24"/>
          <w:szCs w:val="24"/>
          <w:lang w:val="pt-BR"/>
        </w:rPr>
        <w:t>Código Civil</w:t>
      </w:r>
      <w:r>
        <w:rPr>
          <w:rFonts w:cs="Calibri" w:ascii="Calibri" w:hAnsi="Calibri" w:asciiTheme="minorHAnsi" w:cstheme="minorHAnsi" w:hAnsi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 de Emissão.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59" w:name="_Hlk68713572"/>
      <w:r>
        <w:rPr>
          <w:rFonts w:cs="Calibri" w:ascii="Calibri" w:hAnsi="Calibri" w:asciiTheme="minorHAnsi" w:cstheme="minorHAnsi" w:hAnsiTheme="minorHAnsi"/>
          <w:b/>
          <w:sz w:val="24"/>
          <w:szCs w:val="24"/>
          <w:lang w:val="pt-BR"/>
        </w:rPr>
        <w:t>Pagamento da Remuneração</w:t>
      </w:r>
      <w:bookmarkEnd w:id="59"/>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60" w:name="_Hlk68713583"/>
      <w:r>
        <w:rPr>
          <w:rFonts w:cs="Calibri" w:ascii="Calibri" w:hAnsi="Calibri" w:asciiTheme="minorHAnsi" w:cstheme="minorHAnsi" w:hAnsiTheme="minorHAnsi"/>
          <w:sz w:val="24"/>
          <w:szCs w:val="24"/>
          <w:lang w:val="pt-BR"/>
        </w:rPr>
        <w:t>Sem prejuízo dos pagamentos em decorrência de eventual vencimento antecipado das obrigações decorrentes das Debêntures ou do resgate antecipado decorrente de Oferta de Resgate Antecipado, nos termos previstos nesta Escritura de Emissão, a Remuneração será paga semestralmente, a partir da Data de Emissão, sendo o primeiro pagamento devido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e os demais pagamentos devidos sempre no dia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dos meses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cada ano, sendo o último devido na Data de Vencimento (cada uma, uma “</w:t>
      </w:r>
      <w:r>
        <w:rPr>
          <w:rFonts w:cs="Calibri" w:ascii="Calibri" w:hAnsi="Calibri" w:asciiTheme="minorHAnsi" w:cstheme="minorHAnsi" w:hAnsiTheme="minorHAnsi"/>
          <w:b/>
          <w:sz w:val="24"/>
          <w:szCs w:val="24"/>
          <w:lang w:val="pt-BR"/>
        </w:rPr>
        <w:t>Data de Pagamento da Remuneração</w:t>
      </w:r>
      <w:r>
        <w:rPr>
          <w:rFonts w:cs="Calibri" w:ascii="Calibri" w:hAnsi="Calibri" w:asciiTheme="minorHAnsi" w:cstheme="minorHAnsi" w:hAnsiTheme="minorHAnsi"/>
          <w:sz w:val="24"/>
          <w:szCs w:val="24"/>
          <w:lang w:val="pt-BR"/>
        </w:rPr>
        <w:t>”).</w:t>
      </w:r>
      <w:bookmarkEnd w:id="60"/>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61" w:name="_Hlk68713491"/>
      <w:r>
        <w:rPr>
          <w:rFonts w:cs="Calibri" w:ascii="Calibri" w:hAnsi="Calibri" w:asciiTheme="minorHAnsi" w:cstheme="minorHAnsi" w:hAnsiTheme="minorHAnsi"/>
          <w:b/>
          <w:sz w:val="24"/>
          <w:szCs w:val="24"/>
          <w:lang w:val="pt-BR"/>
        </w:rPr>
        <w:t>Amortização do Valor Nominal Unitário</w:t>
      </w:r>
      <w:bookmarkEnd w:id="61"/>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bookmarkStart w:id="62" w:name="_Hlk72584400"/>
      <w:bookmarkStart w:id="63" w:name="_Hlk68713520"/>
      <w:r>
        <w:rPr>
          <w:rFonts w:cs="Calibri" w:ascii="Calibri" w:hAnsi="Calibri" w:asciiTheme="minorHAnsi" w:cstheme="minorHAnsi" w:hAnsiTheme="minorHAnsi"/>
          <w:sz w:val="24"/>
          <w:szCs w:val="24"/>
          <w:lang w:val="pt-BR"/>
        </w:rPr>
        <w:t>O saldo do Valor Nominal Unitário será amortizado em parcelas semestrais consecutivas devidas sempre no dia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dos meses de janeiro e julho de cada ano, sendo que a primeira parcela será devida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janeiro de 2022 e as demais parcelas serão devidas em cada uma das respectivas datas de amortização das Debêntures, de acordo com as datas indicadas na 2ª (segunda) coluna da tabela abaixo (cada data de amortização das Debêntures, uma “</w:t>
      </w:r>
      <w:r>
        <w:rPr>
          <w:rFonts w:cs="Calibri" w:ascii="Calibri" w:hAnsi="Calibri" w:asciiTheme="minorHAnsi" w:cstheme="minorHAnsi" w:hAnsiTheme="minorHAnsi"/>
          <w:b/>
          <w:sz w:val="24"/>
          <w:szCs w:val="24"/>
          <w:lang w:val="pt-BR"/>
        </w:rPr>
        <w:t>Data de Amortização das Debêntures</w:t>
      </w:r>
      <w:r>
        <w:rPr>
          <w:rFonts w:cs="Calibri" w:ascii="Calibri" w:hAnsi="Calibri" w:asciiTheme="minorHAnsi" w:cstheme="minorHAnsi" w:hAnsiTheme="minorHAnsi"/>
          <w:sz w:val="24"/>
          <w:szCs w:val="24"/>
          <w:lang w:val="pt-BR"/>
        </w:rPr>
        <w:t>”)</w:t>
      </w:r>
      <w:bookmarkEnd w:id="63"/>
      <w:r>
        <w:rPr>
          <w:rFonts w:cs="Calibri" w:ascii="Calibri" w:hAnsi="Calibri" w:asciiTheme="minorHAnsi" w:cstheme="minorHAnsi" w:hAnsiTheme="minorHAnsi"/>
          <w:sz w:val="24"/>
          <w:szCs w:val="24"/>
          <w:lang w:val="pt-BR"/>
        </w:rPr>
        <w:t xml:space="preserve"> e percentuais previstos na 3ª (terceira) coluna da tabela a seguir</w:t>
      </w:r>
      <w:bookmarkEnd w:id="62"/>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xml:space="preserve"> Companhia entender que os percentuais parecem não bater com o percentual final. Coordenadores, favor confirmar</w:t>
      </w:r>
      <w:r>
        <w:rPr>
          <w:rFonts w:cs="Calibri" w:ascii="Calibri" w:hAnsi="Calibri" w:asciiTheme="minorHAnsi" w:cstheme="minorHAnsi" w:hAnsiTheme="minorHAnsi"/>
          <w:sz w:val="24"/>
          <w:szCs w:val="24"/>
          <w:lang w:val="pt-BR"/>
        </w:rPr>
        <w:t>]</w:t>
      </w:r>
    </w:p>
    <w:tbl>
      <w:tblPr>
        <w:tblW w:w="7791" w:type="dxa"/>
        <w:jc w:val="left"/>
        <w:tblInd w:w="704" w:type="dxa"/>
        <w:tblCellMar>
          <w:top w:w="0" w:type="dxa"/>
          <w:left w:w="108" w:type="dxa"/>
          <w:bottom w:w="0" w:type="dxa"/>
          <w:right w:w="108" w:type="dxa"/>
        </w:tblCellMar>
        <w:tblLook w:firstRow="0" w:noVBand="0" w:lastRow="0" w:firstColumn="0" w:lastColumn="0" w:noHBand="0" w:val="0000"/>
      </w:tblPr>
      <w:tblGrid>
        <w:gridCol w:w="1035"/>
        <w:gridCol w:w="2735"/>
        <w:gridCol w:w="4021"/>
      </w:tblGrid>
      <w:tr>
        <w:trPr/>
        <w:tc>
          <w:tcPr>
            <w:tcW w:w="1035" w:type="dxa"/>
            <w:tcBorders>
              <w:top w:val="single" w:sz="4" w:space="0" w:color="000000"/>
              <w:left w:val="single" w:sz="4" w:space="0" w:color="000000"/>
              <w:bottom w:val="single" w:sz="4" w:space="0" w:color="000000"/>
              <w:right w:val="single" w:sz="4" w:space="0" w:color="000000"/>
            </w:tcBorders>
            <w:vAlign w:val="bottom"/>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Parcela</w:t>
            </w:r>
          </w:p>
        </w:tc>
        <w:tc>
          <w:tcPr>
            <w:tcW w:w="2735" w:type="dxa"/>
            <w:tcBorders>
              <w:top w:val="single" w:sz="4" w:space="0" w:color="000000"/>
              <w:left w:val="single" w:sz="4" w:space="0" w:color="000000"/>
              <w:bottom w:val="single" w:sz="4" w:space="0" w:color="000000"/>
              <w:right w:val="single" w:sz="4" w:space="0" w:color="000000"/>
            </w:tcBorders>
            <w:vAlign w:val="bottom"/>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Data de Amortização das Debêntures</w:t>
            </w:r>
          </w:p>
        </w:tc>
        <w:tc>
          <w:tcPr>
            <w:tcW w:w="4021" w:type="dxa"/>
            <w:tcBorders>
              <w:top w:val="single" w:sz="4" w:space="0" w:color="000000"/>
              <w:left w:val="single" w:sz="4" w:space="0" w:color="000000"/>
              <w:bottom w:val="single" w:sz="4" w:space="0" w:color="000000"/>
              <w:right w:val="single" w:sz="4" w:space="0" w:color="000000"/>
            </w:tcBorders>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Percentual do saldo do Valor Nominal Unitário a ser amortizado*</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2"/>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w:t>
            </w:r>
            <w:r>
              <w:rPr>
                <w:rFonts w:cs="Calibri" w:ascii="Calibri" w:hAnsi="Calibri" w:asciiTheme="minorHAnsi" w:cstheme="minorHAnsi" w:hAnsiTheme="minorHAnsi"/>
                <w:sz w:val="24"/>
                <w:highlight w:val="yellow"/>
              </w:rPr>
              <w:t>=</w:t>
            </w:r>
            <w:r>
              <w:rPr>
                <w:rFonts w:cs="Calibri" w:ascii="Calibri" w:hAnsi="Calibri" w:asciiTheme="minorHAnsi" w:cstheme="minorHAnsi" w:hAnsiTheme="minorHAnsi"/>
                <w:sz w:val="24"/>
              </w:rPr>
              <w:t>] de julho de 2024</w:t>
            </w:r>
          </w:p>
        </w:tc>
        <w:tc>
          <w:tcPr>
            <w:tcW w:w="4021"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20,0000%</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2"/>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w:t>
            </w:r>
            <w:r>
              <w:rPr>
                <w:rFonts w:cs="Calibri" w:ascii="Calibri" w:hAnsi="Calibri" w:asciiTheme="minorHAnsi" w:cstheme="minorHAnsi" w:hAnsiTheme="minorHAnsi"/>
                <w:sz w:val="24"/>
                <w:highlight w:val="yellow"/>
              </w:rPr>
              <w:t>=</w:t>
            </w:r>
            <w:r>
              <w:rPr>
                <w:rFonts w:cs="Calibri" w:ascii="Calibri" w:hAnsi="Calibri" w:asciiTheme="minorHAnsi" w:cstheme="minorHAnsi" w:hAnsiTheme="minorHAnsi"/>
                <w:sz w:val="24"/>
              </w:rPr>
              <w:t>] de janeiro 2025</w:t>
            </w:r>
          </w:p>
        </w:tc>
        <w:tc>
          <w:tcPr>
            <w:tcW w:w="4021"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25,0000%</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2"/>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color w:val="0D0D0D"/>
                <w:sz w:val="24"/>
              </w:rPr>
            </w:pPr>
            <w:r>
              <w:rPr>
                <w:rFonts w:cs="Calibri" w:ascii="Calibri" w:hAnsi="Calibri" w:asciiTheme="minorHAnsi" w:cstheme="minorHAnsi" w:hAnsiTheme="minorHAnsi"/>
                <w:sz w:val="24"/>
              </w:rPr>
              <w:t>[</w:t>
            </w:r>
            <w:r>
              <w:rPr>
                <w:rFonts w:cs="Calibri" w:ascii="Calibri" w:hAnsi="Calibri" w:asciiTheme="minorHAnsi" w:cstheme="minorHAnsi" w:hAnsiTheme="minorHAnsi"/>
                <w:sz w:val="24"/>
                <w:highlight w:val="yellow"/>
              </w:rPr>
              <w:t>=</w:t>
            </w:r>
            <w:r>
              <w:rPr>
                <w:rFonts w:cs="Calibri" w:ascii="Calibri" w:hAnsi="Calibri" w:asciiTheme="minorHAnsi" w:cstheme="minorHAnsi" w:hAnsiTheme="minorHAnsi"/>
                <w:sz w:val="24"/>
              </w:rPr>
              <w:t>] de julho de 2025</w:t>
            </w:r>
          </w:p>
        </w:tc>
        <w:tc>
          <w:tcPr>
            <w:tcW w:w="4021"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33,3333%</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2"/>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color w:val="0D0D0D"/>
                <w:sz w:val="24"/>
              </w:rPr>
            </w:pPr>
            <w:r>
              <w:rPr>
                <w:rFonts w:cs="Calibri" w:ascii="Calibri" w:hAnsi="Calibri" w:asciiTheme="minorHAnsi" w:cstheme="minorHAnsi" w:hAnsiTheme="minorHAnsi"/>
                <w:sz w:val="24"/>
              </w:rPr>
              <w:t>[</w:t>
            </w:r>
            <w:r>
              <w:rPr>
                <w:rFonts w:cs="Calibri" w:ascii="Calibri" w:hAnsi="Calibri" w:asciiTheme="minorHAnsi" w:cstheme="minorHAnsi" w:hAnsiTheme="minorHAnsi"/>
                <w:sz w:val="24"/>
                <w:highlight w:val="yellow"/>
              </w:rPr>
              <w:t>=</w:t>
            </w:r>
            <w:r>
              <w:rPr>
                <w:rFonts w:cs="Calibri" w:ascii="Calibri" w:hAnsi="Calibri" w:asciiTheme="minorHAnsi" w:cstheme="minorHAnsi" w:hAnsiTheme="minorHAnsi"/>
                <w:sz w:val="24"/>
              </w:rPr>
              <w:t>]de janeiro de 2026</w:t>
            </w:r>
          </w:p>
        </w:tc>
        <w:tc>
          <w:tcPr>
            <w:tcW w:w="4021"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50,0000%</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2"/>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color w:val="0D0D0D"/>
                <w:sz w:val="24"/>
              </w:rPr>
            </w:pPr>
            <w:r>
              <w:rPr>
                <w:rFonts w:cs="Calibri" w:ascii="Calibri" w:hAnsi="Calibri" w:asciiTheme="minorHAnsi" w:cstheme="minorHAnsi" w:hAnsiTheme="minorHAnsi"/>
                <w:color w:val="0D0D0D"/>
                <w:sz w:val="24"/>
              </w:rPr>
              <w:t>Data de Vencimento</w:t>
            </w:r>
          </w:p>
        </w:tc>
        <w:tc>
          <w:tcPr>
            <w:tcW w:w="4021" w:type="dxa"/>
            <w:tcBorders>
              <w:top w:val="single" w:sz="4" w:space="0" w:color="000000"/>
              <w:left w:val="single" w:sz="4" w:space="0" w:color="000000"/>
              <w:bottom w:val="single" w:sz="4" w:space="0" w:color="000000"/>
              <w:right w:val="single" w:sz="4" w:space="0" w:color="000000"/>
            </w:tcBorders>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100,0000%</w:t>
            </w:r>
          </w:p>
        </w:tc>
      </w:tr>
      <w:tr>
        <w:trPr/>
        <w:tc>
          <w:tcPr>
            <w:tcW w:w="7791" w:type="dxa"/>
            <w:gridSpan w:val="3"/>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rPr>
                <w:rFonts w:ascii="Calibri" w:hAnsi="Calibri" w:cs="Calibri" w:asciiTheme="minorHAnsi" w:cstheme="minorHAnsi" w:hAnsiTheme="minorHAnsi"/>
                <w:sz w:val="24"/>
              </w:rPr>
            </w:pPr>
            <w:r>
              <w:rPr>
                <w:rFonts w:cs="Calibri" w:ascii="Calibri" w:hAnsi="Calibri" w:asciiTheme="minorHAnsi" w:cstheme="minorHAnsi" w:hAnsiTheme="minorHAnsi"/>
                <w:sz w:val="24"/>
              </w:rPr>
              <w:t xml:space="preserve">* Percentuais destinados ao cálculo e ao pagamento das parcelas de amortização que deverão ser registrados nos sistemas administrados pela B3. </w:t>
            </w:r>
            <w:bookmarkStart w:id="64" w:name="_Hlk70688293"/>
            <w:bookmarkEnd w:id="64"/>
          </w:p>
        </w:tc>
      </w:tr>
    </w:tbl>
    <w:p>
      <w:pPr>
        <w:pStyle w:val="Level3"/>
        <w:numPr>
          <w:ilvl w:val="0"/>
          <w:numId w:val="0"/>
        </w:numPr>
        <w:tabs>
          <w:tab w:val="clear" w:pos="709"/>
          <w:tab w:val="left" w:pos="1560" w:leader="none"/>
        </w:tabs>
        <w:spacing w:lineRule="exact" w:line="340" w:before="0" w:after="0"/>
        <w:ind w:left="709" w:hanging="0"/>
        <w:rPr>
          <w:rFonts w:ascii="Calibri" w:hAnsi="Calibri" w:cs="Calibri" w:asciiTheme="minorHAnsi" w:cstheme="minorHAnsi" w:hAnsiTheme="minorHAnsi"/>
          <w:b/>
          <w:b/>
          <w:sz w:val="24"/>
          <w:szCs w:val="24"/>
          <w:lang w:val="pt-BR"/>
        </w:rPr>
      </w:pPr>
      <w:r>
        <w:rPr>
          <w:rFonts w:cs="Calibri" w:cstheme="minorHAnsi" w:ascii="Calibri" w:hAnsi="Calibri"/>
          <w:b/>
          <w:sz w:val="24"/>
          <w:szCs w:val="24"/>
          <w:lang w:val="pt-BR"/>
        </w:rPr>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Local de Pagamento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65" w:name="_Hlk68713427"/>
      <w:r>
        <w:rPr>
          <w:rFonts w:cs="Calibri" w:ascii="Calibri" w:hAnsi="Calibri" w:asciiTheme="minorHAnsi" w:cstheme="minorHAnsi" w:hAnsiTheme="minorHAnsi"/>
          <w:sz w:val="24"/>
          <w:szCs w:val="24"/>
          <w:lang w:val="pt-BR"/>
        </w:rPr>
        <w:t xml:space="preserve">Os pagamentos a que fizerem jus as Debêntures serão efetuados pela Emissora no dia do seu respectivo vencimento utilizando-se, conforme o caso: (a) os procedimentos adotados pela B3 para as Debêntures nela custodiadas eletronicamente; e/ou (b) os procedimentos adotados pelo Escriturador para as Debêntures que não estejam custodiadas </w:t>
      </w:r>
      <w:r>
        <w:rPr>
          <w:rFonts w:eastAsia="TT108t00" w:cs="Calibri" w:ascii="Calibri" w:hAnsi="Calibri" w:asciiTheme="minorHAnsi" w:cstheme="minorHAnsi" w:hAnsiTheme="minorHAnsi"/>
          <w:sz w:val="24"/>
          <w:szCs w:val="24"/>
          <w:lang w:val="pt-BR"/>
        </w:rPr>
        <w:t>eletronicamente na B3</w:t>
      </w:r>
      <w:r>
        <w:rPr>
          <w:rFonts w:cs="Calibri" w:ascii="Calibri" w:hAnsi="Calibri" w:asciiTheme="minorHAnsi" w:cstheme="minorHAnsi" w:hAnsiTheme="minorHAnsi"/>
          <w:sz w:val="24"/>
          <w:szCs w:val="24"/>
          <w:lang w:val="pt-BR"/>
        </w:rPr>
        <w:t>.</w:t>
      </w:r>
      <w:bookmarkEnd w:id="65"/>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Prorrogação dos Prazos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Considerar-se-ão prorrogados os prazos referentes ao pagamento de qualquer obrigação prevista nesta Escritura de Emissão até o 1º (primeiro) Dia Útil subsequente se a data de vencimento da respectiva obrigação coincidir com data que não seja considerada um Dia Útil, nos termos da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_Ref38531400 \r \h </w:instrText>
      </w:r>
      <w:r>
        <w:rPr>
          <w:sz w:val="24"/>
          <w:szCs w:val="24"/>
          <w:rFonts w:cs="Calibri" w:ascii="Calibri" w:hAnsi="Calibri"/>
          <w:lang w:val="pt-BR"/>
        </w:rPr>
        <w:fldChar w:fldCharType="separate"/>
      </w:r>
      <w:r>
        <w:rPr>
          <w:sz w:val="24"/>
          <w:szCs w:val="24"/>
          <w:rFonts w:cs="Calibri" w:ascii="Calibri" w:hAnsi="Calibri"/>
          <w:lang w:val="pt-BR"/>
        </w:rPr>
        <w:t>4.15.2</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sem qualquer acréscimo aos valores a serem pagos.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66" w:name="_Ref38531400"/>
      <w:r>
        <w:rPr>
          <w:rFonts w:cs="Calibri" w:ascii="Calibri" w:hAnsi="Calibri" w:asciiTheme="minorHAnsi" w:cstheme="minorHAnsi" w:hAnsiTheme="minorHAnsi"/>
          <w:sz w:val="24"/>
          <w:szCs w:val="24"/>
          <w:lang w:val="pt-BR"/>
        </w:rPr>
        <w:t>Para fins da Emissão, “</w:t>
      </w:r>
      <w:r>
        <w:rPr>
          <w:rFonts w:cs="Calibri" w:ascii="Calibri" w:hAnsi="Calibri" w:asciiTheme="minorHAnsi" w:cstheme="minorHAnsi" w:hAnsiTheme="minorHAnsi"/>
          <w:b/>
          <w:sz w:val="24"/>
          <w:szCs w:val="24"/>
          <w:lang w:val="pt-BR"/>
        </w:rPr>
        <w:t>Dia Útil</w:t>
      </w:r>
      <w:r>
        <w:rPr>
          <w:rFonts w:cs="Calibri" w:ascii="Calibri" w:hAnsi="Calibri" w:asciiTheme="minorHAnsi" w:cstheme="minorHAnsi" w:hAnsiTheme="minorHAnsi"/>
          <w:sz w:val="24"/>
          <w:szCs w:val="24"/>
          <w:lang w:val="pt-BR"/>
        </w:rPr>
        <w:t>”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Campinas, Estado</w:t>
      </w:r>
      <w:bookmarkEnd w:id="66"/>
      <w:r>
        <w:rPr>
          <w:rFonts w:cs="Calibri" w:ascii="Calibri" w:hAnsi="Calibri" w:asciiTheme="minorHAnsi" w:cstheme="minorHAnsi" w:hAnsiTheme="minorHAnsi"/>
          <w:sz w:val="24"/>
          <w:szCs w:val="24"/>
          <w:lang w:val="pt-BR"/>
        </w:rPr>
        <w:t xml:space="preserve"> de São Paulo.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67" w:name="_Ref43109994"/>
      <w:r>
        <w:rPr>
          <w:rFonts w:cs="Calibri" w:ascii="Calibri" w:hAnsi="Calibri" w:asciiTheme="minorHAnsi" w:cstheme="minorHAnsi" w:hAnsiTheme="minorHAnsi"/>
          <w:b/>
          <w:sz w:val="24"/>
          <w:szCs w:val="24"/>
          <w:lang w:val="pt-BR"/>
        </w:rPr>
        <w:t>Encargos Moratórios</w:t>
      </w:r>
      <w:bookmarkEnd w:id="67"/>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bookmarkStart w:id="68" w:name="_Hlk68713445"/>
      <w:r>
        <w:rPr>
          <w:rFonts w:cs="Calibri" w:ascii="Calibri" w:hAnsi="Calibri" w:asciiTheme="minorHAnsi" w:cstheme="minorHAnsi" w:hAnsiTheme="minorHAnsi"/>
          <w:sz w:val="24"/>
          <w:szCs w:val="24"/>
          <w:lang w:val="pt-BR"/>
        </w:rPr>
        <w:t xml:space="preserve">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Pr>
          <w:rFonts w:cs="Calibri" w:ascii="Calibri" w:hAnsi="Calibri" w:asciiTheme="minorHAnsi" w:cstheme="minorHAnsi" w:hAnsiTheme="minorHAnsi"/>
          <w:i/>
          <w:sz w:val="24"/>
          <w:szCs w:val="24"/>
          <w:lang w:val="pt-BR"/>
        </w:rPr>
        <w:t>pro rata temporis</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sz w:val="24"/>
          <w:szCs w:val="24"/>
          <w:lang w:val="pt-BR"/>
        </w:rPr>
        <w:t>Encargos Moratórios</w:t>
      </w:r>
      <w:r>
        <w:rPr>
          <w:rFonts w:cs="Calibri" w:ascii="Calibri" w:hAnsi="Calibri" w:asciiTheme="minorHAnsi" w:cstheme="minorHAnsi" w:hAnsiTheme="minorHAnsi"/>
          <w:sz w:val="24"/>
          <w:szCs w:val="24"/>
          <w:lang w:val="pt-BR"/>
        </w:rPr>
        <w:t>”).</w:t>
      </w:r>
      <w:bookmarkEnd w:id="68"/>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Decadência dos Direitos aos Acréscimos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Sem prejuízo do disposto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_Ref43109994 \r \h </w:instrText>
      </w:r>
      <w:r>
        <w:rPr>
          <w:sz w:val="24"/>
          <w:szCs w:val="24"/>
          <w:rFonts w:cs="Calibri" w:ascii="Calibri" w:hAnsi="Calibri"/>
          <w:lang w:val="pt-BR"/>
        </w:rPr>
        <w:fldChar w:fldCharType="separate"/>
      </w:r>
      <w:r>
        <w:rPr>
          <w:sz w:val="24"/>
          <w:szCs w:val="24"/>
          <w:rFonts w:cs="Calibri" w:ascii="Calibri" w:hAnsi="Calibri"/>
          <w:lang w:val="pt-BR"/>
        </w:rPr>
        <w:t>4.16</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Repactuação Programada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Debêntures não serão objeto de repactuação programada.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69" w:name="_Ref420336525"/>
      <w:r>
        <w:rPr>
          <w:rFonts w:cs="Calibri" w:ascii="Calibri" w:hAnsi="Calibri" w:asciiTheme="minorHAnsi" w:cstheme="minorHAnsi" w:hAnsiTheme="minorHAnsi"/>
          <w:b/>
          <w:sz w:val="24"/>
          <w:szCs w:val="24"/>
          <w:lang w:val="pt-BR"/>
        </w:rPr>
        <w:t>Publicidade</w:t>
      </w:r>
      <w:bookmarkEnd w:id="69"/>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70" w:name="_Ref38531426"/>
      <w:r>
        <w:rPr>
          <w:rFonts w:cs="Calibri" w:ascii="Calibri" w:hAnsi="Calibri" w:asciiTheme="minorHAnsi" w:cstheme="minorHAnsi" w:hAnsiTheme="minorHAnsi"/>
          <w:sz w:val="24"/>
          <w:szCs w:val="24"/>
          <w:lang w:val="pt-BR"/>
        </w:rPr>
        <w:t>Todos os atos e decisões decorrentes da Emissão que, de qualquer forma, vierem a envolver interesses dos Debenturistas, deverão ser obrigatoriamente comunicados na forma de avisos nos Jornais de Publicação da Emissora (“</w:t>
      </w:r>
      <w:r>
        <w:rPr>
          <w:rFonts w:cs="Calibri" w:ascii="Calibri" w:hAnsi="Calibri" w:asciiTheme="minorHAnsi" w:cstheme="minorHAnsi" w:hAnsiTheme="minorHAnsi"/>
          <w:b/>
          <w:sz w:val="24"/>
          <w:szCs w:val="24"/>
          <w:lang w:val="pt-BR"/>
        </w:rPr>
        <w:t>Avisos aos Debenturistas</w:t>
      </w:r>
      <w:r>
        <w:rPr>
          <w:rFonts w:cs="Calibri" w:ascii="Calibri" w:hAnsi="Calibri" w:asciiTheme="minorHAnsi" w:cstheme="minorHAnsi" w:hAnsiTheme="minorHAnsi"/>
          <w:sz w:val="24"/>
          <w:szCs w:val="24"/>
          <w:lang w:val="pt-BR"/>
        </w:rPr>
        <w:t>”), bem como na página da Emissora na Internet</w:t>
      </w:r>
      <w:r>
        <w:rPr>
          <w:rFonts w:cs="Calibri" w:ascii="Calibri" w:hAnsi="Calibri" w:asciiTheme="minorHAnsi" w:cstheme="minorHAnsi" w:hAnsiTheme="minorHAnsi"/>
          <w:i/>
          <w:sz w:val="24"/>
          <w:szCs w:val="24"/>
          <w:lang w:val="pt-BR"/>
        </w:rPr>
        <w:t xml:space="preserve"> </w:t>
      </w:r>
      <w:r>
        <w:rPr>
          <w:rFonts w:cs="Calibri" w:ascii="Calibri" w:hAnsi="Calibri" w:asciiTheme="minorHAnsi" w:cstheme="minorHAnsi" w:hAnsiTheme="minorHAnsi"/>
          <w:sz w:val="24"/>
          <w:szCs w:val="24"/>
          <w:lang w:val="pt-BR"/>
        </w:rPr>
        <w:t>(ri.hospitalcare.com.br)</w:t>
      </w:r>
      <w:r>
        <w:rPr>
          <w:rFonts w:cs="Calibri" w:ascii="Calibri" w:hAnsi="Calibri" w:asciiTheme="minorHAnsi" w:cstheme="minorHAnsi" w:hAnsiTheme="minorHAnsi"/>
          <w:iCs/>
          <w:sz w:val="24"/>
          <w:szCs w:val="24"/>
          <w:lang w:val="pt-BR"/>
        </w:rPr>
        <w:t xml:space="preserve">, </w:t>
      </w:r>
      <w:r>
        <w:rPr>
          <w:rFonts w:cs="Calibri" w:ascii="Calibri" w:hAnsi="Calibri" w:asciiTheme="minorHAnsi" w:cstheme="minorHAnsi" w:hAnsiTheme="minorHAnsi"/>
          <w:sz w:val="24"/>
          <w:szCs w:val="24"/>
          <w:lang w:val="pt-BR"/>
        </w:rPr>
        <w:t>observado o estabelecido no artigo 289 da Lei das Sociedades por Ações, as limitações impostas pela Instrução CVM 476 em relação à publicidade da Oferta Restrita e os prazos legais, devendo a Emissora comunicar o Agente Fiduciário e a B3 a respeito de qualquer publicação na data da sua realização, sendo certo que, caso a Emissora altere os Jornais de Publicação da Emissora após a Data de Emissão, deverá enviar notificação ao Agente Fiduciário informando o novo veículo para divulgação de suas informações.</w:t>
      </w:r>
      <w:bookmarkEnd w:id="70"/>
      <w:r>
        <w:rPr>
          <w:rFonts w:cs="Calibri" w:ascii="Calibri" w:hAnsi="Calibri" w:asciiTheme="minorHAnsi" w:cstheme="minorHAnsi" w:hAnsiTheme="minorHAnsi"/>
          <w:sz w:val="24"/>
          <w:szCs w:val="24"/>
          <w:lang w:val="pt-BR"/>
        </w:rPr>
        <w:t xml:space="preserve"> </w:t>
      </w:r>
      <w:bookmarkStart w:id="71" w:name="_Ref492277179"/>
      <w:bookmarkStart w:id="72" w:name="_Ref22827227"/>
      <w:bookmarkEnd w:id="71"/>
      <w:bookmarkEnd w:id="72"/>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Imunidade de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Direito de Preferência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haverá direito de preferência dos atuais acionistas da Emissora na subscrição das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Garantia Fidejussória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bookmarkStart w:id="73" w:name="_Ref244087124"/>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por este ato e na melhor forma de direito, </w:t>
      </w:r>
      <w:bookmarkStart w:id="74" w:name="_Hlk72586840"/>
      <w:r>
        <w:rPr>
          <w:rFonts w:cs="Calibri" w:ascii="Calibri" w:hAnsi="Calibri" w:asciiTheme="minorHAnsi" w:cstheme="minorHAnsi" w:hAnsiTheme="minorHAnsi"/>
          <w:w w:val="100"/>
          <w:sz w:val="24"/>
          <w:szCs w:val="24"/>
          <w:lang w:val="pt-BR"/>
        </w:rPr>
        <w:t>prestam fiança em favor dos Debenturistas, representados pelo Agente Fiduciário, em conformidade com o artigo 818 do Código Civil, independentemente das outras garantias constituídas no âmbito da Emissão</w:t>
      </w:r>
      <w:bookmarkStart w:id="75" w:name="_Hlk71626047"/>
      <w:r>
        <w:rPr>
          <w:rFonts w:cs="Calibri" w:ascii="Calibri" w:hAnsi="Calibri" w:asciiTheme="minorHAnsi" w:cstheme="minorHAnsi" w:hAnsiTheme="minorHAnsi"/>
          <w:w w:val="100"/>
          <w:sz w:val="24"/>
          <w:szCs w:val="24"/>
          <w:lang w:val="pt-BR"/>
        </w:rPr>
        <w:t>, obrigando-se solidariamente entre si e com a Emissora, em caráter irrevogável e irretratável, como fiadores, co-devedores solidários e principais pagadores responsáveis pelo 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Pr>
          <w:rFonts w:cs="Calibri" w:ascii="Calibri" w:hAnsi="Calibri" w:asciiTheme="minorHAnsi" w:cstheme="minorHAnsi" w:hAnsiTheme="minorHAnsi"/>
          <w:b/>
          <w:bCs/>
          <w:w w:val="100"/>
          <w:sz w:val="24"/>
          <w:szCs w:val="24"/>
          <w:lang w:val="pt-BR"/>
        </w:rPr>
        <w:t>Obrigações Garantidas</w:t>
      </w:r>
      <w:r>
        <w:rPr>
          <w:rFonts w:cs="Calibri" w:ascii="Calibri" w:hAnsi="Calibri" w:asciiTheme="minorHAnsi" w:cstheme="minorHAnsi" w:hAnsiTheme="minorHAnsi"/>
          <w:w w:val="100"/>
          <w:sz w:val="24"/>
          <w:szCs w:val="24"/>
          <w:lang w:val="pt-BR"/>
        </w:rPr>
        <w:t>” e</w:t>
      </w:r>
      <w:bookmarkEnd w:id="75"/>
      <w:r>
        <w:rPr>
          <w:rFonts w:cs="Calibri" w:ascii="Calibri" w:hAnsi="Calibri" w:asciiTheme="minorHAnsi" w:cstheme="minorHAnsi" w:hAnsiTheme="minorHAnsi"/>
          <w:w w:val="100"/>
          <w:sz w:val="24"/>
          <w:szCs w:val="24"/>
          <w:lang w:val="pt-BR"/>
        </w:rPr>
        <w:t xml:space="preserve"> “</w:t>
      </w:r>
      <w:r>
        <w:rPr>
          <w:rFonts w:cs="Calibri" w:ascii="Calibri" w:hAnsi="Calibri" w:asciiTheme="minorHAnsi" w:cstheme="minorHAnsi" w:hAnsiTheme="minorHAnsi"/>
          <w:b/>
          <w:bCs/>
          <w:w w:val="100"/>
          <w:sz w:val="24"/>
          <w:szCs w:val="24"/>
          <w:lang w:val="pt-BR"/>
        </w:rPr>
        <w:t>Fiança</w:t>
      </w:r>
      <w:r>
        <w:rPr>
          <w:rFonts w:cs="Calibri" w:ascii="Calibri" w:hAnsi="Calibri" w:asciiTheme="minorHAnsi" w:cstheme="minorHAnsi" w:hAnsiTheme="minorHAnsi"/>
          <w:w w:val="100"/>
          <w:sz w:val="24"/>
          <w:szCs w:val="24"/>
          <w:lang w:val="pt-BR"/>
        </w:rPr>
        <w:t>”)</w:t>
      </w:r>
      <w:bookmarkEnd w:id="74"/>
      <w:r>
        <w:rPr>
          <w:rFonts w:cs="Calibri" w:ascii="Calibri" w:hAnsi="Calibri" w:asciiTheme="minorHAnsi" w:cstheme="minorHAnsi" w:hAnsiTheme="minorHAnsi"/>
          <w:w w:val="100"/>
          <w:sz w:val="24"/>
          <w:szCs w:val="24"/>
          <w:lang w:val="pt-BR"/>
        </w:rPr>
        <w:t>.</w:t>
      </w:r>
      <w:bookmarkEnd w:id="73"/>
      <w:r>
        <w:rPr>
          <w:rFonts w:cs="Calibri" w:ascii="Calibri" w:hAnsi="Calibri" w:asciiTheme="minorHAnsi" w:cstheme="minorHAnsi" w:hAnsiTheme="minorHAnsi"/>
          <w:w w:val="100"/>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sz w:val="24"/>
          <w:szCs w:val="24"/>
          <w:lang w:val="pt-BR"/>
        </w:rPr>
        <w:t>Todo</w:t>
      </w:r>
      <w:r>
        <w:rPr>
          <w:rFonts w:cs="Calibri" w:ascii="Calibri" w:hAnsi="Calibri" w:asciiTheme="minorHAnsi" w:cstheme="minorHAnsi" w:hAnsiTheme="minorHAnsi"/>
          <w:w w:val="100"/>
          <w:sz w:val="24"/>
          <w:szCs w:val="24"/>
          <w:lang w:val="pt-BR"/>
        </w:rPr>
        <w:t xml:space="preserve">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se obrigam, independentemente de qualquer pretensão, ação, disputa ou reclamação que a Emissora venha a ter ou exercer em relação às suas obrigações, a pagar qualquer valor devido pela Emissora nos termos da presente Escritura de Emissão, incluindo, mas não se limitando, às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de Emissão, fora do âmbito B3.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Os Fiadores expressamente renunciam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cs="Calibri" w:ascii="Calibri" w:hAnsi="Calibri" w:asciiTheme="minorHAnsi" w:cstheme="minorHAnsi" w:hAnsiTheme="minorHAnsi"/>
          <w:b/>
          <w:bCs/>
          <w:w w:val="100"/>
          <w:sz w:val="24"/>
          <w:szCs w:val="24"/>
          <w:lang w:val="pt-BR"/>
        </w:rPr>
        <w:t>Código de Processo Civil</w:t>
      </w:r>
      <w:r>
        <w:rPr>
          <w:rFonts w:cs="Calibri" w:ascii="Calibri" w:hAnsi="Calibri" w:asciiTheme="minorHAnsi" w:cstheme="minorHAnsi" w:hAnsiTheme="minorHAnsi"/>
          <w:w w:val="100"/>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sub-rogar-se-ão nos direitos dos Debenturistas caso venham a honrar, total ou parcialmente, a Fiança, observado o limite da parcela da dívida efetivamente honrada.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Os Fiadores, individual e conjuntamente, desde já, concordam e se obrigam a, somente após a integral liquidação de todos os valores devidos aos Debenturistas e ao Agente Fiduciário nos termos desta Escritura de Emissão, exigir e/ou demandar a Emissora ou os demais Fiadores, conforme o caso, em decorrência de qualquer valor que tiverem honrado nos termos desta Escritura de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concordam e se obrigam a, caso recebam qualquer valor da Emissora em decorrência de qualquer valor que tiverem honrado nos termos das Debêntures e/ou desta Escritura de Emissão antes da integral quitação de todas as Obrigações Garantidas, repassar, no prazo de 1 (um) Dia Útil contado da data de seu recebimento, tal valor ao Agente Fiduciário, para pagamento aos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Em </w:t>
      </w:r>
      <w:r>
        <w:rPr>
          <w:rFonts w:cs="Calibri" w:ascii="Calibri" w:hAnsi="Calibri" w:asciiTheme="minorHAnsi" w:cstheme="minorHAnsi" w:hAnsiTheme="minorHAnsi"/>
          <w:sz w:val="24"/>
          <w:szCs w:val="24"/>
          <w:lang w:val="pt-BR"/>
        </w:rPr>
        <w:t>hipótese</w:t>
      </w:r>
      <w:r>
        <w:rPr>
          <w:rFonts w:cs="Calibri" w:ascii="Calibri" w:hAnsi="Calibri" w:asciiTheme="minorHAnsi" w:cstheme="minorHAnsi" w:hAnsiTheme="minorHAnsi"/>
          <w:w w:val="100"/>
          <w:sz w:val="24"/>
          <w:szCs w:val="24"/>
          <w:lang w:val="pt-BR"/>
        </w:rPr>
        <w:t xml:space="preserve"> alguma, eventual discussão judicial entre os Fiadores e os Debenturistas implicará em atraso ou suspensão de cumprimento das obrigações assumidas pela Emissora e pelos Fiadores.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sz w:val="24"/>
          <w:szCs w:val="24"/>
          <w:lang w:val="pt-BR"/>
        </w:rPr>
        <w:t>Nenhuma</w:t>
      </w:r>
      <w:r>
        <w:rPr>
          <w:rFonts w:cs="Calibri" w:ascii="Calibri" w:hAnsi="Calibri" w:asciiTheme="minorHAnsi" w:cstheme="minorHAnsi" w:hAnsiTheme="minorHAnsi"/>
          <w:w w:val="100"/>
          <w:sz w:val="24"/>
          <w:szCs w:val="24"/>
          <w:lang w:val="pt-BR"/>
        </w:rPr>
        <w:t xml:space="preserve"> objeção ou oposição da Emissora poderá, ainda, ser admitida ou invocada pelos Fiadores com o intuito de escusar-se do cumprimento de suas obrigações perante os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A </w:t>
      </w:r>
      <w:r>
        <w:rPr>
          <w:rFonts w:cs="Calibri" w:ascii="Calibri" w:hAnsi="Calibri" w:asciiTheme="minorHAnsi" w:cstheme="minorHAnsi" w:hAnsiTheme="minorHAnsi"/>
          <w:sz w:val="24"/>
          <w:szCs w:val="24"/>
          <w:lang w:val="pt-BR"/>
        </w:rPr>
        <w:t>Fiança</w:t>
      </w:r>
      <w:r>
        <w:rPr>
          <w:rFonts w:cs="Calibri" w:ascii="Calibri" w:hAnsi="Calibri" w:asciiTheme="minorHAnsi" w:cstheme="minorHAnsi" w:hAnsiTheme="minorHAnsi"/>
          <w:w w:val="10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sz w:val="24"/>
          <w:szCs w:val="24"/>
          <w:lang w:val="pt-BR"/>
        </w:rPr>
        <w:t>Cabe</w:t>
      </w:r>
      <w:r>
        <w:rPr>
          <w:rFonts w:cs="Calibri" w:ascii="Calibri" w:hAnsi="Calibri" w:asciiTheme="minorHAnsi" w:cstheme="minorHAnsi" w:hAnsiTheme="minorHAnsi"/>
          <w:w w:val="100"/>
          <w:sz w:val="24"/>
          <w:szCs w:val="24"/>
          <w:lang w:val="pt-BR"/>
        </w:rPr>
        <w:t xml:space="preserve"> ao Agente Fiduciário requerer a execução, judicial ou extrajudicial, da Fiança, conforme função que lhe é atribuída nesta Escritura de Emissão, uma vez verificada qualquer hipótese de insuficiência de pagamento das Obrigações Garantidas.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Fiança poderá ser excutida e exigida pelo Agente Fiduciário quantas vezes forem necessárias até a integral e efetiva liquidação de todas as Obrigações Garantidas.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A Fiança permanecerá válida e plenamente eficaz em caso de aditamentos, alterações e quaisquer outras modificações nesta Escritura de Emissão e nos demais documentos da Oferta.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Com base nas demonstrações financeiras referentes ao [exercício social encerrado em 31 de dezembro de 2020], o patrimônio líquido: (i) do Hospital Vera Cruz é de R$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reais); (ii) do Hospital São Lucas é de R$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reais); e (iii) do São Lucas Ribeirânia é de R$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xml:space="preserve">] reais).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Aditamento à Presente Escritura de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Ressalvados os aditamentos previstos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_Ref38530154 \r \h </w:instrText>
      </w:r>
      <w:r>
        <w:rPr>
          <w:sz w:val="24"/>
          <w:szCs w:val="24"/>
          <w:rFonts w:cs="Calibri" w:ascii="Calibri" w:hAnsi="Calibri"/>
          <w:lang w:val="pt-BR"/>
        </w:rPr>
        <w:fldChar w:fldCharType="separate"/>
      </w:r>
      <w:r>
        <w:rPr>
          <w:sz w:val="24"/>
          <w:szCs w:val="24"/>
          <w:rFonts w:cs="Calibri" w:ascii="Calibri" w:hAnsi="Calibri"/>
          <w:lang w:val="pt-BR"/>
        </w:rPr>
        <w:t>11.9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desta Escritura de Emissão, quaisquer aditamentos a esta Escritura de Emissão deverão ser firmados pela Emissora, pelos Fiadores e pelo Agente Fiduciário após aprovação em Assembleia Geral de Debenturistas, conforme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_Ref38530179 \r \h </w:instrText>
      </w:r>
      <w:r>
        <w:rPr>
          <w:sz w:val="24"/>
          <w:szCs w:val="24"/>
          <w:rFonts w:cs="Calibri" w:ascii="Calibri" w:hAnsi="Calibri"/>
          <w:lang w:val="pt-BR"/>
        </w:rPr>
        <w:fldChar w:fldCharType="separate"/>
      </w:r>
      <w:r>
        <w:rPr>
          <w:sz w:val="24"/>
          <w:szCs w:val="24"/>
          <w:rFonts w:cs="Calibri" w:ascii="Calibri" w:hAnsi="Calibri"/>
          <w:lang w:val="pt-BR"/>
        </w:rPr>
        <w:t>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e posteriormente arquivados na JUCESP e nos RTDs.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Fundo de Liquidez e Estabilização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será constituído fundo de manutenção de liquidez ou firmado contrato de garantia de liquidez ou estabilização de preços para 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Fundo de Amortização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será constituído fundo de amortização para a presente Emissão.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Formador de Mercado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será contratado formador de mercado para a presente Emissão.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bCs/>
          <w:sz w:val="24"/>
          <w:szCs w:val="24"/>
          <w:lang w:val="pt-BR"/>
        </w:rPr>
        <w:t>Classificação de Risco</w:t>
      </w:r>
    </w:p>
    <w:p>
      <w:pPr>
        <w:pStyle w:val="Level3"/>
        <w:numPr>
          <w:ilvl w:val="2"/>
          <w:numId w:val="5"/>
        </w:numPr>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será contratada agência de classificação de risco no âmbito da Oferta Restrita para atribuir rating às Debêntures.</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RESGATE ANTECIPADO FACULTATIVO, OFERTA DE RESGATE ANTECIPADO, AMORTIZAÇÃO EXTRAORDINÁRIA E AQUISIÇÃO FACULTATIVA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Resgate Antecipado Facultativo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será admitida a realização de resgate antecipado facultativo total ou parcial das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bCs/>
          <w:sz w:val="24"/>
          <w:szCs w:val="24"/>
          <w:lang w:val="pt-BR"/>
        </w:rPr>
        <w:t>Oferta de Resgate Antecipado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b/>
          <w:bCs/>
          <w:sz w:val="24"/>
          <w:szCs w:val="24"/>
          <w:highlight w:val="yellow"/>
          <w:lang w:val="pt-BR"/>
        </w:rPr>
        <w:t>: Cláusula sujeita à validação</w:t>
      </w:r>
      <w:r>
        <w:rPr>
          <w:rFonts w:cs="Calibri" w:ascii="Calibri" w:hAnsi="Calibri" w:asciiTheme="minorHAnsi" w:cstheme="minorHAnsi" w:hAnsiTheme="minorHAnsi"/>
          <w:b/>
          <w:bCs/>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poderá, a seu exclusive critério e a qualquer tempo, mediante deliberação de seus órgãos societários competentes, realizar uma oferta de resgate antecipado das Debêntures, endereçada a todos os Debenturistas, sem distinção, sendo assegurado a todos os Debenturistas igualdade de condições para aceitar a Oferta de Resgate Antecipado das Debêntures de sua titularidade (“</w:t>
      </w:r>
      <w:r>
        <w:rPr>
          <w:rFonts w:cs="Calibri" w:ascii="Calibri" w:hAnsi="Calibri" w:asciiTheme="minorHAnsi" w:cstheme="minorHAnsi" w:hAnsiTheme="minorHAnsi"/>
          <w:b/>
          <w:bCs/>
          <w:sz w:val="24"/>
          <w:szCs w:val="24"/>
          <w:lang w:val="pt-BR"/>
        </w:rPr>
        <w:t>Oferta de Resgate Antecipado</w:t>
      </w:r>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questiona relação das Cláusulas 5.1 e 5.2. Esclarecemos que a Cláusula 5.1 trata sobre o Resgate Antecipado Facultativo, a exclusivo critério da Companhia, que, nos termos do mandato, não será permitido. A Cláusula 5.2 trata da possibilidade da Companhia realizar uma oferta de resgate aos Debenturistas, que podem aderir ou não a essa oferta</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realizará a Oferta de Resgate Antecipado por meio de comunicação individual enviada aos Debenturistas, com cópia para o Agente Fiduciário, ou publicação de anúncio, nos termos da Cláusula 4.19.1. desta Escritura de Emissão (“</w:t>
      </w:r>
      <w:r>
        <w:rPr>
          <w:rFonts w:cs="Calibri" w:ascii="Calibri" w:hAnsi="Calibri" w:asciiTheme="minorHAnsi" w:cstheme="minorHAnsi" w:hAnsiTheme="minorHAnsi"/>
          <w:b/>
          <w:bCs/>
          <w:sz w:val="24"/>
          <w:szCs w:val="24"/>
          <w:lang w:val="pt-BR"/>
        </w:rPr>
        <w:t>Comunicação de Oferta de Resgate Antecipado</w:t>
      </w:r>
      <w:r>
        <w:rPr>
          <w:rFonts w:cs="Calibri" w:ascii="Calibri" w:hAnsi="Calibri" w:asciiTheme="minorHAnsi" w:cstheme="minorHAnsi" w:hAnsiTheme="minorHAnsi"/>
          <w:sz w:val="24"/>
          <w:szCs w:val="24"/>
          <w:lang w:val="pt-BR"/>
        </w:rPr>
        <w:t>”), com 30 (trinta) Dias Úteis de antecedência da data em que se pretende realizar a Oferta de Resgate Antecipado, sendo que na referida Comunicação de Oferta de Resgate Antecipado deverá constar: (a) se a Oferta de Resgate Antecipado será relativa à totalidade ou a parte das Debêntures e, no caso de Oferta de Resgate Antecipado parcial das Debêntures, indicar a quantidade de Debêntures objeto da referida oferta; (b) o valor do prêmio de resgate, caso existente, que não poderá ser negativo; (c)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cs="Calibri" w:ascii="Calibri" w:hAnsi="Calibri" w:asciiTheme="minorHAnsi" w:cstheme="minorHAnsi" w:hAnsiTheme="minorHAnsi"/>
          <w:i/>
          <w:iCs/>
          <w:sz w:val="24"/>
          <w:szCs w:val="24"/>
          <w:lang w:val="pt-BR"/>
        </w:rPr>
        <w:t>pro rata temporis</w:t>
      </w:r>
      <w:r>
        <w:rPr>
          <w:rFonts w:cs="Calibri" w:ascii="Calibri" w:hAnsi="Calibri" w:asciiTheme="minorHAnsi" w:cstheme="minorHAnsi" w:hAnsiTheme="minorHAnsi"/>
          <w:sz w:val="24"/>
          <w:szCs w:val="24"/>
          <w:lang w:val="pt-BR"/>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a Emissora opte pela realização da Oferta de Resgate Antecipado parcial das Debêntures e o número de Debenturistas que tenham aderido à Oferta de Resgate Antecipado seja maior do que o número ao qual a referida oferta foi originalmente direcionada, a Emissora se obriga a realizar o resgate das Debêntures da totalidade dos Debenturistas que tenham aderido à Oferta de Resgate Antecipado.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resgatadas pela Emissora, conforme previsto nesta Cláusula, serão obrigatoriamente canceladas.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
          <w:sz w:val="24"/>
          <w:szCs w:val="24"/>
          <w:lang w:val="pt-BR"/>
        </w:rPr>
        <w:t>Amortização Extraordinária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iCs/>
          <w:sz w:val="24"/>
          <w:szCs w:val="24"/>
          <w:lang w:val="pt-BR"/>
        </w:rPr>
      </w:pPr>
      <w:bookmarkStart w:id="76" w:name="_Ref70675995"/>
      <w:r>
        <w:rPr>
          <w:rFonts w:cs="Calibri" w:ascii="Calibri" w:hAnsi="Calibri" w:asciiTheme="minorHAnsi" w:cstheme="minorHAnsi" w:hAnsiTheme="minorHAnsi"/>
          <w:sz w:val="24"/>
          <w:szCs w:val="24"/>
          <w:lang w:val="pt-BR"/>
        </w:rPr>
        <w:t>Não será admitida a realização de amortização extraordinária das Debêntures.</w:t>
      </w:r>
      <w:r>
        <w:rPr>
          <w:rFonts w:cs="Calibri" w:ascii="Calibri" w:hAnsi="Calibri" w:asciiTheme="minorHAnsi" w:cstheme="minorHAnsi" w:hAnsiTheme="minorHAnsi"/>
          <w:color w:val="000000"/>
          <w:sz w:val="24"/>
          <w:szCs w:val="24"/>
          <w:lang w:val="pt-BR" w:eastAsia="pt-BR"/>
        </w:rPr>
        <w:t xml:space="preserve"> </w:t>
      </w:r>
      <w:bookmarkEnd w:id="76"/>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Aquisição Facultativa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77" w:name="_Hlk68713399"/>
      <w:bookmarkStart w:id="78" w:name="_Ref43123445"/>
      <w:r>
        <w:rPr>
          <w:rFonts w:cs="Calibri" w:ascii="Calibri" w:hAnsi="Calibri" w:asciiTheme="minorHAnsi" w:cstheme="minorHAnsi" w:hAnsiTheme="minorHAnsi"/>
          <w:sz w:val="24"/>
          <w:szCs w:val="24"/>
          <w:lang w:val="pt-BR"/>
        </w:rPr>
        <w:t xml:space="preserve">A Emissora poderá, a qualquer tempo, adquirir Debêntures, observado o disposto no artigo 55, parágrafo 3º, da Lei das Sociedades por Ações, nos artigos 13 e 15 da Instrução CVM 476 </w:t>
      </w:r>
      <w:bookmarkStart w:id="79" w:name="_Hlk59632566"/>
      <w:r>
        <w:rPr>
          <w:rFonts w:cs="Calibri" w:ascii="Calibri" w:hAnsi="Calibri" w:asciiTheme="minorHAnsi" w:cstheme="minorHAnsi" w:hAnsiTheme="minorHAnsi"/>
          <w:sz w:val="24"/>
          <w:szCs w:val="24"/>
          <w:lang w:val="pt-BR"/>
        </w:rPr>
        <w:t>e na Instrução CVM nº 620, de 17 de março de 2020, conforme alterada</w:t>
      </w:r>
      <w:ins w:id="34" w:author="Pedro Oliveira" w:date="2021-06-23T15:10:00Z">
        <w:bookmarkEnd w:id="79"/>
        <w:r>
          <w:rPr/>
          <w:t xml:space="preserve"> </w:t>
        </w:r>
      </w:ins>
      <w:ins w:id="35" w:author="Pedro Oliveira" w:date="2021-06-23T15:10:00Z">
        <w:r>
          <w:rPr>
            <w:rFonts w:cs="Calibri" w:ascii="Calibri" w:hAnsi="Calibri" w:asciiTheme="minorHAnsi" w:cstheme="minorHAnsi" w:hAnsiTheme="minorHAnsi"/>
            <w:sz w:val="24"/>
            <w:szCs w:val="24"/>
            <w:lang w:val="pt-BR"/>
          </w:rPr>
          <w:t>condicionado ao aceite do respectivo Debenturista vendedor</w:t>
        </w:r>
      </w:ins>
      <w:r>
        <w:rPr>
          <w:rFonts w:cs="Calibri" w:ascii="Calibri" w:hAnsi="Calibri" w:asciiTheme="minorHAnsi" w:cstheme="minorHAnsi" w:hAnsiTheme="minorHAnsi"/>
          <w:sz w:val="24"/>
          <w:szCs w:val="24"/>
          <w:lang w:val="pt-BR"/>
        </w:rPr>
        <w:t>.</w:t>
      </w:r>
      <w:bookmarkEnd w:id="78"/>
      <w:r>
        <w:rPr>
          <w:rFonts w:cs="Calibri" w:ascii="Calibri" w:hAnsi="Calibri" w:asciiTheme="minorHAnsi" w:cstheme="minorHAnsi" w:hAnsiTheme="minorHAnsi"/>
          <w:sz w:val="24"/>
          <w:szCs w:val="24"/>
          <w:lang w:val="pt-BR"/>
        </w:rPr>
        <w:t xml:space="preserve"> 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7"/>
      <w:r>
        <w:rPr>
          <w:rFonts w:cs="Calibri" w:ascii="Calibri" w:hAnsi="Calibri" w:asciiTheme="minorHAnsi" w:cstheme="minorHAnsi" w:hAnsiTheme="minorHAnsi"/>
          <w:sz w:val="24"/>
          <w:szCs w:val="24"/>
          <w:lang w:val="pt-BR"/>
        </w:rPr>
        <w:t xml:space="preserve"> </w:t>
      </w:r>
      <w:bookmarkStart w:id="80" w:name="_Ref459627090"/>
      <w:bookmarkEnd w:id="80"/>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VENCIMENTO ANTECIPADO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81" w:name="_Ref38302407"/>
      <w:bookmarkStart w:id="82" w:name="_Ref53582297"/>
      <w:bookmarkStart w:id="83" w:name="_Ref62664566"/>
      <w:r>
        <w:rPr>
          <w:rFonts w:cs="Calibri" w:ascii="Calibri" w:hAnsi="Calibri" w:asciiTheme="minorHAnsi" w:cstheme="minorHAnsi" w:hAnsiTheme="minorHAnsi"/>
          <w:b/>
          <w:sz w:val="24"/>
          <w:szCs w:val="24"/>
          <w:lang w:val="pt-BR"/>
        </w:rPr>
        <w:t>Hipóteses de Vencimento Antecipado Automático</w:t>
      </w:r>
      <w:bookmarkEnd w:id="83"/>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4" w:name="_Ref62664572"/>
      <w:bookmarkStart w:id="85" w:name="_Hlk71625432"/>
      <w:r>
        <w:rPr>
          <w:rFonts w:cs="Calibri" w:ascii="Calibri" w:hAnsi="Calibri" w:asciiTheme="minorHAnsi" w:cstheme="minorHAnsi" w:hAnsiTheme="minorHAnsi"/>
          <w:sz w:val="24"/>
          <w:szCs w:val="24"/>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ou por qualquer dos Fiadores, conforme o caso, do Valor Nominal Unitário ou saldo do Valor Nominal Unitário, acrescido da respectiva Remuneração, calculada </w:t>
      </w:r>
      <w:r>
        <w:rPr>
          <w:rFonts w:cs="Calibri" w:ascii="Calibri" w:hAnsi="Calibri" w:asciiTheme="minorHAnsi" w:cstheme="minorHAnsi" w:hAnsiTheme="minorHAnsi"/>
          <w:i/>
          <w:sz w:val="24"/>
          <w:szCs w:val="24"/>
          <w:lang w:val="pt-BR"/>
        </w:rPr>
        <w:t>pro rata temporis</w:t>
      </w:r>
      <w:r>
        <w:rPr>
          <w:rFonts w:cs="Calibri" w:ascii="Calibri" w:hAnsi="Calibri" w:asciiTheme="minorHAnsi" w:cstheme="minorHAnsi" w:hAnsiTheme="minorHAnsi"/>
          <w:sz w:val="24"/>
          <w:szCs w:val="24"/>
          <w:lang w:val="pt-BR"/>
        </w:rPr>
        <w:t xml:space="preserve"> desde a Data de Início da Rentabilidade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85"/>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sz w:val="24"/>
          <w:szCs w:val="24"/>
          <w:lang w:val="pt-BR"/>
        </w:rPr>
        <w:t>Hipóteses de Vencimento Antecipado Automático</w:t>
      </w:r>
      <w:r>
        <w:rPr>
          <w:rFonts w:cs="Calibri" w:ascii="Calibri" w:hAnsi="Calibri" w:asciiTheme="minorHAnsi" w:cstheme="minorHAnsi" w:hAnsiTheme="minorHAnsi"/>
          <w:sz w:val="24"/>
          <w:szCs w:val="24"/>
          <w:lang w:val="pt-BR"/>
        </w:rPr>
        <w:t>”):</w:t>
      </w:r>
      <w:bookmarkEnd w:id="82"/>
      <w:bookmarkEnd w:id="84"/>
      <w:r>
        <w:rPr>
          <w:rFonts w:cs="Calibri" w:ascii="Calibri" w:hAnsi="Calibri" w:asciiTheme="minorHAnsi" w:cstheme="minorHAnsi" w:hAnsiTheme="minorHAnsi"/>
          <w:sz w:val="24"/>
          <w:szCs w:val="24"/>
          <w:lang w:val="pt-BR"/>
        </w:rPr>
        <w:t xml:space="preserve"> </w:t>
      </w:r>
      <w:bookmarkEnd w:id="81"/>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6" w:name="_Ref459799536"/>
      <w:r>
        <w:rPr>
          <w:rFonts w:cs="Calibri" w:ascii="Calibri" w:hAnsi="Calibri" w:asciiTheme="minorHAnsi" w:cstheme="minorHAnsi" w:hAnsiTheme="minorHAnsi"/>
          <w:sz w:val="24"/>
          <w:szCs w:val="24"/>
          <w:lang w:val="pt-BR"/>
        </w:rPr>
        <w:t>descumprimento, pela Emissora e/ou pelos Fiadores, de qualquer obrigação pecuniária devida aos Debenturistas na respectiva data de pagamento prevista nesta Escritura de Emissão, não sanado no prazo de até 1 (um) Dia Útil contado de seu descumprimento[, desde que não seja em razão de caso fortuito ou força maior];</w:t>
      </w:r>
      <w:bookmarkEnd w:id="86"/>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Ajuste solicitado pela Companhia</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decretação de vencimento antecipado de qualquer dívida financeira ou qualquer obrigação pecuniária prevista em qualquer acordo ou contrato do qual a Emissora e/ou os Fiadores, ou qualquer sociedade da qual a Emissora e/ou os Fiadores detenham, direta ou indiretamente, o controle (“</w:t>
      </w:r>
      <w:r>
        <w:rPr>
          <w:rFonts w:cs="Calibri" w:ascii="Calibri" w:hAnsi="Calibri" w:asciiTheme="minorHAnsi" w:cstheme="minorHAnsi" w:hAnsiTheme="minorHAnsi"/>
          <w:b/>
          <w:bCs/>
          <w:sz w:val="24"/>
          <w:szCs w:val="24"/>
          <w:lang w:val="pt-BR"/>
        </w:rPr>
        <w:t>Controladas</w:t>
      </w:r>
      <w:r>
        <w:rPr>
          <w:rFonts w:cs="Calibri" w:ascii="Calibri" w:hAnsi="Calibri" w:asciiTheme="minorHAnsi" w:cstheme="minorHAnsi" w:hAnsiTheme="minorHAnsi"/>
          <w:sz w:val="24"/>
          <w:szCs w:val="24"/>
          <w:lang w:val="pt-BR"/>
        </w:rPr>
        <w:t xml:space="preserve">”) sejam partes como devedores ou garantidores; </w:t>
      </w:r>
      <w:ins w:id="36" w:author="Autor desconhecido" w:date="2021-06-24T17:58:35Z">
        <w:r>
          <w:rPr>
            <w:rFonts w:cs="Calibri" w:ascii="Calibri" w:hAnsi="Calibri" w:asciiTheme="minorHAnsi" w:cstheme="minorHAnsi" w:hAnsiTheme="minorHAnsi"/>
            <w:sz w:val="24"/>
            <w:szCs w:val="24"/>
            <w:lang w:val="pt-BR"/>
          </w:rPr>
          <w:t xml:space="preserve"> </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inadimplemento de qualquer dívida financeira ou qualquer obrigação pecuniária prevista em qualquer acordo ou contrato do qual a Emissora, qualquer dos Fiadores e/ou suas respectivas Controladas sejam partes, como devedores ou garantidores, exceto (a) caso o referido inadimplemento seja sanado no prazo de cura previsto no respectivo contrato, ou (b) caso o respectivo contrato não estabeleça prazo de cura, em até 5 (cinco) dias contados do inadimplemento;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inclusão de threshold para esse item</w:t>
      </w:r>
      <w:r>
        <w:rPr>
          <w:rFonts w:cs="Calibri" w:ascii="Calibri" w:hAnsi="Calibri" w:asciiTheme="minorHAnsi" w:cstheme="minorHAnsi" w:hAnsiTheme="minorHAnsi"/>
          <w:sz w:val="24"/>
          <w:szCs w:val="24"/>
          <w:lang w:val="pt-BR"/>
        </w:rPr>
        <w:t>]</w:t>
      </w:r>
      <w:ins w:id="37" w:author="Autor desconhecido" w:date="2021-06-24T18:00:02Z">
        <w:r>
          <w:rPr>
            <w:rFonts w:cs="Calibri" w:ascii="Calibri" w:hAnsi="Calibri" w:asciiTheme="minorHAnsi" w:cstheme="minorHAnsi" w:hAnsiTheme="minorHAnsi"/>
            <w:sz w:val="24"/>
            <w:szCs w:val="24"/>
            <w:lang w:val="pt-BR"/>
          </w:rPr>
          <w:t xml:space="preserve"> </w:t>
        </w:r>
      </w:ins>
      <w:ins w:id="38" w:author="Autor desconhecido" w:date="2021-06-24T18:00:02Z">
        <w:r>
          <w:rPr>
            <w:rFonts w:cs="Calibri" w:ascii="Calibri" w:hAnsi="Calibri" w:asciiTheme="minorHAnsi" w:cstheme="minorHAnsi" w:hAnsiTheme="minorHAnsi"/>
            <w:sz w:val="24"/>
            <w:szCs w:val="24"/>
            <w:lang w:val="pt-BR"/>
          </w:rPr>
          <w:t>(</w:t>
        </w:r>
      </w:ins>
      <w:ins w:id="39" w:author="Autor desconhecido" w:date="2021-06-24T18:00:02Z">
        <w:r>
          <w:rPr>
            <w:rFonts w:cs="Calibri" w:ascii="Calibri" w:hAnsi="Calibri" w:asciiTheme="minorHAnsi" w:cstheme="minorHAnsi" w:hAnsiTheme="minorHAnsi"/>
            <w:b/>
            <w:bCs/>
            <w:sz w:val="24"/>
            <w:szCs w:val="24"/>
            <w:highlight w:val="yellow"/>
            <w:u w:val="single"/>
            <w:lang w:val="pt-BR"/>
          </w:rPr>
          <w:t xml:space="preserve">Nota </w:t>
        </w:r>
      </w:ins>
      <w:ins w:id="40" w:author="Autor desconhecido" w:date="2021-06-24T18:00:02Z">
        <w:r>
          <w:rPr>
            <w:rFonts w:eastAsia="Arial" w:cs="Calibri" w:ascii="Calibri" w:hAnsi="Calibri" w:asciiTheme="minorHAnsi" w:cstheme="minorHAnsi" w:hAnsiTheme="minorHAnsi"/>
            <w:b/>
            <w:bCs/>
            <w:sz w:val="24"/>
            <w:szCs w:val="24"/>
            <w:highlight w:val="yellow"/>
            <w:u w:val="single"/>
            <w:lang w:val="pt-BR" w:eastAsia="en-GB"/>
          </w:rPr>
          <w:t>Companhia: Vamos inserir duas exceções para esse caso)</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invalidade, nulidade ou inexequibilidade desta Escritura de Emissão (e/ou de qualquer de suas disposições) e/ou da Fiança (e/ou de qualquer de suas disposições);</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que este item seja um hipótese de vencimento antecipado não automático</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decretação de falência da Emissora, dos Fiadores e/ou de suas respectivas Controladas; (b) pedido de autofalência pela Emissora e/ou pelos Fiadores e/ou por suas respectivas Controladas, independentemente do deferimento do respectivo pedido; (c) pedido de falência da Emissora, dos Fiadores e/ou de suas respectivas Controladas formulado por terceiros não elidido no prazo legal; (d) pedido de recuperação judicial ou de recuperação extrajudicial da Emissora, dos Fiadores e/ou de suas respectivas Controladas, independentemente do deferimento do respectivo pedido; ou (e) liquidação, dissolução ou extinção da Emissora, dos Fiadores e/ou de suas respectivas Controladas ou qualquer procedimento análogo que venha a ser criado por lei, exceto se decorrente de reestruturação societária permitida nos termos desta Escritura de Emissão;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transformação </w:t>
      </w:r>
      <w:r>
        <w:rPr>
          <w:rFonts w:eastAsia="Arial Unicode MS" w:cs="Calibri" w:ascii="Calibri" w:hAnsi="Calibri" w:asciiTheme="minorHAnsi" w:cstheme="minorHAnsi" w:hAnsiTheme="minorHAnsi"/>
          <w:w w:val="100"/>
          <w:sz w:val="24"/>
          <w:szCs w:val="24"/>
          <w:lang w:val="pt-BR"/>
        </w:rPr>
        <w:t xml:space="preserve">da forma societária da Emissora de sociedade por ações para </w:t>
      </w:r>
      <w:r>
        <w:rPr>
          <w:rFonts w:cs="Calibri" w:ascii="Calibri" w:hAnsi="Calibri" w:asciiTheme="minorHAnsi" w:cstheme="minorHAnsi" w:hAnsiTheme="minorHAnsi"/>
          <w:sz w:val="24"/>
          <w:szCs w:val="24"/>
          <w:lang w:val="pt-BR"/>
        </w:rPr>
        <w:t>qualquer outro tipo societário, nos termos dos artigos 220 a 222 da Lei das Sociedades por Ações;</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mudança ou transferência de controle acionário, direto ou indireto, da Emissora, dos Fiadores e/ou de suas respectivas Controladas (conforme definição de controle prevista no artigo 116 da Lei das Sociedades por Ações)[, exceto nas hipóteses em que for mantido o controle direto ou indireto da Emissora]; </w:t>
      </w:r>
      <w:ins w:id="41" w:author="Autor desconhecido" w:date="2021-06-24T16:30:57Z">
        <w:r>
          <w:rPr>
            <w:rFonts w:cs="Calibri" w:ascii="Calibri" w:hAnsi="Calibri" w:asciiTheme="minorHAnsi" w:cstheme="minorHAnsi" w:hAnsiTheme="minorHAnsi"/>
            <w:sz w:val="24"/>
            <w:szCs w:val="24"/>
            <w:lang w:val="pt-BR"/>
          </w:rPr>
          <w:t>[</w:t>
        </w:r>
      </w:ins>
      <w:ins w:id="42" w:author="Autor desconhecido" w:date="2021-06-24T16:30:57Z">
        <w:r>
          <w:rPr>
            <w:rFonts w:cs="Calibri" w:ascii="Calibri" w:hAnsi="Calibri" w:asciiTheme="minorHAnsi" w:cstheme="minorHAnsi" w:hAnsiTheme="minorHAnsi"/>
            <w:b/>
            <w:bCs/>
            <w:sz w:val="24"/>
            <w:szCs w:val="24"/>
            <w:highlight w:val="yellow"/>
            <w:u w:val="single"/>
            <w:lang w:val="pt-BR"/>
          </w:rPr>
          <w:t xml:space="preserve">Nota </w:t>
        </w:r>
      </w:ins>
      <w:ins w:id="43" w:author="Autor desconhecido" w:date="2021-06-24T16:30:57Z">
        <w:r>
          <w:rPr>
            <w:rFonts w:eastAsia="Arial" w:cs="Calibri" w:ascii="Calibri" w:hAnsi="Calibri" w:asciiTheme="minorHAnsi" w:cstheme="minorHAnsi" w:hAnsiTheme="minorHAnsi"/>
            <w:b/>
            <w:bCs/>
            <w:sz w:val="24"/>
            <w:szCs w:val="24"/>
            <w:highlight w:val="yellow"/>
            <w:u w:val="single"/>
            <w:lang w:val="pt-BR" w:eastAsia="en-GB"/>
          </w:rPr>
          <w:t>Companhia: Incluir exceção de eventual evento de liquidez</w:t>
        </w:r>
      </w:ins>
      <w:ins w:id="44" w:author="Autor desconhecido" w:date="2021-06-24T16:30:57Z">
        <w:r>
          <w:rPr>
            <w:rFonts w:cs="Calibri" w:ascii="Calibri" w:hAnsi="Calibri" w:asciiTheme="minorHAnsi" w:cstheme="minorHAnsi" w:hAnsiTheme="minorHAnsi"/>
            <w:sz w:val="24"/>
            <w:szCs w:val="24"/>
            <w:lang w:val="pt-BR"/>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cisão, fusão ou incorporação (incluindo incorporação de ações da Emissora nos termos do artigo 252 da Lei das Sociedades por Ações) ou qualquer forma de reorganização societária envolvendo a Emissora, os Fiadores e/ou suas respectivas Controladas[, exceto nas hipóteses em que for mantido o controle direto ou indireto da Emissora];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que sejam permitidas reorganizações societárias que não importem em alteração do controle acionário</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7" w:name="_Ref459799550"/>
      <w:r>
        <w:rPr>
          <w:rFonts w:cs="Calibri" w:ascii="Calibri" w:hAnsi="Calibri" w:asciiTheme="minorHAnsi" w:cstheme="minorHAnsi" w:hAnsiTheme="minorHAnsi"/>
          <w:sz w:val="24"/>
          <w:szCs w:val="24"/>
          <w:lang w:val="pt-BR"/>
        </w:rPr>
        <w:t xml:space="preserve">transferência, promessa de transferência ou qualquer forma de cessão ou promessa de cessão a terceiros, no todo ou em parte, pela Emissora e/ou pelos Fiadores, das obrigações assumidas nesta </w:t>
      </w:r>
      <w:bookmarkEnd w:id="87"/>
      <w:r>
        <w:rPr>
          <w:rFonts w:cs="Calibri" w:ascii="Calibri" w:hAnsi="Calibri" w:asciiTheme="minorHAnsi" w:cstheme="minorHAnsi" w:hAnsiTheme="minorHAnsi"/>
          <w:sz w:val="24"/>
          <w:szCs w:val="24"/>
          <w:lang w:val="pt-BR"/>
        </w:rPr>
        <w:t>Escritura de Emissão; e</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quaisquer das declarações prestadas pela Emissora e/ou pelos Fiadores no âmbito desta Escritura de Emissão revelarem-se falsas ou enganosas.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88" w:name="_Ref498606435"/>
      <w:bookmarkStart w:id="89" w:name="_Ref38530044"/>
      <w:bookmarkEnd w:id="88"/>
      <w:r>
        <w:rPr>
          <w:rFonts w:cs="Calibri" w:ascii="Calibri" w:hAnsi="Calibri" w:asciiTheme="minorHAnsi" w:cstheme="minorHAnsi" w:hAnsiTheme="minorHAnsi"/>
          <w:b/>
          <w:sz w:val="24"/>
          <w:szCs w:val="24"/>
          <w:lang w:val="pt-BR"/>
        </w:rPr>
        <w:t>Hipóteses de Vencimento Antecipado Não Automático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90" w:name="_Ref62664505"/>
      <w:bookmarkStart w:id="91" w:name="_Hlk71625502"/>
      <w:r>
        <w:rPr>
          <w:rFonts w:cs="Calibri" w:ascii="Calibri" w:hAnsi="Calibri" w:asciiTheme="minorHAnsi" w:cstheme="minorHAnsi" w:hAnsiTheme="minorHAnsi"/>
          <w:sz w:val="24"/>
          <w:szCs w:val="24"/>
          <w:lang w:val="pt-BR"/>
        </w:rPr>
        <w:t>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na ocorrência de qualquer uma das seguintes hipótese</w:t>
      </w:r>
      <w:bookmarkEnd w:id="91"/>
      <w:r>
        <w:rPr>
          <w:rFonts w:cs="Calibri" w:ascii="Calibri" w:hAnsi="Calibri" w:asciiTheme="minorHAnsi" w:cstheme="minorHAnsi" w:hAnsiTheme="minorHAnsi"/>
          <w:sz w:val="24"/>
          <w:szCs w:val="24"/>
          <w:lang w:val="pt-BR"/>
        </w:rPr>
        <w:t>s (“</w:t>
      </w:r>
      <w:r>
        <w:rPr>
          <w:rFonts w:cs="Calibri" w:ascii="Calibri" w:hAnsi="Calibri" w:asciiTheme="minorHAnsi" w:cstheme="minorHAnsi" w:hAnsiTheme="minorHAnsi"/>
          <w:b/>
          <w:sz w:val="24"/>
          <w:szCs w:val="24"/>
          <w:lang w:val="pt-BR"/>
        </w:rPr>
        <w:t>Hipóteses de Vencimento Antecipado Não Automático</w:t>
      </w:r>
      <w:r>
        <w:rPr>
          <w:rFonts w:cs="Calibri" w:ascii="Calibri" w:hAnsi="Calibri" w:asciiTheme="minorHAnsi" w:cstheme="minorHAnsi" w:hAnsiTheme="minorHAnsi"/>
          <w:sz w:val="24"/>
          <w:szCs w:val="24"/>
          <w:lang w:val="pt-BR"/>
        </w:rPr>
        <w:t>” e, em conjunto com as Hipóteses de Vencimento Antecipado Automático, “</w:t>
      </w:r>
      <w:r>
        <w:rPr>
          <w:rFonts w:cs="Calibri" w:ascii="Calibri" w:hAnsi="Calibri" w:asciiTheme="minorHAnsi" w:cstheme="minorHAnsi" w:hAnsiTheme="minorHAnsi"/>
          <w:b/>
          <w:sz w:val="24"/>
          <w:szCs w:val="24"/>
          <w:lang w:val="pt-BR"/>
        </w:rPr>
        <w:t>Hipóteses de Vencimento Antecipado</w:t>
      </w:r>
      <w:r>
        <w:rPr>
          <w:rFonts w:cs="Calibri" w:ascii="Calibri" w:hAnsi="Calibri" w:asciiTheme="minorHAnsi" w:cstheme="minorHAnsi" w:hAnsiTheme="minorHAnsi"/>
          <w:sz w:val="24"/>
          <w:szCs w:val="24"/>
          <w:lang w:val="pt-BR"/>
        </w:rPr>
        <w:t>”):</w:t>
      </w:r>
      <w:bookmarkEnd w:id="89"/>
      <w:bookmarkEnd w:id="90"/>
      <w:r>
        <w:rPr>
          <w:rFonts w:cs="Calibri" w:ascii="Calibri" w:hAnsi="Calibri" w:asciiTheme="minorHAnsi" w:cstheme="minorHAnsi" w:hAnsiTheme="minorHAnsi"/>
          <w:sz w:val="24"/>
          <w:szCs w:val="24"/>
          <w:lang w:val="pt-BR"/>
        </w:rPr>
        <w:t xml:space="preserv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descumprimento, pela Emissora e/ou pelos Fiadores de qualquer obrigação não pecuniária descrita nesta Escritura de Emissão, não sanada em até 5 (cinco) dias contados da data em que a obrigação se tornou exigível, sendo que este prazo não se aplica às obrigações para as quais tenha sido estipulado prazo de cura específico;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inobservância da Legislação Socioambiental (conforme definido abaixo) pela Emissora, pelos Fiadores e/ou por qualquer de suas respectivas Afiliadas, em especial, mas não se limitando à legislação e regulamentação trabalhista, à saúde e segurança ocupacional e ao meio ambiente, bem como se incentivarem, de qualquer forma, a prostituição ou utilizar em suas atividades mão-de-obra infantil e/ou em condição análoga a de escravo;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a exclusão do item, tendo em vista que é decisões judiciais podem eventualmente ocorrer no curso dos negócios da Companhia</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cumprimento, no prazo estipulado, de qualquer decisão, sentença judicial ou decisão arbitral exequível contra a Emissora, os Fiadores e/ou suas Controladas, em valor agregado igual ou superior a R$ 5.000.000,00 (cinco milhões de reais) ou seu valor equivalente em outras moedas, ressalvados os casos em que for obtido efeito suspensivo dentro do prazo legal;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questionamento judicial, pela Emissora, pelos Fiadores e/ou por suas respectivas sociedades controladas, controladoras, coligadas e sociedades sob controle comum (“</w:t>
      </w:r>
      <w:r>
        <w:rPr>
          <w:rFonts w:cs="Calibri" w:ascii="Calibri" w:hAnsi="Calibri" w:asciiTheme="minorHAnsi" w:cstheme="minorHAnsi" w:hAnsiTheme="minorHAnsi"/>
          <w:b/>
          <w:bCs/>
          <w:sz w:val="24"/>
          <w:szCs w:val="24"/>
          <w:lang w:val="pt-BR"/>
        </w:rPr>
        <w:t>Afiliadas</w:t>
      </w:r>
      <w:r>
        <w:rPr>
          <w:rFonts w:cs="Calibri" w:ascii="Calibri" w:hAnsi="Calibri" w:asciiTheme="minorHAnsi" w:cstheme="minorHAnsi" w:hAnsiTheme="minorHAnsi"/>
          <w:sz w:val="24"/>
          <w:szCs w:val="24"/>
          <w:lang w:val="pt-BR"/>
        </w:rPr>
        <w:t>”), quanto à validade, eficácia, exequibilidade e/ou vigência da Escritura de Emissão e/ou da Fiança;</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questionamento judicial, por qualquer pessoa não mencionada no item “(v)” da Cláusula 6.1.2 acima, quanto à validade, eficácia, exequibilidade e/ou vigência da Escritura de Emissão e/ou da Fiança;</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del w:id="45" w:author="Autor desconhecido" w:date="2021-06-24T16:38:13Z">
        <w:r>
          <w:rPr>
            <w:rFonts w:cs="Calibri" w:ascii="Calibri" w:hAnsi="Calibri" w:asciiTheme="minorHAnsi" w:cstheme="minorHAnsi" w:hAnsiTheme="minorHAnsi"/>
            <w:sz w:val="24"/>
            <w:szCs w:val="24"/>
            <w:lang w:val="pt-BR"/>
          </w:rPr>
          <w:delText>protesto de títulos contra a Emissora, os Fiadores e/ou qualquer Controlada (ainda que na condição de garantidora), exceto se, em até 5 (cinco) Dias Úteis, tiver sido validamente comprovado ao Agente Fiduciário que o(s) protesto(s) foi(ram) cancelado(s) ou suspenso(s);</w:delText>
        </w:r>
      </w:del>
      <w:r>
        <w:rPr>
          <w:rFonts w:cs="Calibri" w:ascii="Calibri" w:hAnsi="Calibri" w:asciiTheme="minorHAnsi" w:cstheme="minorHAnsi" w:hAnsiTheme="minorHAnsi"/>
          <w:sz w:val="24"/>
          <w:szCs w:val="24"/>
          <w:lang w:val="pt-BR"/>
        </w:rPr>
        <w:t xml:space="preserve"> </w:t>
      </w:r>
      <w:ins w:id="46" w:author="Autor desconhecido" w:date="2021-06-24T16:38:02Z">
        <w:r>
          <w:rPr>
            <w:rFonts w:cs="Calibri" w:ascii="Calibri" w:hAnsi="Calibri" w:asciiTheme="minorHAnsi" w:cstheme="minorHAnsi" w:hAnsiTheme="minorHAnsi"/>
            <w:sz w:val="24"/>
            <w:szCs w:val="24"/>
            <w:lang w:val="pt-BR"/>
          </w:rPr>
          <w:t>[</w:t>
        </w:r>
      </w:ins>
      <w:ins w:id="47" w:author="Autor desconhecido" w:date="2021-06-24T16:38:02Z">
        <w:r>
          <w:rPr>
            <w:rFonts w:cs="Calibri" w:ascii="Calibri" w:hAnsi="Calibri" w:asciiTheme="minorHAnsi" w:cstheme="minorHAnsi" w:hAnsiTheme="minorHAnsi"/>
            <w:b/>
            <w:bCs/>
            <w:sz w:val="24"/>
            <w:szCs w:val="24"/>
            <w:highlight w:val="yellow"/>
            <w:u w:val="single"/>
            <w:lang w:val="pt-BR"/>
          </w:rPr>
          <w:t xml:space="preserve">Nota </w:t>
        </w:r>
      </w:ins>
      <w:ins w:id="48" w:author="Autor desconhecido" w:date="2021-06-24T16:38:02Z">
        <w:r>
          <w:rPr>
            <w:rFonts w:eastAsia="Arial" w:cs="Calibri" w:ascii="Calibri" w:hAnsi="Calibri" w:asciiTheme="minorHAnsi" w:cstheme="minorHAnsi" w:hAnsiTheme="minorHAnsi"/>
            <w:b/>
            <w:bCs/>
            <w:sz w:val="24"/>
            <w:szCs w:val="24"/>
            <w:highlight w:val="yellow"/>
            <w:u w:val="single"/>
            <w:lang w:val="pt-BR" w:eastAsia="en-GB"/>
          </w:rPr>
          <w:t xml:space="preserve">Companhia: </w:t>
        </w:r>
      </w:ins>
      <w:ins w:id="49" w:author="Autor desconhecido" w:date="2021-06-24T16:38:02Z">
        <w:r>
          <w:rPr>
            <w:rFonts w:eastAsia="Arial" w:cs="Calibri" w:ascii="Calibri" w:hAnsi="Calibri" w:asciiTheme="minorHAnsi" w:cstheme="minorHAnsi" w:hAnsiTheme="minorHAnsi"/>
            <w:b/>
            <w:bCs/>
            <w:sz w:val="24"/>
            <w:szCs w:val="24"/>
            <w:highlight w:val="yellow"/>
            <w:u w:val="single"/>
            <w:lang w:val="pt-BR" w:eastAsia="en-GB"/>
          </w:rPr>
          <w:t>Protestos podem ocorrer, inclusive protestos sem relevância.</w:t>
        </w:r>
      </w:ins>
      <w:ins w:id="50" w:author="Autor desconhecido" w:date="2021-06-24T16:38:02Z">
        <w:r>
          <w:rPr>
            <w:rFonts w:cs="Calibri" w:ascii="Calibri" w:hAnsi="Calibri" w:asciiTheme="minorHAnsi" w:cstheme="minorHAnsi" w:hAnsiTheme="minorHAnsi"/>
            <w:sz w:val="24"/>
            <w:szCs w:val="24"/>
            <w:lang w:val="pt-BR"/>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se houver a cessão, venda, alienação e/ou qualquer forma de transferência, gratuita ou onerosa, 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realização por qualquer autoridade governamental de ato com o objetivo de sequestrar, expropriar, nacionalizar, desapropriar, confiscar ou de qualquer modo adquirir, compulsoriamente, a totalidade ou parte substancial dos ativos da Emissora, dos Fiadores e/ou de suas respectivas Controladas;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quaisquer das declarações prestadas pela Emissora e/ou pelos Fiadores no âmbito desta Escritura de Emissão revelarem-se incorretas;</w:t>
      </w:r>
      <w:ins w:id="51" w:author="Autor desconhecido" w:date="2021-06-24T16:59:04Z">
        <w:r>
          <w:rPr>
            <w:rFonts w:cs="Calibri" w:ascii="Calibri" w:hAnsi="Calibri" w:asciiTheme="minorHAnsi" w:cstheme="minorHAnsi" w:hAnsiTheme="minorHAnsi"/>
            <w:sz w:val="24"/>
            <w:szCs w:val="24"/>
            <w:lang w:val="pt-BR"/>
          </w:rPr>
          <w:t xml:space="preserve"> [</w:t>
        </w:r>
      </w:ins>
      <w:ins w:id="52" w:author="Autor desconhecido" w:date="2021-06-24T16:59:04Z">
        <w:r>
          <w:rPr>
            <w:rFonts w:cs="Calibri" w:ascii="Calibri" w:hAnsi="Calibri" w:asciiTheme="minorHAnsi" w:cstheme="minorHAnsi" w:hAnsiTheme="minorHAnsi"/>
            <w:b/>
            <w:bCs/>
            <w:sz w:val="24"/>
            <w:szCs w:val="24"/>
            <w:highlight w:val="yellow"/>
            <w:u w:val="single"/>
            <w:lang w:val="pt-BR"/>
          </w:rPr>
          <w:t xml:space="preserve">Nota </w:t>
        </w:r>
      </w:ins>
      <w:ins w:id="53" w:author="Autor desconhecido" w:date="2021-06-24T16:59:04Z">
        <w:r>
          <w:rPr>
            <w:rFonts w:eastAsia="Arial" w:cs="Calibri" w:ascii="Calibri" w:hAnsi="Calibri" w:asciiTheme="minorHAnsi" w:cstheme="minorHAnsi" w:hAnsiTheme="minorHAnsi"/>
            <w:b/>
            <w:bCs/>
            <w:sz w:val="24"/>
            <w:szCs w:val="24"/>
            <w:highlight w:val="yellow"/>
            <w:u w:val="single"/>
            <w:lang w:val="pt-BR" w:eastAsia="en-GB"/>
          </w:rPr>
          <w:t xml:space="preserve">Companhia: </w:t>
        </w:r>
      </w:ins>
      <w:ins w:id="54" w:author="Autor desconhecido" w:date="2021-06-24T16:59:04Z">
        <w:r>
          <w:rPr>
            <w:rFonts w:eastAsia="Arial" w:cs="Calibri" w:ascii="Calibri" w:hAnsi="Calibri" w:asciiTheme="minorHAnsi" w:cstheme="minorHAnsi" w:hAnsiTheme="minorHAnsi"/>
            <w:b/>
            <w:bCs/>
            <w:sz w:val="24"/>
            <w:szCs w:val="24"/>
            <w:highlight w:val="yellow"/>
            <w:u w:val="single"/>
            <w:lang w:val="pt-BR" w:eastAsia="en-GB"/>
          </w:rPr>
          <w:t>Desde que agindo com dolo</w:t>
        </w:r>
      </w:ins>
      <w:ins w:id="55" w:author="Autor desconhecido" w:date="2021-06-24T16:59:04Z">
        <w:r>
          <w:rPr>
            <w:rFonts w:eastAsia="Arial" w:cs="Calibri" w:ascii="Calibri" w:hAnsi="Calibri" w:asciiTheme="minorHAnsi" w:cstheme="minorHAnsi" w:hAnsiTheme="minorHAnsi"/>
            <w:b/>
            <w:bCs/>
            <w:sz w:val="24"/>
            <w:szCs w:val="24"/>
            <w:highlight w:val="yellow"/>
            <w:u w:val="single"/>
            <w:lang w:val="pt-BR" w:eastAsia="en-GB"/>
          </w:rPr>
          <w:t>.</w:t>
        </w:r>
      </w:ins>
      <w:ins w:id="56" w:author="Autor desconhecido" w:date="2021-06-24T16:59:04Z">
        <w:r>
          <w:rPr>
            <w:rFonts w:cs="Calibri" w:ascii="Calibri" w:hAnsi="Calibri" w:asciiTheme="minorHAnsi" w:cstheme="minorHAnsi" w:hAnsiTheme="minorHAnsi"/>
            <w:sz w:val="24"/>
            <w:szCs w:val="24"/>
            <w:lang w:val="pt-BR"/>
          </w:rPr>
          <w:t>]</w:t>
        </w:r>
      </w:ins>
      <w:r>
        <w:rPr>
          <w:rFonts w:cs="Calibri" w:ascii="Calibri" w:hAnsi="Calibri" w:asciiTheme="minorHAnsi" w:cstheme="minorHAnsi" w:hAnsiTheme="minorHAnsi"/>
          <w:sz w:val="24"/>
          <w:szCs w:val="24"/>
          <w:lang w:val="pt-BR"/>
        </w:rPr>
        <w:t xml:space="preserv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destinação, pela Emissora, dos recursos líquidos captados com a Emissão de forma diversa da prevista nesta Escritura de Emissão;</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atuação, pela Emissora, pelos Fiadores e/ou por suas Afiliadas, administradores e funcionários em desconformidade com as normas que lhe são aplicáveis que versam sobre atos de corrupção e atos lesivos contra a administração pública, incluindo, sem limitação, o Decreto-Lei nº 2.848, de 7 de dezembro de 1940, a Lei nº 12.846, de 1 de agosto de 2013, a Lei nº 12.529, de 30 de novembro de 2011, Lei nº 9.613, de 3 de março de 1998 e a </w:t>
      </w:r>
      <w:r>
        <w:rPr>
          <w:rFonts w:cs="Calibri" w:ascii="Calibri" w:hAnsi="Calibri" w:asciiTheme="minorHAnsi" w:cstheme="minorHAnsi" w:hAnsiTheme="minorHAnsi"/>
          <w:i/>
          <w:iCs/>
          <w:sz w:val="24"/>
          <w:szCs w:val="24"/>
          <w:lang w:val="pt-BR"/>
        </w:rPr>
        <w:t>U.</w:t>
      </w:r>
      <w:r>
        <w:rPr>
          <w:rFonts w:cs="Calibri" w:ascii="Calibri" w:hAnsi="Calibri" w:asciiTheme="minorHAnsi" w:cstheme="minorHAnsi" w:hAnsiTheme="minorHAnsi"/>
          <w:i/>
          <w:sz w:val="24"/>
          <w:szCs w:val="24"/>
          <w:lang w:val="pt-BR"/>
        </w:rPr>
        <w:t>S. Foreign Corrupt Practices Act of 1977</w:t>
      </w:r>
      <w:r>
        <w:rPr>
          <w:rFonts w:cs="Calibri" w:ascii="Calibri" w:hAnsi="Calibri" w:asciiTheme="minorHAnsi" w:cstheme="minorHAnsi" w:hAnsiTheme="minorHAnsi"/>
          <w:sz w:val="24"/>
          <w:szCs w:val="24"/>
          <w:lang w:val="pt-BR"/>
        </w:rPr>
        <w:t xml:space="preserve"> e o </w:t>
      </w:r>
      <w:r>
        <w:rPr>
          <w:rFonts w:cs="Calibri" w:ascii="Calibri" w:hAnsi="Calibri" w:asciiTheme="minorHAnsi" w:cstheme="minorHAnsi" w:hAnsiTheme="minorHAnsi"/>
          <w:i/>
          <w:sz w:val="24"/>
          <w:szCs w:val="24"/>
          <w:lang w:val="pt-BR"/>
        </w:rPr>
        <w:t xml:space="preserve">UK Bribery Act 2010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sz w:val="24"/>
          <w:szCs w:val="24"/>
          <w:lang w:val="pt-BR"/>
        </w:rPr>
        <w:t>Leis Anticorrupção</w:t>
      </w:r>
      <w:r>
        <w:rPr>
          <w:rFonts w:cs="Calibri" w:ascii="Calibri" w:hAnsi="Calibri" w:asciiTheme="minorHAnsi" w:cstheme="minorHAnsi" w:hAnsiTheme="minorHAnsi"/>
          <w:sz w:val="24"/>
          <w:szCs w:val="24"/>
          <w:lang w:val="pt-BR"/>
        </w:rPr>
        <w:t xml:space="preserv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redução de capital social da Emissora, conforme disposto no artigo 174, parágrafo 3º, da Lei das Sociedades por Ações, exceto para absorção de prejuízos já conhecidos na Data de Emissão, nos termos da lei;</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distribuição e/ou pagamento, pela Emissora, de dividendos, juros sobre o capital próprio ou quaisquer outras distribuições de lucros aos acionistas da Emissora,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autuação pelos órgãos governamentais, de caráter fiscal ou de defesa da concorrência, entre outros, que possa vir a afetar de maneira substancial e relevante a capacidade operacional legal ou financeira da Emissora e/ou dos Fiadores para o pagamento das Debêntures;</w:t>
      </w:r>
      <w:ins w:id="57" w:author="Autor desconhecido" w:date="2021-06-24T16:42:24Z">
        <w:r>
          <w:rPr>
            <w:rFonts w:cs="Calibri" w:ascii="Calibri" w:hAnsi="Calibri" w:asciiTheme="minorHAnsi" w:cstheme="minorHAnsi" w:hAnsiTheme="minorHAnsi"/>
            <w:sz w:val="24"/>
            <w:szCs w:val="24"/>
            <w:lang w:val="pt-BR"/>
          </w:rPr>
          <w:t>[</w:t>
        </w:r>
      </w:ins>
      <w:ins w:id="58" w:author="Autor desconhecido" w:date="2021-06-24T16:42:24Z">
        <w:r>
          <w:rPr>
            <w:rFonts w:cs="Calibri" w:ascii="Calibri" w:hAnsi="Calibri" w:asciiTheme="minorHAnsi" w:cstheme="minorHAnsi" w:hAnsiTheme="minorHAnsi"/>
            <w:b/>
            <w:bCs/>
            <w:sz w:val="24"/>
            <w:szCs w:val="24"/>
            <w:highlight w:val="yellow"/>
            <w:u w:val="single"/>
            <w:lang w:val="pt-BR"/>
          </w:rPr>
          <w:t xml:space="preserve">Nota </w:t>
        </w:r>
      </w:ins>
      <w:ins w:id="59" w:author="Autor desconhecido" w:date="2021-06-24T16:42:24Z">
        <w:r>
          <w:rPr>
            <w:rFonts w:eastAsia="Arial" w:cs="Calibri" w:ascii="Calibri" w:hAnsi="Calibri" w:asciiTheme="minorHAnsi" w:cstheme="minorHAnsi" w:hAnsiTheme="minorHAnsi"/>
            <w:b/>
            <w:bCs/>
            <w:sz w:val="24"/>
            <w:szCs w:val="24"/>
            <w:highlight w:val="yellow"/>
            <w:u w:val="single"/>
            <w:lang w:val="pt-BR" w:eastAsia="en-GB"/>
          </w:rPr>
          <w:t>Companhia</w:t>
        </w:r>
      </w:ins>
      <w:ins w:id="60" w:author="Autor desconhecido" w:date="2021-06-24T16:42:24Z">
        <w:r>
          <w:rPr>
            <w:rFonts w:cs="Calibri" w:ascii="Calibri" w:hAnsi="Calibri" w:asciiTheme="minorHAnsi" w:cstheme="minorHAnsi" w:hAnsiTheme="minorHAnsi"/>
            <w:sz w:val="24"/>
            <w:szCs w:val="24"/>
            <w:highlight w:val="yellow"/>
            <w:lang w:val="pt-BR"/>
          </w:rPr>
          <w:t xml:space="preserve">: </w:t>
        </w:r>
      </w:ins>
      <w:ins w:id="61" w:author="Autor desconhecido" w:date="2021-06-24T16:42:24Z">
        <w:r>
          <w:rPr>
            <w:rFonts w:cs="Calibri" w:ascii="Calibri" w:hAnsi="Calibri" w:asciiTheme="minorHAnsi" w:cstheme="minorHAnsi" w:hAnsiTheme="minorHAnsi"/>
            <w:sz w:val="24"/>
            <w:szCs w:val="24"/>
            <w:highlight w:val="yellow"/>
            <w:lang w:val="pt-BR"/>
          </w:rPr>
          <w:t>Incluir que deve haver decisão transitado em julgado</w:t>
        </w:r>
      </w:ins>
      <w:ins w:id="62" w:author="Autor desconhecido" w:date="2021-06-24T16:42:24Z">
        <w:r>
          <w:rPr>
            <w:rFonts w:cs="Calibri" w:ascii="Calibri" w:hAnsi="Calibri" w:asciiTheme="minorHAnsi" w:cstheme="minorHAnsi" w:hAnsiTheme="minorHAnsi"/>
            <w:sz w:val="24"/>
            <w:szCs w:val="24"/>
            <w:lang w:val="pt-BR"/>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 que impliquem na cessação das atividades da Emissora e/ou dos Fiadores], exceto por aquelas em processo tempestivo de renovação;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Ajuste solicitado pela Companhia</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interrupção ou suspensão das atividades da Emissora, dos Fiadores e/ou de suas Controladas por período igual ou superior a 30 (trinta) dias;</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descumprimento do seguinte </w:t>
      </w:r>
      <w:r>
        <w:rPr>
          <w:rFonts w:cs="Calibri" w:ascii="Calibri" w:hAnsi="Calibri" w:asciiTheme="minorHAnsi" w:cstheme="minorHAnsi" w:hAnsiTheme="minorHAnsi"/>
          <w:iCs/>
          <w:sz w:val="24"/>
          <w:szCs w:val="24"/>
          <w:lang w:val="pt-BR"/>
        </w:rPr>
        <w:t>índice</w:t>
      </w:r>
      <w:r>
        <w:rPr>
          <w:rFonts w:cs="Calibri" w:ascii="Calibri" w:hAnsi="Calibri" w:asciiTheme="minorHAnsi" w:cstheme="minorHAnsi" w:hAnsiTheme="minorHAnsi"/>
          <w:sz w:val="24"/>
          <w:szCs w:val="24"/>
          <w:lang w:val="pt-BR"/>
        </w:rPr>
        <w:t xml:space="preserve"> financeiro (“</w:t>
      </w:r>
      <w:r>
        <w:rPr>
          <w:rFonts w:cs="Calibri" w:ascii="Calibri" w:hAnsi="Calibri" w:asciiTheme="minorHAnsi" w:cstheme="minorHAnsi" w:hAnsiTheme="minorHAnsi"/>
          <w:b/>
          <w:bCs/>
          <w:sz w:val="24"/>
          <w:szCs w:val="24"/>
          <w:lang w:val="pt-BR"/>
        </w:rPr>
        <w:t>Índice Financeiro</w:t>
      </w:r>
      <w:r>
        <w:rPr>
          <w:rFonts w:cs="Calibri" w:ascii="Calibri" w:hAnsi="Calibri" w:asciiTheme="minorHAnsi" w:cstheme="minorHAnsi" w:hAnsiTheme="minorHAnsi"/>
          <w:sz w:val="24"/>
          <w:szCs w:val="24"/>
          <w:lang w:val="pt-BR"/>
        </w:rPr>
        <w:t>”), apurado trimestralmente pelos auditores independentes registrados na CVM contratados pela Emissora, e verificado pelo Agente Fiduciário, com base nas demonstrações financeiras trimestrais consolidadas e auditadas da Emissora</w:t>
      </w:r>
      <w:ins w:id="63" w:author="Pedro Oliveira" w:date="2021-06-23T15:12:00Z">
        <w:r>
          <w:rPr>
            <w:rFonts w:cs="Calibri" w:ascii="Calibri" w:hAnsi="Calibri" w:asciiTheme="minorHAnsi" w:cstheme="minorHAnsi" w:hAnsiTheme="minorHAnsi"/>
            <w:sz w:val="24"/>
            <w:szCs w:val="24"/>
            <w:lang w:val="pt-BR"/>
          </w:rPr>
          <w:t xml:space="preserve"> e deve incluir a memória de cálculo, elaborada pela Emissora, com as contas abertas, explicitando as rubricas necessárias para apuração dos referidos índices financeiros (“Memória de Cálculo”)</w:t>
        </w:r>
      </w:ins>
      <w:r>
        <w:rPr>
          <w:rFonts w:cs="Calibri" w:ascii="Calibri" w:hAnsi="Calibri" w:asciiTheme="minorHAnsi" w:cstheme="minorHAnsi" w:hAnsiTheme="minorHAnsi"/>
          <w:sz w:val="24"/>
          <w:szCs w:val="24"/>
          <w:lang w:val="pt-BR"/>
        </w:rPr>
        <w:t>, sendo que a primeira verificação deverá ocorrer com base nas demonstrações financeiras trimestrais e consolidadas da Emissora referentes ao exercício social encerrado em 31 de dezembro de 2021.</w:t>
      </w:r>
      <w:r>
        <w:rPr>
          <w:rFonts w:cs="Calibri" w:ascii="Calibri" w:hAnsi="Calibri" w:asciiTheme="minorHAnsi" w:cstheme="minorHAnsi" w:hAnsiTheme="minorHAnsi"/>
          <w:iCs/>
          <w:sz w:val="24"/>
          <w:szCs w:val="24"/>
          <w:lang w:val="pt-BR"/>
        </w:rPr>
        <w:t xml:space="preserve"> Ao final de cada trimestre, a administração da Emissora deverá </w:t>
      </w:r>
      <w:r>
        <w:rPr>
          <w:rFonts w:cs="Calibri" w:ascii="Calibri" w:hAnsi="Calibri" w:asciiTheme="minorHAnsi" w:cstheme="minorHAnsi" w:hAnsiTheme="minorHAnsi"/>
          <w:b/>
          <w:iCs/>
          <w:sz w:val="24"/>
          <w:szCs w:val="24"/>
          <w:lang w:val="pt-BR"/>
        </w:rPr>
        <w:t xml:space="preserve">(a) </w:t>
      </w:r>
      <w:r>
        <w:rPr>
          <w:rFonts w:cs="Calibri" w:ascii="Calibri" w:hAnsi="Calibri" w:asciiTheme="minorHAnsi" w:cstheme="minorHAnsi" w:hAnsiTheme="minorHAnsi"/>
          <w:iCs/>
          <w:sz w:val="24"/>
          <w:szCs w:val="24"/>
          <w:lang w:val="pt-BR"/>
        </w:rPr>
        <w:t xml:space="preserve">apurar o Índice Financeiro; e </w:t>
      </w:r>
      <w:r>
        <w:rPr>
          <w:rFonts w:cs="Calibri" w:ascii="Calibri" w:hAnsi="Calibri" w:asciiTheme="minorHAnsi" w:cstheme="minorHAnsi" w:hAnsiTheme="minorHAnsi"/>
          <w:b/>
          <w:iCs/>
          <w:sz w:val="24"/>
          <w:szCs w:val="24"/>
          <w:lang w:val="pt-BR"/>
        </w:rPr>
        <w:t xml:space="preserve">(b) </w:t>
      </w:r>
      <w:r>
        <w:rPr>
          <w:rFonts w:cs="Calibri" w:ascii="Calibri" w:hAnsi="Calibri" w:asciiTheme="minorHAnsi" w:cstheme="minorHAnsi" w:hAnsiTheme="minorHAnsi"/>
          <w:iCs/>
          <w:sz w:val="24"/>
          <w:szCs w:val="24"/>
          <w:lang w:val="pt-BR"/>
        </w:rPr>
        <w:t>incluir em nota explicativa às demonstrações financeiras a serem auditadas por Auditores Independentes</w:t>
      </w:r>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Covenant Financeiro sob validação dos Coordenadores</w:t>
      </w:r>
      <w:r>
        <w:rPr>
          <w:rFonts w:cs="Calibri" w:ascii="Calibri" w:hAnsi="Calibri" w:asciiTheme="minorHAnsi" w:cstheme="minorHAnsi" w:hAnsiTheme="minorHAnsi"/>
          <w:sz w:val="24"/>
          <w:szCs w:val="24"/>
          <w:lang w:val="pt-BR"/>
        </w:rPr>
        <w:t xml:space="preserve">] </w:t>
      </w:r>
      <w:ins w:id="64" w:author="Autor desconhecido" w:date="2021-06-24T17:00:31Z">
        <w:r>
          <w:rPr>
            <w:rFonts w:cs="Calibri" w:ascii="Calibri" w:hAnsi="Calibri" w:asciiTheme="minorHAnsi" w:cstheme="minorHAnsi" w:hAnsiTheme="minorHAnsi"/>
            <w:sz w:val="24"/>
            <w:szCs w:val="24"/>
            <w:lang w:val="pt-BR"/>
          </w:rPr>
          <w:t>[</w:t>
        </w:r>
      </w:ins>
      <w:ins w:id="65" w:author="Autor desconhecido" w:date="2021-06-24T17:00:31Z">
        <w:r>
          <w:rPr>
            <w:rFonts w:cs="Calibri" w:ascii="Calibri" w:hAnsi="Calibri" w:asciiTheme="minorHAnsi" w:cstheme="minorHAnsi" w:hAnsiTheme="minorHAnsi"/>
            <w:b/>
            <w:bCs/>
            <w:sz w:val="24"/>
            <w:szCs w:val="24"/>
            <w:highlight w:val="yellow"/>
            <w:u w:val="single"/>
            <w:lang w:val="pt-BR"/>
          </w:rPr>
          <w:t xml:space="preserve">Nota </w:t>
        </w:r>
      </w:ins>
      <w:ins w:id="66" w:author="Autor desconhecido" w:date="2021-06-24T17:00:31Z">
        <w:r>
          <w:rPr>
            <w:rFonts w:eastAsia="Arial" w:cs="Calibri" w:ascii="Calibri" w:hAnsi="Calibri" w:asciiTheme="minorHAnsi" w:cstheme="minorHAnsi" w:hAnsiTheme="minorHAnsi"/>
            <w:b/>
            <w:bCs/>
            <w:sz w:val="24"/>
            <w:szCs w:val="24"/>
            <w:highlight w:val="yellow"/>
            <w:u w:val="single"/>
            <w:lang w:val="pt-BR" w:eastAsia="en-GB"/>
          </w:rPr>
          <w:t>Companhia</w:t>
        </w:r>
      </w:ins>
      <w:ins w:id="67" w:author="Autor desconhecido" w:date="2021-06-24T17:00:31Z">
        <w:r>
          <w:rPr>
            <w:rFonts w:cs="Calibri" w:ascii="Calibri" w:hAnsi="Calibri" w:asciiTheme="minorHAnsi" w:cstheme="minorHAnsi" w:hAnsiTheme="minorHAnsi"/>
            <w:sz w:val="24"/>
            <w:szCs w:val="24"/>
            <w:highlight w:val="yellow"/>
            <w:lang w:val="pt-BR"/>
          </w:rPr>
          <w:t xml:space="preserve">: </w:t>
        </w:r>
      </w:ins>
      <w:ins w:id="68" w:author="Autor desconhecido" w:date="2021-06-24T17:00:31Z">
        <w:r>
          <w:rPr>
            <w:rFonts w:cs="Calibri" w:ascii="Calibri" w:hAnsi="Calibri" w:asciiTheme="minorHAnsi" w:cstheme="minorHAnsi" w:hAnsiTheme="minorHAnsi"/>
            <w:sz w:val="24"/>
            <w:szCs w:val="24"/>
            <w:highlight w:val="yellow"/>
            <w:lang w:val="pt-BR"/>
          </w:rPr>
          <w:t>Vamos incluir anualmente e não</w:t>
        </w:r>
      </w:ins>
      <w:ins w:id="69" w:author="Autor desconhecido" w:date="2021-06-24T17:00:31Z">
        <w:r>
          <w:rPr>
            <w:rFonts w:cs="Calibri" w:ascii="Calibri" w:hAnsi="Calibri" w:asciiTheme="minorHAnsi" w:cstheme="minorHAnsi" w:hAnsiTheme="minorHAnsi"/>
            <w:sz w:val="24"/>
            <w:szCs w:val="24"/>
            <w:highlight w:val="yellow"/>
            <w:lang w:val="pt-BR"/>
          </w:rPr>
          <w:t xml:space="preserve"> trimestralmente. DL/Ebitda menor ou igual a 3,5 em 21.</w:t>
        </w:r>
      </w:ins>
      <w:ins w:id="70" w:author="Autor desconhecido" w:date="2021-06-24T17:00:31Z">
        <w:r>
          <w:rPr>
            <w:rFonts w:cs="Calibri" w:ascii="Calibri" w:hAnsi="Calibri" w:asciiTheme="minorHAnsi" w:cstheme="minorHAnsi" w:hAnsiTheme="minorHAnsi"/>
            <w:sz w:val="24"/>
            <w:szCs w:val="24"/>
            <w:lang w:val="pt-BR"/>
          </w:rPr>
          <w:t>]</w:t>
        </w:r>
      </w:ins>
    </w:p>
    <w:p>
      <w:pPr>
        <w:pStyle w:val="Level5"/>
        <w:numPr>
          <w:ilvl w:val="0"/>
          <w:numId w:val="0"/>
        </w:numPr>
        <w:spacing w:lineRule="exact" w:line="340" w:before="0" w:after="240"/>
        <w:ind w:left="1418" w:hanging="0"/>
        <w:rPr>
          <w:rFonts w:ascii="Calibri" w:hAnsi="Calibri" w:cs="Calibri" w:asciiTheme="minorHAnsi" w:cstheme="minorHAnsi" w:hAnsiTheme="minorHAnsi"/>
          <w:color w:val="000000"/>
          <w:sz w:val="24"/>
          <w:szCs w:val="24"/>
          <w:lang w:val="pt-BR"/>
        </w:rPr>
      </w:pP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lang w:val="pt-BR"/>
        </w:rPr>
        <w:t>Dívida Líquida/EBITDA</w:t>
      </w:r>
      <w:r>
        <w:rPr>
          <w:rFonts w:cs="Calibri" w:ascii="Calibri" w:hAnsi="Calibri" w:asciiTheme="minorHAnsi" w:cstheme="minorHAnsi" w:hAnsiTheme="minorHAnsi"/>
          <w:sz w:val="24"/>
          <w:szCs w:val="24"/>
          <w:lang w:val="pt-BR"/>
        </w:rPr>
        <w:t>” menor ou igual a 3,</w:t>
      </w:r>
      <w:ins w:id="71" w:author="Autor desconhecido" w:date="2021-06-24T18:02:04Z">
        <w:r>
          <w:rPr>
            <w:rFonts w:cs="Calibri" w:ascii="Calibri" w:hAnsi="Calibri" w:asciiTheme="minorHAnsi" w:cstheme="minorHAnsi" w:hAnsiTheme="minorHAnsi"/>
            <w:sz w:val="24"/>
            <w:szCs w:val="24"/>
            <w:lang w:val="pt-BR"/>
          </w:rPr>
          <w:t>5</w:t>
        </w:r>
      </w:ins>
      <w:del w:id="72" w:author="Autor desconhecido" w:date="2021-06-24T18:02:04Z">
        <w:r>
          <w:rPr>
            <w:rFonts w:cs="Calibri" w:ascii="Calibri" w:hAnsi="Calibri" w:asciiTheme="minorHAnsi" w:cstheme="minorHAnsi" w:hAnsiTheme="minorHAnsi"/>
            <w:sz w:val="24"/>
            <w:szCs w:val="24"/>
            <w:lang w:val="pt-BR"/>
          </w:rPr>
          <w:delText>0</w:delText>
        </w:r>
      </w:del>
      <w:r>
        <w:rPr>
          <w:rFonts w:cs="Calibri" w:ascii="Calibri" w:hAnsi="Calibri" w:asciiTheme="minorHAnsi" w:cstheme="minorHAnsi" w:hAnsiTheme="minorHAnsi"/>
          <w:sz w:val="24"/>
          <w:szCs w:val="24"/>
          <w:lang w:val="pt-BR"/>
        </w:rPr>
        <w:t xml:space="preserve"> para dezembro 2021 e 2,5 a partir 2022, sendo que:</w:t>
      </w:r>
    </w:p>
    <w:p>
      <w:pPr>
        <w:pStyle w:val="Level5"/>
        <w:numPr>
          <w:ilvl w:val="0"/>
          <w:numId w:val="0"/>
        </w:numPr>
        <w:spacing w:lineRule="exact" w:line="340" w:before="0" w:after="240"/>
        <w:ind w:left="1418"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b/>
          <w:bCs/>
          <w:sz w:val="24"/>
          <w:szCs w:val="24"/>
          <w:lang w:val="pt-BR"/>
        </w:rPr>
        <w:t>Dívida Líquida</w:t>
      </w:r>
      <w:r>
        <w:rPr>
          <w:rFonts w:cs="Calibri" w:ascii="Calibri" w:hAnsi="Calibri" w:asciiTheme="minorHAnsi" w:cstheme="minorHAnsi" w:hAnsiTheme="minorHAnsi"/>
          <w:color w:val="000000"/>
          <w:sz w:val="24"/>
          <w:szCs w:val="24"/>
          <w:lang w:val="pt-BR"/>
        </w:rPr>
        <w:t xml:space="preserve">” </w:t>
      </w:r>
      <w:r>
        <w:rPr>
          <w:rFonts w:cs="Calibri" w:ascii="Calibri" w:hAnsi="Calibri" w:asciiTheme="minorHAnsi" w:cstheme="minorHAnsi" w:hAnsiTheme="minorHAnsi"/>
          <w:sz w:val="24"/>
          <w:szCs w:val="24"/>
          <w:lang w:val="pt-BR"/>
        </w:rPr>
        <w:t>significa, com base nas Demonstrações Financeiras Consolidadas da Emissora, com relação à data a que o cálculo se referir, o resultado (a) da soma de (i) empréstimos, financiamentos, linhas de crédito e operações de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 (</w:t>
      </w:r>
      <w:r>
        <w:rPr>
          <w:rFonts w:cs="Calibri" w:ascii="Calibri" w:hAnsi="Calibri" w:asciiTheme="minorHAnsi" w:cstheme="minorHAnsi" w:hAnsiTheme="minorHAnsi"/>
          <w:sz w:val="24"/>
          <w:szCs w:val="24"/>
          <w:u w:val="single"/>
          <w:lang w:val="pt-BR"/>
        </w:rPr>
        <w:t>Seller’s Finance</w:t>
      </w:r>
      <w:r>
        <w:rPr>
          <w:rFonts w:cs="Calibri" w:ascii="Calibri" w:hAnsi="Calibri" w:asciiTheme="minorHAnsi" w:cstheme="minorHAnsi" w:hAnsiTheme="minorHAnsi"/>
          <w:sz w:val="24"/>
          <w:szCs w:val="24"/>
          <w:lang w:val="pt-BR"/>
        </w:rPr>
        <w:t>), e (b) da subtração de (i) caixa e equivalentes, (ii) aplicações financeiras, e (iii) ativos decorrentes de instrumentos financeiros (derivativos);</w:t>
      </w:r>
    </w:p>
    <w:p>
      <w:pPr>
        <w:pStyle w:val="Level5"/>
        <w:numPr>
          <w:ilvl w:val="0"/>
          <w:numId w:val="0"/>
        </w:numPr>
        <w:spacing w:lineRule="exact" w:line="340" w:before="0" w:after="240"/>
        <w:ind w:left="1418"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b/>
          <w:bCs/>
          <w:sz w:val="24"/>
          <w:szCs w:val="24"/>
          <w:lang w:val="pt-BR"/>
        </w:rPr>
        <w:t>EBITDA</w:t>
      </w:r>
      <w:r>
        <w:rPr>
          <w:rFonts w:cs="Calibri" w:ascii="Calibri" w:hAnsi="Calibri" w:asciiTheme="minorHAnsi" w:cstheme="minorHAnsi" w:hAnsiTheme="minorHAnsi"/>
          <w:color w:val="000000"/>
          <w:sz w:val="24"/>
          <w:szCs w:val="24"/>
          <w:lang w:val="pt-BR"/>
        </w:rPr>
        <w:t>” significa, 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r>
        <w:rPr>
          <w:rFonts w:cs="Calibri" w:ascii="Calibri" w:hAnsi="Calibri" w:asciiTheme="minorHAnsi" w:cstheme="minorHAnsi" w:hAnsiTheme="minorHAnsi"/>
          <w:sz w:val="24"/>
          <w:szCs w:val="24"/>
          <w:lang w:val="pt-BR"/>
        </w:rPr>
        <w:t>;</w:t>
      </w:r>
    </w:p>
    <w:p>
      <w:pPr>
        <w:pStyle w:val="Level5"/>
        <w:numPr>
          <w:ilvl w:val="0"/>
          <w:numId w:val="0"/>
        </w:numPr>
        <w:spacing w:lineRule="exact" w:line="340" w:before="0" w:after="240"/>
        <w:ind w:left="1418"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lang w:val="pt-BR"/>
        </w:rPr>
        <w:t>Resultado Não Operacional</w:t>
      </w:r>
      <w:r>
        <w:rPr>
          <w:rFonts w:cs="Calibri" w:ascii="Calibri" w:hAnsi="Calibri" w:asciiTheme="minorHAnsi" w:cstheme="minorHAnsi" w:hAnsiTheme="minorHAnsi"/>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bookmarkStart w:id="92" w:name="_Hlk35292199"/>
      <w:bookmarkEnd w:id="92"/>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concessão de preferência a outros créditos ou contratação, pela Emissora e/ou pelos Fiadores, na qualidade de devedores, afiançados, garantidores e/ou coobrigados, de empréstimos, mútuos, financiamentos, adiantamentos de recursos ou qualquer outra forma de operação de crédito, operação financeira e/ou operação de mercado de capitais, local ou internacional;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93" w:name="_Ref498627622"/>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a exclusão deste item, tendo em vista que as empresas do grupo celebram empréstimos entre partes relacionadas</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Os valores indicados nas Cláusulas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_Ref62664572 \r \h </w:instrText>
      </w:r>
      <w:r>
        <w:rPr>
          <w:sz w:val="24"/>
          <w:szCs w:val="24"/>
          <w:rFonts w:cs="Calibri" w:ascii="Calibri" w:hAnsi="Calibri"/>
          <w:lang w:val="pt-BR"/>
        </w:rPr>
        <w:fldChar w:fldCharType="separate"/>
      </w:r>
      <w:r>
        <w:rPr>
          <w:sz w:val="24"/>
          <w:szCs w:val="24"/>
          <w:rFonts w:cs="Calibri" w:ascii="Calibri" w:hAnsi="Calibri"/>
          <w:lang w:val="pt-BR"/>
        </w:rPr>
        <w:t>6.1.1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e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_Ref62664505 \r \h </w:instrText>
      </w:r>
      <w:r>
        <w:rPr>
          <w:sz w:val="24"/>
          <w:szCs w:val="24"/>
          <w:rFonts w:cs="Calibri" w:ascii="Calibri" w:hAnsi="Calibri"/>
          <w:lang w:val="pt-BR"/>
        </w:rPr>
        <w:fldChar w:fldCharType="separate"/>
      </w:r>
      <w:r>
        <w:rPr>
          <w:sz w:val="24"/>
          <w:szCs w:val="24"/>
          <w:rFonts w:cs="Calibri" w:ascii="Calibri" w:hAnsi="Calibri"/>
          <w:lang w:val="pt-BR"/>
        </w:rPr>
        <w:t>6.2.1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serão corrigidos anualmente, de acordo com a variação acumulada do IPCA, a partir da Data de Emissão, ou na falta deste, pelo índice oficial que vier a substituir o IPCA.</w:t>
      </w:r>
      <w:bookmarkEnd w:id="93"/>
      <w:r>
        <w:rPr>
          <w:rFonts w:cs="Calibri" w:ascii="Calibri" w:hAnsi="Calibri" w:asciiTheme="minorHAnsi" w:cstheme="minorHAnsi" w:hAnsiTheme="minorHAnsi"/>
          <w:sz w:val="24"/>
          <w:szCs w:val="24"/>
          <w:lang w:val="pt-BR"/>
        </w:rPr>
        <w:t xml:space="preserve"> </w:t>
      </w:r>
      <w:ins w:id="73" w:author="Autor desconhecido" w:date="2021-06-24T17:44:45Z">
        <w:r>
          <w:rPr>
            <w:rFonts w:cs="Calibri" w:ascii="Calibri" w:hAnsi="Calibri" w:asciiTheme="minorHAnsi" w:cstheme="minorHAnsi" w:hAnsiTheme="minorHAnsi"/>
            <w:sz w:val="24"/>
            <w:szCs w:val="24"/>
            <w:lang w:val="pt-BR"/>
          </w:rPr>
          <w:t>[</w:t>
        </w:r>
      </w:ins>
      <w:ins w:id="74" w:author="Autor desconhecido" w:date="2021-06-24T17:44:45Z">
        <w:r>
          <w:rPr>
            <w:rFonts w:cs="Calibri" w:ascii="Calibri" w:hAnsi="Calibri" w:asciiTheme="minorHAnsi" w:cstheme="minorHAnsi" w:hAnsiTheme="minorHAnsi"/>
            <w:b/>
            <w:bCs/>
            <w:sz w:val="24"/>
            <w:szCs w:val="24"/>
            <w:highlight w:val="yellow"/>
            <w:u w:val="single"/>
            <w:lang w:val="pt-BR"/>
          </w:rPr>
          <w:t xml:space="preserve">Nota </w:t>
        </w:r>
      </w:ins>
      <w:ins w:id="75" w:author="Autor desconhecido" w:date="2021-06-24T17:44:45Z">
        <w:r>
          <w:rPr>
            <w:rFonts w:eastAsia="Arial" w:cs="Calibri" w:ascii="Calibri" w:hAnsi="Calibri" w:asciiTheme="minorHAnsi" w:cstheme="minorHAnsi" w:hAnsiTheme="minorHAnsi"/>
            <w:b/>
            <w:bCs/>
            <w:sz w:val="24"/>
            <w:szCs w:val="24"/>
            <w:highlight w:val="yellow"/>
            <w:u w:val="single"/>
            <w:lang w:val="pt-BR" w:eastAsia="en-GB"/>
          </w:rPr>
          <w:t>Companhia</w:t>
        </w:r>
      </w:ins>
      <w:ins w:id="76" w:author="Autor desconhecido" w:date="2021-06-24T17:44:45Z">
        <w:r>
          <w:rPr>
            <w:rFonts w:cs="Calibri" w:ascii="Calibri" w:hAnsi="Calibri" w:asciiTheme="minorHAnsi" w:cstheme="minorHAnsi" w:hAnsiTheme="minorHAnsi"/>
            <w:sz w:val="24"/>
            <w:szCs w:val="24"/>
            <w:highlight w:val="yellow"/>
            <w:lang w:val="pt-BR"/>
          </w:rPr>
          <w:t xml:space="preserve">: </w:t>
        </w:r>
      </w:ins>
      <w:ins w:id="77" w:author="Autor desconhecido" w:date="2021-06-24T17:44:45Z">
        <w:r>
          <w:rPr>
            <w:rFonts w:cs="Calibri" w:ascii="Calibri" w:hAnsi="Calibri" w:asciiTheme="minorHAnsi" w:cstheme="minorHAnsi" w:hAnsiTheme="minorHAnsi"/>
            <w:sz w:val="24"/>
            <w:szCs w:val="24"/>
            <w:highlight w:val="yellow"/>
            <w:lang w:val="pt-BR"/>
          </w:rPr>
          <w:t xml:space="preserve">detalhar cláusula, visto </w:t>
        </w:r>
      </w:ins>
      <w:ins w:id="78" w:author="Autor desconhecido" w:date="2021-06-24T17:45:00Z">
        <w:r>
          <w:rPr>
            <w:rFonts w:eastAsia="Arial" w:cs="Calibri" w:ascii="Calibri" w:hAnsi="Calibri" w:asciiTheme="minorHAnsi" w:cstheme="minorHAnsi" w:hAnsiTheme="minorHAnsi"/>
            <w:sz w:val="24"/>
            <w:szCs w:val="24"/>
            <w:highlight w:val="yellow"/>
            <w:lang w:val="pt-BR" w:eastAsia="en-GB"/>
          </w:rPr>
          <w:t>que faz alusão aos vencimentos antecipados)</w:t>
        </w:r>
      </w:ins>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referências a “controle” previstas nas Cláusulas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_Ref62664572 \r \h </w:instrText>
      </w:r>
      <w:r>
        <w:rPr>
          <w:sz w:val="24"/>
          <w:szCs w:val="24"/>
          <w:rFonts w:cs="Calibri" w:ascii="Calibri" w:hAnsi="Calibri"/>
          <w:lang w:val="pt-BR"/>
        </w:rPr>
        <w:fldChar w:fldCharType="separate"/>
      </w:r>
      <w:r>
        <w:rPr>
          <w:sz w:val="24"/>
          <w:szCs w:val="24"/>
          <w:rFonts w:cs="Calibri" w:ascii="Calibri" w:hAnsi="Calibri"/>
          <w:lang w:val="pt-BR"/>
        </w:rPr>
        <w:t>6.1.1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e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_Ref62664505 \r \h </w:instrText>
      </w:r>
      <w:r>
        <w:rPr>
          <w:sz w:val="24"/>
          <w:szCs w:val="24"/>
          <w:rFonts w:cs="Calibri" w:ascii="Calibri" w:hAnsi="Calibri"/>
          <w:lang w:val="pt-BR"/>
        </w:rPr>
        <w:fldChar w:fldCharType="separate"/>
      </w:r>
      <w:r>
        <w:rPr>
          <w:sz w:val="24"/>
          <w:szCs w:val="24"/>
          <w:rFonts w:cs="Calibri" w:ascii="Calibri" w:hAnsi="Calibri"/>
          <w:lang w:val="pt-BR"/>
        </w:rPr>
        <w:t>6.2.1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deverão ser entendidas como tendo o sentido conferido pelo artigo 116 da Lei das Sociedades por Ações.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94" w:name="_Ref370978155"/>
      <w:r>
        <w:rPr>
          <w:rFonts w:cs="Calibri" w:ascii="Calibri" w:hAnsi="Calibri" w:asciiTheme="minorHAnsi" w:cstheme="minorHAnsi" w:hAnsi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94"/>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95" w:name="_Ref38531255"/>
      <w:bookmarkStart w:id="96" w:name="_BPDC_PR_INS_1147"/>
      <w:bookmarkStart w:id="97" w:name="_BPDC_LN_INS_1146"/>
      <w:bookmarkEnd w:id="96"/>
      <w:bookmarkEnd w:id="97"/>
      <w:r>
        <w:rPr>
          <w:rFonts w:cs="Calibri" w:ascii="Calibri" w:hAnsi="Calibri" w:asciiTheme="minorHAnsi" w:cstheme="minorHAnsi" w:hAnsiTheme="minorHAnsi"/>
          <w:sz w:val="24"/>
          <w:szCs w:val="24"/>
          <w:lang w:val="pt-BR"/>
        </w:rPr>
        <w:t>Na ocorrência de quaisquer das Hipóteses de Vencimento Antecipado Não Automático, o Agente Fiduciário deverá convocar, em até 2 (dois) Dias Úteis contados da data em que tomar ciência da ocorrência do referido evento, Assembleia Geral de Debenturistas para deliberar sobre a eventual não declaração do vencimento antecipado das Debêntures.</w:t>
      </w:r>
      <w:bookmarkEnd w:id="95"/>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98" w:name="_BPDC_PR_INS_1143"/>
      <w:bookmarkStart w:id="99" w:name="_BPDC_LN_INS_1142"/>
      <w:bookmarkStart w:id="100" w:name="_BPDC_PR_INS_1145"/>
      <w:bookmarkStart w:id="101" w:name="_BPDC_LN_INS_1144"/>
      <w:bookmarkEnd w:id="98"/>
      <w:bookmarkEnd w:id="99"/>
      <w:bookmarkEnd w:id="100"/>
      <w:bookmarkEnd w:id="101"/>
      <w:r>
        <w:rPr>
          <w:rFonts w:cs="Calibri" w:ascii="Calibri" w:hAnsi="Calibri" w:asciiTheme="minorHAnsi" w:cstheme="minorHAnsi" w:hAnsiTheme="minorHAnsi"/>
          <w:sz w:val="24"/>
          <w:szCs w:val="24"/>
          <w:lang w:val="pt-BR"/>
        </w:rPr>
        <w:t xml:space="preserve">Observado o disposto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_Ref38531255 \r \h </w:instrText>
      </w:r>
      <w:r>
        <w:rPr>
          <w:sz w:val="24"/>
          <w:szCs w:val="24"/>
          <w:rFonts w:cs="Calibri" w:ascii="Calibri" w:hAnsi="Calibri"/>
          <w:lang w:val="pt-BR"/>
        </w:rPr>
        <w:fldChar w:fldCharType="separate"/>
      </w:r>
      <w:r>
        <w:rPr>
          <w:sz w:val="24"/>
          <w:szCs w:val="24"/>
          <w:rFonts w:cs="Calibri" w:ascii="Calibri" w:hAnsi="Calibri"/>
          <w:lang w:val="pt-BR"/>
        </w:rPr>
        <w:t>6.6</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se, nas Assembleias Gerais de Debenturistas decorrentes de inadimplementos dos itens mencionados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_Ref62664505 \n \h </w:instrText>
      </w:r>
      <w:r>
        <w:rPr>
          <w:sz w:val="24"/>
          <w:szCs w:val="24"/>
          <w:rFonts w:cs="Calibri" w:ascii="Calibri" w:hAnsi="Calibri"/>
          <w:lang w:val="pt-BR"/>
        </w:rPr>
        <w:fldChar w:fldCharType="separate"/>
      </w:r>
      <w:r>
        <w:rPr>
          <w:sz w:val="24"/>
          <w:szCs w:val="24"/>
          <w:rFonts w:cs="Calibri" w:ascii="Calibri" w:hAnsi="Calibri"/>
          <w:lang w:val="pt-BR"/>
        </w:rPr>
        <w:t>6.2.1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os Debenturistas detentores de, no mínimo, 75% (setenta e cinco por cento) das Debêntures em Circulação em primeira ou segunda convocação 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ou ausência do quórum de deliberação, o Agente Fiduciário considerará o vencimento antecipado de tais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Em caso de vencimento antecipado das obrigações decorrentes das Debêntures, o Agente Fiduciário deverá comunicar tal fato imediatamente à B3 e ao Banco Liquidante por meio de correio eletrônico.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102" w:name="_Ref62664814"/>
      <w:r>
        <w:rPr>
          <w:rFonts w:cs="Calibri" w:ascii="Calibri" w:hAnsi="Calibri" w:asciiTheme="minorHAnsi" w:cstheme="minorHAnsi" w:hAnsiTheme="minorHAnsi"/>
          <w:bCs/>
          <w:sz w:val="24"/>
          <w:szCs w:val="24"/>
          <w:lang w:val="pt-BR"/>
        </w:rPr>
        <w:t>Em</w:t>
      </w:r>
      <w:r>
        <w:rPr>
          <w:rFonts w:cs="Calibri" w:ascii="Calibri" w:hAnsi="Calibri" w:asciiTheme="minorHAnsi" w:cstheme="minorHAnsi" w:hAnsiTheme="minorHAnsi"/>
          <w:sz w:val="24"/>
          <w:szCs w:val="24"/>
          <w:lang w:val="pt-BR"/>
        </w:rPr>
        <w:t xml:space="preserve"> caso de vencimento antecipado das Debêntures, a Emissora obriga-se a resgatar a totalidade das Debêntures, com o seu consequente cancelamento, obrigando-se aos pagamentos previstos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_Ref62664572 \n \h </w:instrText>
      </w:r>
      <w:r>
        <w:rPr>
          <w:sz w:val="24"/>
          <w:szCs w:val="24"/>
          <w:rFonts w:cs="Calibri" w:ascii="Calibri" w:hAnsi="Calibri"/>
          <w:lang w:val="pt-BR"/>
        </w:rPr>
        <w:fldChar w:fldCharType="separate"/>
      </w:r>
      <w:r>
        <w:rPr>
          <w:sz w:val="24"/>
          <w:szCs w:val="24"/>
          <w:rFonts w:cs="Calibri" w:ascii="Calibri" w:hAnsi="Calibri"/>
          <w:lang w:val="pt-BR"/>
        </w:rPr>
        <w:t>6.1.1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além dos demais encargos devidos nos termos desta Escritura de Emissão, em até 3 (três) Dias Úteis contados da ocorrência ou declaração, conforme aplicável, do vencimento antecipado pelo Agente Fiduciário. Caso a Emissora não consiga honrar com as obrigações previstas nesta Cláusula, os Debenturistas poderão executar a Fiança.</w:t>
      </w:r>
      <w:bookmarkEnd w:id="102"/>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Caso o resgate referido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_Ref62664814 \n \h </w:instrText>
      </w:r>
      <w:r>
        <w:rPr>
          <w:sz w:val="24"/>
          <w:szCs w:val="24"/>
          <w:rFonts w:cs="Calibri" w:ascii="Calibri" w:hAnsi="Calibri"/>
          <w:lang w:val="pt-BR"/>
        </w:rPr>
        <w:fldChar w:fldCharType="separate"/>
      </w:r>
      <w:r>
        <w:rPr>
          <w:sz w:val="24"/>
          <w:szCs w:val="24"/>
          <w:rFonts w:cs="Calibri" w:ascii="Calibri" w:hAnsi="Calibri"/>
          <w:lang w:val="pt-BR"/>
        </w:rPr>
        <w:t>6.9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seja realizado por meio da B3, a Emissora deverá comunicar a B3 por meio de correspondência, em conjunto com o Agente Fiduciário, sobre o resgate com, no mínimo, 3 (três) Dias Úteis de antecedência da data estipulada para a sua realização.</w:t>
      </w:r>
    </w:p>
    <w:p>
      <w:pPr>
        <w:pStyle w:val="Level1"/>
        <w:numPr>
          <w:ilvl w:val="0"/>
          <w:numId w:val="5"/>
        </w:numPr>
        <w:spacing w:lineRule="exact" w:line="340"/>
        <w:rPr>
          <w:rFonts w:ascii="Calibri" w:hAnsi="Calibri" w:cs="Calibri" w:asciiTheme="minorHAnsi" w:cstheme="minorHAnsi" w:hAnsiTheme="minorHAnsi"/>
          <w:sz w:val="24"/>
          <w:szCs w:val="24"/>
        </w:rPr>
      </w:pPr>
      <w:bookmarkStart w:id="103" w:name="_Ref498606435"/>
      <w:bookmarkStart w:id="104" w:name="_BPDC_PR_INS_1139"/>
      <w:bookmarkStart w:id="105" w:name="_BPDC_LN_INS_1138"/>
      <w:bookmarkStart w:id="106" w:name="_BPDC_PR_INS_1141"/>
      <w:bookmarkStart w:id="107" w:name="_BPDC_LN_INS_1140"/>
      <w:bookmarkEnd w:id="103"/>
      <w:bookmarkEnd w:id="104"/>
      <w:bookmarkEnd w:id="105"/>
      <w:bookmarkEnd w:id="106"/>
      <w:bookmarkEnd w:id="107"/>
      <w:r>
        <w:rPr>
          <w:rFonts w:cs="Calibri" w:ascii="Calibri" w:hAnsi="Calibri" w:asciiTheme="minorHAnsi" w:cstheme="minorHAnsi" w:hAnsiTheme="minorHAnsi"/>
          <w:sz w:val="24"/>
          <w:szCs w:val="24"/>
        </w:rPr>
        <w:t>OBRIGAÇÕES ADICIONAIS DA EMISSORA E DOS FIADORES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108" w:name="_Ref459545748"/>
      <w:bookmarkStart w:id="109" w:name="_DV_C150"/>
      <w:bookmarkStart w:id="110" w:name="_DV_M165"/>
      <w:bookmarkStart w:id="111" w:name="_DV_M164"/>
      <w:bookmarkStart w:id="112" w:name="_DV_M163"/>
      <w:bookmarkStart w:id="113" w:name="_DV_M162"/>
      <w:bookmarkStart w:id="114" w:name="_DV_M161"/>
      <w:bookmarkStart w:id="115" w:name="_DV_M160"/>
      <w:bookmarkStart w:id="116" w:name="_DV_M159"/>
      <w:bookmarkStart w:id="117" w:name="_DV_M158"/>
      <w:bookmarkStart w:id="118" w:name="_DV_M157"/>
      <w:bookmarkStart w:id="119" w:name="_DV_M156"/>
      <w:bookmarkStart w:id="120" w:name="_DV_M155"/>
      <w:bookmarkStart w:id="121" w:name="_DV_M154"/>
      <w:bookmarkStart w:id="122" w:name="_DV_M153"/>
      <w:bookmarkStart w:id="123" w:name="_DV_M152"/>
      <w:bookmarkStart w:id="124" w:name="_DV_M151"/>
      <w:bookmarkStart w:id="125" w:name="_DV_M150"/>
      <w:bookmarkStart w:id="126" w:name="_DV_M149"/>
      <w:bookmarkStart w:id="127" w:name="_DV_M148"/>
      <w:bookmarkStart w:id="128" w:name="_DV_M147"/>
      <w:bookmarkStart w:id="129" w:name="_DV_M146"/>
      <w:bookmarkStart w:id="130" w:name="_DV_M145"/>
      <w:bookmarkStart w:id="131" w:name="_DV_M144"/>
      <w:bookmarkStart w:id="132" w:name="_DV_M143"/>
      <w:bookmarkStart w:id="133" w:name="_DV_M142"/>
      <w:bookmarkStart w:id="134" w:name="_DV_M141"/>
      <w:bookmarkStart w:id="135" w:name="_DV_M140"/>
      <w:bookmarkStart w:id="136" w:name="_DV_M139"/>
      <w:bookmarkStart w:id="137" w:name="_DV_M137"/>
      <w:bookmarkStart w:id="138" w:name="_DV_M136"/>
      <w:bookmarkStart w:id="139" w:name="_DV_M135"/>
      <w:bookmarkStart w:id="140" w:name="_DV_M134"/>
      <w:bookmarkStart w:id="141" w:name="_DV_M133"/>
      <w:bookmarkStart w:id="142" w:name="_DV_M132"/>
      <w:bookmarkStart w:id="143" w:name="_DV_M131"/>
      <w:bookmarkStart w:id="144" w:name="_DV_M130"/>
      <w:bookmarkStart w:id="145" w:name="_DV_M129"/>
      <w:bookmarkStart w:id="146" w:name="_DV_M128"/>
      <w:bookmarkStart w:id="147" w:name="_DV_M127"/>
      <w:bookmarkStart w:id="148" w:name="_DV_M126"/>
      <w:bookmarkStart w:id="149" w:name="_DV_M125"/>
      <w:bookmarkStart w:id="150" w:name="_DV_M124"/>
      <w:bookmarkStart w:id="151" w:name="_DV_M123"/>
      <w:bookmarkStart w:id="152" w:name="_DV_M122"/>
      <w:bookmarkStart w:id="153" w:name="_DV_M12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cs="Calibri" w:ascii="Calibri" w:hAnsi="Calibri" w:asciiTheme="minorHAnsi" w:cstheme="minorHAnsi" w:hAnsiTheme="minorHAnsi"/>
          <w:sz w:val="24"/>
          <w:szCs w:val="24"/>
          <w:lang w:val="pt-BR"/>
        </w:rPr>
        <w:t>Sem prejuízo do disposto na regulamentação aplicável e noutras disposições desta Escritura de Emissão, a Emissora e os Fiadores, conforme aplicável, estão obrigados a:</w:t>
      </w:r>
      <w:bookmarkEnd w:id="108"/>
    </w:p>
    <w:p>
      <w:pPr>
        <w:pStyle w:val="Normal"/>
        <w:widowControl/>
        <w:numPr>
          <w:ilvl w:val="0"/>
          <w:numId w:val="3"/>
        </w:numPr>
        <w:tabs>
          <w:tab w:val="left" w:pos="709" w:leader="none"/>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Emissora deverá disponibilizar ao Agente Fiduciário: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 até 90 (noventa) dias contados da data do encerramento de cada exercício social, ou em até 1 (um) Dia Útil contado da data da efetiva divulgação, o que ocorrer primeiro, durante todo o prazo de vigência das Debêntures, (1) cópia de suas demonstrações financeiras auditadas relativas ao respectivo exercício social, acompanhadas de notas explicativas e do relatório dos auditores independentes, preparadas de acordo com os princípios contábeis determinados pela legislação e regulamentação em vigor;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 </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w w:val="100"/>
          <w:sz w:val="24"/>
          <w:szCs w:val="24"/>
        </w:rPr>
        <w:t xml:space="preserve">dentro de, no máximo, 45 (quarenta e cinco) dias após o término dos 3 (três) primeiros trimestres de cada exercício social, </w:t>
      </w:r>
      <w:r>
        <w:rPr>
          <w:rFonts w:cs="Calibri" w:ascii="Calibri" w:hAnsi="Calibri" w:asciiTheme="minorHAnsi" w:cstheme="minorHAnsi" w:hAnsiTheme="minorHAnsi"/>
          <w:sz w:val="24"/>
          <w:szCs w:val="24"/>
        </w:rPr>
        <w:t>ou em até 1 (um) Dia Útil contado da data da efetiva divulgação</w:t>
      </w:r>
      <w:r>
        <w:rPr>
          <w:rFonts w:cs="Calibri" w:ascii="Calibri" w:hAnsi="Calibri" w:asciiTheme="minorHAnsi" w:cstheme="minorHAnsi" w:hAnsiTheme="minorHAnsi"/>
          <w:w w:val="100"/>
          <w:sz w:val="24"/>
          <w:szCs w:val="24"/>
        </w:rPr>
        <w:t xml:space="preserve">, o que ocorrer primeiro, </w:t>
      </w:r>
      <w:r>
        <w:rPr>
          <w:rFonts w:cs="Calibri" w:ascii="Calibri" w:hAnsi="Calibri" w:asciiTheme="minorHAnsi" w:cstheme="minorHAnsi" w:hAnsiTheme="minorHAnsi"/>
          <w:sz w:val="24"/>
          <w:szCs w:val="24"/>
        </w:rPr>
        <w:t>, durante todo o prazo de vigência das Debêntures, (1)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cs="Calibri" w:ascii="Calibri" w:hAnsi="Calibri" w:asciiTheme="minorHAnsi" w:cstheme="minorHAnsi" w:hAnsiTheme="minorHAnsi"/>
          <w:w w:val="100"/>
          <w:sz w:val="24"/>
          <w:szCs w:val="24"/>
        </w:rPr>
        <w:t>;</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no prazo de até 15 (quinze) dias corridos após o envio das demonstrações financeiras informadas no item (i) acima e previamente ao relatório anual, declaração assinada pelos representantes legais da Emissora, nos termos de seu estatuto social, atestando (1) que permanecem válidas as disposições contidas nos documentos da Emissão; (2) a não ocorrência de qualquer das Hipóteses de Vencimento Antecipado; e (3) inexistência de descumprimento de obrigações da Emissora e dos Fiadores perante os Debenturistas; </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cópia dos avisos aos Debenturistas, fatos relevantes, conforme definidos na Instrução da CVM nº 358, de 3 de janeiro de 2002, conforme alterada (“</w:t>
      </w:r>
      <w:r>
        <w:rPr>
          <w:rFonts w:cs="Calibri" w:ascii="Calibri" w:hAnsi="Calibri" w:asciiTheme="minorHAnsi" w:cstheme="minorHAnsi" w:hAnsiTheme="minorHAnsi"/>
          <w:b/>
          <w:sz w:val="24"/>
          <w:szCs w:val="24"/>
        </w:rPr>
        <w:t>Instrução CVM 358</w:t>
      </w:r>
      <w:r>
        <w:rPr>
          <w:rFonts w:cs="Calibri" w:ascii="Calibri" w:hAnsi="Calibri" w:asciiTheme="minorHAnsi" w:cstheme="minorHAnsi" w:hAnsiTheme="minorHAnsi"/>
          <w:sz w:val="24"/>
          <w:szCs w:val="24"/>
        </w:rPr>
        <w:t>”), assim como atas de Assembleias Gerais e reuniões do Conselho de Administração da Emissora que, de alguma forma, envolvam interesse dos Debenturistas, em até 1 (um) Dia Útil contado da sua publicação ou, se não forem publicados, da data em que forem realizados, conforme aplicável;</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 até 5 (cinco) Dias Úteis da data de solicitação, qualquer informação relevante para a presente Emissão que lhe venha a ser razoavelmente solicitada, por escrito, pelo Agente Fiduciário;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informações a respeito da ocorrência de qualquer das Hipóteses de Vencimento Antecipado, em até 1 (um) Dia Útil contado do conhecimento pela Emissora, sem prejuízo de o Agente Fiduciário declarar antecipadamente vencidas as obrigações relativas às Debêntures, nos limites e desde que respeitados os prazos de cura previstos nesta Escritura de Emissão;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prazo de até 1 (um) Dia Útil contado da data de recebimento, envio de cópia de qualquer correspondência ou notificação, judicial ou extrajudicial, recebida pela Emissora relacionada a uma Hipótese de Vencimento Antecipado;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1 (uma) via original, com a lista de presença, e uma cópia eletrônica (PDF) com a devida chancela digital da JUCESP dos atos e reuniões dos Debenturistas que integrem a Emissão; e</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nos mesmos prazos previstos para o envio dessas informações à CVM, cópia das informações periódicas e eventuais previstas na Instrução da CVM n° 480, de 7 de dezembro de 2009, conforme alterada (“</w:t>
      </w:r>
      <w:r>
        <w:rPr>
          <w:rFonts w:cs="Calibri" w:ascii="Calibri" w:hAnsi="Calibri" w:asciiTheme="minorHAnsi" w:cstheme="minorHAnsi" w:hAnsiTheme="minorHAnsi"/>
          <w:b/>
          <w:bCs/>
          <w:sz w:val="24"/>
          <w:szCs w:val="24"/>
        </w:rPr>
        <w:t>Instrução CVM 480</w:t>
      </w:r>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4" w:name="_Ref411184915"/>
      <w:bookmarkStart w:id="155" w:name="_Ref427707775"/>
      <w:bookmarkEnd w:id="154"/>
      <w:bookmarkEnd w:id="155"/>
      <w:r>
        <w:rPr>
          <w:rFonts w:cs="Calibri" w:ascii="Calibri" w:hAnsi="Calibri" w:asciiTheme="minorHAnsi" w:cstheme="minorHAnsi" w:hAnsiTheme="minorHAnsi"/>
          <w:sz w:val="24"/>
          <w:szCs w:val="24"/>
        </w:rPr>
        <w:t>no prazo de até 1 (um) Dia Útil contado da data de ciência, informações a respeito da ocorrência de qualquer evento ou situação que cause (i) qualquer efeito adverso relevante na situação (financeira ou de outra natureza), nos negócios, nos bens, nos resultados operacionais, na reputação e/ou nas perspectivas da Emissora, dos Fiadores e/ou de suas Controladas; e/ou (ii) qualquer efeito adverso na capacidade da Emissora e/ou dos Fiadores de cumprirem qualquer de suas obrigações nos termos desta Escritura de Emissão ("</w:t>
      </w:r>
      <w:r>
        <w:rPr>
          <w:rFonts w:cs="Calibri" w:ascii="Calibri" w:hAnsi="Calibri" w:asciiTheme="minorHAnsi" w:cstheme="minorHAnsi" w:hAnsiTheme="minorHAnsi"/>
          <w:b/>
          <w:bCs/>
          <w:sz w:val="24"/>
          <w:szCs w:val="24"/>
        </w:rPr>
        <w:t>Efeito Adverso Relevante</w:t>
      </w:r>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deverá cumprir as obrigações previstas no artigo 17 da Instrução CVM 476, quais sejam: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preparar as demonstrações financeiras de encerramento de exercício e, se for o caso, demonstrações consolidadas, em conformidade com a Lei das Sociedades por Ações e com as regras emitidas pela CVM;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submeter suas demonstrações financeiras à auditoria, por auditor registrado na CVM;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até o dia anterior ao início das negociações, suas demonstrações financeiras, acompanhadas de notas explicativas e do relatório dos auditores independentes, relativas aos 3 (três) últimos exercícios sociais encerrados;</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observar as disposições da Instrução CVM 358, no tocante a dever de sigilo e vedações à negociação;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divulgar a ocorrência de ato ou fato relevante, conforme definido no artigo 2° da Instrução CVM 358;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fornecer as informações solicitadas pela CVM e pela B3;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em sua página na rede mundial de computadores o relatório anual e demais comunicações enviadas pelo Agente Fiduciário na mesma data do seu recebimento;</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observar as disposições da regulamentação especifica editada pela CVM, caso seja convocada, para realização de modo parcial ou exclusivamente digital, Assembleia Geral de Debenturistas, que tenham sido objeto de oferta pública com esforços restritos nos termos da Instrução CVM 476; e</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as informações referidas nos itens (iii), (iv), (vi) e (ix) acima disponíveis em sua página na rede mundial de computadores, bem como no sistema disponibilizado pela B3, conforme aplicável;</w:t>
      </w:r>
      <w:bookmarkStart w:id="156" w:name="_Hlk72589916"/>
      <w:bookmarkEnd w:id="156"/>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não deverá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Emissora deverá manter atualizado o registro de companhia aberta na CVM e cumprir com as obrigações de envio à CVM de informações periódicas e eventuais e de divulgação e colocação de tais informações à disposição dos investidores nos termos da Instrução CVM 480;</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deverá contratar e manter contratados durante o prazo de vigência das Debêntures, às expensas da Emissora, os prestadores de serviços inerentes às obrigações previstas nesta Escritura de Emissão,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7" w:name="_Hlk72590005"/>
      <w:r>
        <w:rPr>
          <w:rFonts w:cs="Calibri" w:ascii="Calibri" w:hAnsi="Calibri" w:asciiTheme="minorHAnsi" w:cstheme="minorHAnsi" w:hAnsiTheme="minorHAnsi"/>
          <w:sz w:val="24"/>
          <w:szCs w:val="24"/>
        </w:rPr>
        <w:t>a Emissora deverá efetuar recolhimento de quaisquer tributos, tarifas e/ou emolumentos que incidam ou venham a incidir sobre a Emissão e que sejam de responsabilidade da Emissora</w:t>
      </w:r>
      <w:bookmarkEnd w:id="157"/>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8" w:name="_Hlk72590394"/>
      <w:r>
        <w:rPr>
          <w:rFonts w:cs="Calibri" w:ascii="Calibri" w:hAnsi="Calibri" w:asciiTheme="minorHAnsi" w:cstheme="minorHAnsi" w:hAnsiTheme="minorHAnsi"/>
          <w:sz w:val="24"/>
          <w:szCs w:val="24"/>
        </w:rPr>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 e cujos efeitos estejam suspensos</w:t>
      </w:r>
      <w:bookmarkEnd w:id="158"/>
      <w:r>
        <w:rPr>
          <w:rFonts w:cs="Calibri" w:ascii="Calibri" w:hAnsi="Calibri" w:asciiTheme="minorHAnsi" w:cstheme="minorHAnsi" w:hAnsiTheme="minorHAnsi"/>
          <w:sz w:val="24"/>
          <w:szCs w:val="24"/>
        </w:rPr>
        <w:t xml:space="preserve">, desde que não resulte em um Efeito Adverso Relevante;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a sua contabilidade atualizada e efetuar os respectivos registros de acordo com os princípios contábeis geralmente aceitos no Brasil;</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9" w:name="_Hlk72590205"/>
      <w:r>
        <w:rPr>
          <w:rFonts w:cs="Calibri" w:ascii="Calibri" w:hAnsi="Calibri" w:asciiTheme="minorHAnsi" w:cstheme="minorHAnsi" w:hAnsiTheme="minorHAnsi"/>
          <w:sz w:val="24"/>
          <w:szCs w:val="24"/>
        </w:rPr>
        <w:t>a Emissora deverá 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59"/>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0" w:name="_Ref38531453"/>
      <w:r>
        <w:rPr>
          <w:rFonts w:cs="Calibri" w:ascii="Calibri" w:hAnsi="Calibri" w:asciiTheme="minorHAnsi" w:cstheme="minorHAnsi" w:hAnsiTheme="minorHAnsi"/>
          <w:sz w:val="24"/>
          <w:szCs w:val="24"/>
        </w:rPr>
        <w:t>a Emissora deverá</w:t>
      </w:r>
      <w:r>
        <w:rPr>
          <w:rFonts w:eastAsia="Arial" w:cs="Calibri" w:ascii="Calibri" w:hAnsi="Calibri" w:asciiTheme="minorHAnsi" w:cstheme="minorHAnsi" w:hAnsiTheme="minorHAnsi"/>
          <w:sz w:val="24"/>
          <w:szCs w:val="24"/>
          <w:lang w:eastAsia="en-GB"/>
        </w:rPr>
        <w:t xml:space="preserve"> </w:t>
      </w:r>
      <w:bookmarkEnd w:id="160"/>
      <w:r>
        <w:rPr>
          <w:rFonts w:cs="Calibri" w:ascii="Calibri" w:hAnsi="Calibri" w:asciiTheme="minorHAnsi" w:cstheme="minorHAnsi" w:hAnsiTheme="minorHAnsi"/>
          <w:sz w:val="24"/>
          <w:szCs w:val="24"/>
        </w:rPr>
        <w:t xml:space="preserve">convocar, nos termos da Cláusula </w:t>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_Ref38530179 \n \h </w:instrText>
      </w:r>
      <w:r>
        <w:rPr>
          <w:sz w:val="24"/>
          <w:szCs w:val="24"/>
          <w:rFonts w:cs="Calibri" w:ascii="Calibri" w:hAnsi="Calibri"/>
        </w:rPr>
        <w:fldChar w:fldCharType="separate"/>
      </w:r>
      <w:r>
        <w:rPr>
          <w:sz w:val="24"/>
          <w:szCs w:val="24"/>
          <w:rFonts w:cs="Calibri" w:ascii="Calibri" w:hAnsi="Calibri"/>
        </w:rPr>
        <w:t>9</w:t>
      </w:r>
      <w:r>
        <w:rPr>
          <w:sz w:val="24"/>
          <w:szCs w:val="24"/>
          <w:rFonts w:cs="Calibri" w:ascii="Calibri" w:hAnsi="Calibri"/>
        </w:rPr>
        <w:fldChar w:fldCharType="end"/>
      </w:r>
      <w:r>
        <w:rPr>
          <w:rFonts w:cs="Calibri" w:ascii="Calibri" w:hAnsi="Calibri" w:asciiTheme="minorHAnsi" w:cstheme="minorHAnsi" w:hAnsiTheme="minorHAnsi"/>
          <w:sz w:val="24"/>
          <w:szCs w:val="24"/>
        </w:rPr>
        <w:t xml:space="preserve"> abaixo, Assembleias Gerais para deliberar sobre qualquer das matérias que direta ou indiretamente se relacione com a Emissão, a Oferta Restrita, e as Debêntures, caso o Agente Fiduciário deva fazer, nos termos da presente Escritura de Emissão, mas não o faça e informá-lo, na mesma data, a convocação de qualquer Assembleia Geral de Debenturistas nos termos deste item;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e os Fiadores deverão comparecer às Assembleias Gerais de Debenturistas, sempre que solicitado e convocados nos prazos previstos nesta Escritura de Emissão;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1" w:name="_Ref410996566"/>
      <w:r>
        <w:rPr>
          <w:rFonts w:cs="Calibri" w:ascii="Calibri" w:hAnsi="Calibri" w:asciiTheme="minorHAnsi" w:cstheme="minorHAnsi" w:hAnsiTheme="minorHAnsi"/>
          <w:sz w:val="24"/>
          <w:szCs w:val="24"/>
        </w:rPr>
        <w:t>a Emissora deverá efetuar, no prazo de [=] ([=]) Dias Úteis a contar da solicitação por escrito do reembolso de despesas,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61"/>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2" w:name="_Hlk72590226"/>
      <w:r>
        <w:rPr>
          <w:rFonts w:cs="Calibri" w:ascii="Calibri" w:hAnsi="Calibri" w:asciiTheme="minorHAnsi" w:cstheme="minorHAnsi" w:hAnsiTheme="minorHAnsi"/>
          <w:sz w:val="24"/>
          <w:szCs w:val="24"/>
        </w:rPr>
        <w:t>a Emissora deverá tomar todas as medidas e arcar com todos os custos (i) decorrentes da distribuição das Debêntures, incluindo todos os custos relativos ao seu depósito na B3; e (ii) de registro e de publicação dos atos necessários à Emissão</w:t>
      </w:r>
      <w:bookmarkEnd w:id="162"/>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3" w:name="_Hlk72590071"/>
      <w:r>
        <w:rPr>
          <w:rFonts w:cs="Calibri" w:ascii="Calibri" w:hAnsi="Calibri" w:asciiTheme="minorHAnsi" w:cstheme="minorHAnsi" w:hAnsiTheme="minorHAnsi"/>
          <w:sz w:val="24"/>
          <w:szCs w:val="24"/>
        </w:rPr>
        <w:t>cumprir todas as determinações emanadas da CVM e da B3, no que se refere à Oferta Restrita, com envio de documentos, se for o caso, prestando, ainda, todas as informações que lhes forem solicitadas pela CVM, pela B3 e pela ANBIMA, no prazo estabelecido por essas entidades</w:t>
      </w:r>
      <w:bookmarkEnd w:id="163"/>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obter e manter válidas e eficazes todas as autorizações e aprovações, incluindo as societárias e governamentais, exigidas: (i) para a validade, eficácia e exequibilidade das Debêntures e da Fiança; e (ii) para o fiel, pontual e integral cumprimento das obrigações decorrentes das Debêntures;</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cumprir com todas as obrigações constantes desta Escritura de Emissão;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manter toda a estrutura de contratos e demais acordos existentes e relevantes, os quais dão à Emissora condição fundamental de funcionamento e regularidade de suas atividades;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válidas e regulares as declarações e garantias prestadas nesta Escritura de Emissão;</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abster-se, até a divulgação da comunicação de encerramento da Oferta Restrita à CVM (“</w:t>
      </w:r>
      <w:r>
        <w:rPr>
          <w:rFonts w:cs="Calibri" w:ascii="Calibri" w:hAnsi="Calibri" w:asciiTheme="minorHAnsi" w:cstheme="minorHAnsi" w:hAnsiTheme="minorHAnsi"/>
          <w:b/>
          <w:sz w:val="24"/>
          <w:szCs w:val="24"/>
        </w:rPr>
        <w:t>Comunicação de Encerramento</w:t>
      </w:r>
      <w:r>
        <w:rPr>
          <w:rFonts w:cs="Calibri" w:ascii="Calibri" w:hAnsi="Calibri" w:asciiTheme="minorHAnsi" w:cstheme="minorHAnsi" w:hAnsiTheme="minorHAnsi"/>
          <w:sz w:val="24"/>
          <w:szCs w:val="24"/>
        </w:rPr>
        <w:t>”) de (i)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(ii) utilizar as informações referentes à Emissão, exceto para fins estritamente relacionados com a preparação da Emissão; e (iii) negociar valores mobiliários de sua emissão, salvo nos termos previstos no inciso II do artigo 48 da Instrução CVM 400;</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4" w:name="_Hlk72590254"/>
      <w:r>
        <w:rPr>
          <w:rFonts w:cs="Calibri" w:ascii="Calibri" w:hAnsi="Calibri" w:asciiTheme="minorHAnsi" w:cstheme="minorHAnsi" w:hAnsiTheme="minorHAnsi"/>
          <w:sz w:val="24"/>
          <w:szCs w:val="24"/>
        </w:rPr>
        <w:t>cumprir rigorosa e integralmente (i) a legislação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bem como (ii) a legislação trabalhista, inclusive quanto a não utilização de mão de obra infantil e/ou em condições análogas às de escravo e à saúde e segurança ocupacional, assim como não adotar práticas que incentivem a prostituição, 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Pr>
          <w:rFonts w:cs="Calibri" w:ascii="Calibri" w:hAnsi="Calibri" w:asciiTheme="minorHAnsi" w:cstheme="minorHAnsi" w:hAnsiTheme="minorHAnsi"/>
          <w:b/>
          <w:sz w:val="24"/>
          <w:szCs w:val="24"/>
        </w:rPr>
        <w:t>Legislação Socioambiental</w:t>
      </w:r>
      <w:r>
        <w:rPr>
          <w:rFonts w:cs="Calibri" w:ascii="Calibri" w:hAnsi="Calibri" w:asciiTheme="minorHAnsi" w:cstheme="minorHAnsi" w:hAnsiTheme="minorHAnsi"/>
          <w:sz w:val="24"/>
          <w:szCs w:val="24"/>
        </w:rPr>
        <w:t>”);</w:t>
      </w:r>
      <w:bookmarkEnd w:id="164"/>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5" w:name="_Hlk72590271"/>
      <w:r>
        <w:rPr>
          <w:rFonts w:cs="Calibri" w:ascii="Calibri" w:hAnsi="Calibri" w:asciiTheme="minorHAnsi" w:cstheme="minorHAnsi" w:hAnsiTheme="minorHAnsi"/>
          <w:sz w:val="24"/>
          <w:szCs w:val="24"/>
        </w:rPr>
        <w:t>manter e fazer com que suas Controladas mantenham sempre válidas e regulares as licenças, alvarás, concessões, autorizações ou aprovações necessárias ao regular funcionamento da Emissora, dos Fiadores e de suas Controladas, exceto no que se referir a licenças, alvarás, concessões ou aprovações que se encontrem em processo regular e tempestivo de renovação;</w:t>
      </w:r>
      <w:bookmarkEnd w:id="165"/>
    </w:p>
    <w:p>
      <w:pPr>
        <w:pStyle w:val="Normal"/>
        <w:widowControl/>
        <w:numPr>
          <w:ilvl w:val="0"/>
          <w:numId w:val="3"/>
        </w:numPr>
        <w:tabs>
          <w:tab w:val="clear" w:pos="709"/>
        </w:tabs>
        <w:suppressAutoHyphens w:val="true"/>
        <w:spacing w:lineRule="exact" w:line="340" w:before="240" w:after="240"/>
        <w:ind w:left="1360" w:hanging="680"/>
        <w:rPr>
          <w:rFonts w:ascii="Calibri" w:hAnsi="Calibri" w:cs="Calibri" w:asciiTheme="minorHAnsi" w:cstheme="minorHAnsi" w:hAnsiTheme="minorHAnsi"/>
          <w:sz w:val="24"/>
          <w:szCs w:val="24"/>
        </w:rPr>
      </w:pPr>
      <w:bookmarkStart w:id="166" w:name="_Hlk72590288"/>
      <w:r>
        <w:rPr>
          <w:rFonts w:cs="Calibri" w:ascii="Calibri" w:hAnsi="Calibri" w:asciiTheme="minorHAnsi" w:cstheme="minorHAnsi" w:hAnsiTheme="minorHAnsi"/>
          <w:sz w:val="24"/>
          <w:szCs w:val="24"/>
        </w:rPr>
        <w:t xml:space="preserve">cumprir a destinação dos recursos captados por meio da Emissão, nos termos da Cláusula </w:t>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_Ref38531111 \r \h </w:instrText>
      </w:r>
      <w:r>
        <w:rPr>
          <w:sz w:val="24"/>
          <w:szCs w:val="24"/>
          <w:rFonts w:cs="Calibri" w:ascii="Calibri" w:hAnsi="Calibri"/>
        </w:rPr>
        <w:fldChar w:fldCharType="separate"/>
      </w:r>
      <w:r>
        <w:rPr>
          <w:sz w:val="24"/>
          <w:szCs w:val="24"/>
          <w:rFonts w:cs="Calibri" w:ascii="Calibri" w:hAnsi="Calibri"/>
        </w:rPr>
        <w:t>3.5</w:t>
      </w:r>
      <w:r>
        <w:rPr>
          <w:sz w:val="24"/>
          <w:szCs w:val="24"/>
          <w:rFonts w:cs="Calibri" w:ascii="Calibri" w:hAnsi="Calibri"/>
        </w:rPr>
        <w:fldChar w:fldCharType="end"/>
      </w:r>
      <w:r>
        <w:rPr>
          <w:rFonts w:cs="Calibri" w:ascii="Calibri" w:hAnsi="Calibri" w:asciiTheme="minorHAnsi" w:cstheme="minorHAnsi" w:hAnsiTheme="minorHAnsi"/>
          <w:sz w:val="24"/>
          <w:szCs w:val="24"/>
        </w:rPr>
        <w:t xml:space="preserve"> desta Escritura de Emissão</w:t>
      </w:r>
      <w:bookmarkEnd w:id="166"/>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240" w:after="240"/>
        <w:ind w:left="1360" w:hanging="680"/>
        <w:rPr>
          <w:rFonts w:ascii="Calibri" w:hAnsi="Calibri" w:cs="Calibri" w:asciiTheme="minorHAnsi" w:cstheme="minorHAnsi" w:hAnsiTheme="minorHAnsi"/>
          <w:sz w:val="24"/>
          <w:szCs w:val="24"/>
        </w:rPr>
      </w:pPr>
      <w:bookmarkStart w:id="167" w:name="_Hlk72590301"/>
      <w:r>
        <w:rPr>
          <w:rFonts w:cs="Calibri" w:ascii="Calibri" w:hAnsi="Calibri" w:asciiTheme="minorHAnsi" w:cstheme="minorHAnsi" w:hAnsiTheme="minorHAnsi"/>
          <w:sz w:val="24"/>
          <w:szCs w:val="24"/>
        </w:rPr>
        <w:t>por si, suas respectivas Afiliadas, acionistas, por seus administradores e funcionários, adotar todas as medidas necessárias para assegurar o cumprimento das leis ou regulamentos, nacionais ou estrangeiros, contra prática de corrupção ou atos lesivos à administração pública, incluindo, sem limitação, as Leis Anticorrupção, na medida em que forem aplicáveis, e comprometem-se a abster-se de praticar qualquer atividade que constitua uma violação às disposições contidas nestas legislações e a envidar os melhores esforços para que seus eventuais subcontratados se comprometam a observar o disposto neste item</w:t>
      </w:r>
      <w:bookmarkEnd w:id="167"/>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8" w:name="_Hlk72590314"/>
      <w:r>
        <w:rPr>
          <w:rFonts w:cs="Calibri" w:ascii="Calibri" w:hAnsi="Calibri" w:asciiTheme="minorHAnsi" w:cstheme="minorHAnsi" w:hAnsiTheme="minorHAnsi"/>
          <w:sz w:val="24"/>
          <w:szCs w:val="24"/>
        </w:rPr>
        <w:t>assegurar que os recursos obtidos com a Emissão e a Oferta Restrita não sejam empregados pela Emissora, seus diretores e membros do conselho de administração, no estrito exercício das respectivas funções de administradores da Emissora e/ou dos Fiadores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68"/>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9" w:name="_Hlk72590326"/>
      <w:r>
        <w:rPr>
          <w:rFonts w:cs="Calibri" w:ascii="Calibri" w:hAnsi="Calibri" w:asciiTheme="minorHAnsi" w:cstheme="minorHAnsi" w:hAnsiTheme="minorHAnsi"/>
          <w:sz w:val="24"/>
          <w:szCs w:val="24"/>
        </w:rPr>
        <w:t>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Debêntures</w:t>
      </w:r>
      <w:bookmarkEnd w:id="169"/>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70" w:name="_DV_M417"/>
      <w:bookmarkEnd w:id="170"/>
      <w:r>
        <w:rPr>
          <w:rFonts w:cs="Calibri" w:ascii="Calibri" w:hAnsi="Calibri" w:asciiTheme="minorHAnsi" w:cstheme="minorHAnsi" w:hAnsiTheme="minorHAnsi"/>
          <w:sz w:val="24"/>
          <w:szCs w:val="24"/>
        </w:rPr>
        <w:t>a Emissora deverá manter, pelo prazo mínimo de 5 (cinco) anos contados do envio da Comunicação de Encerramento, ou por prazo superior por determinação expressa da CVM, todos os documentos e informações exigidas pela Instrução CVM 476; e</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bCs/>
          <w:iCs/>
          <w:sz w:val="24"/>
          <w:szCs w:val="24"/>
        </w:rPr>
      </w:pPr>
      <w:bookmarkStart w:id="171" w:name="_Hlk72590338"/>
      <w:r>
        <w:rPr>
          <w:rFonts w:cs="Calibri" w:ascii="Calibri" w:hAnsi="Calibri" w:asciiTheme="minorHAnsi" w:cstheme="minorHAnsi" w:hAnsiTheme="minorHAnsi"/>
          <w:bCs/>
          <w:iCs/>
          <w:sz w:val="24"/>
          <w:szCs w:val="24"/>
        </w:rPr>
        <w:t xml:space="preserve">manter-se adimplente no cumprimento de todas as leis, regulamentos, normas administrativas e </w:t>
      </w:r>
      <w:r>
        <w:rPr>
          <w:rFonts w:cs="Calibri" w:ascii="Calibri" w:hAnsi="Calibri" w:asciiTheme="minorHAnsi" w:cstheme="minorHAnsi" w:hAnsiTheme="minorHAnsi"/>
          <w:sz w:val="24"/>
          <w:szCs w:val="24"/>
        </w:rPr>
        <w:t>determinações</w:t>
      </w:r>
      <w:r>
        <w:rPr>
          <w:rFonts w:cs="Calibri" w:ascii="Calibri" w:hAnsi="Calibri" w:asciiTheme="minorHAnsi" w:cstheme="minorHAnsi" w:hAnsiTheme="minorHAnsi"/>
          <w:bCs/>
          <w:iCs/>
          <w:sz w:val="24"/>
          <w:szCs w:val="24"/>
        </w:rPr>
        <w:t xml:space="preserve"> dos órgãos governamentais, autarquias, juízos ou tribunais, aplicáveis ao exercício de suas atividades em qualquer jurisdição na qual realize negócios ou possua ativos</w:t>
      </w:r>
      <w:bookmarkEnd w:id="171"/>
      <w:r>
        <w:rPr>
          <w:rFonts w:cs="Calibri" w:ascii="Calibri" w:hAnsi="Calibri" w:asciiTheme="minorHAnsi" w:cstheme="minorHAnsi" w:hAnsiTheme="minorHAnsi"/>
          <w:bCs/>
          <w:iCs/>
          <w:sz w:val="24"/>
          <w:szCs w:val="24"/>
        </w:rPr>
        <w:t>.</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AGENTE FIDUCIÁRIO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172" w:name="_Ref411184915"/>
      <w:bookmarkStart w:id="173" w:name="_Ref427707775"/>
      <w:bookmarkStart w:id="174" w:name="_Ref486278702"/>
      <w:bookmarkStart w:id="175" w:name="_DV_M250"/>
      <w:bookmarkStart w:id="176" w:name="_DV_M249"/>
      <w:bookmarkStart w:id="177" w:name="_DV_M248"/>
      <w:bookmarkStart w:id="178" w:name="_DV_M247"/>
      <w:bookmarkStart w:id="179" w:name="_DV_M246"/>
      <w:bookmarkStart w:id="180" w:name="_DV_M245"/>
      <w:bookmarkStart w:id="181" w:name="_DV_M244"/>
      <w:bookmarkStart w:id="182" w:name="_DV_M243"/>
      <w:bookmarkStart w:id="183" w:name="_DV_M242"/>
      <w:bookmarkStart w:id="184" w:name="_DV_M241"/>
      <w:bookmarkStart w:id="185" w:name="_DV_M240"/>
      <w:bookmarkStart w:id="186" w:name="_DV_M239"/>
      <w:bookmarkStart w:id="187" w:name="_DV_M238"/>
      <w:bookmarkStart w:id="188" w:name="_DV_M237"/>
      <w:bookmarkStart w:id="189" w:name="_DV_M236"/>
      <w:bookmarkStart w:id="190" w:name="_DV_M235"/>
      <w:bookmarkStart w:id="191" w:name="_DV_M234"/>
      <w:bookmarkStart w:id="192" w:name="_DV_M233"/>
      <w:bookmarkStart w:id="193" w:name="_DV_M232"/>
      <w:bookmarkStart w:id="194" w:name="_DV_M231"/>
      <w:bookmarkStart w:id="195" w:name="_DV_M230"/>
      <w:bookmarkStart w:id="196" w:name="_DV_M229"/>
      <w:bookmarkStart w:id="197" w:name="_DV_M228"/>
      <w:bookmarkStart w:id="198" w:name="_DV_M227"/>
      <w:bookmarkStart w:id="199" w:name="_DV_M226"/>
      <w:bookmarkStart w:id="200" w:name="_DV_M225"/>
      <w:bookmarkStart w:id="201" w:name="_DV_M224"/>
      <w:bookmarkStart w:id="202" w:name="_DV_M223"/>
      <w:bookmarkStart w:id="203" w:name="_DV_M222"/>
      <w:bookmarkStart w:id="204" w:name="_DV_M221"/>
      <w:bookmarkStart w:id="205" w:name="_DV_M220"/>
      <w:bookmarkStart w:id="206" w:name="_DV_M219"/>
      <w:bookmarkStart w:id="207" w:name="_DV_M218"/>
      <w:bookmarkStart w:id="208" w:name="_DV_M217"/>
      <w:bookmarkStart w:id="209" w:name="_DV_M216"/>
      <w:bookmarkStart w:id="210" w:name="_DV_M215"/>
      <w:bookmarkStart w:id="211" w:name="_DV_M214"/>
      <w:bookmarkStart w:id="212" w:name="_DV_M213"/>
      <w:bookmarkStart w:id="213" w:name="_DV_M212"/>
      <w:bookmarkStart w:id="214" w:name="_DV_M211"/>
      <w:bookmarkStart w:id="215" w:name="_DV_M210"/>
      <w:bookmarkStart w:id="216" w:name="_DV_M209"/>
      <w:bookmarkStart w:id="217" w:name="_DV_M208"/>
      <w:bookmarkStart w:id="218" w:name="_DV_M207"/>
      <w:bookmarkStart w:id="219" w:name="_DV_M206"/>
      <w:bookmarkStart w:id="220" w:name="_DV_M205"/>
      <w:bookmarkStart w:id="221" w:name="_DV_M204"/>
      <w:bookmarkStart w:id="222" w:name="_DV_M203"/>
      <w:bookmarkStart w:id="223" w:name="_DV_M202"/>
      <w:bookmarkStart w:id="224" w:name="_DV_M201"/>
      <w:bookmarkStart w:id="225" w:name="_DV_M200"/>
      <w:bookmarkStart w:id="226" w:name="_DV_M199"/>
      <w:bookmarkStart w:id="227" w:name="_DV_M198"/>
      <w:bookmarkStart w:id="228" w:name="_DV_M197"/>
      <w:bookmarkStart w:id="229" w:name="_DV_M196"/>
      <w:bookmarkStart w:id="230" w:name="_DV_M19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cs="Calibri" w:ascii="Calibri" w:hAnsi="Calibri" w:asciiTheme="minorHAnsi" w:cstheme="minorHAnsi" w:hAnsiTheme="minorHAnsi"/>
          <w:sz w:val="24"/>
          <w:szCs w:val="24"/>
          <w:lang w:val="pt-BR"/>
        </w:rPr>
        <w:t xml:space="preserve">A Emissora nomeia e constitui, como Agente Fiduciário da Emissão, a </w:t>
      </w:r>
      <w:del w:id="79" w:author="Pedro Oliveira" w:date="2021-06-23T15:13:00Z">
        <w:r>
          <w:rPr>
            <w:rFonts w:cs="Calibri" w:ascii="Calibri" w:hAnsi="Calibri" w:asciiTheme="minorHAnsi" w:cstheme="minorHAnsi" w:hAnsiTheme="minorHAnsi"/>
            <w:sz w:val="24"/>
            <w:szCs w:val="24"/>
            <w:lang w:val="pt-BR"/>
          </w:rPr>
          <w:delText>[</w:delText>
        </w:r>
      </w:del>
      <w:del w:id="80" w:author="Pedro Oliveira" w:date="2021-06-23T15:13:00Z">
        <w:r>
          <w:rPr>
            <w:rFonts w:cs="Calibri" w:ascii="Calibri" w:hAnsi="Calibri" w:asciiTheme="minorHAnsi" w:cstheme="minorHAnsi" w:hAnsiTheme="minorHAnsi"/>
            <w:sz w:val="24"/>
            <w:szCs w:val="24"/>
            <w:highlight w:val="yellow"/>
            <w:lang w:val="pt-BR"/>
          </w:rPr>
          <w:delText>=</w:delText>
        </w:r>
      </w:del>
      <w:del w:id="81" w:author="Pedro Oliveira" w:date="2021-06-23T15:13:00Z">
        <w:r>
          <w:rPr>
            <w:rFonts w:cs="Calibri" w:ascii="Calibri" w:hAnsi="Calibri" w:asciiTheme="minorHAnsi" w:cstheme="minorHAnsi" w:hAnsiTheme="minorHAnsi"/>
            <w:sz w:val="24"/>
            <w:szCs w:val="24"/>
            <w:lang w:val="pt-BR"/>
          </w:rPr>
          <w:delText xml:space="preserve">], </w:delText>
        </w:r>
      </w:del>
      <w:ins w:id="82" w:author="Pedro Oliveira" w:date="2021-06-23T15:13:00Z">
        <w:r>
          <w:rPr>
            <w:rFonts w:cs="Calibri" w:ascii="Calibri" w:hAnsi="Calibri" w:asciiTheme="minorHAnsi" w:cstheme="minorHAnsi" w:hAnsiTheme="minorHAnsi"/>
            <w:sz w:val="24"/>
            <w:szCs w:val="24"/>
            <w:lang w:val="pt-BR"/>
          </w:rPr>
          <w:t>Simplific Pavarini Distribuid</w:t>
        </w:r>
      </w:ins>
      <w:ins w:id="83" w:author="Pedro Oliveira" w:date="2021-06-23T15:14:00Z">
        <w:r>
          <w:rPr>
            <w:rFonts w:cs="Calibri" w:ascii="Calibri" w:hAnsi="Calibri" w:asciiTheme="minorHAnsi" w:cstheme="minorHAnsi" w:hAnsiTheme="minorHAnsi"/>
            <w:sz w:val="24"/>
            <w:szCs w:val="24"/>
            <w:lang w:val="pt-BR"/>
          </w:rPr>
          <w:t>ora de Títulos e Valores Mobiliários Ltda</w:t>
        </w:r>
      </w:ins>
      <w:ins w:id="84" w:author="Pedro Oliveira" w:date="2021-06-23T15:13:00Z">
        <w:r>
          <w:rPr>
            <w:rFonts w:cs="Calibri" w:ascii="Calibri" w:hAnsi="Calibri" w:asciiTheme="minorHAnsi" w:cstheme="minorHAnsi" w:hAnsiTheme="minorHAnsi"/>
            <w:sz w:val="24"/>
            <w:szCs w:val="24"/>
            <w:lang w:val="pt-BR"/>
          </w:rPr>
          <w:t xml:space="preserve">, </w:t>
        </w:r>
      </w:ins>
      <w:r>
        <w:rPr>
          <w:rFonts w:cs="Calibri" w:ascii="Calibri" w:hAnsi="Calibri" w:asciiTheme="minorHAnsi" w:cstheme="minorHAnsi" w:hAnsiTheme="minorHAnsi"/>
          <w:sz w:val="24"/>
          <w:szCs w:val="24"/>
          <w:lang w:val="pt-BR"/>
        </w:rPr>
        <w:t xml:space="preserve">qualificada no preâmbulo desta Escritura de Emissão, que, por meio deste ato, aceita a nomeação para, nos termos da lei e da presente Escritura de Emissão, representar os interesses da comunhão dos Debenturistas.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bookmarkStart w:id="231" w:name="_Ref486278702"/>
      <w:bookmarkStart w:id="232" w:name="_Ref427712773"/>
      <w:bookmarkStart w:id="233" w:name="_DV_M340"/>
      <w:bookmarkStart w:id="234" w:name="_DV_M339"/>
      <w:bookmarkStart w:id="235" w:name="_DV_M338"/>
      <w:bookmarkStart w:id="236" w:name="_DV_M337"/>
      <w:bookmarkStart w:id="237" w:name="_DV_M336"/>
      <w:bookmarkStart w:id="238" w:name="_DV_M335"/>
      <w:bookmarkStart w:id="239" w:name="_DV_M334"/>
      <w:bookmarkStart w:id="240" w:name="_DV_M333"/>
      <w:bookmarkStart w:id="241" w:name="_DV_M332"/>
      <w:bookmarkEnd w:id="231"/>
      <w:bookmarkEnd w:id="232"/>
      <w:bookmarkEnd w:id="233"/>
      <w:bookmarkEnd w:id="234"/>
      <w:bookmarkEnd w:id="235"/>
      <w:bookmarkEnd w:id="236"/>
      <w:bookmarkEnd w:id="237"/>
      <w:bookmarkEnd w:id="238"/>
      <w:bookmarkEnd w:id="239"/>
      <w:bookmarkEnd w:id="240"/>
      <w:bookmarkEnd w:id="241"/>
      <w:r>
        <w:rPr>
          <w:rFonts w:eastAsia="Times New Roman" w:cs="Calibri" w:ascii="Calibri" w:hAnsi="Calibri" w:asciiTheme="minorHAnsi" w:cstheme="minorHAnsi" w:hAnsiTheme="minorHAnsi"/>
          <w:sz w:val="24"/>
          <w:szCs w:val="24"/>
          <w:lang w:val="pt-BR" w:eastAsia="en-US"/>
        </w:rPr>
        <w:t>O Agente Fiduciário, nomeado na presente Escritura de Emissão, declara que:</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aceita a função para a qual foi nomeado, assumindo integralmente os deveres e atribuições previstas na legislação específica e nesta Escritura de Emissão;</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aceita integralmente esta Escritura de Emissão, todas suas Cláusulas e condições;</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está devidamente autorizado a celebrar esta Escritura de Emissão e a cumprir com suas obrigações aqui previstas, tendo sido satisfeitos todos os requisitos legais e estatutários necessários para tanto;</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celebração desta Escritura de Emissão e o cumprimento de suas obrigações aqui previstas não infringem qualquer obrigação anteriormente assumida pelo Agente Fiduciário;</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tem qualquer impedimento legal, conforme parágrafo terceiro do artigo 66, da Lei das Sociedades por Ações, para exercer a função que lhe é conferida;</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se</w:t>
      </w:r>
      <w:r>
        <w:rPr>
          <w:rFonts w:cs="Calibri" w:ascii="Calibri" w:hAnsi="Calibri" w:asciiTheme="minorHAnsi" w:cstheme="minorHAnsi" w:hAnsiTheme="minorHAnsi"/>
          <w:b/>
          <w:color w:val="000000"/>
          <w:spacing w:val="-11"/>
          <w:sz w:val="24"/>
          <w:szCs w:val="24"/>
        </w:rPr>
        <w:t xml:space="preserve"> </w:t>
      </w:r>
      <w:r>
        <w:rPr>
          <w:rFonts w:cs="Calibri" w:ascii="Calibri" w:hAnsi="Calibri" w:asciiTheme="minorHAnsi" w:cstheme="minorHAnsi" w:hAnsiTheme="minorHAnsi"/>
          <w:sz w:val="24"/>
          <w:szCs w:val="24"/>
        </w:rPr>
        <w:t>encontra em nenhuma das situações de conflito de interesse previstas na Resolução CVM nº 17, de 09 de fevereiro de 2021, conforme alterada (“</w:t>
      </w:r>
      <w:r>
        <w:rPr>
          <w:rFonts w:cs="Calibri" w:ascii="Calibri" w:hAnsi="Calibri" w:asciiTheme="minorHAnsi" w:cstheme="minorHAnsi" w:hAnsiTheme="minorHAnsi"/>
          <w:b/>
          <w:sz w:val="24"/>
          <w:szCs w:val="24"/>
        </w:rPr>
        <w:t>Resolução CVM 17</w:t>
      </w:r>
      <w:r>
        <w:rPr>
          <w:rFonts w:cs="Calibri" w:ascii="Calibri" w:hAnsi="Calibri" w:asciiTheme="minorHAnsi" w:cstheme="minorHAnsi" w:hAnsiTheme="minorHAnsi"/>
          <w:sz w:val="24"/>
          <w:szCs w:val="24"/>
        </w:rPr>
        <w:t>”);</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está devidamente qualificado a exercer as atividades de agente fiduciário, nos termos da regulamentação aplicável e vigente;</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tem qualquer ligação com a Emissora que o impeça de exercer suas funções;</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está ciente das disposições da Circular do Banco Central do Brasil n° 1.832, de 31 de outubro de 1990;</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verificou a veracidade das informações relativas às garantias e a consistência das demais informações contidas nesta Escritura de Emissão, na Data de Emissão;</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pessoa que o representa na assinatura desta Escritura de Emissão tem poderes bastantes para tanto; e</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 relação às garantias prestadas, verificou que as garantias são suficientes, observado que na presente data as garantias ainda não foram totalmente constituídas.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Na data de celebração da presente Escritura de Emissão e com base no organograma encaminhado pela Emissora, o Agente Fiduciário declara, para os fins da Resolução CVM 17, que não presta serviços de Agente Fiduciário em quaisquer emissões de valores mobiliários da Emissora, de sociedade coligada, controlada, controladora ou integrante do mesmo grupo econômico da Emissora. </w:t>
      </w:r>
      <w:ins w:id="85" w:author="Pedro Oliveira" w:date="2021-06-23T15:56:00Z">
        <w:r>
          <w:rPr>
            <w:rFonts w:eastAsia="Times New Roman" w:cs="Calibri" w:ascii="Calibri" w:hAnsi="Calibri" w:asciiTheme="minorHAnsi" w:cstheme="minorHAnsi" w:hAnsiTheme="minorHAnsi"/>
            <w:sz w:val="24"/>
            <w:szCs w:val="24"/>
            <w:lang w:val="pt-BR" w:eastAsia="en-US"/>
          </w:rPr>
          <w:t xml:space="preserve">Nota Pavarini: Favor encaminhar organograma da Emissora. </w:t>
        </w:r>
      </w:ins>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O Agente Fiduciário exercerá suas funções a partir da data de assinatura desta Escritura de Emissão, devendo permanecer no exercício de suas funções até a Data de Vencimento, até que as obrigações da presente Emissão tenham sido quitadas ou até sua efetiva substituição, conforme aplicável.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bookmarkStart w:id="242" w:name="_Ref38530236"/>
      <w:r>
        <w:rPr>
          <w:rFonts w:eastAsia="Times New Roman" w:cs="Calibri" w:ascii="Calibri" w:hAnsi="Calibri" w:asciiTheme="minorHAnsi" w:cstheme="minorHAnsi" w:hAnsi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ins w:id="86" w:author="Pedro Oliveira" w:date="2021-06-23T15:46:00Z">
        <w:r>
          <w:rPr>
            <w:rFonts w:eastAsia="Times New Roman" w:cs="Calibri" w:ascii="Calibri" w:hAnsi="Calibri" w:asciiTheme="minorHAnsi" w:cstheme="minorHAnsi" w:hAnsiTheme="minorHAnsi"/>
            <w:sz w:val="24"/>
            <w:szCs w:val="24"/>
            <w:lang w:val="pt-BR" w:eastAsia="en-US"/>
          </w:rPr>
          <w:t xml:space="preserve"> 10.000,00 (dez mil reais)</w:t>
        </w:r>
      </w:ins>
      <w:del w:id="87" w:author="Pedro Oliveira" w:date="2021-06-23T15:46:00Z">
        <w:r>
          <w:rPr>
            <w:rFonts w:eastAsia="Times New Roman" w:cs="Calibri" w:ascii="Calibri" w:hAnsi="Calibri" w:asciiTheme="minorHAnsi" w:cstheme="minorHAnsi" w:hAnsiTheme="minorHAnsi"/>
            <w:sz w:val="24"/>
            <w:szCs w:val="24"/>
            <w:lang w:val="pt-BR" w:eastAsia="en-US"/>
          </w:rPr>
          <w:delText>[</w:delText>
        </w:r>
      </w:del>
      <w:del w:id="88" w:author="Pedro Oliveira" w:date="2021-06-23T15:46:00Z">
        <w:r>
          <w:rPr>
            <w:rFonts w:eastAsia="Times New Roman" w:cs="Calibri" w:ascii="Calibri" w:hAnsi="Calibri" w:asciiTheme="minorHAnsi" w:cstheme="minorHAnsi" w:hAnsiTheme="minorHAnsi"/>
            <w:sz w:val="24"/>
            <w:szCs w:val="24"/>
            <w:highlight w:val="yellow"/>
            <w:lang w:val="pt-BR" w:eastAsia="en-US"/>
          </w:rPr>
          <w:delText>=</w:delText>
        </w:r>
      </w:del>
      <w:del w:id="89" w:author="Pedro Oliveira" w:date="2021-06-23T15:46:00Z">
        <w:r>
          <w:rPr>
            <w:rFonts w:eastAsia="Times New Roman" w:cs="Calibri" w:ascii="Calibri" w:hAnsi="Calibri" w:asciiTheme="minorHAnsi" w:cstheme="minorHAnsi" w:hAnsiTheme="minorHAnsi"/>
            <w:sz w:val="24"/>
            <w:szCs w:val="24"/>
            <w:lang w:val="pt-BR" w:eastAsia="en-US"/>
          </w:rPr>
          <w:delText>] ([</w:delText>
        </w:r>
      </w:del>
      <w:del w:id="90" w:author="Pedro Oliveira" w:date="2021-06-23T15:46:00Z">
        <w:r>
          <w:rPr>
            <w:rFonts w:eastAsia="Times New Roman" w:cs="Calibri" w:ascii="Calibri" w:hAnsi="Calibri" w:asciiTheme="minorHAnsi" w:cstheme="minorHAnsi" w:hAnsiTheme="minorHAnsi"/>
            <w:sz w:val="24"/>
            <w:szCs w:val="24"/>
            <w:highlight w:val="yellow"/>
            <w:lang w:val="pt-BR" w:eastAsia="en-US"/>
          </w:rPr>
          <w:delText>=</w:delText>
        </w:r>
      </w:del>
      <w:del w:id="91" w:author="Pedro Oliveira" w:date="2021-06-23T15:46:00Z">
        <w:r>
          <w:rPr>
            <w:rFonts w:eastAsia="Times New Roman" w:cs="Calibri" w:ascii="Calibri" w:hAnsi="Calibri" w:asciiTheme="minorHAnsi" w:cstheme="minorHAnsi" w:hAnsiTheme="minorHAnsi"/>
            <w:sz w:val="24"/>
            <w:szCs w:val="24"/>
            <w:lang w:val="pt-BR" w:eastAsia="en-US"/>
          </w:rPr>
          <w:delText>] reais)</w:delText>
        </w:r>
      </w:del>
      <w:r>
        <w:rPr>
          <w:rFonts w:eastAsia="Times New Roman" w:cs="Calibri" w:ascii="Calibri" w:hAnsi="Calibri" w:asciiTheme="minorHAnsi" w:cstheme="minorHAnsi" w:hAnsiTheme="minorHAnsi"/>
          <w:sz w:val="24"/>
          <w:szCs w:val="24"/>
          <w:lang w:val="pt-BR" w:eastAsia="en-US"/>
        </w:rPr>
        <w:t xml:space="preserve">, sendo a primeira parcela devida no </w:t>
      </w:r>
      <w:del w:id="92" w:author="Pedro Oliveira" w:date="2021-06-23T15:49:00Z">
        <w:r>
          <w:rPr>
            <w:rFonts w:eastAsia="Times New Roman" w:cs="Calibri" w:ascii="Calibri" w:hAnsi="Calibri" w:asciiTheme="minorHAnsi" w:cstheme="minorHAnsi" w:hAnsiTheme="minorHAnsi"/>
            <w:sz w:val="24"/>
            <w:szCs w:val="24"/>
            <w:lang w:val="pt-BR" w:eastAsia="en-US"/>
          </w:rPr>
          <w:delText>[</w:delText>
        </w:r>
      </w:del>
      <w:del w:id="93" w:author="Pedro Oliveira" w:date="2021-06-23T15:49:00Z">
        <w:r>
          <w:rPr>
            <w:rFonts w:eastAsia="Times New Roman" w:cs="Calibri" w:ascii="Calibri" w:hAnsi="Calibri" w:asciiTheme="minorHAnsi" w:cstheme="minorHAnsi" w:hAnsiTheme="minorHAnsi"/>
            <w:sz w:val="24"/>
            <w:szCs w:val="24"/>
            <w:highlight w:val="yellow"/>
            <w:lang w:val="pt-BR" w:eastAsia="en-US"/>
          </w:rPr>
          <w:delText>=</w:delText>
        </w:r>
      </w:del>
      <w:del w:id="94" w:author="Pedro Oliveira" w:date="2021-06-23T15:49:00Z">
        <w:r>
          <w:rPr>
            <w:rFonts w:eastAsia="Times New Roman" w:cs="Calibri" w:ascii="Calibri" w:hAnsi="Calibri" w:asciiTheme="minorHAnsi" w:cstheme="minorHAnsi" w:hAnsiTheme="minorHAnsi"/>
            <w:sz w:val="24"/>
            <w:szCs w:val="24"/>
            <w:lang w:val="pt-BR" w:eastAsia="en-US"/>
          </w:rPr>
          <w:delText xml:space="preserve">]° </w:delText>
        </w:r>
      </w:del>
      <w:ins w:id="95" w:author="Pedro Oliveira" w:date="2021-06-23T15:49:00Z">
        <w:r>
          <w:rPr>
            <w:rFonts w:eastAsia="Times New Roman" w:cs="Calibri" w:ascii="Calibri" w:hAnsi="Calibri" w:asciiTheme="minorHAnsi" w:cstheme="minorHAnsi" w:hAnsiTheme="minorHAnsi"/>
            <w:sz w:val="24"/>
            <w:szCs w:val="24"/>
            <w:lang w:val="pt-BR" w:eastAsia="en-US"/>
          </w:rPr>
          <w:t xml:space="preserve">5ª° </w:t>
        </w:r>
      </w:ins>
      <w:del w:id="96" w:author="Pedro Oliveira" w:date="2021-06-23T15:49:00Z">
        <w:r>
          <w:rPr>
            <w:rFonts w:eastAsia="Times New Roman" w:cs="Calibri" w:ascii="Calibri" w:hAnsi="Calibri" w:asciiTheme="minorHAnsi" w:cstheme="minorHAnsi" w:hAnsiTheme="minorHAnsi"/>
            <w:sz w:val="24"/>
            <w:szCs w:val="24"/>
            <w:lang w:val="pt-BR" w:eastAsia="en-US"/>
          </w:rPr>
          <w:delText>([</w:delText>
        </w:r>
      </w:del>
      <w:del w:id="97" w:author="Pedro Oliveira" w:date="2021-06-23T15:49:00Z">
        <w:r>
          <w:rPr>
            <w:rFonts w:eastAsia="Times New Roman" w:cs="Calibri" w:ascii="Calibri" w:hAnsi="Calibri" w:asciiTheme="minorHAnsi" w:cstheme="minorHAnsi" w:hAnsiTheme="minorHAnsi"/>
            <w:sz w:val="24"/>
            <w:szCs w:val="24"/>
            <w:highlight w:val="yellow"/>
            <w:lang w:val="pt-BR" w:eastAsia="en-US"/>
          </w:rPr>
          <w:delText>=</w:delText>
        </w:r>
      </w:del>
      <w:del w:id="98" w:author="Pedro Oliveira" w:date="2021-06-23T15:49:00Z">
        <w:r>
          <w:rPr>
            <w:rFonts w:eastAsia="Times New Roman" w:cs="Calibri" w:ascii="Calibri" w:hAnsi="Calibri" w:asciiTheme="minorHAnsi" w:cstheme="minorHAnsi" w:hAnsiTheme="minorHAnsi"/>
            <w:sz w:val="24"/>
            <w:szCs w:val="24"/>
            <w:lang w:val="pt-BR" w:eastAsia="en-US"/>
          </w:rPr>
          <w:delText xml:space="preserve">]) </w:delText>
        </w:r>
      </w:del>
      <w:ins w:id="99" w:author="Pedro Oliveira" w:date="2021-06-23T15:49:00Z">
        <w:r>
          <w:rPr>
            <w:rFonts w:eastAsia="Times New Roman" w:cs="Calibri" w:ascii="Calibri" w:hAnsi="Calibri" w:asciiTheme="minorHAnsi" w:cstheme="minorHAnsi" w:hAnsiTheme="minorHAnsi"/>
            <w:sz w:val="24"/>
            <w:szCs w:val="24"/>
            <w:lang w:val="pt-BR" w:eastAsia="en-US"/>
          </w:rPr>
          <w:t xml:space="preserve">(quinto) </w:t>
        </w:r>
      </w:ins>
      <w:r>
        <w:rPr>
          <w:rFonts w:eastAsia="Times New Roman" w:cs="Calibri" w:ascii="Calibri" w:hAnsi="Calibri" w:asciiTheme="minorHAnsi" w:cstheme="minorHAnsi" w:hAnsiTheme="minorHAnsi"/>
          <w:sz w:val="24"/>
          <w:szCs w:val="24"/>
          <w:lang w:val="pt-BR" w:eastAsia="en-US"/>
        </w:rPr>
        <w:t xml:space="preserve">dia útil contado da data de celebração desta Escritura de Emissão, e as demais, no </w:t>
      </w:r>
      <w:del w:id="100" w:author="Pedro Oliveira" w:date="2021-06-23T15:50:00Z">
        <w:r>
          <w:rPr>
            <w:rFonts w:eastAsia="Times New Roman" w:cs="Calibri" w:ascii="Calibri" w:hAnsi="Calibri" w:asciiTheme="minorHAnsi" w:cstheme="minorHAnsi" w:hAnsiTheme="minorHAnsi"/>
            <w:sz w:val="24"/>
            <w:szCs w:val="24"/>
            <w:lang w:val="pt-BR" w:eastAsia="en-US"/>
          </w:rPr>
          <w:delText xml:space="preserve">mesmo </w:delText>
        </w:r>
      </w:del>
      <w:r>
        <w:rPr>
          <w:rFonts w:eastAsia="Times New Roman" w:cs="Calibri" w:ascii="Calibri" w:hAnsi="Calibri" w:asciiTheme="minorHAnsi" w:cstheme="minorHAnsi" w:hAnsiTheme="minorHAnsi"/>
          <w:sz w:val="24"/>
          <w:szCs w:val="24"/>
          <w:lang w:val="pt-BR" w:eastAsia="en-US"/>
        </w:rPr>
        <w:t xml:space="preserve">dia </w:t>
      </w:r>
      <w:ins w:id="101" w:author="Pedro Oliveira" w:date="2021-06-23T15:50:00Z">
        <w:r>
          <w:rPr>
            <w:rFonts w:eastAsia="Times New Roman" w:cs="Calibri" w:ascii="Calibri" w:hAnsi="Calibri" w:asciiTheme="minorHAnsi" w:cstheme="minorHAnsi" w:hAnsiTheme="minorHAnsi"/>
            <w:sz w:val="24"/>
            <w:szCs w:val="24"/>
            <w:lang w:val="pt-BR" w:eastAsia="en-US"/>
          </w:rPr>
          <w:t xml:space="preserve">15 (quinze) do mesmo mês da emissão da primeira fatura </w:t>
        </w:r>
      </w:ins>
      <w:r>
        <w:rPr>
          <w:rFonts w:eastAsia="Times New Roman" w:cs="Calibri" w:ascii="Calibri" w:hAnsi="Calibri" w:asciiTheme="minorHAnsi" w:cstheme="minorHAnsi" w:hAnsiTheme="minorHAnsi"/>
          <w:sz w:val="24"/>
          <w:szCs w:val="24"/>
          <w:lang w:val="pt-BR" w:eastAsia="en-US"/>
        </w:rPr>
        <w:t>dos anos subsequentes. A primeira parcela de honorários será devida ainda que a operação não seja integralizada, a título de estruturação e implantação.</w:t>
      </w:r>
      <w:bookmarkEnd w:id="242"/>
      <w:r>
        <w:rPr>
          <w:rFonts w:eastAsia="Times New Roman" w:cs="Calibri" w:ascii="Calibri" w:hAnsi="Calibri" w:asciiTheme="minorHAnsi" w:cstheme="minorHAnsi" w:hAnsiTheme="minorHAnsi"/>
          <w:sz w:val="24"/>
          <w:szCs w:val="24"/>
          <w:lang w:val="pt-BR" w:eastAsia="en-US"/>
        </w:rPr>
        <w:t xml:space="preserve"> </w:t>
      </w:r>
      <w:ins w:id="102" w:author="Pedro Oliveira" w:date="2021-06-23T15:50:00Z">
        <w:r>
          <w:rPr>
            <w:rFonts w:eastAsia="Times New Roman" w:cs="Calibri" w:ascii="Calibri" w:hAnsi="Calibri" w:asciiTheme="minorHAnsi" w:cstheme="minorHAnsi" w:hAnsiTheme="minorHAnsi"/>
            <w:sz w:val="24"/>
            <w:szCs w:val="24"/>
            <w:lang w:val="pt-BR" w:eastAsia="en-US"/>
          </w:rPr>
          <w:t xml:space="preserve"> Nota Pavarini: </w:t>
        </w:r>
      </w:ins>
      <w:ins w:id="103" w:author="Pedro Oliveira" w:date="2021-06-23T15:51:00Z">
        <w:r>
          <w:rPr>
            <w:rFonts w:eastAsia="Times New Roman" w:cs="Calibri" w:ascii="Calibri" w:hAnsi="Calibri" w:asciiTheme="minorHAnsi" w:cstheme="minorHAnsi" w:hAnsiTheme="minorHAnsi"/>
            <w:sz w:val="24"/>
            <w:szCs w:val="24"/>
            <w:lang w:val="pt-BR" w:eastAsia="en-US"/>
          </w:rPr>
          <w:t xml:space="preserve">Prezados, iremos atualizar nossa proposta para contemplar </w:t>
        </w:r>
      </w:ins>
      <w:ins w:id="104" w:author="Pedro Oliveira" w:date="2021-06-23T15:52:00Z">
        <w:r>
          <w:rPr>
            <w:rFonts w:eastAsia="Times New Roman" w:cs="Calibri" w:ascii="Calibri" w:hAnsi="Calibri" w:asciiTheme="minorHAnsi" w:cstheme="minorHAnsi" w:hAnsiTheme="minorHAnsi"/>
            <w:sz w:val="24"/>
            <w:szCs w:val="24"/>
            <w:lang w:val="pt-BR" w:eastAsia="en-US"/>
          </w:rPr>
          <w:t>aumento o prazo de vencimento da operação.</w:t>
        </w:r>
      </w:ins>
      <w:ins w:id="105" w:author="Pedro Oliveira" w:date="2021-06-23T15:51:00Z">
        <w:r>
          <w:rPr>
            <w:rFonts w:eastAsia="Times New Roman" w:cs="Calibri" w:ascii="Calibri" w:hAnsi="Calibri" w:asciiTheme="minorHAnsi" w:cstheme="minorHAnsi" w:hAnsiTheme="minorHAnsi"/>
            <w:sz w:val="24"/>
            <w:szCs w:val="24"/>
            <w:lang w:val="pt-BR" w:eastAsia="en-US"/>
          </w:rPr>
          <w:t xml:space="preserve"> </w:t>
        </w:r>
      </w:ins>
      <w:ins w:id="106" w:author="Autor desconhecido" w:date="2021-06-24T17:45:44Z">
        <w:r>
          <w:rPr>
            <w:rFonts w:eastAsia="Times New Roman" w:cs="Calibri" w:ascii="Calibri" w:hAnsi="Calibri" w:asciiTheme="minorHAnsi" w:cstheme="minorHAnsi" w:hAnsiTheme="minorHAnsi"/>
            <w:sz w:val="24"/>
            <w:szCs w:val="24"/>
            <w:lang w:val="pt-BR" w:eastAsia="en-US"/>
          </w:rPr>
          <w:t xml:space="preserve"> [</w:t>
        </w:r>
      </w:ins>
      <w:ins w:id="107" w:author="Autor desconhecido" w:date="2021-06-24T17:45:44Z">
        <w:r>
          <w:rPr>
            <w:rFonts w:eastAsia="Times New Roman" w:cs="Calibri" w:ascii="Calibri" w:hAnsi="Calibri" w:asciiTheme="minorHAnsi" w:cstheme="minorHAnsi" w:hAnsiTheme="minorHAnsi"/>
            <w:b/>
            <w:bCs/>
            <w:sz w:val="24"/>
            <w:szCs w:val="24"/>
            <w:highlight w:val="yellow"/>
            <w:u w:val="single"/>
            <w:lang w:val="pt-BR" w:eastAsia="en-US"/>
          </w:rPr>
          <w:t xml:space="preserve">Nota </w:t>
        </w:r>
      </w:ins>
      <w:ins w:id="108" w:author="Autor desconhecido" w:date="2021-06-24T17:45:44Z">
        <w:r>
          <w:rPr>
            <w:rFonts w:eastAsia="Arial" w:cs="Calibri" w:ascii="Calibri" w:hAnsi="Calibri" w:asciiTheme="minorHAnsi" w:cstheme="minorHAnsi" w:hAnsiTheme="minorHAnsi"/>
            <w:b/>
            <w:bCs/>
            <w:sz w:val="24"/>
            <w:szCs w:val="24"/>
            <w:highlight w:val="yellow"/>
            <w:u w:val="single"/>
            <w:lang w:val="pt-BR" w:eastAsia="en-GB"/>
          </w:rPr>
          <w:t>Companhia</w:t>
        </w:r>
      </w:ins>
      <w:ins w:id="109" w:author="Autor desconhecido" w:date="2021-06-24T17:45:44Z">
        <w:r>
          <w:rPr>
            <w:rFonts w:eastAsia="Times New Roman" w:cs="Calibri" w:ascii="Calibri" w:hAnsi="Calibri" w:asciiTheme="minorHAnsi" w:cstheme="minorHAnsi" w:hAnsiTheme="minorHAnsi"/>
            <w:sz w:val="24"/>
            <w:szCs w:val="24"/>
            <w:highlight w:val="yellow"/>
            <w:lang w:val="pt-BR" w:eastAsia="en-US"/>
          </w:rPr>
          <w:t xml:space="preserve">: </w:t>
        </w:r>
      </w:ins>
      <w:ins w:id="110" w:author="Autor desconhecido" w:date="2021-06-24T17:45:44Z">
        <w:r>
          <w:rPr>
            <w:rFonts w:eastAsia="Times New Roman" w:cs="Calibri" w:ascii="Calibri" w:hAnsi="Calibri" w:asciiTheme="minorHAnsi" w:cstheme="minorHAnsi" w:hAnsiTheme="minorHAnsi"/>
            <w:sz w:val="24"/>
            <w:szCs w:val="24"/>
            <w:highlight w:val="yellow"/>
            <w:lang w:val="pt-BR" w:eastAsia="en-US"/>
          </w:rPr>
          <w:t xml:space="preserve">Incluir </w:t>
        </w:r>
      </w:ins>
      <w:ins w:id="111" w:author="Autor desconhecido" w:date="2021-06-24T17:46:02Z">
        <w:r>
          <w:rPr>
            <w:rFonts w:eastAsia="Times New Roman" w:cs="Calibri" w:ascii="Calibri" w:hAnsi="Calibri" w:asciiTheme="minorHAnsi" w:cstheme="minorHAnsi" w:hAnsiTheme="minorHAnsi"/>
            <w:sz w:val="24"/>
            <w:szCs w:val="24"/>
            <w:highlight w:val="yellow"/>
            <w:lang w:val="pt-BR" w:eastAsia="en-US"/>
          </w:rPr>
          <w:t>disposição que a Companhia terá a prerrogativa de indicar quem realizará o serviço</w:t>
        </w:r>
      </w:ins>
      <w:ins w:id="112" w:author="Autor desconhecido" w:date="2021-06-24T17:47:05Z">
        <w:r>
          <w:rPr>
            <w:rFonts w:eastAsia="Times New Roman" w:cs="Calibri" w:ascii="Calibri" w:hAnsi="Calibri" w:asciiTheme="minorHAnsi" w:cstheme="minorHAnsi" w:hAnsiTheme="minorHAnsi"/>
            <w:sz w:val="24"/>
            <w:szCs w:val="24"/>
            <w:highlight w:val="yellow"/>
            <w:lang w:val="pt-BR" w:eastAsia="en-US"/>
          </w:rPr>
          <w:t xml:space="preserve"> ou termos acesso a um relatório indicando quem prestou o serviço e motivação)</w:t>
        </w:r>
      </w:ins>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As parcelas citadas nas Cláusulas </w:t>
      </w:r>
      <w:r>
        <w:rPr>
          <w:rFonts w:eastAsia="Times New Roman" w:cs="Calibri" w:ascii="Calibri" w:hAnsi="Calibri" w:asciiTheme="minorHAnsi" w:cstheme="minorHAnsi" w:hAnsiTheme="minorHAnsi"/>
          <w:sz w:val="24"/>
          <w:szCs w:val="24"/>
          <w:lang w:val="pt-BR" w:eastAsia="en-US"/>
        </w:rPr>
        <w:fldChar w:fldCharType="begin"/>
      </w:r>
      <w:r>
        <w:rPr>
          <w:sz w:val="24"/>
          <w:szCs w:val="24"/>
          <w:rFonts w:eastAsia="Times New Roman" w:cs="Calibri" w:ascii="Calibri" w:hAnsi="Calibri"/>
          <w:lang w:val="pt-BR" w:eastAsia="en-US"/>
        </w:rPr>
        <w:instrText> REF _Ref38530236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8.5</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xml:space="preserve"> acima e 8.5.4 abaixo serão acrescidas dos seguintes impostos: Imposto Sobre Serviços de Qualquer Natureza — ISSQN; Programa de Integração Social — PIS; Contribuição para o Financiamento da Seguridade Social — COFINS; Contribuição Social sobre o Lucro Líquido - CSLL; o Imposto de Renda Retido na Fonte - IRRF e quaisquer outros </w:t>
      </w:r>
      <w:r>
        <w:rPr>
          <w:rFonts w:cs="Calibri" w:ascii="Calibri" w:hAnsi="Calibri" w:asciiTheme="minorHAnsi" w:cstheme="minorHAnsi" w:hAnsiTheme="minorHAnsi"/>
          <w:sz w:val="24"/>
          <w:szCs w:val="24"/>
          <w:lang w:val="pt-BR"/>
        </w:rPr>
        <w:t>impostos</w:t>
      </w:r>
      <w:r>
        <w:rPr>
          <w:rFonts w:eastAsia="Times New Roman" w:cs="Calibri" w:ascii="Calibri" w:hAnsi="Calibri" w:asciiTheme="minorHAnsi" w:cstheme="minorHAnsi" w:hAnsiTheme="minorHAnsi"/>
          <w:sz w:val="24"/>
          <w:szCs w:val="24"/>
          <w:lang w:val="pt-BR" w:eastAsia="en-US"/>
        </w:rPr>
        <w:t xml:space="preserve"> que venham a incidir sobre a remuneração do Agente Fiduciário, nas alíquotas vigentes nas datas de cada pagamento.</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As parcelas de remuneração e, eventualmente, as previstas na Cláusula 8.5.4 abaixo, serão atualizadas pela variação positiva acumulada do </w:t>
      </w:r>
      <w:del w:id="113" w:author="Pedro Oliveira" w:date="2021-06-23T15:52:00Z">
        <w:r>
          <w:rPr>
            <w:rFonts w:eastAsia="Times New Roman" w:cs="Calibri" w:ascii="Calibri" w:hAnsi="Calibri" w:asciiTheme="minorHAnsi" w:cstheme="minorHAnsi" w:hAnsiTheme="minorHAnsi"/>
            <w:sz w:val="24"/>
            <w:szCs w:val="24"/>
            <w:lang w:val="pt-BR" w:eastAsia="en-US"/>
          </w:rPr>
          <w:delText xml:space="preserve">IGP-M ou </w:delText>
        </w:r>
      </w:del>
      <w:r>
        <w:rPr>
          <w:rFonts w:eastAsia="Times New Roman" w:cs="Calibri" w:ascii="Calibri" w:hAnsi="Calibri" w:asciiTheme="minorHAnsi" w:cstheme="minorHAnsi" w:hAnsiTheme="minorHAnsi"/>
          <w:sz w:val="24"/>
          <w:szCs w:val="24"/>
          <w:lang w:val="pt-BR" w:eastAsia="en-US"/>
        </w:rPr>
        <w:t xml:space="preserve">do IPCA, o que for menor, ou nas faltas destes, ou ainda na impossibilidade de sua utilização, pelo índice que vier a substitui-los, a partir da data do primeiro pagamento, até as datas de pagamento </w:t>
      </w:r>
      <w:r>
        <w:rPr>
          <w:rFonts w:cs="Calibri" w:ascii="Calibri" w:hAnsi="Calibri" w:asciiTheme="minorHAnsi" w:cstheme="minorHAnsi" w:hAnsiTheme="minorHAnsi"/>
          <w:sz w:val="24"/>
          <w:szCs w:val="24"/>
          <w:lang w:val="pt-BR"/>
        </w:rPr>
        <w:t>seguintes</w:t>
      </w:r>
      <w:r>
        <w:rPr>
          <w:rFonts w:eastAsia="Times New Roman" w:cs="Calibri" w:ascii="Calibri" w:hAnsi="Calibri" w:asciiTheme="minorHAnsi" w:cstheme="minorHAnsi" w:hAnsiTheme="minorHAnsi"/>
          <w:sz w:val="24"/>
          <w:szCs w:val="24"/>
          <w:lang w:val="pt-BR" w:eastAsia="en-US"/>
        </w:rPr>
        <w:t xml:space="preserve">, calculadas </w:t>
      </w:r>
      <w:r>
        <w:rPr>
          <w:rFonts w:eastAsia="Times New Roman" w:cs="Calibri" w:ascii="Calibri" w:hAnsi="Calibri" w:asciiTheme="minorHAnsi" w:cstheme="minorHAnsi" w:hAnsiTheme="minorHAnsi"/>
          <w:i/>
          <w:sz w:val="24"/>
          <w:szCs w:val="24"/>
          <w:lang w:val="pt-BR" w:eastAsia="en-US"/>
        </w:rPr>
        <w:t>pro rata die</w:t>
      </w:r>
      <w:r>
        <w:rPr>
          <w:rFonts w:eastAsia="Times New Roman" w:cs="Calibri" w:ascii="Calibri" w:hAnsi="Calibri" w:asciiTheme="minorHAnsi" w:cstheme="minorHAnsi" w:hAnsiTheme="minorHAnsi"/>
          <w:sz w:val="24"/>
          <w:szCs w:val="24"/>
          <w:lang w:val="pt-BR" w:eastAsia="en-US"/>
        </w:rPr>
        <w:t xml:space="preserve">, se necessário. A remuneração será devida mesmo após o vencimento final das Debêntures, caso o Agente Fiduciário ainda esteja exercendo atividades inerentes a sua função, remuneração essa que será calculada </w:t>
      </w:r>
      <w:r>
        <w:rPr>
          <w:rFonts w:eastAsia="Times New Roman" w:cs="Calibri" w:ascii="Calibri" w:hAnsi="Calibri" w:asciiTheme="minorHAnsi" w:cstheme="minorHAnsi" w:hAnsiTheme="minorHAnsi"/>
          <w:i/>
          <w:iCs/>
          <w:sz w:val="24"/>
          <w:szCs w:val="24"/>
          <w:lang w:val="pt-BR" w:eastAsia="en-US"/>
        </w:rPr>
        <w:t>pro rata die</w:t>
      </w:r>
      <w:r>
        <w:rPr>
          <w:rFonts w:eastAsia="Times New Roman" w:cs="Calibri" w:ascii="Calibri" w:hAnsi="Calibri" w:asciiTheme="minorHAnsi" w:cstheme="minorHAnsi" w:hAnsiTheme="minorHAnsi"/>
          <w:sz w:val="24"/>
          <w:szCs w:val="24"/>
          <w:lang w:val="pt-BR" w:eastAsia="en-US"/>
        </w:rPr>
        <w:t>.</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Em caso de mora no pagamento de qualquer quantia devida, os débitos em atraso ficarão sujeitos a multa contratual de 2% (dois por cento) sobre o valor do débito, bem como a </w:t>
      </w:r>
      <w:r>
        <w:rPr>
          <w:rFonts w:cs="Calibri" w:ascii="Calibri" w:hAnsi="Calibri" w:asciiTheme="minorHAnsi" w:cstheme="minorHAnsi" w:hAnsiTheme="minorHAnsi"/>
          <w:sz w:val="24"/>
          <w:szCs w:val="24"/>
          <w:lang w:val="pt-BR"/>
        </w:rPr>
        <w:t>juros</w:t>
      </w:r>
      <w:r>
        <w:rPr>
          <w:rFonts w:eastAsia="Times New Roman" w:cs="Calibri" w:ascii="Calibri" w:hAnsi="Calibri" w:asciiTheme="minorHAnsi" w:cstheme="minorHAnsi" w:hAnsiTheme="minorHAnsi"/>
          <w:sz w:val="24"/>
          <w:szCs w:val="24"/>
          <w:lang w:val="pt-BR" w:eastAsia="en-US"/>
        </w:rPr>
        <w:t xml:space="preserve"> moratórios de 1% (um por cento) ao mês, ficando o valor do débito em atraso sujeito a atualização monetária pelo IGP-M ou IPCA, o que for menor, incidente desde a data da inadimplência até a data do efetivo pagamento, calculado </w:t>
      </w:r>
      <w:r>
        <w:rPr>
          <w:rFonts w:eastAsia="Times New Roman" w:cs="Calibri" w:ascii="Calibri" w:hAnsi="Calibri" w:asciiTheme="minorHAnsi" w:cstheme="minorHAnsi" w:hAnsiTheme="minorHAnsi"/>
          <w:i/>
          <w:sz w:val="24"/>
          <w:szCs w:val="24"/>
          <w:lang w:val="pt-BR" w:eastAsia="en-US"/>
        </w:rPr>
        <w:t>pro rata die</w:t>
      </w:r>
      <w:r>
        <w:rPr>
          <w:rFonts w:eastAsia="Times New Roman" w:cs="Calibri" w:ascii="Calibri" w:hAnsi="Calibri" w:asciiTheme="minorHAnsi" w:cstheme="minorHAnsi" w:hAnsiTheme="minorHAnsi"/>
          <w:sz w:val="24"/>
          <w:szCs w:val="24"/>
          <w:lang w:val="pt-BR" w:eastAsia="en-US"/>
        </w:rPr>
        <w:t>.</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Em caso de necessidade de realização de Assembleia Geral de Debenturistas, ou celebração de </w:t>
      </w:r>
      <w:r>
        <w:rPr>
          <w:rFonts w:cs="Calibri" w:ascii="Calibri" w:hAnsi="Calibri" w:asciiTheme="minorHAnsi" w:cstheme="minorHAnsi" w:hAnsiTheme="minorHAnsi"/>
          <w:sz w:val="24"/>
          <w:szCs w:val="24"/>
          <w:lang w:val="pt-BR"/>
        </w:rPr>
        <w:t>aditamentos</w:t>
      </w:r>
      <w:r>
        <w:rPr>
          <w:rFonts w:eastAsia="Times New Roman" w:cs="Calibri" w:ascii="Calibri" w:hAnsi="Calibri" w:asciiTheme="minorHAnsi" w:cstheme="minorHAnsi" w:hAnsiTheme="minorHAnsi"/>
          <w:sz w:val="24"/>
          <w:szCs w:val="24"/>
          <w:lang w:val="pt-BR" w:eastAsia="en-US"/>
        </w:rPr>
        <w:t xml:space="preserve"> ou instrumentos legais relacionados à Emissão, será devida ao Agente Fiduciário uma remuneração adicional equivalente a R$</w:t>
      </w:r>
      <w:ins w:id="114" w:author="Pedro Oliveira" w:date="2021-06-23T15:52:00Z">
        <w:r>
          <w:rPr>
            <w:rFonts w:eastAsia="Times New Roman" w:cs="Calibri" w:ascii="Calibri" w:hAnsi="Calibri" w:asciiTheme="minorHAnsi" w:cstheme="minorHAnsi" w:hAnsiTheme="minorHAnsi"/>
            <w:sz w:val="24"/>
            <w:szCs w:val="24"/>
            <w:lang w:val="pt-BR" w:eastAsia="en-US"/>
          </w:rPr>
          <w:t xml:space="preserve"> </w:t>
        </w:r>
      </w:ins>
      <w:del w:id="115" w:author="Pedro Oliveira" w:date="2021-06-23T15:52:00Z">
        <w:r>
          <w:rPr>
            <w:rFonts w:eastAsia="Times New Roman" w:cs="Calibri" w:ascii="Calibri" w:hAnsi="Calibri" w:asciiTheme="minorHAnsi" w:cstheme="minorHAnsi" w:hAnsiTheme="minorHAnsi"/>
            <w:sz w:val="24"/>
            <w:szCs w:val="24"/>
            <w:lang w:val="pt-BR" w:eastAsia="en-US"/>
          </w:rPr>
          <w:delText>[</w:delText>
        </w:r>
      </w:del>
      <w:del w:id="116" w:author="Pedro Oliveira" w:date="2021-06-23T15:52:00Z">
        <w:r>
          <w:rPr>
            <w:rFonts w:eastAsia="Times New Roman" w:cs="Calibri" w:ascii="Calibri" w:hAnsi="Calibri" w:asciiTheme="minorHAnsi" w:cstheme="minorHAnsi" w:hAnsiTheme="minorHAnsi"/>
            <w:sz w:val="24"/>
            <w:szCs w:val="24"/>
            <w:highlight w:val="yellow"/>
            <w:lang w:val="pt-BR" w:eastAsia="en-US"/>
          </w:rPr>
          <w:delText>=</w:delText>
        </w:r>
      </w:del>
      <w:del w:id="117" w:author="Pedro Oliveira" w:date="2021-06-23T15:52:00Z">
        <w:r>
          <w:rPr>
            <w:rFonts w:eastAsia="Times New Roman" w:cs="Calibri" w:ascii="Calibri" w:hAnsi="Calibri" w:asciiTheme="minorHAnsi" w:cstheme="minorHAnsi" w:hAnsiTheme="minorHAnsi"/>
            <w:sz w:val="24"/>
            <w:szCs w:val="24"/>
            <w:lang w:val="pt-BR" w:eastAsia="en-US"/>
          </w:rPr>
          <w:delText xml:space="preserve">] </w:delText>
        </w:r>
      </w:del>
      <w:ins w:id="118" w:author="Pedro Oliveira" w:date="2021-06-23T15:52:00Z">
        <w:r>
          <w:rPr>
            <w:rFonts w:eastAsia="Times New Roman" w:cs="Calibri" w:ascii="Calibri" w:hAnsi="Calibri" w:asciiTheme="minorHAnsi" w:cstheme="minorHAnsi" w:hAnsiTheme="minorHAnsi"/>
            <w:sz w:val="24"/>
            <w:szCs w:val="24"/>
            <w:lang w:val="pt-BR" w:eastAsia="en-US"/>
          </w:rPr>
          <w:t xml:space="preserve">500,00 </w:t>
        </w:r>
      </w:ins>
      <w:del w:id="119" w:author="Pedro Oliveira" w:date="2021-06-23T15:53:00Z">
        <w:r>
          <w:rPr>
            <w:rFonts w:eastAsia="Times New Roman" w:cs="Calibri" w:ascii="Calibri" w:hAnsi="Calibri" w:asciiTheme="minorHAnsi" w:cstheme="minorHAnsi" w:hAnsiTheme="minorHAnsi"/>
            <w:sz w:val="24"/>
            <w:szCs w:val="24"/>
            <w:lang w:val="pt-BR" w:eastAsia="en-US"/>
          </w:rPr>
          <w:delText>([</w:delText>
        </w:r>
      </w:del>
      <w:del w:id="120" w:author="Pedro Oliveira" w:date="2021-06-23T15:53:00Z">
        <w:r>
          <w:rPr>
            <w:rFonts w:eastAsia="Times New Roman" w:cs="Calibri" w:ascii="Calibri" w:hAnsi="Calibri" w:asciiTheme="minorHAnsi" w:cstheme="minorHAnsi" w:hAnsiTheme="minorHAnsi"/>
            <w:sz w:val="24"/>
            <w:szCs w:val="24"/>
            <w:highlight w:val="yellow"/>
            <w:lang w:val="pt-BR" w:eastAsia="en-US"/>
          </w:rPr>
          <w:delText>=</w:delText>
        </w:r>
      </w:del>
      <w:del w:id="121" w:author="Pedro Oliveira" w:date="2021-06-23T15:53:00Z">
        <w:r>
          <w:rPr>
            <w:rFonts w:eastAsia="Times New Roman" w:cs="Calibri" w:ascii="Calibri" w:hAnsi="Calibri" w:asciiTheme="minorHAnsi" w:cstheme="minorHAnsi" w:hAnsiTheme="minorHAnsi"/>
            <w:sz w:val="24"/>
            <w:szCs w:val="24"/>
            <w:lang w:val="pt-BR" w:eastAsia="en-US"/>
          </w:rPr>
          <w:delText xml:space="preserve">] </w:delText>
        </w:r>
      </w:del>
      <w:ins w:id="122" w:author="Pedro Oliveira" w:date="2021-06-23T15:53:00Z">
        <w:r>
          <w:rPr>
            <w:rFonts w:eastAsia="Times New Roman" w:cs="Calibri" w:ascii="Calibri" w:hAnsi="Calibri" w:asciiTheme="minorHAnsi" w:cstheme="minorHAnsi" w:hAnsiTheme="minorHAnsi"/>
            <w:sz w:val="24"/>
            <w:szCs w:val="24"/>
            <w:lang w:val="pt-BR" w:eastAsia="en-US"/>
          </w:rPr>
          <w:t xml:space="preserve">(quinhentos </w:t>
        </w:r>
      </w:ins>
      <w:r>
        <w:rPr>
          <w:rFonts w:eastAsia="Times New Roman" w:cs="Calibri" w:ascii="Calibri" w:hAnsi="Calibri" w:asciiTheme="minorHAnsi" w:cstheme="minorHAnsi" w:hAnsiTheme="minorHAnsi"/>
          <w:sz w:val="24"/>
          <w:szCs w:val="24"/>
          <w:lang w:val="pt-BR" w:eastAsia="en-US"/>
        </w:rPr>
        <w:t>reais)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conferências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As remunerações devidas ao Agente Fiduciário, conforme acima descrito, não incluem as despesas consideradas necessárias ao exercício da função de agente fiduciário, as quais serão cobertas pela Emissora, mediante pagamento das respectivas cobranças acompanhadas dos respectivos comprovantes, emitidas diretamente em nome da Emissora ou mediante reembolso, após, sempre que possível, prévia aprovação, quais sejam: publicações em geral, viagens, </w:t>
      </w:r>
      <w:r>
        <w:rPr>
          <w:rFonts w:cs="Calibri" w:ascii="Calibri" w:hAnsi="Calibri" w:asciiTheme="minorHAnsi" w:cstheme="minorHAnsi" w:hAnsiTheme="minorHAnsi"/>
          <w:sz w:val="24"/>
          <w:szCs w:val="24"/>
          <w:lang w:val="pt-BR"/>
        </w:rPr>
        <w:t>alimentação</w:t>
      </w:r>
      <w:r>
        <w:rPr>
          <w:rFonts w:eastAsia="Times New Roman" w:cs="Calibri" w:ascii="Calibri" w:hAnsi="Calibri" w:asciiTheme="minorHAnsi" w:cstheme="minorHAnsi" w:hAnsiTheme="minorHAnsi"/>
          <w:sz w:val="24"/>
          <w:szCs w:val="24"/>
          <w:lang w:val="pt-BR" w:eastAsia="en-US"/>
        </w:rPr>
        <w:t xml:space="preserve">, estadias, transporte, despesas com </w:t>
      </w:r>
      <w:r>
        <w:rPr>
          <w:rFonts w:eastAsia="Times New Roman" w:cs="Calibri" w:ascii="Calibri" w:hAnsi="Calibri" w:asciiTheme="minorHAnsi" w:cstheme="minorHAnsi" w:hAnsiTheme="minorHAnsi"/>
          <w:i/>
          <w:sz w:val="24"/>
          <w:szCs w:val="24"/>
          <w:lang w:val="pt-BR" w:eastAsia="en-US"/>
        </w:rPr>
        <w:t>conference calls</w:t>
      </w:r>
      <w:r>
        <w:rPr>
          <w:rFonts w:eastAsia="Times New Roman" w:cs="Calibri" w:ascii="Calibri" w:hAnsi="Calibri" w:asciiTheme="minorHAnsi" w:cstheme="minorHAnsi" w:hAnsiTheme="minorHAnsi"/>
          <w:sz w:val="24"/>
          <w:szCs w:val="24"/>
          <w:lang w:val="pt-BR" w:eastAsia="en-US"/>
        </w:rPr>
        <w:t>, contatos telefônicos, notificações, extração de certidões, despesas cartorárias, fotocópias, digitalizações, envio de documento, despesas com especialistas, tais como auditoria e/ou fiscalização e/ou assessoria legal, dentre outros.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Todas as despesas decorrentes </w:t>
      </w:r>
      <w:r>
        <w:rPr>
          <w:rFonts w:cs="Calibri" w:ascii="Calibri" w:hAnsi="Calibri" w:asciiTheme="minorHAnsi" w:cstheme="minorHAnsi" w:hAnsiTheme="minorHAnsi"/>
          <w:sz w:val="24"/>
          <w:szCs w:val="24"/>
          <w:lang w:val="pt-BR"/>
        </w:rPr>
        <w:t>de</w:t>
      </w:r>
      <w:r>
        <w:rPr>
          <w:rFonts w:eastAsia="Times New Roman" w:cs="Calibri" w:ascii="Calibri" w:hAnsi="Calibri" w:asciiTheme="minorHAnsi" w:cstheme="minorHAnsi" w:hAnsiTheme="minorHAnsi"/>
          <w:sz w:val="24"/>
          <w:szCs w:val="24"/>
          <w:lang w:val="pt-BR" w:eastAsia="en-US"/>
        </w:rPr>
        <w:t xml:space="preserve"> procedimentos legais, inclusive as administrativas, em que o Agente Fiduciário venha a incorrer para resguardar os interesses dos Debenturistas deverão, sempre que possível, ser previamente aprovadas e adiantadas pelos Debenturistas, e posteriormente, conforme previsto em lei, ressarcidas pela Emissora. Tais despesas a serem adiantadas pelos Debenturistas incluem os gastos com honorários advocatícios, inclusive de terceiros, depósitos, indenizações, custas e taxas judiciárias de ações propostas pelo Agente Fiduciário, enquanto representante dos Debenturistas. As eventuais despesas, honorários,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Eventuais obrigações adicionais ao Agente Fiduciário ou alteração nas características da emissão facultarão </w:t>
      </w:r>
      <w:r>
        <w:rPr>
          <w:rFonts w:cs="Calibri" w:ascii="Calibri" w:hAnsi="Calibri" w:asciiTheme="minorHAnsi" w:cstheme="minorHAnsi" w:hAnsiTheme="minorHAnsi"/>
          <w:sz w:val="24"/>
          <w:szCs w:val="24"/>
          <w:lang w:val="pt-BR"/>
        </w:rPr>
        <w:t>ao</w:t>
      </w:r>
      <w:r>
        <w:rPr>
          <w:rFonts w:eastAsia="Times New Roman" w:cs="Calibri" w:ascii="Calibri" w:hAnsi="Calibri" w:asciiTheme="minorHAnsi" w:cstheme="minorHAnsi" w:hAnsiTheme="minorHAnsi"/>
          <w:sz w:val="24"/>
          <w:szCs w:val="24"/>
          <w:lang w:val="pt-BR" w:eastAsia="en-US"/>
        </w:rPr>
        <w:t xml:space="preserve"> Agente Fiduciário a revisão dos honorários propostos.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Cs/>
          <w:iCs/>
          <w:sz w:val="24"/>
          <w:szCs w:val="24"/>
          <w:lang w:val="pt-BR"/>
        </w:rPr>
        <w:t xml:space="preserve">O ressarcimento a que se refere esta Cláusula será efetuado em 10 (dez) Dias Úteis após a realização da respectiva prestação de contas à Emissora.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 xml:space="preserve">As despesas a que se refere </w:t>
      </w:r>
      <w:r>
        <w:rPr>
          <w:rFonts w:cs="Calibri" w:ascii="Calibri" w:hAnsi="Calibri" w:asciiTheme="minorHAnsi" w:cstheme="minorHAnsi" w:hAnsiTheme="minorHAnsi"/>
          <w:sz w:val="24"/>
          <w:szCs w:val="24"/>
          <w:lang w:val="pt-BR"/>
        </w:rPr>
        <w:t>esta</w:t>
      </w:r>
      <w:r>
        <w:rPr>
          <w:rFonts w:cs="Calibri" w:ascii="Calibri" w:hAnsi="Calibri" w:asciiTheme="minorHAnsi" w:cstheme="minorHAnsi" w:hAnsiTheme="minorHAnsi"/>
          <w:bCs/>
          <w:iCs/>
          <w:sz w:val="24"/>
          <w:szCs w:val="24"/>
          <w:lang w:val="pt-BR"/>
        </w:rPr>
        <w:t xml:space="preserve"> Cláusula compreenderão, inclusive, aquelas incorridas com:</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publicação, avisos e notificações, conforme previsto nesta Escritura de Emissão, e outras que vierem a ser exigidas por regulamentos aplicáveis;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extração de certidões, fotocópias, digitalizações;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 xml:space="preserve">despesas com </w:t>
      </w:r>
      <w:r>
        <w:rPr>
          <w:rFonts w:eastAsia="Arial" w:cs="Calibri" w:ascii="Calibri" w:hAnsi="Calibri" w:asciiTheme="minorHAnsi" w:cstheme="minorHAnsi" w:hAnsiTheme="minorHAnsi"/>
          <w:bCs/>
          <w:i/>
          <w:iCs/>
          <w:sz w:val="24"/>
          <w:szCs w:val="24"/>
          <w:lang w:eastAsia="en-GB"/>
        </w:rPr>
        <w:t>conference calls</w:t>
      </w:r>
      <w:r>
        <w:rPr>
          <w:rFonts w:eastAsia="Arial" w:cs="Calibri" w:ascii="Calibri" w:hAnsi="Calibri" w:asciiTheme="minorHAnsi" w:cstheme="minorHAnsi" w:hAnsiTheme="minorHAnsi"/>
          <w:bCs/>
          <w:iCs/>
          <w:sz w:val="24"/>
          <w:szCs w:val="24"/>
          <w:lang w:eastAsia="en-GB"/>
        </w:rPr>
        <w:t xml:space="preserve"> e contatos telefônicos;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locomoções entre Estados da Federação com as respectivas hospedagens e alimentação, quando necessárias ao desempenho das funções;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cs="Calibri" w:ascii="Calibri" w:hAnsi="Calibri" w:asciiTheme="minorHAnsi" w:cstheme="minorHAnsi" w:hAnsiTheme="minorHAnsi"/>
          <w:sz w:val="24"/>
          <w:szCs w:val="24"/>
        </w:rPr>
        <w:t>despesas com especialistas, tais como auditoria e/ou fiscalização, assessoria legal, entre outros;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despesas com cartórios e com correios necessárias ao desempenho da função de Agente Fiduciário, bem como com outro meio de envio de documentos.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bookmarkStart w:id="243" w:name="_Ref38531547"/>
      <w:r>
        <w:rPr>
          <w:rFonts w:eastAsia="Times New Roman" w:cs="Calibri" w:ascii="Calibri" w:hAnsi="Calibri" w:asciiTheme="minorHAnsi" w:cstheme="minorHAnsi" w:hAnsiTheme="minorHAnsi"/>
          <w:sz w:val="24"/>
          <w:szCs w:val="24"/>
          <w:lang w:val="pt-BR" w:eastAsia="en-US"/>
        </w:rPr>
        <w:t>Além de outros previstos em lei, em ato normativo da CVM ou nesta Escritura de Emissão, constituem deveres e atribuições do Agente Fiduciário:</w:t>
      </w:r>
      <w:bookmarkEnd w:id="243"/>
      <w:r>
        <w:rPr>
          <w:rFonts w:eastAsia="Times New Roman" w:cs="Calibri" w:ascii="Calibri" w:hAnsi="Calibri" w:asciiTheme="minorHAnsi" w:cstheme="minorHAnsi" w:hAnsiTheme="minorHAnsi"/>
          <w:sz w:val="24"/>
          <w:szCs w:val="24"/>
          <w:lang w:val="pt-BR" w:eastAsia="en-US"/>
        </w:rPr>
        <w:t xml:space="preserve"> </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proteger os direitos e interesses dos Debenturistas, empregando, no exercício da função, o cuidado e a diligência que todo homem ativo e probo costuma empregar na administração dos seus próprios negócios;</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renunciar à função na hipótese de superveniência de conflitos de interesse ou de qualquer outra modalidade de inaptidão;</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conservar em boa guarda toda a documentação relativa ao exercício de suas funções;</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diligenciar junto à Emissora para que a Escritura de Emissão e seus aditamentos sejam registrados nos órgãos competentes, adotando, no caso da omissão da Emissora, as medidas eventualmente previstas em lei;</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acompanhar a observância da periodicidade na prestação das informações periódicas, alertando os Debenturistas, no relatório anual, acerca de eventuais inconsistências ou omissões de que tenha conhecimento;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opinar sobre a suficiência das informações prestadas nas propostas de modificações das condições das Debêntures;</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e/ou dos Fiadores, bem como das demais comarcas em que a Emissora e/ou Fiadores exerçam suas atividades, as quais deverão ser apresentadas em até 30 (trinta) dias corridos da data de solicitação;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solicitar, quando considerar necessário, às expensas da Emissora, e desde que devidamente justificada e fundamentada, auditoria extraordinária na Emissora; [</w:t>
      </w:r>
      <w:r>
        <w:rPr>
          <w:rFonts w:cs="Calibri" w:ascii="Calibri" w:hAnsi="Calibri" w:asciiTheme="minorHAnsi" w:cstheme="minorHAnsi" w:hAnsiTheme="minorHAnsi"/>
          <w:b/>
          <w:bCs/>
          <w:sz w:val="24"/>
          <w:szCs w:val="24"/>
          <w:highlight w:val="yellow"/>
          <w:u w:val="single"/>
        </w:rPr>
        <w:t>Nota SF</w:t>
      </w:r>
      <w:r>
        <w:rPr>
          <w:rFonts w:cs="Calibri" w:ascii="Calibri" w:hAnsi="Calibri" w:asciiTheme="minorHAnsi" w:cstheme="minorHAnsi" w:hAnsiTheme="minorHAnsi"/>
          <w:sz w:val="24"/>
          <w:szCs w:val="24"/>
          <w:highlight w:val="yellow"/>
        </w:rPr>
        <w:t>: Ajuste solicitado pela Companhia</w:t>
      </w:r>
      <w:r>
        <w:rPr>
          <w:rFonts w:cs="Calibri" w:ascii="Calibri" w:hAnsi="Calibri" w:asciiTheme="minorHAnsi" w:cstheme="minorHAnsi" w:hAnsiTheme="minorHAnsi"/>
          <w:sz w:val="24"/>
          <w:szCs w:val="24"/>
        </w:rPr>
        <w:t>]</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convocar, quando necessário, Assembleia Geral de Debenturistas, mediante anúncio publicado, pelo menos 3 (três) vezes, nos Jornais de Publicação da Emissora;</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comparecer à Assembleia Geral de Debenturistas a fim de prestar as informações que lhe forem solicitadas;</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bookmarkStart w:id="244" w:name="_Ref38531553"/>
      <w:r>
        <w:rPr>
          <w:rFonts w:cs="Calibri" w:ascii="Calibri" w:hAnsi="Calibri" w:asciiTheme="minorHAnsi" w:cstheme="minorHAnsi" w:hAnsiTheme="minorHAnsi"/>
          <w:sz w:val="24"/>
          <w:szCs w:val="24"/>
        </w:rPr>
        <w:t>elaborar, no prazo legal, relatório anual destinado aos Debenturistas, nos termos da Resolução CVM 17, o qual deverá conter, no mínimo, as seguintes informações:</w:t>
      </w:r>
      <w:bookmarkEnd w:id="244"/>
    </w:p>
    <w:p>
      <w:pPr>
        <w:pStyle w:val="Level4"/>
        <w:numPr>
          <w:ilvl w:val="3"/>
          <w:numId w:val="10"/>
        </w:numPr>
        <w:spacing w:lineRule="exact" w:line="340" w:before="0" w:after="240"/>
        <w:rPr>
          <w:rFonts w:ascii="Calibri" w:hAnsi="Calibri" w:eastAsia="Times New Roman" w:cs="Calibri" w:asciiTheme="minorHAnsi" w:cstheme="minorHAnsi" w:hAnsiTheme="minorHAnsi"/>
          <w:sz w:val="24"/>
          <w:szCs w:val="24"/>
          <w:lang w:val="pt-BR" w:eastAsia="en-US"/>
        </w:rPr>
      </w:pPr>
      <w:bookmarkStart w:id="245" w:name="_Ref490667426"/>
      <w:r>
        <w:rPr>
          <w:rFonts w:eastAsia="Times New Roman" w:cs="Calibri" w:ascii="Calibri" w:hAnsi="Calibri" w:asciiTheme="minorHAnsi" w:cstheme="minorHAnsi" w:hAnsiTheme="minorHAnsi"/>
          <w:sz w:val="24"/>
          <w:szCs w:val="24"/>
          <w:lang w:val="pt-BR" w:eastAsia="en-US"/>
        </w:rPr>
        <w:t>cumprimento pela Emissora das suas obrigações de prestação de informações periódicas, indicando as inconsistências ou omissões de que tenha conhecimento;</w:t>
      </w:r>
      <w:bookmarkEnd w:id="245"/>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alterações estatutárias da Emissora ocorridas no período com efeitos relevantes aos Debenturistas;</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comentários sobre os indicadores econômicos e de estrutura de capital da Emissora relacionados a cláusulas contratuais destinadas a proteger o interesse dos Debenturistas e que estabelecem condições que não devem ser descumpridas pela Emissora;</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quantidade de Debêntures emitidas, quantidade de Debêntures em Circulação e saldo cancelado no período;</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resgate, amortização, conversão, repactuação e pagamentos de Remuneração realizados no período;</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acompanhamento da destinação dos recursos captados por meio das Debêntures, de acordo com os dados obtidos com os administradores da Emissora;</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relação dos bens e valores eventualmente entregues à sua administração, quando houver;</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cumprimento das demais obrigações assumidas pela Emissora nos termos desta Escritura de Emissão; </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manutenção da suficiência e exequibilidade das garantias;</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bookmarkStart w:id="246" w:name="_Ref284525887"/>
      <w:r>
        <w:rPr>
          <w:rFonts w:eastAsia="Times New Roman" w:cs="Calibri" w:ascii="Calibri" w:hAnsi="Calibri" w:asciiTheme="minorHAnsi" w:cstheme="minorHAnsi" w:hAnsiTheme="minorHAnsi"/>
          <w:sz w:val="24"/>
          <w:szCs w:val="24"/>
          <w:lang w:val="pt-BR" w:eastAsia="en-US"/>
        </w:rPr>
        <w:t xml:space="preserve">existência de </w:t>
      </w:r>
      <w:bookmarkStart w:id="247" w:name="_Ref491196612"/>
      <w:r>
        <w:rPr>
          <w:rFonts w:eastAsia="Times New Roman" w:cs="Calibri" w:ascii="Calibri" w:hAnsi="Calibri" w:asciiTheme="minorHAnsi" w:cstheme="minorHAnsi" w:hAnsiTheme="minorHAnsi"/>
          <w:sz w:val="24"/>
          <w:szCs w:val="24"/>
          <w:lang w:val="pt-BR" w:eastAsia="en-US"/>
        </w:rPr>
        <w:t>emissões de valores mobiliários, públicas ou privadas realizadas pela própria Emissora e/ou por sociedade coligada, controlada, controladora ou integrante do mesmo grupo da Emissora em que tenha atuado como agente fiduciário, bem como os dados sobre tais emissões, previstos na Resolução CVM 17;</w:t>
      </w:r>
      <w:bookmarkEnd w:id="246"/>
      <w:bookmarkEnd w:id="247"/>
      <w:r>
        <w:rPr>
          <w:rFonts w:eastAsia="Times New Roman" w:cs="Calibri" w:ascii="Calibri" w:hAnsi="Calibri" w:asciiTheme="minorHAnsi" w:cstheme="minorHAnsi" w:hAnsiTheme="minorHAnsi"/>
          <w:sz w:val="24"/>
          <w:szCs w:val="24"/>
          <w:lang w:val="pt-BR" w:eastAsia="en-US"/>
        </w:rPr>
        <w:t xml:space="preserve"> e </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declaração sobre a não existência de situação de conflito de interesses que impeça o Agente Fiduciário a continuar a exercer a função.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divulgar em sua página na rede mundial de computadores em até 4 (quatro) meses contados do encerramento de cada exercício social da Emissora, relatório anual a que se refere a Cláusula </w:t>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_Ref38531547 \r \h </w:instrText>
      </w:r>
      <w:r>
        <w:rPr>
          <w:sz w:val="24"/>
          <w:szCs w:val="24"/>
          <w:rFonts w:cs="Calibri" w:ascii="Calibri" w:hAnsi="Calibri"/>
        </w:rPr>
        <w:fldChar w:fldCharType="separate"/>
      </w:r>
      <w:r>
        <w:rPr>
          <w:sz w:val="24"/>
          <w:szCs w:val="24"/>
          <w:rFonts w:cs="Calibri" w:ascii="Calibri" w:hAnsi="Calibri"/>
        </w:rPr>
        <w:t>8.6</w:t>
      </w:r>
      <w:r>
        <w:rPr>
          <w:sz w:val="24"/>
          <w:szCs w:val="24"/>
          <w:rFonts w:cs="Calibri" w:ascii="Calibri" w:hAnsi="Calibri"/>
        </w:rPr>
        <w:fldChar w:fldCharType="end"/>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_Ref38531553 \r \h </w:instrText>
      </w:r>
      <w:r>
        <w:rPr>
          <w:sz w:val="24"/>
          <w:szCs w:val="24"/>
          <w:rFonts w:cs="Calibri" w:ascii="Calibri" w:hAnsi="Calibri"/>
        </w:rPr>
        <w:fldChar w:fldCharType="separate"/>
      </w:r>
      <w:r>
        <w:rPr>
          <w:sz w:val="24"/>
          <w:szCs w:val="24"/>
          <w:rFonts w:cs="Calibri" w:ascii="Calibri" w:hAnsi="Calibri"/>
        </w:rPr>
        <w:t>(l)</w:t>
      </w:r>
      <w:r>
        <w:rPr>
          <w:sz w:val="24"/>
          <w:szCs w:val="24"/>
          <w:rFonts w:cs="Calibri" w:ascii="Calibri" w:hAnsi="Calibri"/>
        </w:rPr>
        <w:fldChar w:fldCharType="end"/>
      </w:r>
      <w:r>
        <w:rPr>
          <w:rFonts w:cs="Calibri" w:ascii="Calibri" w:hAnsi="Calibri" w:asciiTheme="minorHAnsi" w:cstheme="minorHAnsi" w:hAnsiTheme="minorHAnsi"/>
          <w:sz w:val="24"/>
          <w:szCs w:val="24"/>
        </w:rPr>
        <w:t xml:space="preserve"> acima;</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atualizada a relação dos Debenturistas e seus endereços, mediante, inclusive, solicitação de informações junto à Emissora, ao Escriturador, o Banco Liquidante e à B3, sendo que, para fins de atendimento ao disposto neste inciso, a Emissora e os Debenturistas, mediante subscrição e integralização das Debêntures, expressamente autorizam, desde já, o Escriturador, o Banco Liquidante e a B3 a atenderem quaisquer solicitações feitas pelo Agente Fiduciário, inclusive referente à divulgação, a qualquer momento, da posição de Debêntures, e seus respectivos Debenturistas;</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fiscalizar o cumprimento das cláusulas constantes desta Escritura de Emissão e todas aquelas impositivas de obrigações de fazer e não fazer da Emissora;</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disponibilizar o preço unitário das Debêntures, a ser calculado pela Emissora, aos Debenturistas e aos demais participantes do mercado, por meio de sua central de atendimento e/ou da sua página na rede mundial de computadores (www</w:t>
      </w:r>
      <w:del w:id="123" w:author="Pedro Oliveira" w:date="2021-06-23T15:53:00Z">
        <w:r>
          <w:rPr>
            <w:rFonts w:cs="Calibri" w:ascii="Calibri" w:hAnsi="Calibri" w:asciiTheme="minorHAnsi" w:cstheme="minorHAnsi" w:hAnsiTheme="minorHAnsi"/>
            <w:sz w:val="24"/>
            <w:szCs w:val="24"/>
          </w:rPr>
          <w:delText>.[</w:delText>
        </w:r>
      </w:del>
      <w:del w:id="124" w:author="Pedro Oliveira" w:date="2021-06-23T15:53:00Z">
        <w:r>
          <w:rPr>
            <w:rFonts w:cs="Calibri" w:ascii="Calibri" w:hAnsi="Calibri" w:asciiTheme="minorHAnsi" w:cstheme="minorHAnsi" w:hAnsiTheme="minorHAnsi"/>
            <w:sz w:val="24"/>
            <w:szCs w:val="24"/>
            <w:highlight w:val="yellow"/>
          </w:rPr>
          <w:delText>=</w:delText>
        </w:r>
      </w:del>
      <w:del w:id="125" w:author="Pedro Oliveira" w:date="2021-06-23T15:53:00Z">
        <w:r>
          <w:rPr>
            <w:rFonts w:cs="Calibri" w:ascii="Calibri" w:hAnsi="Calibri" w:asciiTheme="minorHAnsi" w:cstheme="minorHAnsi" w:hAnsiTheme="minorHAnsi"/>
            <w:sz w:val="24"/>
            <w:szCs w:val="24"/>
          </w:rPr>
          <w:delText>].</w:delText>
        </w:r>
      </w:del>
      <w:ins w:id="126" w:author="Pedro Oliveira" w:date="2021-06-23T15:53:00Z">
        <w:r>
          <w:rPr>
            <w:rFonts w:cs="Calibri" w:ascii="Calibri" w:hAnsi="Calibri" w:asciiTheme="minorHAnsi" w:cstheme="minorHAnsi" w:hAnsiTheme="minorHAnsi"/>
            <w:sz w:val="24"/>
            <w:szCs w:val="24"/>
          </w:rPr>
          <w:t>.simplificpavarini.</w:t>
        </w:r>
      </w:ins>
      <w:r>
        <w:rPr>
          <w:rFonts w:cs="Calibri" w:ascii="Calibri" w:hAnsi="Calibri" w:asciiTheme="minorHAnsi" w:cstheme="minorHAnsi" w:hAnsiTheme="minorHAnsi"/>
          <w:sz w:val="24"/>
          <w:szCs w:val="24"/>
        </w:rPr>
        <w:t xml:space="preserve">com.br); </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acompanhar a destinação dos recursos captados por meio da emissão das Debêntures, de acordo com os dados obtidos junto aos administradores da Emissora;</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as informações referidas no subitem (x) da alínea (l) acima em sua página na rede mundial de computadores tão logo delas tenha conhecimento;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verificar a regularidade da constituição da Fiança, bem observando a manutenção de sua suficiência e exequibilidade, nos termos da Escritura de Emissão;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b/>
          <w:b/>
          <w:color w:val="000000"/>
          <w:spacing w:val="-7"/>
          <w:sz w:val="24"/>
          <w:szCs w:val="24"/>
        </w:rPr>
      </w:pPr>
      <w:r>
        <w:rPr>
          <w:rFonts w:cs="Calibri" w:ascii="Calibri" w:hAnsi="Calibri" w:asciiTheme="minorHAnsi" w:cstheme="minorHAnsi" w:hAnsiTheme="minorHAnsi"/>
          <w:sz w:val="24"/>
          <w:szCs w:val="24"/>
        </w:rPr>
        <w:t>acompanhar com o Banco Liquidante em cada Data de Pagamento da Remuneração, o integral e pontual pagamento dos valores devidos, conforme estipulado na presente Escritura de Emissão; e</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b/>
          <w:b/>
          <w:color w:val="000000"/>
          <w:spacing w:val="-7"/>
          <w:sz w:val="24"/>
          <w:szCs w:val="24"/>
        </w:rPr>
      </w:pPr>
      <w:r>
        <w:rPr>
          <w:rFonts w:cs="Calibri" w:ascii="Calibri" w:hAnsi="Calibri" w:asciiTheme="minorHAnsi" w:cstheme="minorHAnsi" w:hAnsi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No caso de inadimplemento de quaisquer condições da Emissora, o Agente Fiduciário deve usar de toda e qualquer medida prevista em lei ou na Escritura de Emissão para a proteção dos direitos ou defesa dos interesses da comunhão dos titulares das Debêntures. </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cs="Calibri" w:ascii="Calibri" w:hAnsi="Calibri" w:asciiTheme="minorHAnsi" w:cstheme="minorHAnsi" w:hAnsiTheme="minorHAnsi"/>
          <w:sz w:val="24"/>
          <w:szCs w:val="24"/>
          <w:lang w:val="pt-BR"/>
        </w:rPr>
        <w:t xml:space="preserve">A atuação do Agente Fiduciário limita-se ao escopo da Resolução CVM 17, conforme alterada e dos artigos aplicáveis da Lei das Sociedades por Ações, bem como ao previsto na Escritura de Emissão, estando este isento, sob qualquer forma ou pretexto, de qualquer responsabilidade adicional que não </w:t>
      </w:r>
      <w:r>
        <w:rPr>
          <w:rFonts w:eastAsia="Times New Roman" w:cs="Calibri" w:ascii="Calibri" w:hAnsi="Calibri" w:asciiTheme="minorHAnsi" w:cstheme="minorHAnsi" w:hAnsiTheme="minorHAnsi"/>
          <w:sz w:val="24"/>
          <w:szCs w:val="24"/>
          <w:lang w:val="pt-BR" w:eastAsia="en-US"/>
        </w:rPr>
        <w:t>tenha</w:t>
      </w:r>
      <w:r>
        <w:rPr>
          <w:rFonts w:cs="Calibri" w:ascii="Calibri" w:hAnsi="Calibri" w:asciiTheme="minorHAnsi" w:cstheme="minorHAnsi" w:hAnsiTheme="minorHAnsi"/>
          <w:sz w:val="24"/>
          <w:szCs w:val="24"/>
          <w:lang w:val="pt-BR"/>
        </w:rPr>
        <w:t xml:space="preserve"> decorrido da legislação aplicável e/ou dos referidos documentos.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O Agente Fiduciário se balizará pelas informações que lhe forem disponibilizadas pela Emissora para verificar o atendimento dos </w:t>
      </w:r>
      <w:r>
        <w:rPr>
          <w:rFonts w:eastAsia="Times New Roman" w:cs="Calibri" w:ascii="Calibri" w:hAnsi="Calibri" w:asciiTheme="minorHAnsi" w:cstheme="minorHAnsi" w:hAnsiTheme="minorHAnsi"/>
          <w:i/>
          <w:iCs/>
          <w:sz w:val="24"/>
          <w:szCs w:val="24"/>
          <w:lang w:val="pt-BR" w:eastAsia="en-US"/>
        </w:rPr>
        <w:t>covenants</w:t>
      </w:r>
      <w:r>
        <w:rPr>
          <w:rFonts w:eastAsia="Times New Roman" w:cs="Calibri" w:ascii="Calibri" w:hAnsi="Calibri" w:asciiTheme="minorHAnsi" w:cstheme="minorHAnsi" w:hAnsiTheme="minorHAnsi"/>
          <w:sz w:val="24"/>
          <w:szCs w:val="24"/>
          <w:lang w:val="pt-BR" w:eastAsia="en-US"/>
        </w:rPr>
        <w:t>.</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até 15 (quinze) dias corridos antes do término do prazo acima citado, caberá à Emissora efetuá-la, conforme definido na Cláusula </w:t>
      </w:r>
      <w:r>
        <w:rPr>
          <w:rFonts w:eastAsia="Times New Roman" w:cs="Calibri" w:ascii="Calibri" w:hAnsi="Calibri" w:asciiTheme="minorHAnsi" w:cstheme="minorHAnsi" w:hAnsiTheme="minorHAnsi"/>
          <w:sz w:val="24"/>
          <w:szCs w:val="24"/>
          <w:lang w:val="pt-BR" w:eastAsia="en-US"/>
        </w:rPr>
        <w:fldChar w:fldCharType="begin"/>
      </w:r>
      <w:r>
        <w:rPr>
          <w:sz w:val="24"/>
          <w:szCs w:val="24"/>
          <w:rFonts w:eastAsia="Times New Roman" w:cs="Calibri" w:ascii="Calibri" w:hAnsi="Calibri"/>
          <w:lang w:val="pt-BR" w:eastAsia="en-US"/>
        </w:rPr>
        <w:instrText> REF _Ref38530179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9</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eastAsia="Times New Roman" w:cs="Calibri" w:ascii="Calibri" w:hAnsi="Calibri" w:asciiTheme="minorHAnsi" w:cstheme="minorHAnsi" w:hAnsiTheme="minorHAnsi"/>
          <w:i/>
          <w:sz w:val="24"/>
          <w:szCs w:val="24"/>
          <w:lang w:val="pt-BR" w:eastAsia="en-US"/>
        </w:rPr>
        <w:t>pro rata temporis</w:t>
      </w:r>
      <w:r>
        <w:rPr>
          <w:rFonts w:eastAsia="Times New Roman" w:cs="Calibri" w:ascii="Calibri" w:hAnsi="Calibri" w:asciiTheme="minorHAnsi" w:cstheme="minorHAnsi" w:hAnsi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Em qualquer hipótese, a substituição do Agente Fiduciário ficará sujeita à comunicação à CVM e ao atendimento dos requisitos previstos na Resolução CVM 17 e eventuais normas posteriores aplicáveis. </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 substituição do Agente Fiduciário em caráter permanente deverá ser objeto de aditamento à Escritura de Emissão, que deverá ser registrado nos termos da Cláusula </w:t>
      </w:r>
      <w:r>
        <w:rPr>
          <w:rFonts w:eastAsia="Times New Roman" w:cs="Calibri" w:ascii="Calibri" w:hAnsi="Calibri" w:asciiTheme="minorHAnsi" w:cstheme="minorHAnsi" w:hAnsiTheme="minorHAnsi"/>
          <w:sz w:val="24"/>
          <w:szCs w:val="24"/>
          <w:lang w:val="pt-BR" w:eastAsia="en-US"/>
        </w:rPr>
        <w:fldChar w:fldCharType="begin"/>
      </w:r>
      <w:r>
        <w:rPr>
          <w:sz w:val="24"/>
          <w:szCs w:val="24"/>
          <w:rFonts w:eastAsia="Times New Roman" w:cs="Calibri" w:ascii="Calibri" w:hAnsi="Calibri"/>
          <w:lang w:val="pt-BR" w:eastAsia="en-US"/>
        </w:rPr>
        <w:instrText> REF _Ref38531590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2.4.1</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xml:space="preserve"> e 2.4.3 acima.</w:t>
      </w:r>
    </w:p>
    <w:p>
      <w:pPr>
        <w:pStyle w:val="Level3"/>
        <w:numPr>
          <w:ilvl w:val="3"/>
          <w:numId w:val="13"/>
        </w:numPr>
        <w:spacing w:lineRule="exact" w:line="340" w:before="0" w:after="240"/>
        <w:rPr>
          <w:rFonts w:ascii="Calibri" w:hAnsi="Calibri" w:cs="Calibri" w:asciiTheme="minorHAnsi" w:cstheme="minorHAnsi" w:hAnsiTheme="minorHAnsi"/>
          <w:b/>
          <w:b/>
          <w:bCs/>
          <w:iCs/>
          <w:sz w:val="24"/>
          <w:szCs w:val="24"/>
          <w:lang w:val="pt-BR"/>
        </w:rPr>
      </w:pPr>
      <w:r>
        <w:rPr>
          <w:rFonts w:cs="Calibri" w:ascii="Calibri" w:hAnsi="Calibri" w:asciiTheme="minorHAnsi" w:cstheme="minorHAnsi" w:hAnsiTheme="minorHAnsi"/>
          <w:bCs/>
          <w:iCs/>
          <w:sz w:val="24"/>
          <w:szCs w:val="24"/>
          <w:lang w:val="pt-BR"/>
        </w:rPr>
        <w:t xml:space="preserve">O </w:t>
      </w:r>
      <w:r>
        <w:rPr>
          <w:rFonts w:eastAsia="Times New Roman" w:cs="Calibri" w:ascii="Calibri" w:hAnsi="Calibri" w:asciiTheme="minorHAnsi" w:cstheme="minorHAnsi" w:hAnsiTheme="minorHAnsi"/>
          <w:sz w:val="24"/>
          <w:szCs w:val="24"/>
          <w:lang w:val="pt-BR" w:eastAsia="en-US"/>
        </w:rPr>
        <w:t xml:space="preserve">Agente Fiduciário substituto deverá, imediatamente após sua nomeação, comunicá-la aos Debenturistas em forma de aviso nos termos da Cláusula </w:t>
      </w:r>
      <w:r>
        <w:rPr>
          <w:rFonts w:eastAsia="Times New Roman" w:cs="Calibri" w:ascii="Calibri" w:hAnsi="Calibri" w:asciiTheme="minorHAnsi" w:cstheme="minorHAnsi" w:hAnsiTheme="minorHAnsi"/>
          <w:sz w:val="24"/>
          <w:szCs w:val="24"/>
          <w:lang w:val="pt-BR" w:eastAsia="en-US"/>
        </w:rPr>
        <w:fldChar w:fldCharType="begin"/>
      </w:r>
      <w:r>
        <w:rPr>
          <w:sz w:val="24"/>
          <w:szCs w:val="24"/>
          <w:rFonts w:eastAsia="Times New Roman" w:cs="Calibri" w:ascii="Calibri" w:hAnsi="Calibri"/>
          <w:lang w:val="pt-BR" w:eastAsia="en-US"/>
        </w:rPr>
        <w:instrText> REF _Ref420336525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4.19</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xml:space="preserve"> acima.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 xml:space="preserve">Aplicam-se às </w:t>
      </w:r>
      <w:r>
        <w:rPr>
          <w:rFonts w:eastAsia="Times New Roman" w:cs="Calibri" w:ascii="Calibri" w:hAnsi="Calibri" w:asciiTheme="minorHAnsi" w:cstheme="minorHAnsi" w:hAnsiTheme="minorHAnsi"/>
          <w:sz w:val="24"/>
          <w:szCs w:val="24"/>
          <w:lang w:val="pt-BR" w:eastAsia="en-US"/>
        </w:rPr>
        <w:t>hipóteses</w:t>
      </w:r>
      <w:r>
        <w:rPr>
          <w:rFonts w:cs="Calibri" w:ascii="Calibri" w:hAnsi="Calibri" w:asciiTheme="minorHAnsi" w:cstheme="minorHAnsi" w:hAnsiTheme="minorHAnsi"/>
          <w:bCs/>
          <w:iCs/>
          <w:sz w:val="24"/>
          <w:szCs w:val="24"/>
          <w:lang w:val="pt-BR"/>
        </w:rPr>
        <w:t xml:space="preserve"> de substituição do Agente Fiduciário as normas e preceitos a este respeito promulgados por atos da CVM.</w:t>
      </w:r>
    </w:p>
    <w:p>
      <w:pPr>
        <w:pStyle w:val="Level1"/>
        <w:numPr>
          <w:ilvl w:val="0"/>
          <w:numId w:val="5"/>
        </w:numPr>
        <w:spacing w:lineRule="exact" w:line="340"/>
        <w:rPr>
          <w:rFonts w:ascii="Calibri" w:hAnsi="Calibri" w:cs="Calibri" w:asciiTheme="minorHAnsi" w:cstheme="minorHAnsi" w:hAnsiTheme="minorHAnsi"/>
          <w:sz w:val="24"/>
          <w:szCs w:val="24"/>
        </w:rPr>
      </w:pPr>
      <w:bookmarkStart w:id="248" w:name="_Ref427712773"/>
      <w:bookmarkStart w:id="249" w:name="_Ref447756814"/>
      <w:bookmarkStart w:id="250" w:name="_Ref38530179"/>
      <w:bookmarkStart w:id="251" w:name="_DV_M354"/>
      <w:bookmarkStart w:id="252" w:name="_DV_M353"/>
      <w:bookmarkStart w:id="253" w:name="_DV_M341"/>
      <w:bookmarkEnd w:id="248"/>
      <w:bookmarkEnd w:id="251"/>
      <w:bookmarkEnd w:id="252"/>
      <w:bookmarkEnd w:id="253"/>
      <w:r>
        <w:rPr>
          <w:rFonts w:cs="Calibri" w:ascii="Calibri" w:hAnsi="Calibri" w:asciiTheme="minorHAnsi" w:cstheme="minorHAnsi" w:hAnsiTheme="minorHAnsi"/>
          <w:sz w:val="24"/>
          <w:szCs w:val="24"/>
        </w:rPr>
        <w:t>ASSEMBLEIA GERAL DE DEBENTURISTAS</w:t>
      </w:r>
      <w:bookmarkEnd w:id="250"/>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254" w:name="_Ref447756814"/>
      <w:r>
        <w:rPr>
          <w:rFonts w:cs="Calibri" w:ascii="Calibri" w:hAnsi="Calibri" w:asciiTheme="minorHAnsi" w:cstheme="minorHAnsi" w:hAnsiTheme="minorHAnsi"/>
          <w:b/>
          <w:sz w:val="24"/>
          <w:szCs w:val="24"/>
          <w:lang w:val="pt-BR"/>
        </w:rPr>
        <w:t>Disposições Gerais</w:t>
      </w:r>
      <w:bookmarkEnd w:id="254"/>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Os Debenturistas poderão, a qualquer tempo, reunir-se em assembleia geral, de acordo com o </w:t>
      </w:r>
      <w:r>
        <w:rPr>
          <w:rFonts w:eastAsia="Times New Roman" w:cs="Calibri" w:ascii="Calibri" w:hAnsi="Calibri" w:asciiTheme="minorHAnsi" w:cstheme="minorHAnsi" w:hAnsiTheme="minorHAnsi"/>
          <w:sz w:val="24"/>
          <w:szCs w:val="24"/>
          <w:lang w:val="pt-BR" w:eastAsia="en-US"/>
        </w:rPr>
        <w:t>disposto</w:t>
      </w:r>
      <w:r>
        <w:rPr>
          <w:rFonts w:cs="Calibri" w:ascii="Calibri" w:hAnsi="Calibri" w:asciiTheme="minorHAnsi" w:cstheme="minorHAnsi" w:hAnsiTheme="minorHAnsi"/>
          <w:bCs/>
          <w:sz w:val="24"/>
          <w:szCs w:val="24"/>
          <w:lang w:val="pt-BR"/>
        </w:rPr>
        <w:t xml:space="preserve"> no artigo 71 da Lei das Sociedades por Ações, a fim de deliberarem sobre matéria de interesse da comunhão dos Debenturistas (“</w:t>
      </w:r>
      <w:r>
        <w:rPr>
          <w:rFonts w:cs="Calibri" w:ascii="Calibri" w:hAnsi="Calibri" w:asciiTheme="minorHAnsi" w:cstheme="minorHAnsi" w:hAnsiTheme="minorHAnsi"/>
          <w:b/>
          <w:sz w:val="24"/>
          <w:szCs w:val="24"/>
          <w:lang w:val="pt-BR"/>
        </w:rPr>
        <w:t>Assembleia Geral de Debenturistas</w:t>
      </w:r>
      <w:r>
        <w:rPr>
          <w:rFonts w:cs="Calibri" w:ascii="Calibri" w:hAnsi="Calibri" w:asciiTheme="minorHAnsi" w:cstheme="minorHAnsi" w:hAnsiTheme="minorHAnsi"/>
          <w:bCs/>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iCs/>
          <w:sz w:val="24"/>
          <w:szCs w:val="24"/>
          <w:lang w:val="pt-BR"/>
        </w:rPr>
        <w:t>Os</w:t>
      </w:r>
      <w:r>
        <w:rPr>
          <w:rFonts w:cs="Calibri" w:ascii="Calibri" w:hAnsi="Calibri" w:asciiTheme="minorHAnsi" w:cstheme="minorHAnsi" w:hAnsiTheme="minorHAnsi"/>
          <w:bCs/>
          <w:sz w:val="24"/>
          <w:szCs w:val="24"/>
          <w:lang w:val="pt-BR"/>
        </w:rPr>
        <w:t xml:space="preserve"> procedimentos previstos nesta Cláusula</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_Ref38530179 \r \h </w:instrText>
      </w:r>
      <w:r>
        <w:rPr>
          <w:sz w:val="24"/>
          <w:szCs w:val="24"/>
          <w:rFonts w:cs="Calibri" w:ascii="Calibri" w:hAnsi="Calibri"/>
          <w:lang w:val="pt-BR"/>
        </w:rPr>
        <w:fldChar w:fldCharType="separate"/>
      </w:r>
      <w:r>
        <w:rPr>
          <w:sz w:val="24"/>
          <w:szCs w:val="24"/>
          <w:rFonts w:cs="Calibri" w:ascii="Calibri" w:hAnsi="Calibri"/>
          <w:lang w:val="pt-BR"/>
        </w:rPr>
        <w:t>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Cs/>
          <w:sz w:val="24"/>
          <w:szCs w:val="24"/>
          <w:lang w:val="pt-BR"/>
        </w:rPr>
        <w:t>serão aplicáveis a todas as Assembleias Gerais de Debenturistas e os quóruns aqui previstos deverão ser calculados levando-se em consideração o total de Debêntures em Circulação objeto da Emissão</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Aplicar-se-á à Assembleia Geral de Debenturistas, no que couber, o disposto na Lei das </w:t>
      </w:r>
      <w:r>
        <w:rPr>
          <w:rFonts w:eastAsia="Times New Roman" w:cs="Calibri" w:ascii="Calibri" w:hAnsi="Calibri" w:asciiTheme="minorHAnsi" w:cstheme="minorHAnsi" w:hAnsiTheme="minorHAnsi"/>
          <w:sz w:val="24"/>
          <w:szCs w:val="24"/>
          <w:lang w:val="pt-BR" w:eastAsia="en-US"/>
        </w:rPr>
        <w:t>Sociedades</w:t>
      </w:r>
      <w:r>
        <w:rPr>
          <w:rFonts w:cs="Calibri" w:ascii="Calibri" w:hAnsi="Calibri" w:asciiTheme="minorHAnsi" w:cstheme="minorHAnsi" w:hAnsiTheme="minorHAnsi"/>
          <w:bCs/>
          <w:sz w:val="24"/>
          <w:szCs w:val="24"/>
          <w:lang w:val="pt-BR"/>
        </w:rPr>
        <w:t xml:space="preserve"> por Ações, a respeito das assembleias gerais de acionistas.</w:t>
      </w:r>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Independentemente das formalidades previstas na legislação ou nesta Cláusula </w:t>
      </w:r>
      <w:r>
        <w:rPr>
          <w:rFonts w:cs="Calibri" w:ascii="Calibri" w:hAnsi="Calibri" w:asciiTheme="minorHAnsi" w:cstheme="minorHAnsi" w:hAnsiTheme="minorHAnsi"/>
          <w:bCs/>
          <w:sz w:val="24"/>
          <w:szCs w:val="24"/>
          <w:lang w:val="pt-BR"/>
        </w:rPr>
        <w:fldChar w:fldCharType="begin"/>
      </w:r>
      <w:r>
        <w:rPr>
          <w:sz w:val="24"/>
          <w:szCs w:val="24"/>
          <w:bCs/>
          <w:rFonts w:cs="Calibri" w:ascii="Calibri" w:hAnsi="Calibri"/>
          <w:lang w:val="pt-BR"/>
        </w:rPr>
        <w:instrText> REF _Ref38530179 \r \h </w:instrText>
      </w:r>
      <w:r>
        <w:rPr>
          <w:sz w:val="24"/>
          <w:szCs w:val="24"/>
          <w:bCs/>
          <w:rFonts w:cs="Calibri" w:ascii="Calibri" w:hAnsi="Calibri"/>
          <w:lang w:val="pt-BR"/>
        </w:rPr>
        <w:fldChar w:fldCharType="separate"/>
      </w:r>
      <w:r>
        <w:rPr>
          <w:sz w:val="24"/>
          <w:szCs w:val="24"/>
          <w:bCs/>
          <w:rFonts w:cs="Calibri" w:ascii="Calibri" w:hAnsi="Calibri"/>
          <w:lang w:val="pt-BR"/>
        </w:rPr>
        <w:t>9</w:t>
      </w:r>
      <w:r>
        <w:rPr>
          <w:sz w:val="24"/>
          <w:szCs w:val="24"/>
          <w:bCs/>
          <w:rFonts w:cs="Calibri" w:ascii="Calibri" w:hAnsi="Calibri"/>
          <w:lang w:val="pt-BR"/>
        </w:rPr>
        <w:fldChar w:fldCharType="end"/>
      </w:r>
      <w:r>
        <w:rPr>
          <w:rFonts w:cs="Calibri" w:ascii="Calibri" w:hAnsi="Calibri" w:asciiTheme="minorHAnsi" w:cstheme="minorHAnsi" w:hAnsiTheme="minorHAnsi"/>
          <w:bCs/>
          <w:sz w:val="24"/>
          <w:szCs w:val="24"/>
          <w:lang w:val="pt-BR"/>
        </w:rPr>
        <w:t xml:space="preserve">, serão </w:t>
      </w:r>
      <w:r>
        <w:rPr>
          <w:rFonts w:eastAsia="Times New Roman" w:cs="Calibri" w:ascii="Calibri" w:hAnsi="Calibri" w:asciiTheme="minorHAnsi" w:cstheme="minorHAnsi" w:hAnsiTheme="minorHAnsi"/>
          <w:sz w:val="24"/>
          <w:szCs w:val="24"/>
          <w:lang w:val="pt-BR" w:eastAsia="en-US"/>
        </w:rPr>
        <w:t>consideradas</w:t>
      </w:r>
      <w:r>
        <w:rPr>
          <w:rFonts w:cs="Calibri" w:ascii="Calibri" w:hAnsi="Calibri" w:asciiTheme="minorHAnsi" w:cstheme="minorHAnsi" w:hAnsiTheme="minorHAnsi"/>
          <w:bCs/>
          <w:sz w:val="24"/>
          <w:szCs w:val="24"/>
          <w:lang w:val="pt-BR"/>
        </w:rPr>
        <w:t xml:space="preserve"> regulares as deliberações tomadas pelos Debenturistas em Assembleia Geral de Debenturistas a que comparecerem os titulares de todas as Debêntures em Circulação.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Para efeito da constituição do quórum de instalação e/ou deliberação a que se refere esta </w:t>
      </w:r>
      <w:r>
        <w:rPr>
          <w:rFonts w:eastAsia="Times New Roman" w:cs="Calibri" w:ascii="Calibri" w:hAnsi="Calibri" w:asciiTheme="minorHAnsi" w:cstheme="minorHAnsi" w:hAnsiTheme="minorHAnsi"/>
          <w:sz w:val="24"/>
          <w:szCs w:val="24"/>
          <w:lang w:val="pt-BR" w:eastAsia="en-US"/>
        </w:rPr>
        <w:t>Cláusula</w:t>
      </w:r>
      <w:r>
        <w:rPr>
          <w:rFonts w:cs="Calibri" w:ascii="Calibri" w:hAnsi="Calibri" w:asciiTheme="minorHAnsi" w:cstheme="minorHAnsi" w:hAnsiTheme="minorHAnsi"/>
          <w:bCs/>
          <w:sz w:val="24"/>
          <w:szCs w:val="24"/>
          <w:lang w:val="pt-BR"/>
        </w:rPr>
        <w:t xml:space="preserve"> </w:t>
      </w:r>
      <w:r>
        <w:rPr>
          <w:rFonts w:cs="Calibri" w:ascii="Calibri" w:hAnsi="Calibri" w:asciiTheme="minorHAnsi" w:cstheme="minorHAnsi" w:hAnsiTheme="minorHAnsi"/>
          <w:bCs/>
          <w:sz w:val="24"/>
          <w:szCs w:val="24"/>
          <w:lang w:val="pt-BR"/>
        </w:rPr>
        <w:fldChar w:fldCharType="begin"/>
      </w:r>
      <w:r>
        <w:rPr>
          <w:sz w:val="24"/>
          <w:szCs w:val="24"/>
          <w:bCs/>
          <w:rFonts w:cs="Calibri" w:ascii="Calibri" w:hAnsi="Calibri"/>
          <w:lang w:val="pt-BR"/>
        </w:rPr>
        <w:instrText> REF _Ref38530179 \r \h </w:instrText>
      </w:r>
      <w:r>
        <w:rPr>
          <w:sz w:val="24"/>
          <w:szCs w:val="24"/>
          <w:bCs/>
          <w:rFonts w:cs="Calibri" w:ascii="Calibri" w:hAnsi="Calibri"/>
          <w:lang w:val="pt-BR"/>
        </w:rPr>
        <w:fldChar w:fldCharType="separate"/>
      </w:r>
      <w:r>
        <w:rPr>
          <w:sz w:val="24"/>
          <w:szCs w:val="24"/>
          <w:bCs/>
          <w:rFonts w:cs="Calibri" w:ascii="Calibri" w:hAnsi="Calibri"/>
          <w:lang w:val="pt-BR"/>
        </w:rPr>
        <w:t>9</w:t>
      </w:r>
      <w:r>
        <w:rPr>
          <w:sz w:val="24"/>
          <w:szCs w:val="24"/>
          <w:bCs/>
          <w:rFonts w:cs="Calibri" w:ascii="Calibri" w:hAnsi="Calibri"/>
          <w:lang w:val="pt-BR"/>
        </w:rPr>
        <w:fldChar w:fldCharType="end"/>
      </w:r>
      <w:r>
        <w:rPr>
          <w:rFonts w:cs="Calibri" w:ascii="Calibri" w:hAnsi="Calibri" w:asciiTheme="minorHAnsi" w:cstheme="minorHAnsi" w:hAnsiTheme="minorHAnsi"/>
          <w:bCs/>
          <w:sz w:val="24"/>
          <w:szCs w:val="24"/>
          <w:lang w:val="pt-BR"/>
        </w:rPr>
        <w:t>, serão consideradas “</w:t>
      </w:r>
      <w:r>
        <w:rPr>
          <w:rFonts w:cs="Calibri" w:ascii="Calibri" w:hAnsi="Calibri" w:asciiTheme="minorHAnsi" w:cstheme="minorHAnsi" w:hAnsiTheme="minorHAnsi"/>
          <w:b/>
          <w:sz w:val="24"/>
          <w:szCs w:val="24"/>
          <w:lang w:val="pt-BR"/>
        </w:rPr>
        <w:t>Debêntures em Circulação</w:t>
      </w:r>
      <w:r>
        <w:rPr>
          <w:rFonts w:cs="Calibri" w:ascii="Calibri" w:hAnsi="Calibri" w:asciiTheme="minorHAnsi" w:cstheme="minorHAnsi" w:hAnsi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Sem prejuízo das demais disposições desta Escritura de Emissão, as Assembleias Gerais de Debenturistas poderão ser realizadas de forma exclusivamente ou </w:t>
      </w:r>
      <w:r>
        <w:rPr>
          <w:rFonts w:eastAsia="Times New Roman" w:cs="Calibri" w:ascii="Calibri" w:hAnsi="Calibri" w:asciiTheme="minorHAnsi" w:cstheme="minorHAnsi" w:hAnsiTheme="minorHAnsi"/>
          <w:sz w:val="24"/>
          <w:szCs w:val="24"/>
          <w:lang w:val="pt-BR" w:eastAsia="en-US"/>
        </w:rPr>
        <w:t>parcialmente</w:t>
      </w:r>
      <w:r>
        <w:rPr>
          <w:rFonts w:cs="Calibri" w:ascii="Calibri" w:hAnsi="Calibri" w:asciiTheme="minorHAnsi" w:cstheme="minorHAnsi" w:hAnsiTheme="minorHAnsi"/>
          <w:bCs/>
          <w:sz w:val="24"/>
          <w:szCs w:val="24"/>
          <w:lang w:val="pt-BR"/>
        </w:rPr>
        <w:t xml:space="preserve"> digital, observadas as disposições da Instrução CVM nº 625, de 14 de maio de 2020.</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Convocação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As Assembleias Gerais de Debenturistas poderão ser convocadas pelo Agente Fiduciário, pela Emissora, por Debenturistas titulares de, no mínimo, 10% (dez por cento) das Debêntures em Circulação ou pela CVM.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 convocação das Assembleias Gerais de Debenturistas se dará mediante anúncio publicado, </w:t>
      </w:r>
      <w:r>
        <w:rPr>
          <w:rFonts w:eastAsia="Times New Roman" w:cs="Calibri" w:ascii="Calibri" w:hAnsi="Calibri" w:asciiTheme="minorHAnsi" w:cstheme="minorHAnsi" w:hAnsiTheme="minorHAnsi"/>
          <w:sz w:val="24"/>
          <w:szCs w:val="24"/>
          <w:lang w:val="pt-BR" w:eastAsia="en-US"/>
        </w:rPr>
        <w:t>pelo</w:t>
      </w:r>
      <w:r>
        <w:rPr>
          <w:rFonts w:cs="Calibri" w:ascii="Calibri" w:hAnsi="Calibri" w:asciiTheme="minorHAnsi" w:cstheme="minorHAnsi" w:hAnsiTheme="minorHAnsi"/>
          <w:bCs/>
          <w:sz w:val="24"/>
          <w:szCs w:val="24"/>
          <w:lang w:val="pt-BR"/>
        </w:rPr>
        <w:t xml:space="preserve"> menos, 3 (três) vezes nos Jornais de Publicação, respeitadas outras regras relacionadas à publicação de anúncio de convocação de assembleias gerais constantes da Lei das Sociedades por Ações, da regulamentação aplicável e desta Escritura de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As Assembleias Gerais de Debenturistas deverão ser realizadas, em primeira convocação, no prazo mínimo de </w:t>
      </w:r>
      <w:r>
        <w:rPr>
          <w:rFonts w:cs="Calibri" w:ascii="Calibri" w:hAnsi="Calibri" w:asciiTheme="minorHAnsi" w:cstheme="minorHAnsi" w:hAnsiTheme="minorHAnsi"/>
          <w:sz w:val="24"/>
          <w:szCs w:val="24"/>
          <w:lang w:val="pt-BR"/>
        </w:rPr>
        <w:t>30 (trinta)</w:t>
      </w:r>
      <w:r>
        <w:rPr>
          <w:rFonts w:cs="Calibri" w:ascii="Calibri" w:hAnsi="Calibri" w:asciiTheme="minorHAnsi" w:cstheme="minorHAnsi" w:hAnsi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salvo de outra forma determinado pela legislação e regulamentação aplicável.</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Quórum de Instalação</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As Assembleias Gerais de Debenturistas instalar-se-ão, em primeira convocação, com a </w:t>
      </w:r>
      <w:r>
        <w:rPr>
          <w:rFonts w:eastAsia="Times New Roman" w:cs="Calibri" w:ascii="Calibri" w:hAnsi="Calibri" w:asciiTheme="minorHAnsi" w:cstheme="minorHAnsi" w:hAnsiTheme="minorHAnsi"/>
          <w:sz w:val="24"/>
          <w:szCs w:val="24"/>
          <w:lang w:val="pt-BR" w:eastAsia="en-US"/>
        </w:rPr>
        <w:t>presença</w:t>
      </w:r>
      <w:r>
        <w:rPr>
          <w:rFonts w:cs="Calibri" w:ascii="Calibri" w:hAnsi="Calibri" w:asciiTheme="minorHAnsi" w:cstheme="minorHAnsi" w:hAnsiTheme="minorHAnsi"/>
          <w:bCs/>
          <w:sz w:val="24"/>
          <w:szCs w:val="24"/>
          <w:lang w:val="pt-BR"/>
        </w:rPr>
        <w:t xml:space="preserve"> de titulares de, no mínimo, metade das Debêntures em Circulação e, em segundo convocação, com qualquer quórum.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255" w:name="_Ref447756836"/>
      <w:r>
        <w:rPr>
          <w:rFonts w:cs="Calibri" w:ascii="Calibri" w:hAnsi="Calibri" w:asciiTheme="minorHAnsi" w:cstheme="minorHAnsi" w:hAnsiTheme="minorHAnsi"/>
          <w:b/>
          <w:sz w:val="24"/>
          <w:szCs w:val="24"/>
          <w:lang w:val="pt-BR"/>
        </w:rPr>
        <w:t>Quórum de Deliberação</w:t>
      </w:r>
      <w:bookmarkEnd w:id="255"/>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bookmarkStart w:id="256" w:name="_Ref447728829"/>
      <w:bookmarkStart w:id="257" w:name="_Ref34852369"/>
      <w:bookmarkEnd w:id="256"/>
      <w:r>
        <w:rPr>
          <w:rFonts w:cs="Calibri" w:ascii="Calibri" w:hAnsi="Calibri" w:asciiTheme="minorHAnsi" w:cstheme="minorHAnsi" w:hAnsi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Pr>
          <w:rFonts w:eastAsia="Times New Roman" w:cs="Calibri" w:ascii="Calibri" w:hAnsi="Calibri" w:asciiTheme="minorHAnsi" w:cstheme="minorHAnsi" w:hAnsiTheme="minorHAnsi"/>
          <w:sz w:val="24"/>
          <w:szCs w:val="24"/>
          <w:lang w:val="pt-BR" w:eastAsia="en-US"/>
        </w:rPr>
        <w:t>quóruns</w:t>
      </w:r>
      <w:r>
        <w:rPr>
          <w:rFonts w:cs="Calibri" w:ascii="Calibri" w:hAnsi="Calibri" w:asciiTheme="minorHAnsi" w:cstheme="minorHAnsi" w:hAnsiTheme="minorHAnsi"/>
          <w:bCs/>
          <w:sz w:val="24"/>
          <w:szCs w:val="24"/>
          <w:lang w:val="pt-BR"/>
        </w:rPr>
        <w:t xml:space="preserve"> específicos, as decisões nas Assembleias Gerais de Debenturistas, incluindo renúncia e/ou perdão temporário (</w:t>
      </w:r>
      <w:r>
        <w:rPr>
          <w:rFonts w:cs="Calibri" w:ascii="Calibri" w:hAnsi="Calibri" w:asciiTheme="minorHAnsi" w:cstheme="minorHAnsi" w:hAnsiTheme="minorHAnsi"/>
          <w:bCs/>
          <w:i/>
          <w:iCs/>
          <w:sz w:val="24"/>
          <w:szCs w:val="24"/>
          <w:lang w:val="pt-BR"/>
        </w:rPr>
        <w:t>waiver</w:t>
      </w:r>
      <w:r>
        <w:rPr>
          <w:rFonts w:cs="Calibri" w:ascii="Calibri" w:hAnsi="Calibri" w:asciiTheme="minorHAnsi" w:cstheme="minorHAnsi" w:hAnsiTheme="minorHAnsi"/>
          <w:bCs/>
          <w:sz w:val="24"/>
          <w:szCs w:val="24"/>
          <w:lang w:val="pt-BR"/>
        </w:rPr>
        <w:t xml:space="preserve">), serão tomadas por Debenturistas detentores de, no mínimo, </w:t>
      </w:r>
      <w:bookmarkEnd w:id="257"/>
      <w:r>
        <w:rPr>
          <w:rFonts w:cs="Calibri" w:ascii="Calibri" w:hAnsi="Calibri" w:asciiTheme="minorHAnsi" w:cstheme="minorHAnsi" w:hAnsiTheme="minorHAnsi"/>
          <w:bCs/>
          <w:sz w:val="24"/>
          <w:szCs w:val="24"/>
          <w:lang w:val="pt-BR"/>
        </w:rPr>
        <w:t>75% (setenta e cinco por cento)</w:t>
      </w:r>
      <w:r>
        <w:rPr>
          <w:rFonts w:cs="Calibri" w:ascii="Calibri" w:hAnsi="Calibri" w:asciiTheme="minorHAnsi" w:cstheme="minorHAnsi" w:hAnsiTheme="minorHAnsi"/>
          <w:color w:val="000000"/>
          <w:sz w:val="24"/>
          <w:szCs w:val="24"/>
          <w:lang w:val="pt-BR"/>
        </w:rPr>
        <w:t xml:space="preserve"> </w:t>
      </w:r>
      <w:r>
        <w:rPr>
          <w:rFonts w:cs="Calibri" w:ascii="Calibri" w:hAnsi="Calibri" w:asciiTheme="minorHAnsi" w:cstheme="minorHAnsi" w:hAnsiTheme="minorHAnsi"/>
          <w:bCs/>
          <w:sz w:val="24"/>
          <w:szCs w:val="24"/>
          <w:lang w:val="pt-BR"/>
        </w:rPr>
        <w:t xml:space="preserve">das Debêntures em Circulação, em primeira ou segunda convocação.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bookmarkStart w:id="258" w:name="_Ref447728829"/>
      <w:bookmarkStart w:id="259" w:name="_Ref34852317"/>
      <w:bookmarkEnd w:id="258"/>
      <w:r>
        <w:rPr>
          <w:rFonts w:cs="Calibri" w:ascii="Calibri" w:hAnsi="Calibri" w:asciiTheme="minorHAnsi" w:cstheme="minorHAnsi" w:hAnsiTheme="minorHAnsi"/>
          <w:bCs/>
          <w:sz w:val="24"/>
          <w:szCs w:val="24"/>
          <w:lang w:val="pt-BR"/>
        </w:rPr>
        <w:t xml:space="preserve">A modificação relativa às características das Debêntures que implique em alteração de qualquer das </w:t>
      </w:r>
      <w:r>
        <w:rPr>
          <w:rFonts w:eastAsia="Times New Roman" w:cs="Calibri" w:ascii="Calibri" w:hAnsi="Calibri" w:asciiTheme="minorHAnsi" w:cstheme="minorHAnsi" w:hAnsiTheme="minorHAnsi"/>
          <w:sz w:val="24"/>
          <w:szCs w:val="24"/>
          <w:lang w:val="pt-BR" w:eastAsia="en-US"/>
        </w:rPr>
        <w:t>seguintes</w:t>
      </w:r>
      <w:r>
        <w:rPr>
          <w:rFonts w:cs="Calibri" w:ascii="Calibri" w:hAnsi="Calibri" w:asciiTheme="minorHAnsi" w:cstheme="minorHAnsi" w:hAnsi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(ii) Datas de Pagamento da Remuneração ou quaisquer valores previstos nesta Escritura de Emissão; (iii) Data de Vencimento ou prazo de vigência; (iv) valores, montantes e datas de amortização do principal das Debêntures; (v) redação de quaisquer das Hipóteses de Vencimento Antecipado ou sua supressão; (vi) alteração dos quóruns de deliberação previstos nesta Escritura de Emissão; (vii) disposições desta Cláusula em relação às Debêntures; (viii) criação de evento de repactuação</w:t>
      </w:r>
      <w:bookmarkEnd w:id="259"/>
      <w:r>
        <w:rPr>
          <w:rFonts w:cs="Calibri" w:ascii="Calibri" w:hAnsi="Calibri" w:asciiTheme="minorHAnsi" w:cstheme="minorHAnsi" w:hAnsiTheme="minorHAnsi"/>
          <w:bCs/>
          <w:sz w:val="24"/>
          <w:szCs w:val="24"/>
          <w:lang w:val="pt-BR"/>
        </w:rPr>
        <w:t xml:space="preserve">; ou (ix) alterações às cláusulas que tratam de Resgate Antecipado Facultativo, Oferta de Resgate Antecipado e/ou Amortização Extraordinária Facultativa. </w:t>
      </w:r>
      <w:bookmarkStart w:id="260" w:name="_Ref447758418"/>
      <w:bookmarkEnd w:id="260"/>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Será obrigatória a presença de representantes legais da Emissora nas Assembleias Gerais de Debenturistas convocadas pela Emissora, enquanto nas assembleias </w:t>
      </w:r>
      <w:r>
        <w:rPr>
          <w:rFonts w:eastAsia="Times New Roman" w:cs="Calibri" w:ascii="Calibri" w:hAnsi="Calibri" w:asciiTheme="minorHAnsi" w:cstheme="minorHAnsi" w:hAnsiTheme="minorHAnsi"/>
          <w:sz w:val="24"/>
          <w:szCs w:val="24"/>
          <w:lang w:val="pt-BR" w:eastAsia="en-US"/>
        </w:rPr>
        <w:t>convocadas</w:t>
      </w:r>
      <w:r>
        <w:rPr>
          <w:rFonts w:cs="Calibri" w:ascii="Calibri" w:hAnsi="Calibri" w:asciiTheme="minorHAnsi" w:cstheme="minorHAnsi" w:hAnsi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O Agente Fiduciário deverá comparecer às Assembleias Gerais de Debenturistas para </w:t>
      </w:r>
      <w:r>
        <w:rPr>
          <w:rFonts w:eastAsia="Times New Roman" w:cs="Calibri" w:ascii="Calibri" w:hAnsi="Calibri" w:asciiTheme="minorHAnsi" w:cstheme="minorHAnsi" w:hAnsiTheme="minorHAnsi"/>
          <w:sz w:val="24"/>
          <w:szCs w:val="24"/>
          <w:lang w:val="pt-BR" w:eastAsia="en-US"/>
        </w:rPr>
        <w:t>prestar</w:t>
      </w:r>
      <w:r>
        <w:rPr>
          <w:rFonts w:cs="Calibri" w:ascii="Calibri" w:hAnsi="Calibri" w:asciiTheme="minorHAnsi" w:cstheme="minorHAnsi" w:hAnsiTheme="minorHAnsi"/>
          <w:bCs/>
          <w:sz w:val="24"/>
          <w:szCs w:val="24"/>
          <w:lang w:val="pt-BR"/>
        </w:rPr>
        <w:t xml:space="preserve"> aos Debenturistas as informações que lhe forem solicitadas.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Mesa Diretora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 presidência e secretaria das Assembleias Gerais de Debenturistas caberão aos </w:t>
      </w:r>
      <w:r>
        <w:rPr>
          <w:rFonts w:eastAsia="Times New Roman" w:cs="Calibri" w:ascii="Calibri" w:hAnsi="Calibri" w:asciiTheme="minorHAnsi" w:cstheme="minorHAnsi" w:hAnsiTheme="minorHAnsi"/>
          <w:sz w:val="24"/>
          <w:szCs w:val="24"/>
          <w:lang w:val="pt-BR" w:eastAsia="en-US"/>
        </w:rPr>
        <w:t>representantes</w:t>
      </w:r>
      <w:r>
        <w:rPr>
          <w:rFonts w:cs="Calibri" w:ascii="Calibri" w:hAnsi="Calibri" w:asciiTheme="minorHAnsi" w:cstheme="minorHAnsi" w:hAnsiTheme="minorHAnsi"/>
          <w:bCs/>
          <w:sz w:val="24"/>
          <w:szCs w:val="24"/>
          <w:lang w:val="pt-BR"/>
        </w:rPr>
        <w:t xml:space="preserve"> dos Debenturistas, eleitos pelos Debenturistas presentes, ou àqueles que forem designados pela CVM. </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DECLARAÇÕES E GARANTIAS DA EMISSORA E DOS FIADORES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261" w:name="_Ref69850516"/>
      <w:r>
        <w:rPr>
          <w:rFonts w:cs="Calibri" w:ascii="Calibri" w:hAnsi="Calibri" w:asciiTheme="minorHAnsi" w:cstheme="minorHAnsi" w:hAnsiTheme="minorHAnsi"/>
          <w:sz w:val="24"/>
          <w:szCs w:val="24"/>
          <w:lang w:val="pt-BR"/>
        </w:rPr>
        <w:t xml:space="preserve">A </w:t>
      </w:r>
      <w:r>
        <w:rPr>
          <w:rFonts w:cs="Calibri" w:ascii="Calibri" w:hAnsi="Calibri" w:asciiTheme="minorHAnsi" w:cstheme="minorHAnsi" w:hAnsiTheme="minorHAnsi"/>
          <w:bCs/>
          <w:sz w:val="24"/>
          <w:szCs w:val="24"/>
          <w:lang w:val="pt-BR"/>
        </w:rPr>
        <w:t>Emissora e os Fiadores</w:t>
      </w:r>
      <w:r>
        <w:rPr>
          <w:rFonts w:cs="Calibri" w:ascii="Calibri" w:hAnsi="Calibri" w:asciiTheme="minorHAnsi" w:cstheme="minorHAnsi" w:hAnsiTheme="minorHAnsi"/>
          <w:sz w:val="24"/>
          <w:szCs w:val="24"/>
          <w:lang w:val="pt-BR"/>
        </w:rPr>
        <w:t>, neste ato, declaram e garantem que, na presente data e na Data de Integralização:</w:t>
      </w:r>
      <w:bookmarkEnd w:id="261"/>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bCs/>
          <w:iCs/>
          <w:sz w:val="24"/>
          <w:szCs w:val="24"/>
          <w:lang w:val="pt-BR"/>
        </w:rPr>
      </w:pPr>
      <w:bookmarkStart w:id="262" w:name="_Hlk72594794"/>
      <w:r>
        <w:rPr>
          <w:rFonts w:cs="Calibri" w:ascii="Calibri" w:hAnsi="Calibri" w:asciiTheme="minorHAnsi" w:cstheme="minorHAnsi" w:hAnsiTheme="minorHAnsi"/>
          <w:bCs/>
          <w:iCs/>
          <w:sz w:val="24"/>
          <w:szCs w:val="24"/>
          <w:lang w:val="pt-BR"/>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bookmarkEnd w:id="262"/>
      <w:r>
        <w:rPr>
          <w:rFonts w:cs="Calibri" w:ascii="Calibri" w:hAnsi="Calibri" w:asciiTheme="minorHAnsi" w:cstheme="minorHAnsi" w:hAnsiTheme="minorHAnsi"/>
          <w:bCs/>
          <w:iCs/>
          <w:sz w:val="24"/>
          <w:szCs w:val="24"/>
          <w:lang w:val="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3" w:name="_Hlk72594802"/>
      <w:r>
        <w:rPr>
          <w:rFonts w:cs="Calibri" w:ascii="Calibri" w:hAnsi="Calibri" w:asciiTheme="minorHAnsi" w:cstheme="minorHAnsi" w:hAnsiTheme="minorHAnsi"/>
          <w:bCs/>
          <w:iCs/>
          <w:sz w:val="24"/>
          <w:szCs w:val="24"/>
          <w:lang w:val="pt-BR"/>
        </w:rPr>
        <w:t>estão</w:t>
      </w:r>
      <w:r>
        <w:rPr>
          <w:rFonts w:cs="Calibri" w:ascii="Calibri" w:hAnsi="Calibri" w:asciiTheme="minorHAnsi" w:cstheme="minorHAnsi" w:hAnsiTheme="minorHAnsi"/>
          <w:sz w:val="24"/>
          <w:szCs w:val="24"/>
          <w:lang w:val="pt-BR" w:eastAsia="pt-BR"/>
        </w:rPr>
        <w:t xml:space="preserve"> devidamente autorizadas e obtiveram todas as aprovações societárias, governamentais regulamentares e/ou contratuais (incluindo, sem limitação, de eventuais financiadores ou credores) que sejam necessárias à celebração desta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e dos demais documentos da Emissão e da Oferta Restrita e ao cumprimento de todas as obrigações aqui e ali previstas e à realização, efetivação, formalização e liquidação da Emissão e da Oferta Restrita</w:t>
      </w:r>
      <w:bookmarkEnd w:id="263"/>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4" w:name="_Hlk72594823"/>
      <w:r>
        <w:rPr>
          <w:rFonts w:cs="Calibri" w:ascii="Calibri" w:hAnsi="Calibri" w:asciiTheme="minorHAnsi" w:cstheme="minorHAnsi" w:hAnsiTheme="minorHAnsi"/>
          <w:sz w:val="24"/>
          <w:szCs w:val="24"/>
          <w:lang w:val="pt-BR" w:eastAsia="pt-BR"/>
        </w:rPr>
        <w:t xml:space="preserve">seus </w:t>
      </w:r>
      <w:r>
        <w:rPr>
          <w:rFonts w:cs="Calibri" w:ascii="Calibri" w:hAnsi="Calibri" w:asciiTheme="minorHAnsi" w:cstheme="minorHAnsi" w:hAnsiTheme="minorHAnsi"/>
          <w:bCs/>
          <w:iCs/>
          <w:sz w:val="24"/>
          <w:szCs w:val="24"/>
          <w:lang w:val="pt-BR"/>
        </w:rPr>
        <w:t>representantes</w:t>
      </w:r>
      <w:r>
        <w:rPr>
          <w:rFonts w:cs="Calibri" w:ascii="Calibri" w:hAnsi="Calibri" w:asciiTheme="minorHAnsi" w:cstheme="minorHAnsi" w:hAnsiTheme="minorHAnsi"/>
          <w:sz w:val="24"/>
          <w:szCs w:val="24"/>
          <w:lang w:val="pt-BR" w:eastAsia="pt-BR"/>
        </w:rPr>
        <w:t xml:space="preserve"> legais que assinam 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têm poderes estatutários e/ou delegados para assumir, em seu nome, as obrigações previstas nesta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e, sendo mandatários, têm os poderes legitimamente outorgados, estando os respectivos mandatos em pleno vigor e de acordo com seus documentos constitutivos</w:t>
      </w:r>
      <w:bookmarkEnd w:id="264"/>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5" w:name="_Hlk72594844"/>
      <w:r>
        <w:rPr>
          <w:rFonts w:cs="Calibri" w:ascii="Calibri" w:hAnsi="Calibri" w:asciiTheme="minorHAnsi" w:cstheme="minorHAnsi" w:hAnsiTheme="minorHAnsi"/>
          <w:sz w:val="24"/>
          <w:szCs w:val="24"/>
          <w:lang w:val="pt-BR" w:eastAsia="pt-BR"/>
        </w:rPr>
        <w:t xml:space="preserve">têm todas as </w:t>
      </w:r>
      <w:r>
        <w:rPr>
          <w:rFonts w:cs="Calibri" w:ascii="Calibri" w:hAnsi="Calibri" w:asciiTheme="minorHAnsi" w:cstheme="minorHAnsi" w:hAnsiTheme="minorHAnsi"/>
          <w:bCs/>
          <w:iCs/>
          <w:sz w:val="24"/>
          <w:szCs w:val="24"/>
          <w:lang w:val="pt-BR"/>
        </w:rPr>
        <w:t>autorizações</w:t>
      </w:r>
      <w:r>
        <w:rPr>
          <w:rFonts w:cs="Calibri" w:ascii="Calibri" w:hAnsi="Calibri" w:asciiTheme="minorHAnsi" w:cstheme="minorHAnsi" w:hAnsiTheme="minorHAnsi"/>
          <w:sz w:val="24"/>
          <w:szCs w:val="24"/>
          <w:lang w:val="pt-BR" w:eastAsia="pt-BR"/>
        </w:rPr>
        <w:t xml:space="preserve"> e licenças relevantes exigidas pelas autoridades federais, estaduais e municipais para o exercício de suas atividades, sendo todas válidas</w:t>
      </w:r>
      <w:bookmarkEnd w:id="265"/>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r>
        <w:rPr>
          <w:rFonts w:cs="Calibri" w:ascii="Calibri" w:hAnsi="Calibri" w:asciiTheme="minorHAnsi" w:cstheme="minorHAnsi" w:hAnsiTheme="minorHAnsi"/>
          <w:sz w:val="24"/>
          <w:szCs w:val="24"/>
          <w:lang w:val="pt-BR" w:eastAsia="pt-BR"/>
        </w:rPr>
        <w:t>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bem como as obrigações aqui previstas constituem obrigações lícitas, válidas, vinculantes e eficazes, exequíveis de acordo com os seus termos e condições, com força de título executivo extrajudicial nos termos do artigo 784, inciso I, do Código de Processo Civil;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6" w:name="_Hlk72595051"/>
      <w:r>
        <w:rPr>
          <w:rFonts w:cs="Calibri" w:ascii="Calibri" w:hAnsi="Calibri" w:asciiTheme="minorHAnsi" w:cstheme="minorHAnsi" w:hAnsiTheme="minorHAnsi"/>
          <w:sz w:val="24"/>
          <w:szCs w:val="24"/>
          <w:lang w:val="pt-BR" w:eastAsia="pt-BR"/>
        </w:rPr>
        <w:t xml:space="preserve">a celebração, os termos e condições desta </w:t>
      </w:r>
      <w:r>
        <w:rPr>
          <w:rFonts w:cs="Calibri" w:ascii="Calibri" w:hAnsi="Calibri" w:asciiTheme="minorHAnsi" w:cstheme="minorHAnsi" w:hAnsiTheme="minorHAnsi"/>
          <w:sz w:val="24"/>
          <w:szCs w:val="24"/>
          <w:lang w:val="pt-BR"/>
        </w:rPr>
        <w:t xml:space="preserve">Escritura de Emissão </w:t>
      </w:r>
      <w:r>
        <w:rPr>
          <w:rFonts w:cs="Calibri" w:ascii="Calibri" w:hAnsi="Calibri" w:asciiTheme="minorHAnsi" w:cstheme="minorHAnsi" w:hAnsiTheme="minorHAnsi"/>
          <w:sz w:val="24"/>
          <w:szCs w:val="24"/>
          <w:lang w:val="pt-BR" w:eastAsia="pt-BR"/>
        </w:rPr>
        <w:t xml:space="preserve">e dos demais documentos da Emissão e da Oferta Restrita, a assunção e o cumprimento das obrigações aqui e ali previstas e a realização da Emissão e da </w:t>
      </w:r>
      <w:r>
        <w:rPr>
          <w:rFonts w:cs="Calibri" w:ascii="Calibri" w:hAnsi="Calibri" w:asciiTheme="minorHAnsi" w:cstheme="minorHAnsi" w:hAnsiTheme="minorHAnsi"/>
          <w:sz w:val="24"/>
          <w:szCs w:val="24"/>
          <w:lang w:val="pt-BR"/>
        </w:rPr>
        <w:t xml:space="preserve">Oferta Restrita </w:t>
      </w:r>
      <w:r>
        <w:rPr>
          <w:rFonts w:cs="Calibri" w:ascii="Calibri" w:hAnsi="Calibri" w:asciiTheme="minorHAnsi" w:cstheme="minorHAnsi" w:hAnsiTheme="minorHAnsi"/>
          <w:sz w:val="24"/>
          <w:szCs w:val="24"/>
          <w:lang w:val="pt-BR" w:eastAsia="pt-BR"/>
        </w:rPr>
        <w:t>(i) não infringem os seus documentos constitutivos e demais documentos societários; (ii) não infringem qualquer contrato ou instrumento do qual sejam partes e/ou pelo qual qualquer de seus ativos estejam sujeitos; (iii) não resultarão em (iii.a) vencimento antecipado de qualquer obrigação estabelecida em qualquer contrato ou instrumento do qual sejam partes e/ou pelo qual qualquer de seus ativos estejam sujeitos, bem como não criará qualquer ônus ou gravames sobre qualquer dos seus ativos ou bens; ou (iii.b) rescisão de qualquer desses contratos ou instrumentos; (iv) não infringem qualquer disposição legal ou regulamentar a que estejam sujeitos; (v) não infringem qualquer ordem, decisão ou sentença administrativa, judicial ou arbitral</w:t>
      </w:r>
      <w:bookmarkEnd w:id="266"/>
      <w:r>
        <w:rPr>
          <w:rFonts w:cs="Calibri" w:ascii="Calibri" w:hAnsi="Calibri" w:asciiTheme="minorHAnsi" w:cstheme="minorHAnsi" w:hAnsiTheme="minorHAnsi"/>
          <w:sz w:val="24"/>
          <w:szCs w:val="24"/>
          <w:lang w:val="pt-BR" w:eastAsia="pt-BR"/>
        </w:rPr>
        <w:t>;</w:t>
      </w:r>
      <w:r>
        <w:rPr>
          <w:rFonts w:cs="Calibri" w:ascii="Calibri" w:hAnsi="Calibri" w:asciiTheme="minorHAnsi" w:cstheme="minorHAnsi" w:hAnsiTheme="minorHAnsi"/>
          <w:bCs/>
          <w:sz w:val="24"/>
          <w:szCs w:val="24"/>
          <w:lang w:val="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7" w:name="_Hlk72595095"/>
      <w:r>
        <w:rPr>
          <w:rFonts w:cs="Calibri" w:ascii="Calibri" w:hAnsi="Calibri" w:asciiTheme="minorHAnsi" w:cstheme="minorHAnsi" w:hAnsiTheme="minorHAnsi"/>
          <w:sz w:val="24"/>
          <w:szCs w:val="24"/>
          <w:lang w:val="pt-BR" w:eastAsia="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Debêntures, ou para a realização da Emissão, exceto: (i) pelos arquivamentos da ata da Aprovação Societária da Emissora na JUCESP e das Aprovações Societárias dos Fiadores na JUCESP; (ii) pelo arquivamento da Escritura de Emissão na JUCESP e registro da Escritura de Emissão nos RTDs; (iii) pela publicação da ata da Aprovação Societária da Emissora nos Jornais de Publicação da Emissora; e (iv) pelo depósito e registro das Debêntures na B3</w:t>
      </w:r>
      <w:bookmarkEnd w:id="267"/>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8" w:name="_Hlk72595140"/>
      <w:r>
        <w:rPr>
          <w:rFonts w:cs="Calibri" w:ascii="Calibri" w:hAnsi="Calibri" w:asciiTheme="minorHAnsi" w:cstheme="minorHAnsi" w:hAnsiTheme="minorHAnsi"/>
          <w:sz w:val="24"/>
          <w:szCs w:val="24"/>
          <w:lang w:val="pt-BR" w:eastAsia="pt-BR"/>
        </w:rPr>
        <w:t>estão cumprindo irrestritamente todas as leis, regulamentos, normas administrativas e determinações dos órgãos governamentais, autarquias ou tribunais competentes, aplicáveis à condução de seus negócios e que sejam necessárias para a regular execução das suas atividades, inclusive com relação ao disposto na legislação em vigor pertinente às Legislação Socioambiental adotando as medidas e ações preventivas ou reparatórias destinadas a evitar ou corrigir eventuais danos ambientais decorrentes do exercício das atividades relacionadas a seu objeto socia</w:t>
      </w:r>
      <w:bookmarkEnd w:id="268"/>
      <w:r>
        <w:rPr>
          <w:rFonts w:cs="Calibri" w:ascii="Calibri" w:hAnsi="Calibri" w:asciiTheme="minorHAnsi" w:cstheme="minorHAnsi" w:hAnsiTheme="minorHAnsi"/>
          <w:sz w:val="24"/>
          <w:szCs w:val="24"/>
          <w:lang w:val="pt-BR" w:eastAsia="pt-BR"/>
        </w:rPr>
        <w:t xml:space="preserve">l;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9" w:name="_Hlk72595162"/>
      <w:r>
        <w:rPr>
          <w:rFonts w:cs="Calibri" w:ascii="Calibri" w:hAnsi="Calibri" w:asciiTheme="minorHAnsi" w:cstheme="minorHAnsi" w:hAnsiTheme="minorHAnsi"/>
          <w:color w:val="000000" w:themeColor="text1"/>
          <w:sz w:val="24"/>
          <w:szCs w:val="24"/>
          <w:lang w:val="pt-BR"/>
        </w:rPr>
        <w:t xml:space="preserve">(i) não há qualquer ação judicial, procedimento administrativo ou arbitral, inquérito ou investigação pendente ou iminente, inclusive de natureza ambiental, envolvendo ou que possa afetar a Emissora e/ou os Fiadores perante qualquer tribunal, órgão governamental ou árbitro e que possam causar um </w:t>
      </w:r>
      <w:r>
        <w:rPr>
          <w:rFonts w:cs="Calibri" w:ascii="Calibri" w:hAnsi="Calibri" w:asciiTheme="minorHAnsi" w:cstheme="minorHAnsi" w:hAnsiTheme="minorHAnsi"/>
          <w:sz w:val="24"/>
          <w:szCs w:val="24"/>
          <w:lang w:val="pt-BR" w:eastAsia="pt-BR"/>
        </w:rPr>
        <w:t>Efeito Adverso Relevante; e (ii) não omitiu qualquer fato, de qualquer natureza, que seja de seu conhecimento e que possa resultar em alteração substancial na sua situação econômico-financeira, jurídica, operacional ou reputacional em prejuízo dos Debenturistas</w:t>
      </w:r>
      <w:bookmarkEnd w:id="269"/>
      <w:r>
        <w:rPr>
          <w:rFonts w:cs="Calibri" w:ascii="Calibri" w:hAnsi="Calibri" w:asciiTheme="minorHAnsi" w:cstheme="minorHAnsi" w:hAnsiTheme="minorHAnsi"/>
          <w:color w:val="000000" w:themeColor="text1"/>
          <w:sz w:val="24"/>
          <w:szCs w:val="24"/>
          <w:lang w:val="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0" w:name="_Hlk72595181"/>
      <w:r>
        <w:rPr>
          <w:rFonts w:cs="Calibri" w:ascii="Calibri" w:hAnsi="Calibri" w:asciiTheme="minorHAnsi" w:cstheme="minorHAnsi" w:hAnsiTheme="minorHAnsi"/>
          <w:sz w:val="24"/>
          <w:szCs w:val="24"/>
          <w:lang w:val="pt-BR" w:eastAsia="pt-BR"/>
        </w:rPr>
        <w:t xml:space="preserve">por si, suas Afiliadas, administradores, acionistas com poderes de administração e funcionários ou eventuais subcontratados no âmbito das operações aqui descritas: (i) estão cientes e cumprem os termos das Leis Anticorrupção e </w:t>
      </w:r>
      <w:r>
        <w:rPr>
          <w:rFonts w:cs="Calibri" w:ascii="Calibri" w:hAnsi="Calibri" w:asciiTheme="minorHAnsi" w:cstheme="minorHAnsi" w:hAnsiTheme="minorHAnsi"/>
          <w:sz w:val="24"/>
          <w:szCs w:val="24"/>
          <w:lang w:val="pt-BR"/>
        </w:rPr>
        <w:t xml:space="preserve">mantêm políticas e/ou procedimentos internos objetivando o cumprimento das Leis Anticorrupção, não há investigação e inexiste contra si, suas Afiliadas, administradores, acionistas e funcionários, inquérito ou procedimento administrativo ou judicial relacionado a práticas contrárias às Leis Anticorrupção; (ii) dão conhecimento de tais normas a todos os seus profissionais que venham a desempenhar qualquer </w:t>
      </w:r>
      <w:r>
        <w:rPr>
          <w:rFonts w:cs="Calibri" w:ascii="Calibri" w:hAnsi="Calibri" w:asciiTheme="minorHAnsi" w:cstheme="minorHAnsi" w:hAnsiTheme="minorHAnsi"/>
          <w:sz w:val="24"/>
          <w:szCs w:val="24"/>
          <w:lang w:val="pt-BR" w:eastAsia="pt-BR"/>
        </w:rPr>
        <w:t>das operações aqui descritas</w:t>
      </w:r>
      <w:r>
        <w:rPr>
          <w:rFonts w:cs="Calibri" w:ascii="Calibri" w:hAnsi="Calibri" w:asciiTheme="minorHAnsi" w:cstheme="minorHAnsi" w:hAnsiTheme="minorHAnsi"/>
          <w:sz w:val="24"/>
          <w:szCs w:val="24"/>
          <w:lang w:val="pt-BR"/>
        </w:rPr>
        <w:t>; e (iii) se abstém de praticar quaisquer atos de corrupção e de agir de forma lesiva à administração pública, nacional e estrangeira, no seu interesse ou para seu benefício exclusivo ou não</w:t>
      </w:r>
      <w:bookmarkEnd w:id="270"/>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b/>
          <w:b/>
          <w:sz w:val="24"/>
          <w:szCs w:val="24"/>
          <w:lang w:val="pt-BR" w:eastAsia="pt-BR"/>
        </w:rPr>
      </w:pPr>
      <w:bookmarkStart w:id="271" w:name="_Hlk72595206"/>
      <w:r>
        <w:rPr>
          <w:rFonts w:cs="Calibri" w:ascii="Calibri" w:hAnsi="Calibri" w:asciiTheme="minorHAnsi" w:cstheme="minorHAnsi" w:hAnsiTheme="minorHAnsi"/>
          <w:sz w:val="24"/>
          <w:szCs w:val="24"/>
          <w:lang w:val="pt-BR" w:eastAsia="pt-BR"/>
        </w:rPr>
        <w:t>as demonstrações financeiras da Emissora, referentes aos exercícios sociais encerrados em 31 de dezembro de 2018, 2019 e 2020 são verdadeiras, completas e corretas em todos os aspectos na data em que foram preparadas; refletem, de forma clara e precisa, a posição financeira e patrimonial, os resultados, operações e fluxos de caixa da Emissora no período</w:t>
      </w:r>
      <w:bookmarkEnd w:id="271"/>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2" w:name="_Hlk72595223"/>
      <w:r>
        <w:rPr>
          <w:rFonts w:cs="Calibri" w:ascii="Calibri" w:hAnsi="Calibri" w:asciiTheme="minorHAnsi" w:cstheme="minorHAnsi" w:hAnsiTheme="minorHAnsi"/>
          <w:sz w:val="24"/>
          <w:szCs w:val="24"/>
          <w:lang w:val="pt-BR" w:eastAsia="pt-BR"/>
        </w:rPr>
        <w:t>têm plena ciência e concordam integralmente com a forma de cálculo da Remuneração, que foi acordada por livre vontade pela Emissora e pelos Fiadores, em observância ao princípio da boa-fé</w:t>
      </w:r>
      <w:bookmarkEnd w:id="272"/>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3" w:name="_Hlk72595232"/>
      <w:r>
        <w:rPr>
          <w:rFonts w:cs="Calibri" w:ascii="Calibri" w:hAnsi="Calibri" w:asciiTheme="minorHAnsi" w:cstheme="minorHAnsi" w:hAnsiTheme="minorHAnsi"/>
          <w:sz w:val="24"/>
          <w:szCs w:val="24"/>
          <w:lang w:val="pt-BR" w:eastAsia="pt-BR"/>
        </w:rPr>
        <w:t>os documentos e as informações fornecidos por ocasião da Oferta Restrita incluindo, mas não se limitando, àquelas contidas nesta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são verdadeiros, consistentes, completos, corretos e suficientes, permitindo aos investidores da Oferta Restrita uma tomada de decisão fundamentada a respeito da Oferta Restrita</w:t>
      </w:r>
      <w:bookmarkEnd w:id="273"/>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4" w:name="_Hlk72595254"/>
      <w:r>
        <w:rPr>
          <w:rFonts w:cs="Calibri" w:ascii="Calibri" w:hAnsi="Calibri" w:asciiTheme="minorHAnsi" w:cstheme="minorHAnsi" w:hAnsiTheme="minorHAnsi"/>
          <w:sz w:val="24"/>
          <w:szCs w:val="24"/>
          <w:lang w:val="pt-BR" w:eastAsia="pt-BR"/>
        </w:rPr>
        <w:t>estão adimplentes com todas as obrigações assumidas nos termos desta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e não ocorreu ou está em curso qualquer Hipótese de Vencimento Antecipado</w:t>
      </w:r>
      <w:bookmarkEnd w:id="274"/>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5" w:name="_Hlk72595271"/>
      <w:r>
        <w:rPr>
          <w:rFonts w:cs="Calibri" w:ascii="Calibri" w:hAnsi="Calibri" w:asciiTheme="minorHAnsi" w:cstheme="minorHAnsi" w:hAnsiTheme="minorHAnsi"/>
          <w:sz w:val="24"/>
          <w:szCs w:val="24"/>
          <w:lang w:val="pt-BR" w:eastAsia="pt-BR"/>
        </w:rPr>
        <w:t>observam e cumprem o disposto em seus documentos constitutivos 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75"/>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6" w:name="_Hlk72595285"/>
      <w:r>
        <w:rPr>
          <w:rFonts w:cs="Calibri" w:ascii="Calibri" w:hAnsi="Calibri" w:asciiTheme="minorHAnsi" w:cstheme="minorHAnsi" w:hAnsi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76"/>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77" w:name="_Hlk72595304"/>
      <w:r>
        <w:rPr>
          <w:rFonts w:cs="Calibri" w:ascii="Calibri" w:hAnsi="Calibri" w:asciiTheme="minorHAnsi" w:cstheme="minorHAnsi" w:hAnsiTheme="minorHAnsi"/>
          <w:color w:val="000000" w:themeColor="text1"/>
          <w:sz w:val="24"/>
          <w:szCs w:val="24"/>
          <w:lang w:val="pt-BR"/>
        </w:rPr>
        <w:t>cumprem as condicionantes ambientais constantes das licenças ambientais e estão em situação regular com suas obrigações junto aos órgãos do meio ambiente</w:t>
      </w:r>
      <w:bookmarkEnd w:id="277"/>
      <w:r>
        <w:rPr>
          <w:rFonts w:cs="Calibri" w:ascii="Calibri" w:hAnsi="Calibri" w:asciiTheme="minorHAnsi" w:cstheme="minorHAnsi" w:hAnsiTheme="minorHAnsi"/>
          <w:color w:val="000000" w:themeColor="text1"/>
          <w:sz w:val="24"/>
          <w:szCs w:val="24"/>
          <w:lang w:val="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78" w:name="_Hlk72595316"/>
      <w:bookmarkStart w:id="279" w:name="_DV_M649"/>
      <w:bookmarkEnd w:id="279"/>
      <w:r>
        <w:rPr>
          <w:rFonts w:cs="Calibri" w:ascii="Calibri" w:hAnsi="Calibri" w:asciiTheme="minorHAnsi" w:cstheme="minorHAnsi" w:hAnsiTheme="minorHAnsi"/>
          <w:color w:val="000000" w:themeColor="text1"/>
          <w:sz w:val="24"/>
          <w:szCs w:val="24"/>
          <w:lang w:val="pt-BR"/>
        </w:rPr>
        <w:t>possuem justo título de todos os seus bens imóveis e demais direitos e ativos por si detidos</w:t>
      </w:r>
      <w:bookmarkEnd w:id="278"/>
      <w:r>
        <w:rPr>
          <w:rFonts w:cs="Calibri" w:ascii="Calibri" w:hAnsi="Calibri" w:asciiTheme="minorHAnsi" w:cstheme="minorHAnsi" w:hAnsiTheme="minorHAnsi"/>
          <w:color w:val="000000" w:themeColor="text1"/>
          <w:sz w:val="24"/>
          <w:szCs w:val="24"/>
          <w:lang w:val="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80" w:name="_Hlk72595327"/>
      <w:r>
        <w:rPr>
          <w:rFonts w:cs="Calibri" w:ascii="Calibri" w:hAnsi="Calibri" w:asciiTheme="minorHAnsi" w:cstheme="minorHAnsi" w:hAnsiTheme="minorHAnsi"/>
          <w:color w:val="000000" w:themeColor="text1"/>
          <w:sz w:val="24"/>
          <w:szCs w:val="24"/>
          <w:lang w:val="pt-BR"/>
        </w:rPr>
        <w:t>mantêm os seus bens adequadamente segurados, de acordo com o estágio de desenvolvimento das operações</w:t>
      </w:r>
      <w:bookmarkEnd w:id="280"/>
      <w:r>
        <w:rPr>
          <w:rFonts w:cs="Calibri" w:ascii="Calibri" w:hAnsi="Calibri" w:asciiTheme="minorHAnsi" w:cstheme="minorHAnsi" w:hAnsiTheme="minorHAnsi"/>
          <w:color w:val="000000" w:themeColor="text1"/>
          <w:sz w:val="24"/>
          <w:szCs w:val="24"/>
          <w:lang w:val="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81" w:name="_Hlk72595339"/>
      <w:bookmarkStart w:id="282" w:name="_DV_M652"/>
      <w:bookmarkEnd w:id="282"/>
      <w:r>
        <w:rPr>
          <w:rFonts w:cs="Calibri" w:ascii="Calibri" w:hAnsi="Calibri" w:asciiTheme="minorHAnsi" w:cstheme="minorHAnsi" w:hAnsiTheme="minorHAnsi"/>
          <w:color w:val="000000" w:themeColor="text1"/>
          <w:sz w:val="24"/>
          <w:szCs w:val="24"/>
          <w:lang w:val="pt-BR"/>
        </w:rPr>
        <w:t>todas as declarações e garantias que constam desta Escritura de Emissão e dos demais documentos desta Oferta são, na data de assinatura desta Escritura de Emissão, verdadeiras, corretas consistentes e suficientes em todos os seus aspectos, permitindo aos investidores uma tomada de decisão fundamentada a respeito das Debêntures</w:t>
      </w:r>
      <w:bookmarkEnd w:id="281"/>
      <w:r>
        <w:rPr>
          <w:rFonts w:cs="Calibri" w:ascii="Calibri" w:hAnsi="Calibri" w:asciiTheme="minorHAnsi" w:cstheme="minorHAnsi" w:hAnsiTheme="minorHAnsi"/>
          <w:sz w:val="24"/>
          <w:szCs w:val="24"/>
          <w:lang w:val="pt-BR" w:eastAsia="pt-BR"/>
        </w:rPr>
        <w:t>; e</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83" w:name="_Hlk72595353"/>
      <w:r>
        <w:rPr>
          <w:rFonts w:cs="Calibri" w:ascii="Calibri" w:hAnsi="Calibri" w:asciiTheme="minorHAnsi" w:cstheme="minorHAnsi" w:hAnsiTheme="minorHAnsi"/>
          <w:color w:val="000000" w:themeColor="text1"/>
          <w:sz w:val="24"/>
          <w:szCs w:val="24"/>
          <w:lang w:val="pt-BR"/>
        </w:rPr>
        <w:t xml:space="preserve">até a </w:t>
      </w:r>
      <w:r>
        <w:rPr>
          <w:rFonts w:cs="Calibri" w:ascii="Calibri" w:hAnsi="Calibri" w:asciiTheme="minorHAnsi" w:cstheme="minorHAnsi" w:hAnsiTheme="minorHAnsi"/>
          <w:sz w:val="24"/>
          <w:szCs w:val="24"/>
          <w:lang w:val="pt-BR" w:eastAsia="pt-BR"/>
        </w:rPr>
        <w:t>presente</w:t>
      </w:r>
      <w:r>
        <w:rPr>
          <w:rFonts w:cs="Calibri" w:ascii="Calibri" w:hAnsi="Calibri" w:asciiTheme="minorHAnsi" w:cstheme="minorHAnsi" w:hAnsiTheme="minorHAnsi"/>
          <w:color w:val="000000" w:themeColor="text1"/>
          <w:sz w:val="24"/>
          <w:szCs w:val="24"/>
          <w:lang w:val="pt-BR"/>
        </w:rPr>
        <w:t xml:space="preserve"> data, prepararam e entregaram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83"/>
      <w:r>
        <w:rPr>
          <w:rFonts w:cs="Calibri" w:ascii="Calibri" w:hAnsi="Calibri" w:asciiTheme="minorHAnsi" w:cstheme="minorHAnsi" w:hAnsiTheme="minorHAnsi"/>
          <w:color w:val="000000" w:themeColor="text1"/>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A Emissora e os Fiadores comprometem a notificar em até 2 (dois) Dias Úteis o Agente Fiduciário caso quaisquer das declarações prestadas na presente Escritura de Emissão tornem-se total ou parcialmente inverídicas, inconsistentes, incompletas ou incorretas.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Pr>
          <w:rFonts w:cs="Calibri" w:ascii="Calibri" w:hAnsi="Calibri" w:asciiTheme="minorHAnsi" w:cstheme="minorHAnsi" w:hAnsiTheme="minorHAnsi"/>
          <w:color w:val="000000" w:themeColor="text1"/>
          <w:sz w:val="24"/>
          <w:szCs w:val="24"/>
          <w:lang w:val="pt-BR"/>
        </w:rPr>
        <w:fldChar w:fldCharType="begin"/>
      </w:r>
      <w:r>
        <w:rPr>
          <w:sz w:val="24"/>
          <w:szCs w:val="24"/>
          <w:rFonts w:cs="Calibri" w:ascii="Calibri" w:hAnsi="Calibri"/>
          <w:color w:val="000000"/>
          <w:lang w:val="pt-BR"/>
        </w:rPr>
        <w:instrText> REF _Ref69850516 \r \h </w:instrText>
      </w:r>
      <w:r>
        <w:rPr>
          <w:sz w:val="24"/>
          <w:szCs w:val="24"/>
          <w:rFonts w:cs="Calibri" w:ascii="Calibri" w:hAnsi="Calibri"/>
          <w:color w:val="000000"/>
          <w:lang w:val="pt-BR"/>
        </w:rPr>
        <w:fldChar w:fldCharType="separate"/>
      </w:r>
      <w:r>
        <w:rPr>
          <w:sz w:val="24"/>
          <w:szCs w:val="24"/>
          <w:rFonts w:cs="Calibri" w:ascii="Calibri" w:hAnsi="Calibri"/>
          <w:color w:val="000000"/>
          <w:lang w:val="pt-BR"/>
        </w:rPr>
        <w:t>10.1</w:t>
      </w:r>
      <w:r>
        <w:rPr>
          <w:sz w:val="24"/>
          <w:szCs w:val="24"/>
          <w:rFonts w:cs="Calibri" w:ascii="Calibri" w:hAnsi="Calibri"/>
          <w:color w:val="000000"/>
          <w:lang w:val="pt-BR"/>
        </w:rPr>
        <w:fldChar w:fldCharType="end"/>
      </w:r>
      <w:r>
        <w:rPr>
          <w:rFonts w:cs="Calibri" w:ascii="Calibri" w:hAnsi="Calibri" w:asciiTheme="minorHAnsi" w:cstheme="minorHAnsi" w:hAnsiTheme="minorHAnsi"/>
          <w:color w:val="000000" w:themeColor="text1"/>
          <w:sz w:val="24"/>
          <w:szCs w:val="24"/>
          <w:lang w:val="pt-BR"/>
        </w:rPr>
        <w:t xml:space="preserve"> e </w:t>
      </w:r>
      <w:r>
        <w:rPr>
          <w:rFonts w:cs="Calibri" w:ascii="Calibri" w:hAnsi="Calibri" w:asciiTheme="minorHAnsi" w:cstheme="minorHAnsi" w:hAnsiTheme="minorHAnsi"/>
          <w:color w:val="000000" w:themeColor="text1"/>
          <w:sz w:val="24"/>
          <w:szCs w:val="24"/>
          <w:lang w:val="pt-BR"/>
        </w:rPr>
        <w:fldChar w:fldCharType="begin"/>
      </w:r>
      <w:r>
        <w:rPr>
          <w:sz w:val="24"/>
          <w:szCs w:val="24"/>
          <w:rFonts w:cs="Calibri" w:ascii="Calibri" w:hAnsi="Calibri"/>
          <w:color w:val="000000"/>
          <w:lang w:val="pt-BR"/>
        </w:rPr>
        <w:instrText> REF _Ref69850523 \r \h </w:instrText>
      </w:r>
      <w:r>
        <w:rPr>
          <w:sz w:val="24"/>
          <w:szCs w:val="24"/>
          <w:rFonts w:cs="Calibri" w:ascii="Calibri" w:hAnsi="Calibri"/>
          <w:color w:val="000000"/>
          <w:lang w:val="pt-BR"/>
        </w:rPr>
        <w:fldChar w:fldCharType="separate"/>
      </w:r>
      <w:r>
        <w:rPr>
          <w:sz w:val="24"/>
          <w:szCs w:val="24"/>
          <w:rFonts w:cs="Calibri" w:ascii="Calibri" w:hAnsi="Calibri"/>
          <w:color w:val="000000"/>
          <w:lang w:val="pt-BR"/>
        </w:rPr>
        <w:t>Erro: Origem da referência não encontrada</w:t>
      </w:r>
      <w:r>
        <w:rPr>
          <w:sz w:val="24"/>
          <w:szCs w:val="24"/>
          <w:rFonts w:cs="Calibri" w:ascii="Calibri" w:hAnsi="Calibri"/>
          <w:color w:val="000000"/>
          <w:lang w:val="pt-BR"/>
        </w:rPr>
        <w:fldChar w:fldCharType="end"/>
      </w:r>
      <w:r>
        <w:rPr>
          <w:rFonts w:cs="Calibri" w:ascii="Calibri" w:hAnsi="Calibri" w:asciiTheme="minorHAnsi" w:cstheme="minorHAnsi" w:hAnsiTheme="minorHAnsi"/>
          <w:color w:val="000000" w:themeColor="text1"/>
          <w:sz w:val="24"/>
          <w:szCs w:val="24"/>
          <w:lang w:val="pt-BR"/>
        </w:rPr>
        <w:t xml:space="preserve"> acima.</w:t>
      </w:r>
    </w:p>
    <w:p>
      <w:pPr>
        <w:pStyle w:val="Level1"/>
        <w:numPr>
          <w:ilvl w:val="0"/>
          <w:numId w:val="5"/>
        </w:numPr>
        <w:spacing w:lineRule="exact" w:line="340"/>
        <w:rPr>
          <w:rFonts w:ascii="Calibri" w:hAnsi="Calibri" w:cs="Calibri" w:asciiTheme="minorHAnsi" w:cstheme="minorHAnsi" w:hAnsiTheme="minorHAnsi"/>
          <w:sz w:val="24"/>
          <w:szCs w:val="24"/>
        </w:rPr>
      </w:pPr>
      <w:bookmarkStart w:id="284" w:name="_DV_M395"/>
      <w:bookmarkStart w:id="285" w:name="_DV_M394"/>
      <w:bookmarkStart w:id="286" w:name="_DV_M393"/>
      <w:bookmarkStart w:id="287" w:name="_DV_M392"/>
      <w:bookmarkStart w:id="288" w:name="_DV_M391"/>
      <w:bookmarkStart w:id="289" w:name="_DV_M390"/>
      <w:bookmarkStart w:id="290" w:name="_DV_M389"/>
      <w:bookmarkStart w:id="291" w:name="_DV_M388"/>
      <w:bookmarkStart w:id="292" w:name="_DV_M387"/>
      <w:bookmarkStart w:id="293" w:name="_DV_M386"/>
      <w:bookmarkStart w:id="294" w:name="_DV_M385"/>
      <w:bookmarkStart w:id="295" w:name="_DV_M384"/>
      <w:bookmarkStart w:id="296" w:name="_DV_M383"/>
      <w:bookmarkStart w:id="297" w:name="_DV_M382"/>
      <w:bookmarkStart w:id="298" w:name="_DV_M381"/>
      <w:bookmarkStart w:id="299" w:name="_DV_M380"/>
      <w:bookmarkStart w:id="300" w:name="_DV_M379"/>
      <w:bookmarkStart w:id="301" w:name="_DV_M378"/>
      <w:bookmarkStart w:id="302" w:name="_DV_M377"/>
      <w:bookmarkStart w:id="303" w:name="_DV_M376"/>
      <w:bookmarkStart w:id="304" w:name="_DV_M375"/>
      <w:bookmarkStart w:id="305" w:name="_DV_M374"/>
      <w:bookmarkStart w:id="306" w:name="_DV_M373"/>
      <w:bookmarkStart w:id="307" w:name="_DV_M372"/>
      <w:bookmarkStart w:id="308" w:name="_DV_M371"/>
      <w:bookmarkStart w:id="309" w:name="_DV_M370"/>
      <w:bookmarkStart w:id="310" w:name="_DV_M369"/>
      <w:bookmarkStart w:id="311" w:name="_DV_M368"/>
      <w:bookmarkStart w:id="312" w:name="_DV_M367"/>
      <w:bookmarkStart w:id="313" w:name="_DV_M366"/>
      <w:bookmarkStart w:id="314" w:name="_DV_M365"/>
      <w:bookmarkStart w:id="315" w:name="_DV_M364"/>
      <w:bookmarkStart w:id="316" w:name="_DV_M363"/>
      <w:bookmarkStart w:id="317" w:name="_DV_M362"/>
      <w:bookmarkStart w:id="318" w:name="_DV_M361"/>
      <w:bookmarkStart w:id="319" w:name="_DV_M360"/>
      <w:bookmarkStart w:id="320" w:name="_DV_M359"/>
      <w:bookmarkStart w:id="321" w:name="_DV_M358"/>
      <w:bookmarkStart w:id="322" w:name="_DV_M357"/>
      <w:bookmarkStart w:id="323" w:name="_DV_M35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cs="Calibri" w:ascii="Calibri" w:hAnsi="Calibri" w:asciiTheme="minorHAnsi" w:cstheme="minorHAnsi" w:hAnsiTheme="minorHAnsi"/>
          <w:sz w:val="24"/>
          <w:szCs w:val="24"/>
        </w:rPr>
        <w:t>DAS DISPOSIÇÕES GERAIS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bCs/>
          <w:color w:val="000000" w:themeColor="text1"/>
          <w:sz w:val="24"/>
          <w:szCs w:val="24"/>
          <w:lang w:val="pt-BR"/>
        </w:rPr>
        <w:t>Notificações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color w:val="000000" w:themeColor="text1"/>
          <w:sz w:val="24"/>
          <w:szCs w:val="24"/>
          <w:lang w:val="pt-BR"/>
        </w:rPr>
        <w:t>Todos</w:t>
      </w:r>
      <w:r>
        <w:rPr>
          <w:rFonts w:cs="Calibri" w:ascii="Calibri" w:hAnsi="Calibri" w:asciiTheme="minorHAnsi" w:cstheme="minorHAnsi" w:hAnsiTheme="minorHAnsi"/>
          <w:sz w:val="24"/>
          <w:szCs w:val="24"/>
          <w:lang w:val="pt-BR"/>
        </w:rPr>
        <w:t xml:space="preserve"> os documentos e a</w:t>
      </w:r>
      <w:bookmarkStart w:id="324" w:name="_Ref491199731"/>
      <w:r>
        <w:rPr>
          <w:rFonts w:cs="Calibri" w:ascii="Calibri" w:hAnsi="Calibri" w:asciiTheme="minorHAnsi" w:cstheme="minorHAnsi" w:hAnsiTheme="minorHAnsi"/>
          <w:sz w:val="24"/>
          <w:szCs w:val="24"/>
          <w:lang w:val="pt-BR"/>
        </w:rPr>
        <w:t xml:space="preserve">s comunicações, que deverão ser sempre feitos por escrito, assim como os meios físicos que contenham documentos ou comunicações, a serem </w:t>
      </w:r>
      <w:r>
        <w:rPr>
          <w:rFonts w:eastAsia="Times New Roman" w:cs="Calibri" w:ascii="Calibri" w:hAnsi="Calibri" w:asciiTheme="minorHAnsi" w:cstheme="minorHAnsi" w:hAnsiTheme="minorHAnsi"/>
          <w:sz w:val="24"/>
          <w:szCs w:val="24"/>
          <w:lang w:val="pt-BR" w:eastAsia="en-US"/>
        </w:rPr>
        <w:t>enviados</w:t>
      </w:r>
      <w:r>
        <w:rPr>
          <w:rFonts w:cs="Calibri" w:ascii="Calibri" w:hAnsi="Calibri" w:asciiTheme="minorHAnsi" w:cstheme="minorHAnsi" w:hAnsiTheme="minorHAnsi"/>
          <w:sz w:val="24"/>
          <w:szCs w:val="24"/>
          <w:lang w:val="pt-BR"/>
        </w:rPr>
        <w:t xml:space="preserve"> por qualquer das partes nos termos desta Escritura de Emissão deverão ser encaminhados para os seguintes endereços:</w:t>
      </w:r>
      <w:bookmarkEnd w:id="324"/>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Favor confirmar/preencher dados abaixo.</w:t>
      </w:r>
      <w:r>
        <w:rPr>
          <w:rFonts w:cs="Calibri" w:ascii="Calibri" w:hAnsi="Calibri" w:asciiTheme="minorHAnsi" w:cstheme="minorHAnsi" w:hAnsiTheme="minorHAnsi"/>
          <w:sz w:val="24"/>
          <w:szCs w:val="24"/>
          <w:lang w:val="pt-BR"/>
        </w:rPr>
        <w:t>]</w:t>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a Emissora ou Fiadores:</w:t>
      </w:r>
    </w:p>
    <w:p>
      <w:pPr>
        <w:pStyle w:val="Normal"/>
        <w:spacing w:lineRule="exact" w:line="340"/>
        <w:ind w:left="1361" w:hanging="0"/>
        <w:rPr>
          <w:rFonts w:ascii="Calibri" w:hAnsi="Calibri" w:cs="Calibri" w:asciiTheme="minorHAnsi" w:cstheme="minorHAnsi" w:hAnsiTheme="minorHAnsi"/>
          <w:b/>
          <w:b/>
          <w:caps/>
          <w:sz w:val="24"/>
          <w:szCs w:val="24"/>
          <w:lang w:val="en-US"/>
        </w:rPr>
      </w:pPr>
      <w:r>
        <w:rPr>
          <w:rFonts w:cs="Calibri" w:ascii="Calibri" w:hAnsi="Calibri" w:asciiTheme="minorHAnsi" w:cstheme="minorHAnsi" w:hAnsiTheme="minorHAnsi"/>
          <w:b/>
          <w:bCs/>
          <w:color w:val="000000"/>
          <w:sz w:val="24"/>
          <w:szCs w:val="24"/>
          <w:lang w:val="en-US"/>
        </w:rPr>
        <w:t>HOSPITAL CARE CALEDONIA S.A.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Rua Bernardino de Campos, n° 230</w:t>
      </w:r>
    </w:p>
    <w:p>
      <w:pPr>
        <w:pStyle w:val="Normal"/>
        <w:spacing w:lineRule="exact" w:line="340"/>
        <w:ind w:left="1361" w:hanging="0"/>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CEP 13010-151 – Campinas – SP</w:t>
      </w:r>
    </w:p>
    <w:p>
      <w:pPr>
        <w:pStyle w:val="Normal"/>
        <w:spacing w:lineRule="exact" w:line="340"/>
        <w:ind w:left="1361" w:hanging="0"/>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At.: [</w:t>
      </w:r>
      <w:r>
        <w:rPr>
          <w:rFonts w:cs="Calibri" w:ascii="Calibri" w:hAnsi="Calibri" w:asciiTheme="minorHAnsi" w:cstheme="minorHAnsi" w:hAnsiTheme="minorHAnsi"/>
          <w:sz w:val="24"/>
          <w:szCs w:val="24"/>
          <w:highlight w:val="yellow"/>
          <w:lang w:val="en-US"/>
        </w:rPr>
        <w:t>=</w:t>
      </w:r>
      <w:r>
        <w:rPr>
          <w:rFonts w:cs="Calibri" w:ascii="Calibri" w:hAnsi="Calibri" w:asciiTheme="minorHAnsi" w:cstheme="minorHAnsi" w:hAnsiTheme="minorHAnsi"/>
          <w:sz w:val="24"/>
          <w:szCs w:val="24"/>
          <w:lang w:val="en-US"/>
        </w:rPr>
        <w:t>]</w:t>
      </w:r>
    </w:p>
    <w:p>
      <w:pPr>
        <w:pStyle w:val="Normal"/>
        <w:spacing w:lineRule="exact" w:line="340"/>
        <w:ind w:left="1361" w:hanging="0"/>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Tel.: [</w:t>
      </w:r>
      <w:r>
        <w:rPr>
          <w:rFonts w:cs="Calibri" w:ascii="Calibri" w:hAnsi="Calibri" w:asciiTheme="minorHAnsi" w:cstheme="minorHAnsi" w:hAnsiTheme="minorHAnsi"/>
          <w:sz w:val="24"/>
          <w:szCs w:val="24"/>
          <w:highlight w:val="yellow"/>
          <w:lang w:val="en-US"/>
        </w:rPr>
        <w:t>=</w:t>
      </w:r>
      <w:r>
        <w:rPr>
          <w:rFonts w:cs="Calibri" w:ascii="Calibri" w:hAnsi="Calibri" w:asciiTheme="minorHAnsi" w:cstheme="minorHAnsi" w:hAnsiTheme="minorHAnsi"/>
          <w:sz w:val="24"/>
          <w:szCs w:val="24"/>
          <w:lang w:val="en-US"/>
        </w:rPr>
        <w:t xml:space="preserve">]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E-mail: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bookmarkStart w:id="325" w:name="_Hlk69851088"/>
      <w:bookmarkEnd w:id="325"/>
    </w:p>
    <w:p>
      <w:pPr>
        <w:pStyle w:val="Normal"/>
        <w:spacing w:lineRule="exact" w:line="340"/>
        <w:ind w:left="1361" w:hanging="0"/>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
          <w:sz w:val="24"/>
          <w:szCs w:val="24"/>
        </w:rPr>
        <w:t>HOSPITAL VERA CRUZ S.A.</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Av. Andrade Neves, nº 402</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CEP 13013-160 – Campinas – SP</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 xml:space="preserve">At.: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 xml:space="preserve">Tel.: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 xml:space="preserve">E-mail: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HOSPITAL SÃO LUCAS S.A</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Rua Bernardino de Campos, nº 1426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CEP 14014-130 – Ribeirão Preto – SP</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At.: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E-mail: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SÃO LUCAS RIBERANIA LTDA.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Rua Carlos Lucas Evangelista, nº 351</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CEP 14096-480 – Ribeirão Preto – SP</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At.: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E-mail: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bookmarkStart w:id="326" w:name="_Hlk69851111"/>
      <w:bookmarkStart w:id="327" w:name="_Hlk72598579"/>
      <w:bookmarkEnd w:id="326"/>
      <w:bookmarkEnd w:id="327"/>
    </w:p>
    <w:p>
      <w:pPr>
        <w:pStyle w:val="Normal"/>
        <w:spacing w:lineRule="exact" w:line="340"/>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Para o Agente Fiduciário: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SIMPLIFIC PAVARINI DISTRIBUIDORA DE TÍTULOS E VALORES MOBILIÁRIOS LTDA.</w:t>
      </w:r>
    </w:p>
    <w:p>
      <w:pPr>
        <w:pStyle w:val="Normal"/>
        <w:spacing w:lineRule="exact" w:line="340"/>
        <w:ind w:left="1361" w:hanging="0"/>
        <w:rPr>
          <w:rFonts w:ascii="Calibri" w:hAnsi="Calibri" w:cs="Calibri" w:asciiTheme="minorHAnsi" w:cstheme="minorHAnsi" w:hAnsiTheme="minorHAnsi"/>
          <w:ins w:id="128" w:author="Pedro Oliveira" w:date="2021-06-23T15:55:00Z"/>
          <w:sz w:val="24"/>
          <w:szCs w:val="24"/>
        </w:rPr>
      </w:pPr>
      <w:ins w:id="127" w:author="Pedro Oliveira" w:date="2021-06-23T15:55:00Z">
        <w:r>
          <w:rPr>
            <w:rFonts w:cs="Calibri" w:ascii="Calibri" w:hAnsi="Calibri" w:asciiTheme="minorHAnsi" w:cstheme="minorHAnsi" w:hAnsiTheme="minorHAnsi"/>
            <w:sz w:val="24"/>
            <w:szCs w:val="24"/>
          </w:rPr>
          <w:t>Rua Joaquim Floriano 466, Bloco B, Conj 1401, Itaim Bibi</w:t>
        </w:r>
      </w:ins>
    </w:p>
    <w:p>
      <w:pPr>
        <w:pStyle w:val="Normal"/>
        <w:spacing w:lineRule="exact" w:line="340"/>
        <w:ind w:left="1361" w:hanging="0"/>
        <w:rPr>
          <w:rFonts w:ascii="Calibri" w:hAnsi="Calibri" w:cs="Calibri" w:asciiTheme="minorHAnsi" w:cstheme="minorHAnsi" w:hAnsiTheme="minorHAnsi"/>
          <w:ins w:id="130" w:author="Pedro Oliveira" w:date="2021-06-23T15:55:00Z"/>
          <w:sz w:val="24"/>
          <w:szCs w:val="24"/>
        </w:rPr>
      </w:pPr>
      <w:ins w:id="129" w:author="Pedro Oliveira" w:date="2021-06-23T15:55:00Z">
        <w:r>
          <w:rPr>
            <w:rFonts w:cs="Calibri" w:ascii="Calibri" w:hAnsi="Calibri" w:asciiTheme="minorHAnsi" w:cstheme="minorHAnsi" w:hAnsiTheme="minorHAnsi"/>
            <w:sz w:val="24"/>
            <w:szCs w:val="24"/>
          </w:rPr>
          <w:t>CEP 04534-002, São Paulo, SP</w:t>
        </w:r>
      </w:ins>
    </w:p>
    <w:p>
      <w:pPr>
        <w:pStyle w:val="Normal"/>
        <w:spacing w:lineRule="exact" w:line="340"/>
        <w:ind w:left="1361" w:hanging="0"/>
        <w:rPr>
          <w:rFonts w:ascii="Calibri" w:hAnsi="Calibri" w:cs="Calibri" w:asciiTheme="minorHAnsi" w:cstheme="minorHAnsi" w:hAnsiTheme="minorHAnsi"/>
          <w:ins w:id="132" w:author="Pedro Oliveira" w:date="2021-06-23T15:55:00Z"/>
          <w:sz w:val="24"/>
          <w:szCs w:val="24"/>
        </w:rPr>
      </w:pPr>
      <w:ins w:id="131" w:author="Pedro Oliveira" w:date="2021-06-23T15:55:00Z">
        <w:r>
          <w:rPr>
            <w:rFonts w:cs="Calibri" w:ascii="Calibri" w:hAnsi="Calibri" w:asciiTheme="minorHAnsi" w:cstheme="minorHAnsi" w:hAnsiTheme="minorHAnsi"/>
            <w:sz w:val="24"/>
            <w:szCs w:val="24"/>
          </w:rPr>
          <w:t>At.: Carlos Alberto Bacha / Matheus Gomes Faria / Rinaldo Rabello Ferreira</w:t>
        </w:r>
      </w:ins>
    </w:p>
    <w:p>
      <w:pPr>
        <w:pStyle w:val="Normal"/>
        <w:spacing w:lineRule="exact" w:line="340"/>
        <w:ind w:left="1361" w:hanging="0"/>
        <w:rPr>
          <w:rFonts w:ascii="Calibri" w:hAnsi="Calibri" w:cs="Calibri" w:asciiTheme="minorHAnsi" w:cstheme="minorHAnsi" w:hAnsiTheme="minorHAnsi"/>
          <w:ins w:id="134" w:author="Pedro Oliveira" w:date="2021-06-23T15:55:00Z"/>
          <w:sz w:val="24"/>
          <w:szCs w:val="24"/>
        </w:rPr>
      </w:pPr>
      <w:ins w:id="133" w:author="Pedro Oliveira" w:date="2021-06-23T15:55:00Z">
        <w:r>
          <w:rPr>
            <w:rFonts w:cs="Calibri" w:ascii="Calibri" w:hAnsi="Calibri" w:asciiTheme="minorHAnsi" w:cstheme="minorHAnsi" w:hAnsiTheme="minorHAnsi"/>
            <w:sz w:val="24"/>
            <w:szCs w:val="24"/>
          </w:rPr>
          <w:t>Telefone: (11) 3090-0447</w:t>
        </w:r>
      </w:ins>
    </w:p>
    <w:p>
      <w:pPr>
        <w:pStyle w:val="Level4"/>
        <w:numPr>
          <w:ilvl w:val="0"/>
          <w:numId w:val="0"/>
        </w:numPr>
        <w:spacing w:lineRule="exact" w:line="340" w:before="0" w:after="0"/>
        <w:ind w:left="1361" w:hanging="0"/>
        <w:rPr>
          <w:rFonts w:ascii="Calibri" w:hAnsi="Calibri" w:cs="Calibri" w:asciiTheme="minorHAnsi" w:cstheme="minorHAnsi" w:hAnsiTheme="minorHAnsi"/>
          <w:sz w:val="24"/>
          <w:szCs w:val="24"/>
          <w:del w:id="140" w:author="Pedro Oliveira" w:date="2021-06-23T15:55:00Z"/>
        </w:rPr>
      </w:pPr>
      <w:ins w:id="135" w:author="Pedro Oliveira" w:date="2021-06-23T15:55:00Z">
        <w:r>
          <w:rPr>
            <w:rFonts w:cs="Calibri" w:ascii="Calibri" w:hAnsi="Calibri" w:asciiTheme="minorHAnsi" w:cstheme="minorHAnsi" w:hAnsiTheme="minorHAnsi"/>
            <w:sz w:val="24"/>
            <w:szCs w:val="24"/>
          </w:rPr>
          <w:t xml:space="preserve">E-mail: </w:t>
        </w:r>
      </w:ins>
      <w:hyperlink r:id="rId7">
        <w:ins w:id="136" w:author="Pedro Oliveira" w:date="2021-06-23T15:55:00Z">
          <w:r>
            <w:rPr>
              <w:rStyle w:val="LinkdaInternet"/>
              <w:rFonts w:cs="Calibri" w:ascii="Calibri" w:hAnsi="Calibri" w:asciiTheme="minorHAnsi" w:cstheme="minorHAnsi" w:hAnsiTheme="minorHAnsi"/>
              <w:sz w:val="24"/>
              <w:szCs w:val="24"/>
            </w:rPr>
            <w:t>spestruturacao@simplificpavarini.com.br</w:t>
          </w:r>
        </w:ins>
      </w:hyperlink>
      <w:del w:id="137" w:author="Pedro Oliveira" w:date="2021-06-23T15:55:00Z">
        <w:r>
          <w:rPr>
            <w:rFonts w:cs="Calibri" w:ascii="Calibri" w:hAnsi="Calibri" w:asciiTheme="minorHAnsi" w:cstheme="minorHAnsi" w:hAnsiTheme="minorHAnsi"/>
            <w:sz w:val="24"/>
            <w:szCs w:val="24"/>
          </w:rPr>
          <w:delText>At.: [</w:delText>
        </w:r>
      </w:del>
      <w:del w:id="138" w:author="Pedro Oliveira" w:date="2021-06-23T15:55:00Z">
        <w:r>
          <w:rPr>
            <w:rFonts w:cs="Calibri" w:ascii="Calibri" w:hAnsi="Calibri" w:asciiTheme="minorHAnsi" w:cstheme="minorHAnsi" w:hAnsiTheme="minorHAnsi"/>
            <w:sz w:val="24"/>
            <w:szCs w:val="24"/>
            <w:highlight w:val="yellow"/>
          </w:rPr>
          <w:delText>=</w:delText>
        </w:r>
      </w:del>
      <w:del w:id="139" w:author="Pedro Oliveira" w:date="2021-06-23T15:55:00Z">
        <w:r>
          <w:rPr>
            <w:rFonts w:cs="Calibri" w:ascii="Calibri" w:hAnsi="Calibri" w:asciiTheme="minorHAnsi" w:cstheme="minorHAnsi" w:hAnsiTheme="minorHAnsi"/>
            <w:sz w:val="24"/>
            <w:szCs w:val="24"/>
          </w:rPr>
          <w:delText>]</w:delText>
        </w:r>
      </w:del>
    </w:p>
    <w:p>
      <w:pPr>
        <w:pStyle w:val="Level4"/>
        <w:numPr>
          <w:ilvl w:val="0"/>
          <w:numId w:val="0"/>
        </w:numPr>
        <w:spacing w:lineRule="exact" w:line="340" w:before="0" w:after="0"/>
        <w:ind w:left="1361" w:hanging="0"/>
        <w:rPr>
          <w:rStyle w:val="LinkdaInternet"/>
          <w:rFonts w:ascii="Calibri" w:hAnsi="Calibri" w:cs="Calibri" w:asciiTheme="minorHAnsi" w:cstheme="minorHAnsi" w:hAnsiTheme="minorHAnsi"/>
          <w:ins w:id="142" w:author="Pedro Oliveira" w:date="2021-06-23T15:55:00Z"/>
          <w:sz w:val="24"/>
          <w:szCs w:val="24"/>
        </w:rPr>
      </w:pPr>
      <w:ins w:id="141" w:author="Pedro Oliveira" w:date="2021-06-23T15:55:00Z">
        <w:r>
          <w:rPr/>
        </w:r>
      </w:ins>
    </w:p>
    <w:p>
      <w:pPr>
        <w:pStyle w:val="Normal"/>
        <w:spacing w:lineRule="exact" w:line="340"/>
        <w:ind w:left="1361" w:hanging="0"/>
        <w:rPr>
          <w:rFonts w:ascii="Calibri" w:hAnsi="Calibri" w:cs="Calibri" w:asciiTheme="minorHAnsi" w:cstheme="minorHAnsi" w:hAnsiTheme="minorHAnsi"/>
          <w:sz w:val="24"/>
          <w:szCs w:val="24"/>
          <w:del w:id="146" w:author="Pedro Oliveira" w:date="2021-06-23T15:55:00Z"/>
        </w:rPr>
      </w:pPr>
      <w:del w:id="143" w:author="Pedro Oliveira" w:date="2021-06-23T15:55:00Z">
        <w:r>
          <w:rPr>
            <w:rFonts w:cs="Calibri" w:cstheme="minorHAnsi" w:ascii="Calibri" w:hAnsi="Calibri"/>
            <w:sz w:val="24"/>
            <w:szCs w:val="24"/>
            <w:lang w:val="pt-BR"/>
          </w:rPr>
          <w:delText>Telefone [</w:delText>
        </w:r>
      </w:del>
      <w:del w:id="144" w:author="Pedro Oliveira" w:date="2021-06-23T15:55:00Z">
        <w:r>
          <w:rPr>
            <w:rFonts w:cs="Calibri" w:cstheme="minorHAnsi" w:ascii="Calibri" w:hAnsi="Calibri"/>
            <w:sz w:val="24"/>
            <w:szCs w:val="24"/>
            <w:highlight w:val="yellow"/>
            <w:lang w:val="pt-BR"/>
          </w:rPr>
          <w:delText>=</w:delText>
        </w:r>
      </w:del>
      <w:del w:id="145" w:author="Pedro Oliveira" w:date="2021-06-23T15:55:00Z">
        <w:r>
          <w:rPr>
            <w:rFonts w:cs="Calibri" w:cstheme="minorHAnsi" w:ascii="Calibri" w:hAnsi="Calibri"/>
            <w:sz w:val="24"/>
            <w:szCs w:val="24"/>
            <w:lang w:val="pt-BR"/>
          </w:rPr>
          <w:delText>]</w:delText>
        </w:r>
      </w:del>
    </w:p>
    <w:p>
      <w:pPr>
        <w:pStyle w:val="Normal"/>
        <w:spacing w:lineRule="exact" w:line="340"/>
        <w:ind w:left="1361" w:hanging="0"/>
        <w:rPr>
          <w:rFonts w:ascii="Calibri" w:hAnsi="Calibri" w:cs="Calibri" w:asciiTheme="minorHAnsi" w:cstheme="minorHAnsi" w:hAnsiTheme="minorHAnsi"/>
          <w:sz w:val="24"/>
          <w:szCs w:val="24"/>
          <w:del w:id="150" w:author="Pedro Oliveira" w:date="2021-06-23T15:55:00Z"/>
        </w:rPr>
      </w:pPr>
      <w:del w:id="147" w:author="Pedro Oliveira" w:date="2021-06-23T15:55:00Z">
        <w:r>
          <w:rPr>
            <w:rFonts w:cs="Calibri" w:ascii="Calibri" w:hAnsi="Calibri" w:asciiTheme="minorHAnsi" w:cstheme="minorHAnsi" w:hAnsiTheme="minorHAnsi"/>
            <w:sz w:val="24"/>
            <w:szCs w:val="24"/>
          </w:rPr>
          <w:delText>E-mail: [</w:delText>
        </w:r>
      </w:del>
      <w:del w:id="148" w:author="Pedro Oliveira" w:date="2021-06-23T15:55:00Z">
        <w:r>
          <w:rPr>
            <w:rFonts w:cs="Calibri" w:ascii="Calibri" w:hAnsi="Calibri" w:asciiTheme="minorHAnsi" w:cstheme="minorHAnsi" w:hAnsiTheme="minorHAnsi"/>
            <w:sz w:val="24"/>
            <w:szCs w:val="24"/>
            <w:highlight w:val="yellow"/>
          </w:rPr>
          <w:delText>=</w:delText>
        </w:r>
      </w:del>
      <w:del w:id="149" w:author="Pedro Oliveira" w:date="2021-06-23T15:55:00Z">
        <w:r>
          <w:rPr>
            <w:rFonts w:cs="Calibri" w:ascii="Calibri" w:hAnsi="Calibri" w:asciiTheme="minorHAnsi" w:cstheme="minorHAnsi" w:hAnsiTheme="minorHAnsi"/>
            <w:sz w:val="24"/>
            <w:szCs w:val="24"/>
          </w:rPr>
          <w:delText>]</w:delText>
        </w:r>
      </w:del>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lang w:val="pt-BR"/>
        </w:rPr>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o Banco Liquidante:</w:t>
      </w:r>
    </w:p>
    <w:p>
      <w:pPr>
        <w:pStyle w:val="Normal"/>
        <w:spacing w:lineRule="exact" w:line="340"/>
        <w:ind w:left="1361" w:hanging="0"/>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ITAÚ UNIBANCO S.A.</w:t>
      </w:r>
    </w:p>
    <w:p>
      <w:pPr>
        <w:pStyle w:val="Normal"/>
        <w:spacing w:lineRule="exact" w:line="320"/>
        <w:ind w:left="652" w:firstLine="709"/>
        <w:rPr>
          <w:rFonts w:ascii="Calibri" w:hAnsi="Calibri" w:cs="Calibri" w:asciiTheme="minorHAnsi" w:cstheme="minorHAnsi" w:hAnsiTheme="minorHAnsi"/>
          <w:sz w:val="24"/>
          <w:szCs w:val="24"/>
        </w:rPr>
      </w:pPr>
      <w:r>
        <w:rPr>
          <w:rFonts w:eastAsia="Arial Unicode MS" w:cs="Calibri" w:ascii="Calibri" w:hAnsi="Calibri" w:asciiTheme="minorHAnsi" w:cstheme="minorHAnsi" w:hAnsiTheme="minorHAnsi"/>
          <w:sz w:val="24"/>
          <w:szCs w:val="24"/>
        </w:rPr>
        <w:t xml:space="preserve">Praça Alfredo Egydio Souza Aranha, 100, São Paulo – SP,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CEP </w:t>
      </w:r>
      <w:r>
        <w:rPr>
          <w:rFonts w:eastAsia="Arial Unicode MS" w:cs="Calibri" w:ascii="Calibri" w:hAnsi="Calibri" w:asciiTheme="minorHAnsi" w:cstheme="minorHAnsi" w:hAnsiTheme="minorHAnsi"/>
          <w:sz w:val="24"/>
          <w:szCs w:val="24"/>
        </w:rPr>
        <w:t>04344-020</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At.: Melissa Braga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Telefone: </w:t>
      </w:r>
      <w:r>
        <w:rPr>
          <w:rFonts w:eastAsia="Arial Unicode MS" w:cs="Calibri" w:ascii="Calibri" w:hAnsi="Calibri" w:asciiTheme="minorHAnsi" w:cstheme="minorHAnsi" w:hAnsiTheme="minorHAnsi"/>
          <w:sz w:val="24"/>
          <w:szCs w:val="24"/>
        </w:rPr>
        <w:t>+55 (11) 2740-2919</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E-mail: escrituracaorf@itau-unibanco.com.br</w:t>
      </w:r>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o Escriturador:</w:t>
      </w:r>
    </w:p>
    <w:p>
      <w:pPr>
        <w:pStyle w:val="Normal"/>
        <w:spacing w:lineRule="exact" w:line="340"/>
        <w:ind w:left="1361" w:hanging="0"/>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ITAÚ CORRETORA DE VALORES S.A.</w:t>
      </w:r>
    </w:p>
    <w:p>
      <w:pPr>
        <w:pStyle w:val="Normal"/>
        <w:spacing w:lineRule="exact" w:line="340"/>
        <w:ind w:left="1361" w:hanging="0"/>
        <w:rPr>
          <w:rFonts w:ascii="Calibri" w:hAnsi="Calibri" w:cs="Calibri" w:asciiTheme="minorHAnsi" w:cstheme="minorHAnsi" w:hAnsiTheme="minorHAnsi"/>
          <w:sz w:val="24"/>
          <w:szCs w:val="24"/>
        </w:rPr>
      </w:pPr>
      <w:r>
        <w:rPr>
          <w:rFonts w:eastAsia="Arial Unicode MS" w:cs="Calibri" w:ascii="Calibri" w:hAnsi="Calibri" w:asciiTheme="minorHAnsi" w:cstheme="minorHAnsi" w:hAnsiTheme="minorHAnsi"/>
          <w:sz w:val="24"/>
          <w:szCs w:val="24"/>
        </w:rPr>
        <w:t>Avenida Brigadeiro Faria Lima, 3.500, 3º andar, São Paulo - SP, CEP 04538-132</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At.: </w:t>
      </w:r>
      <w:r>
        <w:rPr>
          <w:rFonts w:eastAsia="Arial Unicode MS" w:cs="Calibri" w:ascii="Calibri" w:hAnsi="Calibri" w:asciiTheme="minorHAnsi" w:cstheme="minorHAnsi" w:hAnsiTheme="minorHAnsi"/>
          <w:sz w:val="24"/>
          <w:szCs w:val="24"/>
        </w:rPr>
        <w:t>Melissa Braga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Telefone: </w:t>
      </w:r>
      <w:r>
        <w:rPr>
          <w:rFonts w:eastAsia="Arial Unicode MS" w:cs="Calibri" w:ascii="Calibri" w:hAnsi="Calibri" w:asciiTheme="minorHAnsi" w:cstheme="minorHAnsi" w:hAnsiTheme="minorHAnsi"/>
          <w:sz w:val="24"/>
          <w:szCs w:val="24"/>
        </w:rPr>
        <w:t>+55 (11) 2740-2919</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hyperlink r:id="rId8">
        <w:r>
          <w:rPr>
            <w:rStyle w:val="LinkdaInternet"/>
            <w:rFonts w:eastAsia="Arial Unicode MS" w:cs="Calibri" w:ascii="Calibri" w:hAnsi="Calibri" w:asciiTheme="minorHAnsi" w:cstheme="minorHAnsi" w:hAnsiTheme="minorHAnsi"/>
            <w:sz w:val="24"/>
            <w:szCs w:val="24"/>
          </w:rPr>
          <w:t>escrituracaorf@itau-unibanco.com.br</w:t>
        </w:r>
      </w:hyperlink>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comunicações referentes a esta Escritura de Emissão serão consideradas entregues quando recebidas sob protocolo ou com “aviso de recebimento” expedido pelo </w:t>
      </w:r>
      <w:r>
        <w:rPr>
          <w:rFonts w:eastAsia="Times New Roman" w:cs="Calibri" w:ascii="Calibri" w:hAnsi="Calibri" w:asciiTheme="minorHAnsi" w:cstheme="minorHAnsi" w:hAnsiTheme="minorHAnsi"/>
          <w:sz w:val="24"/>
          <w:szCs w:val="24"/>
          <w:lang w:val="pt-BR" w:eastAsia="en-US"/>
        </w:rPr>
        <w:t>correio</w:t>
      </w:r>
      <w:r>
        <w:rPr>
          <w:rFonts w:cs="Calibri" w:ascii="Calibri" w:hAnsi="Calibri" w:asciiTheme="minorHAnsi" w:cstheme="minorHAnsi" w:hAnsiTheme="minorHAnsi"/>
          <w:sz w:val="24"/>
          <w:szCs w:val="24"/>
          <w:lang w:val="pt-BR"/>
        </w:rPr>
        <w:t xml:space="preserve"> ou por telegrama nos endereços acima. </w:t>
      </w:r>
      <w:r>
        <w:rPr>
          <w:rStyle w:val="DeltaViewInsertion"/>
          <w:rFonts w:cs="Calibri" w:ascii="Calibri" w:hAnsi="Calibri" w:asciiTheme="minorHAnsi" w:cstheme="minorHAnsi" w:hAnsiTheme="minorHAnsi"/>
          <w:color w:val="auto"/>
          <w:sz w:val="24"/>
          <w:szCs w:val="24"/>
          <w:u w:val="none"/>
          <w:lang w:val="pt-BR"/>
        </w:rPr>
        <w:t xml:space="preserve">As comunicações feitas por correio eletrônico serão consideradas recebidas na data de recebimento de “aviso de entrega e leitura”. </w:t>
      </w:r>
      <w:r>
        <w:rPr>
          <w:rFonts w:cs="Calibri" w:ascii="Calibri" w:hAnsi="Calibri" w:asciiTheme="minorHAnsi" w:cstheme="minorHAnsi" w:hAnsiTheme="minorHAnsi"/>
          <w:sz w:val="24"/>
          <w:szCs w:val="24"/>
          <w:lang w:val="pt-BR"/>
        </w:rPr>
        <w:t xml:space="preserve">A mudança de qualquer dos endereços acima deverá ser comunicada à outra Parte pela Parte que tiver seu endereço alterado. </w:t>
      </w:r>
      <w:bookmarkStart w:id="328" w:name="_Hlk57851698"/>
      <w:bookmarkEnd w:id="328"/>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29" w:name="_DV_M443"/>
      <w:bookmarkEnd w:id="329"/>
      <w:r>
        <w:rPr>
          <w:rFonts w:cs="Calibri" w:ascii="Calibri" w:hAnsi="Calibri" w:asciiTheme="minorHAnsi" w:cstheme="minorHAnsi" w:hAnsiTheme="minorHAnsi"/>
          <w:sz w:val="24"/>
          <w:szCs w:val="24"/>
          <w:lang w:val="pt-BR"/>
        </w:rPr>
        <w:t xml:space="preserve">A presente Escritura de Emissão é firmada em caráter irrevogável e irretratável, salvo na hipótese de não preenchimento dos requisitos relacionados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_Ref62665243 \n \h </w:instrText>
      </w:r>
      <w:r>
        <w:rPr>
          <w:sz w:val="24"/>
          <w:szCs w:val="24"/>
          <w:rFonts w:cs="Calibri" w:ascii="Calibri" w:hAnsi="Calibri"/>
          <w:lang w:val="pt-BR"/>
        </w:rPr>
        <w:fldChar w:fldCharType="separate"/>
      </w:r>
      <w:r>
        <w:rPr>
          <w:sz w:val="24"/>
          <w:szCs w:val="24"/>
          <w:rFonts w:cs="Calibri" w:ascii="Calibri" w:hAnsi="Calibri"/>
          <w:lang w:val="pt-BR"/>
        </w:rPr>
        <w:t>2</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obrigando as partes por si e seus sucessores.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30" w:name="_DV_M444"/>
      <w:bookmarkEnd w:id="330"/>
      <w:r>
        <w:rPr>
          <w:rFonts w:cs="Calibri" w:ascii="Calibri" w:hAnsi="Calibri" w:asciiTheme="minorHAnsi" w:cstheme="minorHAnsi" w:hAnsiTheme="minorHAnsi"/>
          <w:sz w:val="24"/>
          <w:szCs w:val="24"/>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31" w:name="_DV_M445"/>
      <w:bookmarkEnd w:id="331"/>
      <w:r>
        <w:rPr>
          <w:rFonts w:cs="Calibri" w:ascii="Calibri" w:hAnsi="Calibri" w:asciiTheme="minorHAnsi" w:cstheme="minorHAnsi" w:hAnsi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32" w:name="_DV_M447"/>
      <w:bookmarkStart w:id="333" w:name="_DV_M446"/>
      <w:bookmarkEnd w:id="332"/>
      <w:bookmarkEnd w:id="333"/>
      <w:r>
        <w:rPr>
          <w:rFonts w:cs="Calibri" w:ascii="Calibri" w:hAnsi="Calibri" w:asciiTheme="minorHAnsi" w:cstheme="minorHAnsi" w:hAnsiTheme="minorHAnsi"/>
          <w:sz w:val="24"/>
          <w:szCs w:val="24"/>
          <w:lang w:val="pt-BR"/>
        </w:rPr>
        <w:t>Esta Escritura de Emissão é regida pelas Leis da República Federativa do Brasil.</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u w:val="single"/>
          <w:lang w:val="pt-BR"/>
        </w:rPr>
      </w:pPr>
      <w:r>
        <w:rPr>
          <w:rFonts w:cs="Calibri" w:ascii="Calibri" w:hAnsi="Calibri" w:asciiTheme="minorHAnsi" w:cstheme="minorHAnsi" w:hAnsiTheme="minorHAnsi"/>
          <w:sz w:val="24"/>
          <w:szCs w:val="24"/>
          <w:lang w:val="pt-BR"/>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Pr>
          <w:rFonts w:cs="Calibri" w:ascii="Calibri" w:hAnsi="Calibri" w:asciiTheme="minorHAnsi" w:cstheme="minorHAnsi" w:hAnsiTheme="minorHAnsi"/>
          <w:sz w:val="24"/>
          <w:szCs w:val="24"/>
          <w:u w:val="single"/>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u w:val="single"/>
          <w:lang w:val="pt-BR"/>
        </w:rPr>
      </w:pPr>
      <w:bookmarkStart w:id="334" w:name="_Ref38530154"/>
      <w:r>
        <w:rPr>
          <w:rFonts w:cs="Calibri" w:ascii="Calibri" w:hAnsi="Calibri" w:asciiTheme="minorHAnsi" w:cstheme="minorHAnsi" w:hAnsiTheme="minorHAnsi"/>
          <w:sz w:val="24"/>
          <w:szCs w:val="24"/>
          <w:lang w:val="pt-BR"/>
        </w:rPr>
        <w:t xml:space="preserve">Fica desde já dispensada a realização de Assembleia Geral de Debenturistas para deliberar sobre aditamentos decorrentes: (i) </w:t>
      </w:r>
      <w:bookmarkStart w:id="335" w:name="_Hlk37755702"/>
      <w:r>
        <w:rPr>
          <w:rFonts w:cs="Calibri" w:ascii="Calibri" w:hAnsi="Calibri" w:asciiTheme="minorHAnsi" w:cstheme="minorHAnsi" w:hAnsiTheme="minorHAnsi"/>
          <w:sz w:val="24"/>
          <w:szCs w:val="24"/>
          <w:lang w:val="pt-BR"/>
        </w:rPr>
        <w:t>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34"/>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36" w:name="_Ref62665265"/>
      <w:bookmarkStart w:id="337" w:name="_DV_M450"/>
      <w:bookmarkStart w:id="338" w:name="_DV_M449"/>
      <w:bookmarkStart w:id="339" w:name="_DV_M448"/>
      <w:bookmarkEnd w:id="335"/>
      <w:bookmarkEnd w:id="337"/>
      <w:bookmarkEnd w:id="338"/>
      <w:bookmarkEnd w:id="339"/>
      <w:r>
        <w:rPr>
          <w:rFonts w:cs="Calibri" w:ascii="Calibri" w:hAnsi="Calibri" w:asciiTheme="minorHAnsi" w:cstheme="minorHAnsi" w:hAnsiTheme="minorHAnsi"/>
          <w:b/>
          <w:sz w:val="24"/>
          <w:szCs w:val="24"/>
          <w:lang w:val="pt-BR"/>
        </w:rPr>
        <w:t>Assinatura por Certificado Digital</w:t>
      </w:r>
      <w:bookmarkEnd w:id="336"/>
      <w:r>
        <w:rPr>
          <w:rFonts w:cs="Calibri" w:ascii="Calibri" w:hAnsi="Calibri" w:asciiTheme="minorHAnsi" w:cstheme="minorHAnsi" w:hAnsiTheme="minorHAnsi"/>
          <w:b/>
          <w:sz w:val="24"/>
          <w:szCs w:val="24"/>
          <w:lang w:val="pt-BR"/>
        </w:rPr>
        <w:t xml:space="preserve"> </w:t>
      </w:r>
      <w:r>
        <w:rPr>
          <w:rFonts w:cs="Calibri" w:ascii="Calibri" w:hAnsi="Calibri" w:asciiTheme="minorHAnsi" w:cstheme="minorHAnsi" w:hAnsiTheme="minorHAnsi"/>
          <w:bCs/>
          <w:sz w:val="24"/>
          <w:szCs w:val="24"/>
          <w:lang w:val="pt-BR"/>
        </w:rPr>
        <w:t>[</w:t>
      </w:r>
      <w:r>
        <w:rPr>
          <w:rFonts w:cs="Calibri" w:ascii="Calibri" w:hAnsi="Calibri" w:asciiTheme="minorHAnsi" w:cstheme="minorHAnsi" w:hAnsiTheme="minorHAnsi"/>
          <w:b/>
          <w:sz w:val="24"/>
          <w:szCs w:val="24"/>
          <w:highlight w:val="yellow"/>
          <w:u w:val="single"/>
          <w:lang w:val="pt-BR"/>
        </w:rPr>
        <w:t>Nota SF</w:t>
      </w:r>
      <w:r>
        <w:rPr>
          <w:rFonts w:cs="Calibri" w:ascii="Calibri" w:hAnsi="Calibri" w:asciiTheme="minorHAnsi" w:cstheme="minorHAnsi" w:hAnsiTheme="minorHAnsi"/>
          <w:bCs/>
          <w:sz w:val="24"/>
          <w:szCs w:val="24"/>
          <w:highlight w:val="yellow"/>
          <w:lang w:val="pt-BR"/>
        </w:rPr>
        <w:t>: Favor confirmar se pretendem assinar a Escritura digitalmente (com ICP-Brasil). Companhia está de acordo. Pavarini, favor confirmar</w:t>
      </w:r>
      <w:r>
        <w:rPr>
          <w:rFonts w:cs="Calibri" w:ascii="Calibri" w:hAnsi="Calibri" w:asciiTheme="minorHAnsi" w:cstheme="minorHAnsi" w:hAnsiTheme="minorHAnsi"/>
          <w:bCs/>
          <w:sz w:val="24"/>
          <w:szCs w:val="24"/>
          <w:lang w:val="pt-BR"/>
        </w:rPr>
        <w:t>]</w:t>
      </w:r>
      <w:ins w:id="151" w:author="Pedro Oliveira" w:date="2021-06-23T15:55:00Z">
        <w:r>
          <w:rPr>
            <w:rFonts w:cs="Calibri" w:ascii="Calibri" w:hAnsi="Calibri" w:asciiTheme="minorHAnsi" w:cstheme="minorHAnsi" w:hAnsiTheme="minorHAnsi"/>
            <w:bCs/>
            <w:sz w:val="24"/>
            <w:szCs w:val="24"/>
            <w:lang w:val="pt-BR"/>
          </w:rPr>
          <w:t xml:space="preserve"> Nota Pavarini: </w:t>
        </w:r>
      </w:ins>
      <w:ins w:id="152" w:author="Pedro Oliveira" w:date="2021-06-23T15:56:00Z">
        <w:r>
          <w:rPr>
            <w:rFonts w:cs="Calibri" w:ascii="Calibri" w:hAnsi="Calibri" w:asciiTheme="minorHAnsi" w:cstheme="minorHAnsi" w:hAnsiTheme="minorHAnsi"/>
            <w:bCs/>
            <w:sz w:val="24"/>
            <w:szCs w:val="24"/>
            <w:lang w:val="pt-BR"/>
          </w:rPr>
          <w:t xml:space="preserve">Estamos de acordo. </w:t>
        </w:r>
      </w:ins>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partes assinam a presente Escritura de Emissão por meio eletrônico, sendo </w:t>
      </w:r>
      <w:r>
        <w:rPr>
          <w:rFonts w:eastAsia="Times New Roman" w:cs="Calibri" w:ascii="Calibri" w:hAnsi="Calibri" w:asciiTheme="minorHAnsi" w:cstheme="minorHAnsi" w:hAnsiTheme="minorHAnsi"/>
          <w:sz w:val="24"/>
          <w:szCs w:val="24"/>
          <w:lang w:val="pt-BR" w:eastAsia="en-US"/>
        </w:rPr>
        <w:t>consideradas</w:t>
      </w:r>
      <w:r>
        <w:rPr>
          <w:rFonts w:cs="Calibri" w:ascii="Calibri" w:hAnsi="Calibri" w:asciiTheme="minorHAnsi" w:cstheme="minorHAnsi" w:hAnsi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40" w:name="_Hlk57852405"/>
      <w:r>
        <w:rPr>
          <w:rFonts w:cs="Calibri" w:ascii="Calibri" w:hAnsi="Calibri" w:asciiTheme="minorHAnsi" w:cstheme="minorHAnsi" w:hAnsi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Pr>
          <w:rFonts w:eastAsia="Times New Roman" w:cs="Calibri" w:ascii="Calibri" w:hAnsi="Calibri" w:asciiTheme="minorHAnsi" w:cstheme="minorHAnsi" w:hAnsiTheme="minorHAnsi"/>
          <w:sz w:val="24"/>
          <w:szCs w:val="24"/>
          <w:lang w:val="pt-BR" w:eastAsia="en-US"/>
        </w:rPr>
        <w:t>instrumento</w:t>
      </w:r>
      <w:r>
        <w:rPr>
          <w:rFonts w:cs="Calibri" w:ascii="Calibri" w:hAnsi="Calibri" w:asciiTheme="minorHAnsi" w:cstheme="minorHAnsi" w:hAnsiTheme="minorHAnsi"/>
          <w:sz w:val="24"/>
          <w:szCs w:val="24"/>
          <w:lang w:val="pt-BR"/>
        </w:rPr>
        <w:t xml:space="preserve"> em local diverso, o local de celebração deste instrumento é, para todos os fins, a Cidade de São Paulo, Estado de São Paulo, conforme abaixo indicado</w:t>
      </w:r>
      <w:bookmarkEnd w:id="340"/>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Foro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Esta Escritura de Emissão será regida pelas leis da República Federativa do Brasil. Fica eleito o foro da comarca de São Paulo, com exclusão de qualquer outro, por mais </w:t>
      </w:r>
      <w:r>
        <w:rPr>
          <w:rFonts w:eastAsia="Times New Roman" w:cs="Calibri" w:ascii="Calibri" w:hAnsi="Calibri" w:asciiTheme="minorHAnsi" w:cstheme="minorHAnsi" w:hAnsiTheme="minorHAnsi"/>
          <w:sz w:val="24"/>
          <w:szCs w:val="24"/>
          <w:lang w:val="pt-BR" w:eastAsia="en-US"/>
        </w:rPr>
        <w:t>privilegiado</w:t>
      </w:r>
      <w:r>
        <w:rPr>
          <w:rFonts w:cs="Calibri" w:ascii="Calibri" w:hAnsi="Calibri" w:asciiTheme="minorHAnsi" w:cstheme="minorHAnsi" w:hAnsiTheme="minorHAnsi"/>
          <w:sz w:val="24"/>
          <w:szCs w:val="24"/>
          <w:lang w:val="pt-BR"/>
        </w:rPr>
        <w:t xml:space="preserve"> que seja, para dirimir as questões porventura oriundas desta Escritura de Emissão.</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bookmarkStart w:id="341" w:name="_Hlk57852434"/>
      <w:bookmarkStart w:id="342" w:name="_Hlk68710907"/>
      <w:bookmarkStart w:id="343" w:name="_DV_M451"/>
      <w:bookmarkEnd w:id="341"/>
      <w:bookmarkEnd w:id="343"/>
      <w:r>
        <w:rPr>
          <w:rFonts w:cs="Calibri" w:ascii="Calibri" w:hAnsi="Calibri" w:asciiTheme="minorHAnsi" w:cstheme="minorHAnsi" w:hAnsiTheme="minorHAnsi"/>
          <w:sz w:val="24"/>
          <w:szCs w:val="24"/>
        </w:rPr>
        <w:t xml:space="preserve">E, por estarem assim justos e contratados, firmam as partes a presente Escritura de Emissão eletronicamente, nos termos da Cláusula </w:t>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_Ref62665265 \n \h </w:instrText>
      </w:r>
      <w:r>
        <w:rPr>
          <w:sz w:val="24"/>
          <w:szCs w:val="24"/>
          <w:rFonts w:cs="Calibri" w:ascii="Calibri" w:hAnsi="Calibri"/>
        </w:rPr>
        <w:fldChar w:fldCharType="separate"/>
      </w:r>
      <w:r>
        <w:rPr>
          <w:sz w:val="24"/>
          <w:szCs w:val="24"/>
          <w:rFonts w:cs="Calibri" w:ascii="Calibri" w:hAnsi="Calibri"/>
        </w:rPr>
        <w:t>11.10</w:t>
      </w:r>
      <w:r>
        <w:rPr>
          <w:sz w:val="24"/>
          <w:szCs w:val="24"/>
          <w:rFonts w:cs="Calibri" w:ascii="Calibri" w:hAnsi="Calibri"/>
        </w:rPr>
        <w:fldChar w:fldCharType="end"/>
      </w:r>
      <w:r>
        <w:rPr>
          <w:rFonts w:cs="Calibri" w:ascii="Calibri" w:hAnsi="Calibri" w:asciiTheme="minorHAnsi" w:cstheme="minorHAnsi" w:hAnsiTheme="minorHAnsi"/>
          <w:sz w:val="24"/>
          <w:szCs w:val="24"/>
        </w:rPr>
        <w:t>, na presença de 2 (duas) testemunhas</w:t>
      </w:r>
      <w:bookmarkEnd w:id="342"/>
      <w:r>
        <w:rPr>
          <w:rFonts w:cs="Calibri" w:ascii="Calibri" w:hAnsi="Calibri" w:asciiTheme="minorHAnsi" w:cstheme="minorHAnsi" w:hAnsiTheme="minorHAnsi"/>
          <w:sz w:val="24"/>
          <w:szCs w:val="24"/>
        </w:rPr>
        <w:t>.</w:t>
      </w:r>
    </w:p>
    <w:p>
      <w:pPr>
        <w:pStyle w:val="Normal"/>
        <w:widowControl/>
        <w:suppressAutoHyphens w:val="true"/>
        <w:spacing w:lineRule="exact" w:line="340" w:before="0" w:after="240"/>
        <w:jc w:val="center"/>
        <w:rPr>
          <w:rFonts w:ascii="Calibri" w:hAnsi="Calibri" w:cs="Calibri" w:asciiTheme="minorHAnsi" w:cstheme="minorHAnsi" w:hAnsiTheme="minorHAnsi"/>
          <w:sz w:val="24"/>
          <w:szCs w:val="24"/>
        </w:rPr>
      </w:pPr>
      <w:bookmarkStart w:id="344" w:name="_Hlk57852434"/>
      <w:bookmarkStart w:id="345" w:name="_DV_M452"/>
      <w:bookmarkEnd w:id="344"/>
      <w:bookmarkEnd w:id="345"/>
      <w:r>
        <w:rPr>
          <w:rFonts w:cs="Calibri" w:ascii="Calibri" w:hAnsi="Calibri" w:asciiTheme="minorHAnsi" w:cstheme="minorHAnsi" w:hAnsiTheme="minorHAnsi"/>
          <w:sz w:val="24"/>
          <w:szCs w:val="24"/>
        </w:rPr>
        <w:t xml:space="preserve">São Paulo, </w:t>
      </w:r>
      <w:bookmarkStart w:id="346" w:name="_DV_M454"/>
      <w:bookmarkStart w:id="347" w:name="_DV_M453"/>
      <w:bookmarkEnd w:id="346"/>
      <w:bookmarkEnd w:id="347"/>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 de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 de 2021.</w:t>
      </w:r>
    </w:p>
    <w:p>
      <w:pPr>
        <w:pStyle w:val="Normal"/>
        <w:widowControl/>
        <w:suppressAutoHyphens w:val="true"/>
        <w:spacing w:lineRule="exact" w:line="340" w:before="0" w:after="240"/>
        <w:jc w:val="center"/>
        <w:rPr>
          <w:rFonts w:ascii="Calibri" w:hAnsi="Calibri" w:cs="Calibri" w:asciiTheme="minorHAnsi" w:cstheme="minorHAnsi" w:hAnsiTheme="minorHAnsi"/>
          <w:sz w:val="24"/>
          <w:szCs w:val="24"/>
        </w:rPr>
      </w:pPr>
      <w:r>
        <w:rPr>
          <w:rFonts w:cs="Calibri" w:cstheme="minorHAnsi" w:ascii="Calibri" w:hAnsi="Calibri"/>
          <w:sz w:val="24"/>
          <w:szCs w:val="24"/>
        </w:rPr>
      </w:r>
      <w:r>
        <w:br w:type="page"/>
      </w:r>
    </w:p>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bookmarkStart w:id="348" w:name="_DV_M456"/>
      <w:bookmarkStart w:id="349" w:name="_DV_M455"/>
      <w:bookmarkEnd w:id="348"/>
      <w:bookmarkEnd w:id="349"/>
      <w:r>
        <w:rPr>
          <w:rFonts w:cs="Calibri" w:ascii="Calibri" w:hAnsi="Calibri" w:asciiTheme="minorHAnsi" w:cstheme="minorHAnsi" w:hAnsiTheme="minorHAnsi"/>
          <w:i/>
          <w:sz w:val="24"/>
          <w:szCs w:val="24"/>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 </w:t>
      </w:r>
    </w:p>
    <w:p>
      <w:pPr>
        <w:pStyle w:val="Normal"/>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widowControl/>
        <w:suppressAutoHyphens w:val="true"/>
        <w:spacing w:lineRule="exact" w:line="340" w:before="0" w:after="240"/>
        <w:jc w:val="center"/>
        <w:rPr>
          <w:rFonts w:ascii="Calibri" w:hAnsi="Calibri" w:cs="Calibri" w:asciiTheme="minorHAnsi" w:cstheme="minorHAnsi" w:hAnsiTheme="minorHAnsi"/>
          <w:b/>
          <w:b/>
          <w:bCs/>
          <w:color w:val="000000"/>
          <w:sz w:val="24"/>
          <w:szCs w:val="24"/>
          <w:lang w:val="en-US"/>
        </w:rPr>
      </w:pPr>
      <w:bookmarkStart w:id="350" w:name="_DV_M457"/>
      <w:bookmarkEnd w:id="350"/>
      <w:r>
        <w:rPr>
          <w:rFonts w:cs="Calibri" w:ascii="Calibri" w:hAnsi="Calibri" w:asciiTheme="minorHAnsi" w:cstheme="minorHAnsi" w:hAnsiTheme="minorHAnsi"/>
          <w:b/>
          <w:sz w:val="24"/>
          <w:szCs w:val="24"/>
          <w:lang w:val="en-US"/>
        </w:rPr>
        <w:t>HOSPITAL CARE CALEDONIA S.A.</w:t>
      </w:r>
    </w:p>
    <w:p>
      <w:pPr>
        <w:pStyle w:val="Normal"/>
        <w:widowControl/>
        <w:suppressAutoHyphens w:val="true"/>
        <w:spacing w:lineRule="exact" w:line="340" w:before="0" w:after="240"/>
        <w:jc w:val="center"/>
        <w:rPr>
          <w:rFonts w:ascii="Calibri" w:hAnsi="Calibri" w:cs="Calibri" w:asciiTheme="minorHAnsi" w:cstheme="minorHAnsi" w:hAnsiTheme="minorHAnsi"/>
          <w:b/>
          <w:b/>
          <w:bCs/>
          <w:sz w:val="24"/>
          <w:szCs w:val="24"/>
          <w:lang w:val="en-US"/>
        </w:rPr>
      </w:pPr>
      <w:r>
        <w:rPr>
          <w:rFonts w:cs="Calibri" w:cstheme="minorHAnsi" w:ascii="Calibri" w:hAnsi="Calibri"/>
          <w:b/>
          <w:bCs/>
          <w:sz w:val="24"/>
          <w:szCs w:val="24"/>
          <w:lang w:val="en-US"/>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r>
    </w:tbl>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bookmarkStart w:id="351" w:name="_DV_M458"/>
      <w:bookmarkStart w:id="352" w:name="_DV_M458"/>
      <w:bookmarkEnd w:id="352"/>
      <w:r>
        <w:br w:type="page"/>
      </w:r>
    </w:p>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bCs/>
          <w:sz w:val="24"/>
          <w:szCs w:val="24"/>
        </w:rPr>
        <w:t>[</w:t>
      </w:r>
      <w:r>
        <w:rPr>
          <w:rFonts w:cs="Calibri" w:ascii="Calibri" w:hAnsi="Calibri" w:asciiTheme="minorHAnsi" w:cstheme="minorHAnsi" w:hAnsiTheme="minorHAnsi"/>
          <w:b/>
          <w:bCs/>
          <w:sz w:val="24"/>
          <w:szCs w:val="24"/>
          <w:highlight w:val="yellow"/>
        </w:rPr>
        <w:t>Agente Fiduciário</w:t>
      </w:r>
      <w:r>
        <w:rPr>
          <w:rFonts w:cs="Calibri" w:ascii="Calibri" w:hAnsi="Calibri" w:asciiTheme="minorHAnsi" w:cstheme="minorHAnsi" w:hAnsiTheme="minorHAnsi"/>
          <w:b/>
          <w:bCs/>
          <w:sz w:val="24"/>
          <w:szCs w:val="24"/>
        </w:rPr>
        <w:t>]</w:t>
      </w:r>
    </w:p>
    <w:p>
      <w:pPr>
        <w:pStyle w:val="Normal"/>
        <w:shd w:val="clear" w:color="auto" w:fill="FFFFFF" w:themeFill="background1"/>
        <w:spacing w:lineRule="exact" w:line="340" w:before="0" w:after="240"/>
        <w:ind w:left="709" w:hanging="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4360" w:type="dxa"/>
        <w:jc w:val="center"/>
        <w:tblInd w:w="0" w:type="dxa"/>
        <w:tblCellMar>
          <w:top w:w="0" w:type="dxa"/>
          <w:left w:w="108" w:type="dxa"/>
          <w:bottom w:w="0" w:type="dxa"/>
          <w:right w:w="108" w:type="dxa"/>
        </w:tblCellMar>
        <w:tblLook w:firstRow="1" w:noVBand="0" w:lastRow="1" w:firstColumn="1" w:lastColumn="1" w:noHBand="0" w:val="01e0"/>
      </w:tblPr>
      <w:tblGrid>
        <w:gridCol w:w="4360"/>
      </w:tblGrid>
      <w:tr>
        <w:trPr/>
        <w:tc>
          <w:tcPr>
            <w:tcW w:w="4360"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bookmarkStart w:id="353" w:name="_DV_M460"/>
      <w:bookmarkEnd w:id="353"/>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VERA CRUZ S.A.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28"/>
        <w:gridCol w:w="4224"/>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gridSpan w:val="2"/>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r>
      <w:tr>
        <w:trPr/>
        <w:tc>
          <w:tcPr>
            <w:tcW w:w="4279" w:type="dxa"/>
            <w:gridSpan w:val="2"/>
            <w:tcBorders/>
          </w:tcPr>
          <w:p>
            <w:pPr>
              <w:pStyle w:val="Normal"/>
              <w:spacing w:lineRule="exact" w:line="340"/>
              <w:rPr>
                <w:rFonts w:ascii="Calibri" w:hAnsi="Calibri" w:cs="Calibri" w:asciiTheme="minorHAnsi" w:cstheme="minorHAnsi" w:hAnsiTheme="minorHAnsi"/>
                <w:sz w:val="24"/>
                <w:szCs w:val="24"/>
              </w:rPr>
            </w:pPr>
            <w:r>
              <w:rPr>
                <w:rFonts w:cs="Calibri" w:cstheme="minorHAnsi" w:ascii="Calibri" w:hAnsi="Calibri"/>
                <w:sz w:val="24"/>
                <w:szCs w:val="24"/>
              </w:rPr>
            </w:r>
          </w:p>
        </w:tc>
        <w:tc>
          <w:tcPr>
            <w:tcW w:w="4224" w:type="dxa"/>
            <w:tcBorders/>
          </w:tcPr>
          <w:p>
            <w:pPr>
              <w:pStyle w:val="Normal"/>
              <w:rPr>
                <w:rFonts w:ascii="Calibri" w:hAnsi="Calibri" w:cs="Calibri" w:asciiTheme="minorHAnsi" w:cstheme="minorHAnsi" w:hAnsiTheme="minorHAnsi"/>
                <w:b/>
                <w:b/>
                <w:bCs/>
                <w:color w:val="000000"/>
                <w:sz w:val="24"/>
                <w:szCs w:val="24"/>
              </w:rPr>
            </w:pPr>
            <w:r>
              <w:rPr/>
            </w:r>
            <w:bookmarkStart w:id="354" w:name="_Hlk72599935"/>
            <w:bookmarkStart w:id="355" w:name="_Hlk72599935"/>
            <w:bookmarkEnd w:id="355"/>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SÃO LUCAS S.A.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bookmarkStart w:id="356" w:name="_Hlk72599945"/>
            <w:bookmarkEnd w:id="356"/>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bCs/>
          <w:sz w:val="24"/>
          <w:szCs w:val="24"/>
        </w:rPr>
        <w:t>SÃO LUCAS RIBEIRÂNIA LTDA.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bookmarkStart w:id="357" w:name="_Hlk72599953"/>
            <w:bookmarkEnd w:id="357"/>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r>
        <w:rPr>
          <w:rFonts w:cs="Calibri" w:ascii="Calibri" w:hAnsi="Calibri" w:asciiTheme="minorHAnsi" w:cstheme="minorHAnsi" w:hAnsiTheme="minorHAnsi"/>
          <w:i/>
          <w:sz w:val="24"/>
          <w:szCs w:val="24"/>
        </w:rPr>
        <w:t xml:space="preserve"> </w:t>
      </w: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tulo4"/>
        <w:keepNext w:val="false"/>
        <w:widowControl/>
        <w:suppressAutoHyphens w:val="true"/>
        <w:spacing w:lineRule="exact" w:line="340" w:before="0" w:after="240"/>
        <w:jc w:val="left"/>
        <w:rPr>
          <w:rFonts w:ascii="Calibri" w:hAnsi="Calibri" w:cs="Calibri" w:asciiTheme="minorHAnsi" w:cstheme="minorHAnsi" w:hAnsiTheme="minorHAnsi"/>
          <w:sz w:val="24"/>
          <w:szCs w:val="24"/>
        </w:rPr>
      </w:pPr>
      <w:r>
        <w:rPr>
          <w:rFonts w:cs="Calibri" w:cstheme="minorHAnsi"/>
          <w:sz w:val="24"/>
          <w:szCs w:val="24"/>
        </w:rPr>
        <w:t>Testemunhas</w:t>
      </w:r>
    </w:p>
    <w:p>
      <w:pPr>
        <w:pStyle w:val="Normal"/>
        <w:spacing w:lineRule="exact" w:line="340" w:before="0" w:after="240"/>
        <w:rPr>
          <w:rFonts w:ascii="Calibri" w:hAnsi="Calibri" w:cs="Calibri" w:asciiTheme="minorHAnsi" w:cstheme="minorHAnsi" w:hAnsiTheme="minorHAnsi"/>
          <w:sz w:val="24"/>
          <w:szCs w:val="24"/>
          <w:lang w:eastAsia="pt-BR"/>
        </w:rPr>
      </w:pPr>
      <w:r>
        <w:rPr>
          <w:rFonts w:cs="Calibri" w:cstheme="minorHAnsi" w:ascii="Calibri" w:hAnsi="Calibri"/>
          <w:sz w:val="24"/>
          <w:szCs w:val="24"/>
          <w:lang w:eastAsia="pt-BR"/>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CPF:</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CPF:</w:t>
            </w:r>
          </w:p>
        </w:tc>
      </w:tr>
    </w:tbl>
    <w:p>
      <w:pPr>
        <w:pStyle w:val="Normal"/>
        <w:widowControl/>
        <w:tabs>
          <w:tab w:val="clear" w:pos="709"/>
          <w:tab w:val="left" w:pos="1701" w:leader="none"/>
          <w:tab w:val="right" w:pos="9072" w:leader="none"/>
        </w:tabs>
        <w:spacing w:lineRule="exact" w:line="340" w:before="0" w:after="240"/>
        <w:jc w:val="center"/>
        <w:rPr>
          <w:rFonts w:ascii="Calibri" w:hAnsi="Calibri" w:cs="Calibri" w:asciiTheme="minorHAnsi" w:cstheme="minorHAnsi" w:hAnsiTheme="minorHAnsi"/>
          <w:bCs/>
          <w:sz w:val="24"/>
          <w:szCs w:val="24"/>
        </w:rPr>
      </w:pPr>
      <w:r>
        <w:rPr/>
      </w:r>
    </w:p>
    <w:sectPr>
      <w:headerReference w:type="default" r:id="rId9"/>
      <w:footerReference w:type="default" r:id="rId10"/>
      <w:type w:val="nextPage"/>
      <w:pgSz w:w="11906" w:h="16838"/>
      <w:pgMar w:left="1701" w:right="1701" w:header="720" w:top="2127" w:footer="393" w:bottom="1417" w:gutter="0"/>
      <w:pgNumType w:fmt="decimal"/>
      <w:formProt w:val="false"/>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Helvetica">
    <w:altName w:val="Arial"/>
    <w:charset w:val="00"/>
    <w:family w:val="roman"/>
    <w:pitch w:val="variable"/>
  </w:font>
  <w:font w:name="Tahoma">
    <w:charset w:val="00"/>
    <w:family w:val="roman"/>
    <w:pitch w:val="variable"/>
  </w:font>
  <w:font w:name="Courier New">
    <w:charset w:val="00"/>
    <w:family w:val="roman"/>
    <w:pitch w:val="variable"/>
  </w:font>
  <w:font w:name="Arial">
    <w:charset w:val="00"/>
    <w:family w:val="roman"/>
    <w:pitch w:val="variable"/>
  </w:font>
  <w:font w:name="Times">
    <w:altName w:val="Times New Roman"/>
    <w:charset w:val="00"/>
    <w:family w:val="roman"/>
    <w:pitch w:val="variable"/>
  </w:font>
  <w:font w:name="Arial Unicode MS">
    <w:charset w:val="00"/>
    <w:family w:val="roman"/>
    <w:pitch w:val="variable"/>
  </w:font>
  <w:font w:name="Verdana">
    <w:charset w:val="00"/>
    <w:family w:val="roman"/>
    <w:pitch w:val="variable"/>
  </w:font>
  <w:font w:name="Frutiger Light">
    <w:charset w:val="00"/>
    <w:family w:val="roman"/>
    <w:pitch w:val="variable"/>
  </w:font>
  <w:font w:name="Times New Roman Negri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73240792"/>
    </w:sdtPr>
    <w:sdtContent>
      <w:p>
        <w:pPr>
          <w:pStyle w:val="Rodap"/>
          <w:jc w:val="right"/>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fldChar w:fldCharType="begin"/>
        </w:r>
        <w:r>
          <w:rPr>
            <w:sz w:val="24"/>
            <w:szCs w:val="24"/>
            <w:rFonts w:cs="Calibri" w:ascii="Calibri" w:hAnsi="Calibri"/>
          </w:rPr>
          <w:instrText> PAGE </w:instrText>
        </w:r>
        <w:r>
          <w:rPr>
            <w:sz w:val="24"/>
            <w:szCs w:val="24"/>
            <w:rFonts w:cs="Calibri" w:ascii="Calibri" w:hAnsi="Calibri"/>
          </w:rPr>
          <w:fldChar w:fldCharType="separate"/>
        </w:r>
        <w:r>
          <w:rPr>
            <w:sz w:val="24"/>
            <w:szCs w:val="24"/>
            <w:rFonts w:cs="Calibri" w:ascii="Calibri" w:hAnsi="Calibri"/>
          </w:rPr>
          <w:t>68</w:t>
        </w:r>
        <w:r>
          <w:rPr>
            <w:sz w:val="24"/>
            <w:szCs w:val="24"/>
            <w:rFonts w:cs="Calibri" w:ascii="Calibri" w:hAnsi="Calibri"/>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lineRule="exact" w:line="340"/>
      <w:jc w:val="right"/>
      <w:rPr>
        <w:rFonts w:ascii="Calibri" w:hAnsi="Calibri" w:cs="Calibri" w:asciiTheme="minorHAnsi" w:cstheme="minorHAnsi" w:hAnsiTheme="minorHAnsi"/>
        <w:i/>
        <w:i/>
        <w:iCs/>
        <w:sz w:val="24"/>
        <w:szCs w:val="24"/>
      </w:rPr>
    </w:pPr>
    <w:r>
      <w:drawing>
        <wp:anchor behindDoc="1" distT="0" distB="0" distL="0" distR="114300" simplePos="0" locked="0" layoutInCell="1" allowOverlap="1" relativeHeight="3">
          <wp:simplePos x="0" y="0"/>
          <wp:positionH relativeFrom="margin">
            <wp:align>left</wp:align>
          </wp:positionH>
          <wp:positionV relativeFrom="paragraph">
            <wp:posOffset>-47625</wp:posOffset>
          </wp:positionV>
          <wp:extent cx="1153160" cy="659130"/>
          <wp:effectExtent l="0" t="0" r="0" b="0"/>
          <wp:wrapSquare wrapText="bothSides"/>
          <wp:docPr id="1" name="Imagem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3" descr=""/>
                  <pic:cNvPicPr>
                    <a:picLocks noChangeAspect="1" noChangeArrowheads="1"/>
                  </pic:cNvPicPr>
                </pic:nvPicPr>
                <pic:blipFill>
                  <a:blip r:embed="rId1"/>
                  <a:stretch>
                    <a:fillRect/>
                  </a:stretch>
                </pic:blipFill>
                <pic:spPr bwMode="auto">
                  <a:xfrm>
                    <a:off x="0" y="0"/>
                    <a:ext cx="1153160" cy="659130"/>
                  </a:xfrm>
                  <a:prstGeom prst="rect">
                    <a:avLst/>
                  </a:prstGeom>
                </pic:spPr>
              </pic:pic>
            </a:graphicData>
          </a:graphic>
        </wp:anchor>
      </w:drawing>
    </w:r>
    <w:r>
      <w:rPr>
        <w:rFonts w:cs="Calibri" w:ascii="Calibri" w:hAnsi="Calibri" w:asciiTheme="minorHAnsi" w:cstheme="minorHAnsi" w:hAnsiTheme="minorHAnsi"/>
        <w:i/>
        <w:iCs/>
        <w:sz w:val="24"/>
        <w:szCs w:val="24"/>
      </w:rPr>
      <w:t>M</w:t>
    </w:r>
    <w:r>
      <w:rPr>
        <w:rFonts w:cs="Calibri" w:ascii="Calibri" w:hAnsi="Calibri" w:asciiTheme="minorHAnsi" w:cstheme="minorHAnsi" w:hAnsiTheme="minorHAnsi"/>
        <w:i/>
        <w:iCs/>
        <w:sz w:val="24"/>
        <w:szCs w:val="24"/>
      </w:rPr>
      <w:t>inuta Stocche Forbes</w:t>
    </w:r>
  </w:p>
  <w:p>
    <w:pPr>
      <w:pStyle w:val="Cabealho"/>
      <w:spacing w:lineRule="exact" w:line="340"/>
      <w:jc w:val="right"/>
      <w:rPr>
        <w:rFonts w:ascii="Calibri" w:hAnsi="Calibri" w:cs="Calibri" w:asciiTheme="minorHAnsi" w:cstheme="minorHAnsi" w:hAnsiTheme="minorHAnsi"/>
        <w:i/>
        <w:i/>
        <w:iCs/>
        <w:sz w:val="24"/>
        <w:szCs w:val="24"/>
      </w:rPr>
    </w:pPr>
    <w:r>
      <w:rPr>
        <w:rFonts w:cs="Calibri" w:ascii="Calibri" w:hAnsi="Calibri" w:asciiTheme="minorHAnsi" w:cstheme="minorHAnsi" w:hAnsiTheme="minorHAnsi"/>
        <w:i/>
        <w:iCs/>
        <w:sz w:val="24"/>
        <w:szCs w:val="24"/>
      </w:rPr>
      <w:t>17/06/2021</w:t>
    </w:r>
  </w:p>
  <w:p>
    <w:pPr>
      <w:pStyle w:val="Cabealho"/>
      <w:jc w:val="right"/>
      <w:rPr>
        <w:rFonts w:ascii="Calibri" w:hAnsi="Calibri" w:cs="Calibri" w:asciiTheme="minorHAnsi" w:cstheme="minorHAnsi" w:hAnsiTheme="minorHAnsi"/>
        <w:i/>
        <w:i/>
        <w:iCs/>
      </w:rPr>
    </w:pPr>
    <w:r>
      <w:rPr>
        <w:rFonts w:cs="Calibri" w:cstheme="minorHAnsi" w:ascii="Calibri" w:hAnsi="Calibri"/>
        <w:i/>
        <w:iCs/>
      </w:rPr>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inline distT="0" distB="0" distL="0" distR="0">
          <wp:extent cx="1119505" cy="600710"/>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1119505" cy="6007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Ttulo5"/>
      <w:numFmt w:val="decimal"/>
      <w:lvlText w:val="(%5)"/>
      <w:lvlJc w:val="left"/>
      <w:pPr>
        <w:ind w:left="2880" w:hanging="0"/>
      </w:pPr>
    </w:lvl>
    <w:lvl w:ilvl="5">
      <w:start w:val="1"/>
      <w:pStyle w:val="Ttulo6"/>
      <w:numFmt w:val="lowerLetter"/>
      <w:lvlText w:val="(%6)"/>
      <w:lvlJc w:val="left"/>
      <w:pPr>
        <w:ind w:left="3600" w:hanging="0"/>
      </w:pPr>
    </w:lvl>
    <w:lvl w:ilvl="6">
      <w:start w:val="1"/>
      <w:pStyle w:val="Ttulo7"/>
      <w:numFmt w:val="lowerRoman"/>
      <w:lvlText w:val="(%7)"/>
      <w:lvlJc w:val="left"/>
      <w:pPr>
        <w:ind w:left="4320" w:hanging="0"/>
      </w:pPr>
    </w:lvl>
    <w:lvl w:ilvl="7">
      <w:start w:val="1"/>
      <w:pStyle w:val="Ttulo8"/>
      <w:numFmt w:val="lowerLetter"/>
      <w:lvlText w:val="(%8)"/>
      <w:lvlJc w:val="left"/>
      <w:pPr>
        <w:ind w:left="5040" w:hanging="0"/>
      </w:pPr>
    </w:lvl>
    <w:lvl w:ilvl="8">
      <w:start w:val="1"/>
      <w:pStyle w:val="Ttulo9"/>
      <w:numFmt w:val="lowerRoman"/>
      <w:lvlText w:val="(%9)"/>
      <w:lvlJc w:val="left"/>
      <w:pPr>
        <w:ind w:left="5760" w:hanging="0"/>
      </w:pPr>
    </w:lvl>
  </w:abstractNum>
  <w:abstractNum w:abstractNumId="2">
    <w:lvl w:ilvl="0">
      <w:start w:val="1"/>
      <w:numFmt w:val="lowerRoman"/>
      <w:lvlText w:val="(%1)"/>
      <w:lvlJc w:val="left"/>
      <w:pPr>
        <w:tabs>
          <w:tab w:val="num" w:pos="1428"/>
        </w:tabs>
        <w:ind w:left="1428" w:hanging="720"/>
      </w:pPr>
      <w:rPr>
        <w:spacing w:val="0"/>
        <w:b w:val="false"/>
      </w:rPr>
    </w:lvl>
    <w:lvl w:ilvl="1">
      <w:start w:val="1"/>
      <w:numFmt w:val="lowerLetter"/>
      <w:lvlText w:val="%2."/>
      <w:lvlJc w:val="left"/>
      <w:pPr>
        <w:tabs>
          <w:tab w:val="num" w:pos="1788"/>
        </w:tabs>
        <w:ind w:left="1788" w:hanging="360"/>
      </w:pPr>
      <w:rPr>
        <w:spacing w:val="0"/>
        <w:rFonts w:cs="Times New Roman"/>
      </w:rPr>
    </w:lvl>
    <w:lvl w:ilvl="2">
      <w:start w:val="1"/>
      <w:numFmt w:val="lowerRoman"/>
      <w:lvlText w:val="%3."/>
      <w:lvlJc w:val="right"/>
      <w:pPr>
        <w:tabs>
          <w:tab w:val="num" w:pos="2508"/>
        </w:tabs>
        <w:ind w:left="2508" w:hanging="180"/>
      </w:pPr>
      <w:rPr>
        <w:spacing w:val="0"/>
        <w:rFonts w:cs="Times New Roman"/>
      </w:rPr>
    </w:lvl>
    <w:lvl w:ilvl="3">
      <w:start w:val="1"/>
      <w:numFmt w:val="decimal"/>
      <w:lvlText w:val="%4."/>
      <w:lvlJc w:val="left"/>
      <w:pPr>
        <w:tabs>
          <w:tab w:val="num" w:pos="3228"/>
        </w:tabs>
        <w:ind w:left="3228" w:hanging="360"/>
      </w:pPr>
      <w:rPr>
        <w:spacing w:val="0"/>
        <w:rFonts w:cs="Times New Roman"/>
      </w:rPr>
    </w:lvl>
    <w:lvl w:ilvl="4">
      <w:start w:val="1"/>
      <w:numFmt w:val="lowerLetter"/>
      <w:lvlText w:val="%5."/>
      <w:lvlJc w:val="left"/>
      <w:pPr>
        <w:tabs>
          <w:tab w:val="num" w:pos="3948"/>
        </w:tabs>
        <w:ind w:left="3948" w:hanging="360"/>
      </w:pPr>
      <w:rPr>
        <w:spacing w:val="0"/>
        <w:rFonts w:cs="Times New Roman"/>
      </w:rPr>
    </w:lvl>
    <w:lvl w:ilvl="5">
      <w:start w:val="1"/>
      <w:numFmt w:val="lowerRoman"/>
      <w:lvlText w:val="%6."/>
      <w:lvlJc w:val="right"/>
      <w:pPr>
        <w:tabs>
          <w:tab w:val="num" w:pos="4668"/>
        </w:tabs>
        <w:ind w:left="4668" w:hanging="180"/>
      </w:pPr>
      <w:rPr>
        <w:spacing w:val="0"/>
        <w:rFonts w:cs="Times New Roman"/>
      </w:rPr>
    </w:lvl>
    <w:lvl w:ilvl="6">
      <w:start w:val="1"/>
      <w:numFmt w:val="decimal"/>
      <w:lvlText w:val="%7."/>
      <w:lvlJc w:val="left"/>
      <w:pPr>
        <w:tabs>
          <w:tab w:val="num" w:pos="5388"/>
        </w:tabs>
        <w:ind w:left="5388" w:hanging="360"/>
      </w:pPr>
      <w:rPr>
        <w:spacing w:val="0"/>
        <w:rFonts w:cs="Times New Roman"/>
      </w:rPr>
    </w:lvl>
    <w:lvl w:ilvl="7">
      <w:start w:val="1"/>
      <w:numFmt w:val="lowerLetter"/>
      <w:lvlText w:val="%8."/>
      <w:lvlJc w:val="left"/>
      <w:pPr>
        <w:tabs>
          <w:tab w:val="num" w:pos="6108"/>
        </w:tabs>
        <w:ind w:left="6108" w:hanging="360"/>
      </w:pPr>
      <w:rPr>
        <w:spacing w:val="0"/>
        <w:rFonts w:cs="Times New Roman"/>
      </w:rPr>
    </w:lvl>
    <w:lvl w:ilvl="8">
      <w:start w:val="1"/>
      <w:numFmt w:val="lowerRoman"/>
      <w:lvlText w:val="%9."/>
      <w:lvlJc w:val="right"/>
      <w:pPr>
        <w:tabs>
          <w:tab w:val="num" w:pos="6828"/>
        </w:tabs>
        <w:ind w:left="6828" w:hanging="180"/>
      </w:pPr>
      <w:rPr>
        <w:spacing w:val="0"/>
        <w:rFonts w:cs="Times New Roman"/>
      </w:rPr>
    </w:lvl>
  </w:abstractNum>
  <w:abstractNum w:abstractNumId="3">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80"/>
        </w:tabs>
        <w:ind w:left="680" w:hanging="680"/>
      </w:pPr>
      <w:rPr>
        <w:smallCaps w:val="false"/>
        <w:caps w:val="false"/>
        <w:dstrike w:val="false"/>
        <w:strike w:val="false"/>
        <w:vertAlign w:val="baseline"/>
        <w:position w:val="0"/>
        <w:sz w:val="24"/>
        <w:sz w:val="24"/>
        <w:b/>
        <w:szCs w:val="24"/>
        <w:vanish w:val="false"/>
        <w:rFonts w:cs="Arial"/>
        <w:color w:val="000000"/>
      </w:rPr>
    </w:lvl>
    <w:lvl w:ilvl="1">
      <w:start w:val="1"/>
      <w:numFmt w:val="upperLetter"/>
      <w:lvlText w:val="(%2)"/>
      <w:lvlJc w:val="left"/>
      <w:pPr>
        <w:tabs>
          <w:tab w:val="num" w:pos="680"/>
        </w:tabs>
        <w:ind w:left="680" w:hanging="680"/>
      </w:pPr>
      <w:rPr>
        <w:smallCaps w:val="false"/>
        <w:caps w:val="false"/>
        <w:dstrike w:val="false"/>
        <w:strike w:val="false"/>
        <w:vertAlign w:val="baseline"/>
        <w:position w:val="0"/>
        <w:sz w:val="24"/>
        <w:sz w:val="24"/>
        <w:b w:val="false"/>
        <w:szCs w:val="24"/>
        <w:vanish w:val="false"/>
        <w:rFonts w:cs="Arial"/>
        <w:color w:val="000000"/>
      </w:rPr>
    </w:lvl>
    <w:lvl w:ilvl="2">
      <w:start w:val="1"/>
      <w:numFmt w:val="decimal"/>
      <w:lvlText w:val="(%3)"/>
      <w:lvlJc w:val="left"/>
      <w:pPr>
        <w:tabs>
          <w:tab w:val="num" w:pos="680"/>
        </w:tabs>
        <w:ind w:left="680" w:hanging="680"/>
      </w:pPr>
      <w:rPr>
        <w:smallCaps w:val="false"/>
        <w:caps w:val="false"/>
        <w:dstrike w:val="false"/>
        <w:strike w:val="false"/>
        <w:vertAlign w:val="baseline"/>
        <w:position w:val="0"/>
        <w:sz w:val="20"/>
        <w:sz w:val="20"/>
        <w:b/>
        <w:vanish w:val="false"/>
        <w:rFonts w:cs="Arial"/>
        <w:color w:val="000000"/>
      </w:rPr>
    </w:lvl>
    <w:lvl w:ilvl="3">
      <w:start w:val="1"/>
      <w:numFmt w:val="upperLetter"/>
      <w:lvlText w:val="(%4)"/>
      <w:lvlJc w:val="left"/>
      <w:pPr>
        <w:tabs>
          <w:tab w:val="num" w:pos="680"/>
        </w:tabs>
        <w:ind w:left="680" w:hanging="680"/>
      </w:pPr>
      <w:rPr>
        <w:smallCaps w:val="false"/>
        <w:caps w:val="false"/>
        <w:dstrike w:val="false"/>
        <w:strike w:val="false"/>
        <w:vertAlign w:val="baseline"/>
        <w:position w:val="0"/>
        <w:sz w:val="20"/>
        <w:sz w:val="20"/>
        <w:b w:val="false"/>
        <w:vanish w:val="false"/>
        <w:rFonts w:cs="Arial"/>
        <w:color w:val="000000"/>
      </w:rPr>
    </w:lvl>
    <w:lvl w:ilvl="4">
      <w:start w:val="1"/>
      <w:numFmt w:val="decimal"/>
      <w:lvlText w:val="(%5)"/>
      <w:lvlJc w:val="left"/>
      <w:pPr>
        <w:ind w:left="2880" w:hanging="0"/>
      </w:pPr>
    </w:lvl>
    <w:lvl w:ilvl="5">
      <w:start w:val="1"/>
      <w:numFmt w:val="lowerLetter"/>
      <w:lvlText w:val="(%6)"/>
      <w:lvlJc w:val="left"/>
      <w:pPr>
        <w:ind w:left="3600" w:hanging="0"/>
      </w:pPr>
    </w:lvl>
    <w:lvl w:ilvl="6">
      <w:start w:val="1"/>
      <w:numFmt w:val="lowerRoman"/>
      <w:lvlText w:val="(%7)"/>
      <w:lvlJc w:val="left"/>
      <w:pPr>
        <w:ind w:left="4320" w:hanging="0"/>
      </w:pPr>
    </w:lvl>
    <w:lvl w:ilvl="7">
      <w:start w:val="1"/>
      <w:numFmt w:val="lowerLetter"/>
      <w:lvlText w:val="(%8)"/>
      <w:lvlJc w:val="left"/>
      <w:pPr>
        <w:ind w:left="5040" w:hanging="0"/>
      </w:pPr>
    </w:lvl>
    <w:lvl w:ilvl="8">
      <w:start w:val="1"/>
      <w:numFmt w:val="lowerRoman"/>
      <w:lvlText w:val="(%9)"/>
      <w:lvlJc w:val="left"/>
      <w:pPr>
        <w:ind w:left="5760" w:hanging="0"/>
      </w:pPr>
    </w:lvl>
  </w:abstractNum>
  <w:abstractNum w:abstractNumId="5">
    <w:lvl w:ilvl="0">
      <w:start w:val="1"/>
      <w:numFmt w:val="decimal"/>
      <w:lvlText w:val="%1"/>
      <w:lvlJc w:val="left"/>
      <w:pPr>
        <w:tabs>
          <w:tab w:val="num" w:pos="680"/>
        </w:tabs>
        <w:ind w:left="680" w:hanging="680"/>
      </w:pPr>
      <w:rPr>
        <w:smallCaps w:val="false"/>
        <w:caps w:val="false"/>
        <w:dstrike w:val="false"/>
        <w:strike w:val="false"/>
        <w:vertAlign w:val="baseline"/>
        <w:position w:val="0"/>
        <w:sz w:val="24"/>
        <w:sz w:val="24"/>
        <w:i w:val="false"/>
        <w:b/>
        <w:szCs w:val="24"/>
        <w:vanish w:val="false"/>
        <w:rFonts w:cs="Arial"/>
        <w:color w:val="000000"/>
      </w:rPr>
    </w:lvl>
    <w:lvl w:ilvl="1">
      <w:start w:val="1"/>
      <w:numFmt w:val="decimal"/>
      <w:lvlText w:val="%1.%2"/>
      <w:lvlJc w:val="left"/>
      <w:pPr>
        <w:tabs>
          <w:tab w:val="num" w:pos="1389"/>
        </w:tabs>
        <w:ind w:left="1389" w:hanging="680"/>
      </w:pPr>
      <w:rPr>
        <w:smallCaps w:val="false"/>
        <w:caps w:val="false"/>
        <w:dstrike w:val="false"/>
        <w:strike w:val="false"/>
        <w:vertAlign w:val="baseline"/>
        <w:position w:val="0"/>
        <w:sz w:val="24"/>
        <w:sz w:val="24"/>
        <w:i w:val="false"/>
        <w:b/>
        <w:szCs w:val="24"/>
        <w:bCs/>
        <w:vanish w:val="false"/>
        <w:rFonts w:cs="Arial"/>
        <w:color w:val="000000"/>
      </w:rPr>
    </w:lvl>
    <w:lvl w:ilvl="2">
      <w:start w:val="1"/>
      <w:numFmt w:val="decimal"/>
      <w:lvlText w:val="%1.%2.%3"/>
      <w:lvlJc w:val="left"/>
      <w:pPr>
        <w:tabs>
          <w:tab w:val="num" w:pos="1249"/>
        </w:tabs>
        <w:ind w:left="1249" w:hanging="681"/>
      </w:pPr>
      <w:rPr>
        <w:smallCaps w:val="false"/>
        <w:caps w:val="false"/>
        <w:dstrike w:val="false"/>
        <w:strike w:val="false"/>
        <w:vertAlign w:val="baseline"/>
        <w:position w:val="0"/>
        <w:sz w:val="24"/>
        <w:sz w:val="24"/>
        <w:spacing w:val="0"/>
        <w:i w:val="false"/>
        <w:u w:val="none"/>
        <w:b/>
        <w:effect w:val="none"/>
        <w:szCs w:val="24"/>
        <w:iCs w:val="false"/>
        <w:bCs w:val="false"/>
        <w:em w:val="none"/>
        <w:vanish w:val="false"/>
        <w:rFonts w:cs="Arial"/>
        <w:color w:val="000000"/>
      </w:rPr>
    </w:lvl>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spacing w:val="0"/>
        <w:i w:val="false"/>
        <w:b w:val="false"/>
        <w:szCs w:val="24"/>
        <w:vanish w:val="false"/>
        <w:color w:val="000000"/>
      </w:rPr>
    </w:lvl>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i w:val="false"/>
        <w:b/>
        <w:szCs w:val="24"/>
        <w:vanish w:val="false"/>
        <w:rFonts w:cs="Arial"/>
        <w:color w:val="000000"/>
      </w:rPr>
    </w:lvl>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spacing w:val="0"/>
        <w:i w:val="false"/>
        <w:b w:val="false"/>
        <w:vanish w:val="false"/>
        <w:rFonts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lvl w:ilvl="0">
      <w:start w:val="1"/>
      <w:numFmt w:val="decimal"/>
      <w:lvlText w:val="%1"/>
      <w:lvlJc w:val="left"/>
      <w:pPr>
        <w:tabs>
          <w:tab w:val="num" w:pos="4366"/>
        </w:tabs>
        <w:ind w:left="4366" w:hanging="680"/>
      </w:pPr>
      <w:rPr>
        <w:smallCaps w:val="false"/>
        <w:caps w:val="false"/>
        <w:dstrike w:val="false"/>
        <w:strike w:val="false"/>
        <w:vertAlign w:val="baseline"/>
        <w:position w:val="0"/>
        <w:sz w:val="24"/>
        <w:sz w:val="24"/>
        <w:b/>
        <w:szCs w:val="28"/>
        <w:vanish w:val="false"/>
        <w:rFonts w:cs="Arial"/>
        <w:color w:val="000000"/>
      </w:rPr>
    </w:lvl>
    <w:lvl w:ilvl="1">
      <w:start w:val="1"/>
      <w:numFmt w:val="decimal"/>
      <w:lvlText w:val="%1.%2"/>
      <w:lvlJc w:val="left"/>
      <w:pPr>
        <w:tabs>
          <w:tab w:val="num" w:pos="822"/>
        </w:tabs>
        <w:ind w:left="822" w:hanging="680"/>
      </w:pPr>
      <w:rPr>
        <w:smallCaps w:val="false"/>
        <w:caps w:val="false"/>
        <w:dstrike w:val="false"/>
        <w:strike w:val="false"/>
        <w:vertAlign w:val="baseline"/>
        <w:position w:val="0"/>
        <w:sz w:val="24"/>
        <w:sz w:val="24"/>
        <w:b/>
        <w:szCs w:val="32"/>
        <w:vanish w:val="false"/>
        <w:rFonts w:cs="Arial"/>
        <w:color w:val="000000"/>
      </w:rPr>
    </w:lvl>
    <w:lvl w:ilvl="2">
      <w:start w:val="1"/>
      <w:numFmt w:val="decimal"/>
      <w:lvlText w:val="%1.%2.%3"/>
      <w:lvlJc w:val="left"/>
      <w:pPr>
        <w:tabs>
          <w:tab w:val="num" w:pos="1361"/>
        </w:tabs>
        <w:ind w:left="1361" w:hanging="681"/>
      </w:pPr>
      <w:rPr>
        <w:smallCaps w:val="false"/>
        <w:caps w:val="false"/>
        <w:dstrike w:val="false"/>
        <w:strike w:val="false"/>
        <w:vertAlign w:val="baseline"/>
        <w:position w:val="0"/>
        <w:sz w:val="24"/>
        <w:sz w:val="24"/>
        <w:b/>
        <w:szCs w:val="24"/>
        <w:vanish w:val="false"/>
        <w:rFonts w:cs="Arial"/>
        <w:color w:val="000000"/>
      </w:rPr>
    </w:lvl>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b w:val="false"/>
        <w:szCs w:val="24"/>
        <w:vanish w:val="false"/>
        <w:rFonts w:cs="Arial"/>
        <w:color w:val="000000"/>
      </w:rPr>
    </w:lvl>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b w:val="false"/>
        <w:szCs w:val="32"/>
        <w:vanish w:val="false"/>
        <w:rFonts w:cs="Calibri"/>
        <w:color w:val="000000"/>
      </w:rPr>
    </w:lvl>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b w:val="false"/>
        <w:vanish w:val="false"/>
        <w:rFonts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lvl w:ilvl="0">
      <w:start w:val="1"/>
      <w:numFmt w:val="lowerLetter"/>
      <w:lvlText w:val="(%1)"/>
      <w:lvlJc w:val="left"/>
      <w:pPr>
        <w:tabs>
          <w:tab w:val="num" w:pos="1080"/>
        </w:tabs>
        <w:ind w:left="1080" w:hanging="360"/>
      </w:pPr>
      <w:rPr>
        <w:sz w:val="24"/>
        <w:b w:val="false"/>
        <w:szCs w:val="24"/>
        <w:rFonts w:cs="Aria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4366"/>
        </w:tabs>
        <w:ind w:left="4366" w:hanging="680"/>
      </w:pPr>
      <w:rPr>
        <w:smallCaps w:val="false"/>
        <w:caps w:val="false"/>
        <w:dstrike w:val="false"/>
        <w:strike w:val="false"/>
        <w:vertAlign w:val="baseline"/>
        <w:position w:val="0"/>
        <w:sz w:val="24"/>
        <w:sz w:val="24"/>
        <w:b/>
        <w:szCs w:val="28"/>
        <w:vanish w:val="false"/>
        <w:rFonts w:cs="Arial"/>
        <w:color w:val="000000"/>
      </w:rPr>
    </w:lvl>
    <w:lvl w:ilvl="1">
      <w:start w:val="1"/>
      <w:numFmt w:val="decimal"/>
      <w:lvlText w:val="%1.%2"/>
      <w:lvlJc w:val="left"/>
      <w:pPr>
        <w:tabs>
          <w:tab w:val="num" w:pos="822"/>
        </w:tabs>
        <w:ind w:left="822" w:hanging="680"/>
      </w:pPr>
      <w:rPr>
        <w:smallCaps w:val="false"/>
        <w:caps w:val="false"/>
        <w:dstrike w:val="false"/>
        <w:strike w:val="false"/>
        <w:vertAlign w:val="baseline"/>
        <w:position w:val="0"/>
        <w:sz w:val="24"/>
        <w:sz w:val="24"/>
        <w:b/>
        <w:szCs w:val="32"/>
        <w:vanish w:val="false"/>
        <w:rFonts w:cs="Arial"/>
        <w:color w:val="000000"/>
      </w:rPr>
    </w:lvl>
    <w:lvl w:ilvl="2">
      <w:start w:val="1"/>
      <w:numFmt w:val="decimal"/>
      <w:lvlText w:val="%1.%2.%3"/>
      <w:lvlJc w:val="left"/>
      <w:pPr>
        <w:tabs>
          <w:tab w:val="num" w:pos="1361"/>
        </w:tabs>
        <w:ind w:left="1361" w:hanging="681"/>
      </w:pPr>
      <w:rPr>
        <w:smallCaps w:val="false"/>
        <w:caps w:val="false"/>
        <w:dstrike w:val="false"/>
        <w:strike w:val="false"/>
        <w:vertAlign w:val="baseline"/>
        <w:position w:val="0"/>
        <w:sz w:val="24"/>
        <w:sz w:val="24"/>
        <w:b/>
        <w:szCs w:val="24"/>
        <w:vanish w:val="false"/>
        <w:rFonts w:cs="Arial"/>
        <w:color w:val="000000"/>
      </w:rPr>
    </w:lvl>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b w:val="false"/>
        <w:szCs w:val="24"/>
        <w:vanish w:val="false"/>
        <w:rFonts w:cs="Arial"/>
        <w:color w:val="000000"/>
      </w:rPr>
    </w:lvl>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b w:val="false"/>
        <w:szCs w:val="32"/>
        <w:vanish w:val="false"/>
        <w:rFonts w:cs="Calibri"/>
        <w:color w:val="000000"/>
      </w:rPr>
    </w:lvl>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b w:val="false"/>
        <w:vanish w:val="false"/>
        <w:rFonts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8"/>
      <w:numFmt w:val="decimal"/>
      <w:lvlText w:val="%1"/>
      <w:lvlJc w:val="left"/>
      <w:pPr>
        <w:ind w:left="660" w:hanging="660"/>
      </w:pPr>
      <w:rPr>
        <w:b w:val="false"/>
      </w:rPr>
    </w:lvl>
    <w:lvl w:ilvl="1">
      <w:start w:val="8"/>
      <w:numFmt w:val="decimal"/>
      <w:lvlText w:val="%1.%2"/>
      <w:lvlJc w:val="left"/>
      <w:pPr>
        <w:ind w:left="956" w:hanging="720"/>
      </w:pPr>
      <w:rPr>
        <w:b w:val="false"/>
      </w:rPr>
    </w:lvl>
    <w:lvl w:ilvl="2">
      <w:start w:val="5"/>
      <w:numFmt w:val="decimal"/>
      <w:lvlText w:val="%1.%2.%3"/>
      <w:lvlJc w:val="left"/>
      <w:pPr>
        <w:ind w:left="1192" w:hanging="720"/>
      </w:pPr>
      <w:rPr>
        <w:b w:val="false"/>
      </w:rPr>
    </w:lvl>
    <w:lvl w:ilvl="3">
      <w:start w:val="1"/>
      <w:numFmt w:val="decimal"/>
      <w:lvlText w:val="%1.%2.%3.%4"/>
      <w:lvlJc w:val="left"/>
      <w:pPr>
        <w:ind w:left="1788" w:hanging="1080"/>
      </w:pPr>
      <w:rPr>
        <w:b/>
        <w:bCs w:val="false"/>
      </w:rPr>
    </w:lvl>
    <w:lvl w:ilvl="4">
      <w:start w:val="1"/>
      <w:numFmt w:val="lowerLetter"/>
      <w:lvlText w:val="%1.%2.%3.%4.%5"/>
      <w:lvlJc w:val="left"/>
      <w:pPr>
        <w:ind w:left="2024" w:hanging="1080"/>
      </w:pPr>
      <w:rPr>
        <w:b w:val="false"/>
      </w:rPr>
    </w:lvl>
    <w:lvl w:ilvl="5">
      <w:start w:val="1"/>
      <w:numFmt w:val="decimal"/>
      <w:lvlText w:val="%1.%2.%3.%4.%5.%6"/>
      <w:lvlJc w:val="left"/>
      <w:pPr>
        <w:ind w:left="2620" w:hanging="1440"/>
      </w:pPr>
      <w:rPr>
        <w:b w:val="false"/>
      </w:rPr>
    </w:lvl>
    <w:lvl w:ilvl="6">
      <w:start w:val="1"/>
      <w:numFmt w:val="decimal"/>
      <w:lvlText w:val="%1.%2.%3.%4.%5.%6.%7"/>
      <w:lvlJc w:val="left"/>
      <w:pPr>
        <w:ind w:left="3216" w:hanging="1800"/>
      </w:pPr>
      <w:rPr>
        <w:b w:val="false"/>
      </w:rPr>
    </w:lvl>
    <w:lvl w:ilvl="7">
      <w:start w:val="1"/>
      <w:numFmt w:val="decimal"/>
      <w:lvlText w:val="%1.%2.%3.%4.%5.%6.%7.%8"/>
      <w:lvlJc w:val="left"/>
      <w:pPr>
        <w:ind w:left="3452" w:hanging="1800"/>
      </w:pPr>
      <w:rPr>
        <w:b w:val="false"/>
      </w:rPr>
    </w:lvl>
    <w:lvl w:ilvl="8">
      <w:start w:val="1"/>
      <w:numFmt w:val="decimal"/>
      <w:lvlText w:val="%1.%2.%3.%4.%5.%6.%7.%8.%9"/>
      <w:lvlJc w:val="left"/>
      <w:pPr>
        <w:ind w:left="4048" w:hanging="2160"/>
      </w:pPr>
      <w:rPr>
        <w:b w:val="false"/>
      </w:rPr>
    </w:lvl>
  </w:abstractNum>
  <w:abstractNum w:abstractNumId="14">
    <w:lvl w:ilvl="0">
      <w:start w:val="1"/>
      <w:numFmt w:val="lowerRoman"/>
      <w:lvlText w:val="(%1)"/>
      <w:lvlJc w:val="left"/>
      <w:pPr>
        <w:tabs>
          <w:tab w:val="num" w:pos="1428"/>
        </w:tabs>
        <w:ind w:left="1428" w:hanging="720"/>
      </w:pPr>
      <w:rPr>
        <w:spacing w:val="0"/>
        <w:b w:val="false"/>
      </w:rPr>
    </w:lvl>
    <w:lvl w:ilvl="1">
      <w:start w:val="1"/>
      <w:numFmt w:val="lowerLetter"/>
      <w:lvlText w:val="%2."/>
      <w:lvlJc w:val="left"/>
      <w:pPr>
        <w:tabs>
          <w:tab w:val="num" w:pos="1788"/>
        </w:tabs>
        <w:ind w:left="1788" w:hanging="360"/>
      </w:pPr>
      <w:rPr>
        <w:spacing w:val="0"/>
        <w:rFonts w:cs="Times New Roman"/>
      </w:rPr>
    </w:lvl>
    <w:lvl w:ilvl="2">
      <w:start w:val="1"/>
      <w:numFmt w:val="lowerRoman"/>
      <w:lvlText w:val="%3."/>
      <w:lvlJc w:val="right"/>
      <w:pPr>
        <w:tabs>
          <w:tab w:val="num" w:pos="2508"/>
        </w:tabs>
        <w:ind w:left="2508" w:hanging="180"/>
      </w:pPr>
      <w:rPr>
        <w:spacing w:val="0"/>
        <w:rFonts w:cs="Times New Roman"/>
      </w:rPr>
    </w:lvl>
    <w:lvl w:ilvl="3">
      <w:start w:val="1"/>
      <w:numFmt w:val="decimal"/>
      <w:lvlText w:val="%4."/>
      <w:lvlJc w:val="left"/>
      <w:pPr>
        <w:tabs>
          <w:tab w:val="num" w:pos="3228"/>
        </w:tabs>
        <w:ind w:left="3228" w:hanging="360"/>
      </w:pPr>
      <w:rPr>
        <w:spacing w:val="0"/>
        <w:rFonts w:cs="Times New Roman"/>
      </w:rPr>
    </w:lvl>
    <w:lvl w:ilvl="4">
      <w:start w:val="1"/>
      <w:numFmt w:val="lowerLetter"/>
      <w:lvlText w:val="%5."/>
      <w:lvlJc w:val="left"/>
      <w:pPr>
        <w:tabs>
          <w:tab w:val="num" w:pos="3948"/>
        </w:tabs>
        <w:ind w:left="3948" w:hanging="360"/>
      </w:pPr>
      <w:rPr>
        <w:spacing w:val="0"/>
        <w:rFonts w:cs="Times New Roman"/>
      </w:rPr>
    </w:lvl>
    <w:lvl w:ilvl="5">
      <w:start w:val="1"/>
      <w:numFmt w:val="lowerRoman"/>
      <w:lvlText w:val="%6."/>
      <w:lvlJc w:val="right"/>
      <w:pPr>
        <w:tabs>
          <w:tab w:val="num" w:pos="4668"/>
        </w:tabs>
        <w:ind w:left="4668" w:hanging="180"/>
      </w:pPr>
      <w:rPr>
        <w:spacing w:val="0"/>
        <w:rFonts w:cs="Times New Roman"/>
      </w:rPr>
    </w:lvl>
    <w:lvl w:ilvl="6">
      <w:start w:val="1"/>
      <w:numFmt w:val="decimal"/>
      <w:lvlText w:val="%7."/>
      <w:lvlJc w:val="left"/>
      <w:pPr>
        <w:tabs>
          <w:tab w:val="num" w:pos="5388"/>
        </w:tabs>
        <w:ind w:left="5388" w:hanging="360"/>
      </w:pPr>
      <w:rPr>
        <w:spacing w:val="0"/>
        <w:rFonts w:cs="Times New Roman"/>
      </w:rPr>
    </w:lvl>
    <w:lvl w:ilvl="7">
      <w:start w:val="1"/>
      <w:numFmt w:val="lowerLetter"/>
      <w:lvlText w:val="%8."/>
      <w:lvlJc w:val="left"/>
      <w:pPr>
        <w:tabs>
          <w:tab w:val="num" w:pos="6108"/>
        </w:tabs>
        <w:ind w:left="6108" w:hanging="360"/>
      </w:pPr>
      <w:rPr>
        <w:spacing w:val="0"/>
        <w:rFonts w:cs="Times New Roman"/>
      </w:rPr>
    </w:lvl>
    <w:lvl w:ilvl="8">
      <w:start w:val="1"/>
      <w:numFmt w:val="lowerRoman"/>
      <w:lvlText w:val="%9."/>
      <w:lvlJc w:val="right"/>
      <w:pPr>
        <w:tabs>
          <w:tab w:val="num" w:pos="6828"/>
        </w:tabs>
        <w:ind w:left="6828" w:hanging="180"/>
      </w:pPr>
      <w:rPr>
        <w:spacing w:val="0"/>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0"/>
    <w:lvlOverride w:ilvl="0">
      <w:lvl w:ilvl="0">
        <w:start w:val="1"/>
        <w:numFmt w:val="decimal"/>
        <w:lvlText w:val="%1"/>
        <w:lvlJc w:val="left"/>
        <w:pPr>
          <w:tabs>
            <w:tab w:val="num" w:pos="4366"/>
          </w:tabs>
          <w:ind w:left="4366" w:hanging="680"/>
        </w:pPr>
        <w:rPr>
          <w:smallCaps w:val="false"/>
          <w:caps w:val="false"/>
          <w:dstrike w:val="false"/>
          <w:strike w:val="false"/>
          <w:vertAlign w:val="baseline"/>
          <w:position w:val="0"/>
          <w:sz w:val="24"/>
          <w:sz w:val="24"/>
          <w:b/>
          <w:szCs w:val="28"/>
          <w:vanish w:val="false"/>
          <w:rFonts w:cs="Arial"/>
          <w:color w:val="000000"/>
        </w:rPr>
      </w:lvl>
    </w:lvlOverride>
    <w:lvlOverride w:ilvl="1">
      <w:lvl w:ilvl="1">
        <w:start w:val="1"/>
        <w:numFmt w:val="decimal"/>
        <w:lvlText w:val="%1.%2"/>
        <w:lvlJc w:val="left"/>
        <w:pPr>
          <w:tabs>
            <w:tab w:val="num" w:pos="822"/>
          </w:tabs>
          <w:ind w:left="822" w:hanging="680"/>
        </w:pPr>
        <w:rPr>
          <w:smallCaps w:val="false"/>
          <w:caps w:val="false"/>
          <w:dstrike w:val="false"/>
          <w:strike w:val="false"/>
          <w:vertAlign w:val="baseline"/>
          <w:position w:val="0"/>
          <w:sz w:val="24"/>
          <w:sz w:val="24"/>
          <w:b/>
          <w:szCs w:val="32"/>
          <w:vanish w:val="false"/>
          <w:rFonts w:cs="Arial"/>
          <w:color w:val="000000"/>
        </w:rPr>
      </w:lvl>
    </w:lvlOverride>
    <w:lvlOverride w:ilvl="2">
      <w:lvl w:ilvl="2">
        <w:start w:val="1"/>
        <w:numFmt w:val="decimal"/>
        <w:lvlText w:val="%1.%2.%3"/>
        <w:lvlJc w:val="left"/>
        <w:pPr>
          <w:tabs>
            <w:tab w:val="num" w:pos="1361"/>
          </w:tabs>
          <w:ind w:left="1361" w:hanging="681"/>
        </w:pPr>
        <w:rPr>
          <w:smallCaps w:val="false"/>
          <w:caps w:val="false"/>
          <w:dstrike w:val="false"/>
          <w:strike w:val="false"/>
          <w:vertAlign w:val="baseline"/>
          <w:position w:val="0"/>
          <w:sz w:val="24"/>
          <w:sz w:val="24"/>
          <w:b/>
          <w:szCs w:val="24"/>
          <w:vanish w:val="false"/>
          <w:rFonts w:cs="Arial"/>
          <w:color w:val="000000"/>
        </w:rPr>
      </w:lvl>
    </w:lvlOverride>
    <w:lvlOverride w:ilvl="3">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b w:val="false"/>
          <w:szCs w:val="24"/>
          <w:vanish w:val="false"/>
          <w:rFonts w:cs="Arial"/>
          <w:color w:val="000000"/>
        </w:rPr>
      </w:lvl>
    </w:lvlOverride>
    <w:lvlOverride w:ilvl="4">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b w:val="false"/>
          <w:szCs w:val="32"/>
          <w:vanish w:val="false"/>
          <w:rFonts w:cs="Calibri"/>
          <w:color w:val="000000"/>
        </w:rPr>
      </w:lvl>
    </w:lvlOverride>
    <w:lvlOverride w:ilvl="5">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b w:val="false"/>
          <w:vanish w:val="false"/>
          <w:rFonts w:cs="Arial"/>
          <w:color w:val="000000"/>
        </w:rPr>
      </w:lvl>
    </w:lvlOverride>
  </w:num>
</w:numbering>
</file>

<file path=word/settings.xml><?xml version="1.0" encoding="utf-8"?>
<w:settings xmlns:w="http://schemas.openxmlformats.org/wordprocessingml/2006/main">
  <w:zoom w:percent="100"/>
  <w:trackRevisions/>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142"/>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4"/>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uiPriority="99" w:semiHidden="1" w:unhideWhenUsed="1"/>
    <w:lsdException w:name="Body Text Indent 2" w:uiPriority="99" w:semiHidden="1"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uiPriority="99"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4168"/>
    <w:pPr>
      <w:widowControl w:val="false"/>
      <w:bidi w:val="0"/>
      <w:spacing w:before="0" w:after="0"/>
      <w:jc w:val="both"/>
    </w:pPr>
    <w:rPr>
      <w:rFonts w:ascii="Times New Roman" w:hAnsi="Times New Roman" w:eastAsia="Times New Roman" w:cs="Times New Roman"/>
      <w:color w:val="auto"/>
      <w:kern w:val="0"/>
      <w:sz w:val="26"/>
      <w:szCs w:val="26"/>
      <w:lang w:eastAsia="en-US" w:val="pt-BR" w:bidi="ar-SA"/>
    </w:rPr>
  </w:style>
  <w:style w:type="paragraph" w:styleId="Ttulo1">
    <w:name w:val="Heading 1"/>
    <w:basedOn w:val="Normal"/>
    <w:next w:val="Normal"/>
    <w:link w:val="Ttulo1Char"/>
    <w:uiPriority w:val="9"/>
    <w:qFormat/>
    <w:rsid w:val="00455a79"/>
    <w:pPr>
      <w:keepNext w:val="true"/>
      <w:widowControl/>
      <w:jc w:val="left"/>
      <w:outlineLvl w:val="0"/>
    </w:pPr>
    <w:rPr>
      <w:rFonts w:ascii="Cambria" w:hAnsi="Cambria"/>
      <w:b/>
      <w:bCs/>
      <w:kern w:val="2"/>
      <w:sz w:val="32"/>
      <w:szCs w:val="32"/>
    </w:rPr>
  </w:style>
  <w:style w:type="paragraph" w:styleId="Ttulo2">
    <w:name w:val="Heading 2"/>
    <w:basedOn w:val="Normal"/>
    <w:next w:val="Normal"/>
    <w:link w:val="Ttulo2Char"/>
    <w:uiPriority w:val="9"/>
    <w:qFormat/>
    <w:rsid w:val="00455a79"/>
    <w:pPr>
      <w:keepNext w:val="true"/>
      <w:spacing w:lineRule="exact" w:line="360"/>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455a79"/>
    <w:pPr>
      <w:keepNext w:val="true"/>
      <w:spacing w:lineRule="exact" w:line="360"/>
      <w:outlineLvl w:val="2"/>
    </w:pPr>
    <w:rPr>
      <w:rFonts w:ascii="Cambria" w:hAnsi="Cambria"/>
      <w:b/>
      <w:bCs/>
    </w:rPr>
  </w:style>
  <w:style w:type="paragraph" w:styleId="Ttulo4">
    <w:name w:val="Heading 4"/>
    <w:basedOn w:val="Normal"/>
    <w:next w:val="Normal"/>
    <w:link w:val="Ttulo4Char"/>
    <w:uiPriority w:val="9"/>
    <w:qFormat/>
    <w:rsid w:val="00455a79"/>
    <w:pPr>
      <w:keepNext w:val="true"/>
      <w:spacing w:lineRule="exact" w:line="320" w:before="120" w:after="0"/>
      <w:jc w:val="center"/>
      <w:outlineLvl w:val="3"/>
    </w:pPr>
    <w:rPr>
      <w:rFonts w:ascii="Calibri" w:hAnsi="Calibri"/>
      <w:b/>
      <w:bCs/>
      <w:sz w:val="28"/>
      <w:szCs w:val="28"/>
      <w:lang w:eastAsia="pt-BR"/>
    </w:rPr>
  </w:style>
  <w:style w:type="paragraph" w:styleId="Ttulo5">
    <w:name w:val="Heading 5"/>
    <w:basedOn w:val="Normal"/>
    <w:next w:val="Normal"/>
    <w:link w:val="Ttulo5Char"/>
    <w:qFormat/>
    <w:rsid w:val="00455a79"/>
    <w:pPr>
      <w:keepNext w:val="true"/>
      <w:numPr>
        <w:ilvl w:val="4"/>
        <w:numId w:val="1"/>
      </w:numPr>
      <w:spacing w:lineRule="atLeast" w:line="320" w:before="600" w:after="0"/>
      <w:jc w:val="center"/>
      <w:outlineLvl w:val="4"/>
    </w:pPr>
    <w:rPr>
      <w:rFonts w:ascii="Calibri" w:hAnsi="Calibri"/>
      <w:b/>
      <w:bCs/>
      <w:i/>
      <w:iCs/>
      <w:lang w:eastAsia="pt-BR"/>
    </w:rPr>
  </w:style>
  <w:style w:type="paragraph" w:styleId="Ttulo6">
    <w:name w:val="Heading 6"/>
    <w:basedOn w:val="Normal"/>
    <w:next w:val="Normal"/>
    <w:link w:val="Ttulo6Char"/>
    <w:qFormat/>
    <w:rsid w:val="00455a79"/>
    <w:pPr>
      <w:keepNext w:val="true"/>
      <w:numPr>
        <w:ilvl w:val="5"/>
        <w:numId w:val="1"/>
      </w:numPr>
      <w:spacing w:lineRule="exact" w:line="320"/>
      <w:outlineLvl w:val="5"/>
    </w:pPr>
    <w:rPr>
      <w:rFonts w:ascii="Calibri" w:hAnsi="Calibri"/>
      <w:b/>
      <w:bCs/>
      <w:sz w:val="20"/>
      <w:szCs w:val="20"/>
    </w:rPr>
  </w:style>
  <w:style w:type="paragraph" w:styleId="Ttulo7">
    <w:name w:val="Heading 7"/>
    <w:basedOn w:val="Normal"/>
    <w:next w:val="Normal"/>
    <w:link w:val="Ttulo7Char"/>
    <w:qFormat/>
    <w:rsid w:val="00455a79"/>
    <w:pPr>
      <w:keepNext w:val="true"/>
      <w:numPr>
        <w:ilvl w:val="6"/>
        <w:numId w:val="1"/>
      </w:numPr>
      <w:spacing w:lineRule="exact" w:line="320"/>
      <w:jc w:val="right"/>
      <w:outlineLvl w:val="6"/>
    </w:pPr>
    <w:rPr>
      <w:rFonts w:ascii="Calibri" w:hAnsi="Calibri"/>
      <w:sz w:val="24"/>
      <w:szCs w:val="24"/>
      <w:lang w:eastAsia="pt-BR"/>
    </w:rPr>
  </w:style>
  <w:style w:type="paragraph" w:styleId="Ttulo8">
    <w:name w:val="Heading 8"/>
    <w:basedOn w:val="Normal"/>
    <w:next w:val="Normal"/>
    <w:link w:val="Ttulo8Char"/>
    <w:qFormat/>
    <w:rsid w:val="00455a79"/>
    <w:pPr>
      <w:keepNext w:val="true"/>
      <w:numPr>
        <w:ilvl w:val="7"/>
        <w:numId w:val="1"/>
      </w:numPr>
      <w:spacing w:lineRule="exact" w:line="320"/>
      <w:outlineLvl w:val="7"/>
    </w:pPr>
    <w:rPr>
      <w:rFonts w:ascii="Calibri" w:hAnsi="Calibri"/>
      <w:i/>
      <w:iCs/>
      <w:sz w:val="24"/>
      <w:szCs w:val="24"/>
      <w:lang w:eastAsia="pt-BR"/>
    </w:rPr>
  </w:style>
  <w:style w:type="paragraph" w:styleId="Ttulo9">
    <w:name w:val="Heading 9"/>
    <w:basedOn w:val="Normal"/>
    <w:next w:val="Normal"/>
    <w:link w:val="Ttulo9Char"/>
    <w:qFormat/>
    <w:rsid w:val="00455a79"/>
    <w:pPr>
      <w:numPr>
        <w:ilvl w:val="8"/>
        <w:numId w:val="1"/>
      </w:numPr>
      <w:spacing w:before="240" w:after="60"/>
      <w:outlineLvl w:val="8"/>
    </w:pPr>
    <w:rPr>
      <w:rFonts w:ascii="Cambria" w:hAnsi="Cambria"/>
      <w:sz w:val="20"/>
      <w:szCs w:val="20"/>
      <w:lang w:eastAsia="pt-BR"/>
    </w:rPr>
  </w:style>
  <w:style w:type="character" w:styleId="DefaultParagraphFont" w:default="1">
    <w:name w:val="Default Paragraph Font"/>
    <w:uiPriority w:val="1"/>
    <w:semiHidden/>
    <w:unhideWhenUsed/>
    <w:qFormat/>
    <w:rPr/>
  </w:style>
  <w:style w:type="character" w:styleId="Ttulo1Char" w:customStyle="1">
    <w:name w:val="Título 1 Char"/>
    <w:link w:val="Ttulo1"/>
    <w:uiPriority w:val="9"/>
    <w:qFormat/>
    <w:rsid w:val="00455a79"/>
    <w:rPr>
      <w:rFonts w:ascii="Cambria" w:hAnsi="Cambria" w:eastAsia="Times New Roman" w:cs="Times New Roman"/>
      <w:b/>
      <w:bCs/>
      <w:kern w:val="2"/>
      <w:sz w:val="32"/>
      <w:szCs w:val="32"/>
      <w:lang w:val="pt-BR"/>
    </w:rPr>
  </w:style>
  <w:style w:type="character" w:styleId="Ttulo2Char" w:customStyle="1">
    <w:name w:val="Título 2 Char"/>
    <w:link w:val="Ttulo2"/>
    <w:uiPriority w:val="9"/>
    <w:semiHidden/>
    <w:qFormat/>
    <w:rsid w:val="00455a79"/>
    <w:rPr>
      <w:rFonts w:ascii="Cambria" w:hAnsi="Cambria" w:eastAsia="Times New Roman" w:cs="Times New Roman"/>
      <w:b/>
      <w:bCs/>
      <w:i/>
      <w:iCs/>
      <w:sz w:val="28"/>
      <w:szCs w:val="28"/>
      <w:lang w:val="pt-BR"/>
    </w:rPr>
  </w:style>
  <w:style w:type="character" w:styleId="Ttulo3Char" w:customStyle="1">
    <w:name w:val="Título 3 Char"/>
    <w:link w:val="Ttulo3"/>
    <w:uiPriority w:val="9"/>
    <w:semiHidden/>
    <w:qFormat/>
    <w:rsid w:val="00455a79"/>
    <w:rPr>
      <w:rFonts w:ascii="Cambria" w:hAnsi="Cambria" w:eastAsia="Times New Roman" w:cs="Times New Roman"/>
      <w:b/>
      <w:bCs/>
      <w:sz w:val="26"/>
      <w:szCs w:val="26"/>
      <w:lang w:val="pt-BR"/>
    </w:rPr>
  </w:style>
  <w:style w:type="character" w:styleId="Ttulo4Char" w:customStyle="1">
    <w:name w:val="Título 4 Char"/>
    <w:link w:val="Ttulo4"/>
    <w:uiPriority w:val="9"/>
    <w:semiHidden/>
    <w:qFormat/>
    <w:rsid w:val="00455a79"/>
    <w:rPr>
      <w:b/>
      <w:bCs/>
      <w:sz w:val="28"/>
      <w:szCs w:val="28"/>
      <w:lang w:val="pt-BR"/>
    </w:rPr>
  </w:style>
  <w:style w:type="character" w:styleId="Ttulo5Char" w:customStyle="1">
    <w:name w:val="Título 5 Char"/>
    <w:link w:val="Ttulo5"/>
    <w:qFormat/>
    <w:rsid w:val="00455a79"/>
    <w:rPr>
      <w:b/>
      <w:bCs/>
      <w:i/>
      <w:iCs/>
      <w:sz w:val="26"/>
      <w:szCs w:val="26"/>
    </w:rPr>
  </w:style>
  <w:style w:type="character" w:styleId="Ttulo6Char" w:customStyle="1">
    <w:name w:val="Título 6 Char"/>
    <w:link w:val="Ttulo6"/>
    <w:qFormat/>
    <w:rsid w:val="00455a79"/>
    <w:rPr>
      <w:b/>
      <w:bCs/>
      <w:sz w:val="20"/>
      <w:szCs w:val="20"/>
      <w:lang w:eastAsia="en-US"/>
    </w:rPr>
  </w:style>
  <w:style w:type="character" w:styleId="Ttulo7Char" w:customStyle="1">
    <w:name w:val="Título 7 Char"/>
    <w:link w:val="Ttulo7"/>
    <w:qFormat/>
    <w:rsid w:val="00455a79"/>
    <w:rPr/>
  </w:style>
  <w:style w:type="character" w:styleId="Ttulo8Char" w:customStyle="1">
    <w:name w:val="Título 8 Char"/>
    <w:link w:val="Ttulo8"/>
    <w:qFormat/>
    <w:rsid w:val="00455a79"/>
    <w:rPr>
      <w:i/>
      <w:iCs/>
    </w:rPr>
  </w:style>
  <w:style w:type="character" w:styleId="Ttulo9Char" w:customStyle="1">
    <w:name w:val="Título 9 Char"/>
    <w:link w:val="Ttulo9"/>
    <w:qFormat/>
    <w:rsid w:val="00455a79"/>
    <w:rPr>
      <w:rFonts w:ascii="Cambria" w:hAnsi="Cambria"/>
      <w:sz w:val="20"/>
      <w:szCs w:val="20"/>
    </w:rPr>
  </w:style>
  <w:style w:type="character" w:styleId="Corpodetexto2Char" w:customStyle="1">
    <w:name w:val="Corpo de texto 2 Char"/>
    <w:link w:val="Corpodetexto2"/>
    <w:uiPriority w:val="99"/>
    <w:semiHidden/>
    <w:qFormat/>
    <w:rsid w:val="00455a79"/>
    <w:rPr>
      <w:rFonts w:ascii="Times New Roman" w:hAnsi="Times New Roman" w:cs="Times New Roman"/>
      <w:sz w:val="26"/>
      <w:szCs w:val="26"/>
      <w:lang w:val="pt-BR"/>
    </w:rPr>
  </w:style>
  <w:style w:type="character" w:styleId="CabealhoChar" w:customStyle="1">
    <w:name w:val="Cabeçalho Char"/>
    <w:link w:val="Cabealho"/>
    <w:uiPriority w:val="99"/>
    <w:qFormat/>
    <w:rsid w:val="00455a79"/>
    <w:rPr>
      <w:rFonts w:ascii="Times New Roman" w:hAnsi="Times New Roman" w:cs="Times New Roman"/>
      <w:sz w:val="26"/>
      <w:szCs w:val="26"/>
      <w:lang w:val="pt-BR"/>
    </w:rPr>
  </w:style>
  <w:style w:type="character" w:styleId="RecuodecorpodetextoChar" w:customStyle="1">
    <w:name w:val="Recuo de corpo de texto Char"/>
    <w:link w:val="Recuodecorpodetexto"/>
    <w:uiPriority w:val="99"/>
    <w:semiHidden/>
    <w:qFormat/>
    <w:rsid w:val="00455a79"/>
    <w:rPr>
      <w:rFonts w:ascii="Times New Roman" w:hAnsi="Times New Roman" w:cs="Times New Roman"/>
      <w:sz w:val="26"/>
      <w:szCs w:val="26"/>
      <w:lang w:val="pt-BR"/>
    </w:rPr>
  </w:style>
  <w:style w:type="character" w:styleId="Corpodetexto3Char" w:customStyle="1">
    <w:name w:val="Corpo de texto 3 Char"/>
    <w:link w:val="Corpodetexto3"/>
    <w:uiPriority w:val="99"/>
    <w:semiHidden/>
    <w:qFormat/>
    <w:rsid w:val="00455a79"/>
    <w:rPr>
      <w:rFonts w:ascii="Times New Roman" w:hAnsi="Times New Roman" w:cs="Times New Roman"/>
      <w:sz w:val="16"/>
      <w:szCs w:val="16"/>
      <w:lang w:val="pt-BR"/>
    </w:rPr>
  </w:style>
  <w:style w:type="character" w:styleId="CorpodetextoChar" w:customStyle="1">
    <w:name w:val="Corpo de texto Char"/>
    <w:link w:val="Corpodetexto"/>
    <w:qFormat/>
    <w:rsid w:val="00455a79"/>
    <w:rPr>
      <w:rFonts w:ascii="Times New Roman" w:hAnsi="Times New Roman" w:cs="Times New Roman"/>
      <w:sz w:val="26"/>
      <w:szCs w:val="26"/>
      <w:lang w:val="pt-BR"/>
    </w:rPr>
  </w:style>
  <w:style w:type="character" w:styleId="Recuodecorpodetexto2Char" w:customStyle="1">
    <w:name w:val="Recuo de corpo de texto 2 Char"/>
    <w:link w:val="Recuodecorpodetexto2"/>
    <w:uiPriority w:val="99"/>
    <w:semiHidden/>
    <w:qFormat/>
    <w:rsid w:val="00455a79"/>
    <w:rPr>
      <w:rFonts w:ascii="Times New Roman" w:hAnsi="Times New Roman" w:cs="Times New Roman"/>
      <w:sz w:val="26"/>
      <w:szCs w:val="26"/>
      <w:lang w:val="pt-BR"/>
    </w:rPr>
  </w:style>
  <w:style w:type="character" w:styleId="Pagenumber">
    <w:name w:val="page number"/>
    <w:uiPriority w:val="99"/>
    <w:qFormat/>
    <w:rsid w:val="00455a79"/>
    <w:rPr>
      <w:rFonts w:ascii="Times New Roman" w:hAnsi="Times New Roman" w:cs="Times New Roman"/>
      <w:spacing w:val="0"/>
      <w:sz w:val="26"/>
      <w:szCs w:val="26"/>
      <w:lang w:val="pt-BR"/>
    </w:rPr>
  </w:style>
  <w:style w:type="character" w:styleId="RodapChar" w:customStyle="1">
    <w:name w:val="Rodapé Char"/>
    <w:link w:val="Rodap"/>
    <w:uiPriority w:val="99"/>
    <w:qFormat/>
    <w:rsid w:val="00455a79"/>
    <w:rPr>
      <w:rFonts w:ascii="Times New Roman" w:hAnsi="Times New Roman" w:cs="Times New Roman"/>
      <w:sz w:val="26"/>
      <w:szCs w:val="26"/>
      <w:lang w:val="pt-BR"/>
    </w:rPr>
  </w:style>
  <w:style w:type="character" w:styleId="LinkdaInternet">
    <w:name w:val="Link da Internet"/>
    <w:uiPriority w:val="99"/>
    <w:rsid w:val="00455a79"/>
    <w:rPr>
      <w:rFonts w:ascii="Times New Roman" w:hAnsi="Times New Roman" w:cs="Times New Roman"/>
      <w:color w:val="0000FF"/>
      <w:spacing w:val="0"/>
      <w:sz w:val="26"/>
      <w:szCs w:val="26"/>
      <w:u w:val="single"/>
      <w:lang w:val="pt-BR"/>
    </w:rPr>
  </w:style>
  <w:style w:type="character" w:styleId="CommentReference1" w:customStyle="1">
    <w:name w:val="Comment Reference1"/>
    <w:uiPriority w:val="99"/>
    <w:qFormat/>
    <w:rsid w:val="00455a79"/>
    <w:rPr>
      <w:rFonts w:ascii="Times New Roman" w:hAnsi="Times New Roman" w:cs="Times New Roman"/>
      <w:spacing w:val="0"/>
      <w:sz w:val="16"/>
      <w:szCs w:val="16"/>
      <w:lang w:val="pt-BR"/>
    </w:rPr>
  </w:style>
  <w:style w:type="character" w:styleId="Recuodecorpodetexto3Char" w:customStyle="1">
    <w:name w:val="Recuo de corpo de texto 3 Char"/>
    <w:link w:val="Recuodecorpodetexto3"/>
    <w:uiPriority w:val="99"/>
    <w:semiHidden/>
    <w:qFormat/>
    <w:rsid w:val="00455a79"/>
    <w:rPr>
      <w:rFonts w:ascii="Times New Roman" w:hAnsi="Times New Roman" w:cs="Times New Roman"/>
      <w:sz w:val="16"/>
      <w:szCs w:val="16"/>
      <w:lang w:val="pt-BR"/>
    </w:rPr>
  </w:style>
  <w:style w:type="character" w:styleId="TtuloChar" w:customStyle="1">
    <w:name w:val="Título Char"/>
    <w:link w:val="Ttulo"/>
    <w:uiPriority w:val="10"/>
    <w:qFormat/>
    <w:rsid w:val="00455a79"/>
    <w:rPr>
      <w:rFonts w:ascii="Cambria" w:hAnsi="Cambria" w:eastAsia="Times New Roman" w:cs="Times New Roman"/>
      <w:b/>
      <w:bCs/>
      <w:kern w:val="2"/>
      <w:sz w:val="32"/>
      <w:szCs w:val="32"/>
      <w:lang w:val="pt-BR"/>
    </w:rPr>
  </w:style>
  <w:style w:type="character" w:styleId="SubttuloChar" w:customStyle="1">
    <w:name w:val="Subtítulo Char"/>
    <w:link w:val="Subttulo"/>
    <w:uiPriority w:val="11"/>
    <w:qFormat/>
    <w:rsid w:val="00455a79"/>
    <w:rPr>
      <w:rFonts w:ascii="Cambria" w:hAnsi="Cambria" w:eastAsia="Times New Roman" w:cs="Times New Roman"/>
      <w:sz w:val="24"/>
      <w:szCs w:val="24"/>
      <w:lang w:val="pt-BR"/>
    </w:rPr>
  </w:style>
  <w:style w:type="character" w:styleId="DeltaViewInsertion" w:customStyle="1">
    <w:name w:val="DeltaView Insertion"/>
    <w:uiPriority w:val="99"/>
    <w:qFormat/>
    <w:rsid w:val="00455a79"/>
    <w:rPr>
      <w:color w:val="0000FF"/>
      <w:spacing w:val="0"/>
      <w:u w:val="double"/>
    </w:rPr>
  </w:style>
  <w:style w:type="character" w:styleId="Normal1" w:customStyle="1">
    <w:name w:val="Normal1"/>
    <w:uiPriority w:val="99"/>
    <w:qFormat/>
    <w:rsid w:val="00455a79"/>
    <w:rPr>
      <w:rFonts w:ascii="Helvetica" w:hAnsi="Helvetica" w:cs="Helvetica"/>
      <w:spacing w:val="0"/>
      <w:sz w:val="24"/>
      <w:szCs w:val="24"/>
      <w:lang w:val="pt-BR"/>
    </w:rPr>
  </w:style>
  <w:style w:type="character" w:styleId="DeltaViewMoveDestination" w:customStyle="1">
    <w:name w:val="DeltaView Move Destination"/>
    <w:qFormat/>
    <w:rsid w:val="00455a79"/>
    <w:rPr>
      <w:color w:val="00C000"/>
      <w:spacing w:val="0"/>
      <w:u w:val="double"/>
    </w:rPr>
  </w:style>
  <w:style w:type="character" w:styleId="TextodebaloChar" w:customStyle="1">
    <w:name w:val="Texto de balão Char"/>
    <w:link w:val="Textodebalo"/>
    <w:uiPriority w:val="99"/>
    <w:semiHidden/>
    <w:qFormat/>
    <w:rsid w:val="00455a79"/>
    <w:rPr>
      <w:rFonts w:ascii="Tahoma" w:hAnsi="Tahoma" w:cs="Tahoma"/>
      <w:sz w:val="16"/>
      <w:szCs w:val="16"/>
      <w:lang w:val="pt-BR"/>
    </w:rPr>
  </w:style>
  <w:style w:type="character" w:styleId="HTMLTypewriter">
    <w:name w:val="HTML Typewriter"/>
    <w:uiPriority w:val="99"/>
    <w:qFormat/>
    <w:rsid w:val="00455a79"/>
    <w:rPr>
      <w:rFonts w:ascii="Courier New" w:hAnsi="Courier New" w:cs="Courier New"/>
      <w:spacing w:val="0"/>
      <w:sz w:val="20"/>
      <w:szCs w:val="20"/>
      <w:lang w:val="pt-BR"/>
    </w:rPr>
  </w:style>
  <w:style w:type="character" w:styleId="Deltaviewinsertion1" w:customStyle="1">
    <w:name w:val="deltaviewinsertion"/>
    <w:uiPriority w:val="99"/>
    <w:qFormat/>
    <w:rsid w:val="00455a79"/>
    <w:rPr>
      <w:rFonts w:ascii="Times New Roman" w:hAnsi="Times New Roman" w:cs="Times New Roman"/>
      <w:spacing w:val="0"/>
      <w:sz w:val="26"/>
      <w:szCs w:val="26"/>
      <w:lang w:val="pt-BR"/>
    </w:rPr>
  </w:style>
  <w:style w:type="character" w:styleId="Linkdainternetvisitado">
    <w:name w:val="Link da internet visitado"/>
    <w:uiPriority w:val="99"/>
    <w:rsid w:val="00455a79"/>
    <w:rPr>
      <w:rFonts w:ascii="Times New Roman" w:hAnsi="Times New Roman" w:cs="Times New Roman"/>
      <w:color w:val="800080"/>
      <w:spacing w:val="0"/>
      <w:sz w:val="26"/>
      <w:szCs w:val="26"/>
      <w:u w:val="single"/>
      <w:lang w:val="pt-BR"/>
    </w:rPr>
  </w:style>
  <w:style w:type="character" w:styleId="TextodecomentrioChar" w:customStyle="1">
    <w:name w:val="Texto de comentário Char"/>
    <w:uiPriority w:val="99"/>
    <w:qFormat/>
    <w:rsid w:val="00455a79"/>
    <w:rPr>
      <w:rFonts w:ascii="Times New Roman" w:hAnsi="Times New Roman" w:cs="Times New Roman"/>
      <w:spacing w:val="0"/>
      <w:sz w:val="26"/>
      <w:szCs w:val="26"/>
      <w:lang w:val="pt-BR"/>
    </w:rPr>
  </w:style>
  <w:style w:type="character" w:styleId="AssuntodocomentrioChar" w:customStyle="1">
    <w:name w:val="Assunto do comentário Char"/>
    <w:uiPriority w:val="99"/>
    <w:qFormat/>
    <w:rsid w:val="00455a79"/>
    <w:rPr/>
  </w:style>
  <w:style w:type="character" w:styleId="CommarcadoresChar" w:customStyle="1">
    <w:name w:val="Com marcadores Char"/>
    <w:uiPriority w:val="99"/>
    <w:qFormat/>
    <w:rsid w:val="00455a79"/>
    <w:rPr>
      <w:rFonts w:ascii="Times New Roman" w:hAnsi="Times New Roman" w:cs="Times New Roman"/>
      <w:spacing w:val="0"/>
      <w:sz w:val="26"/>
      <w:szCs w:val="26"/>
      <w:lang w:val="pt-BR"/>
    </w:rPr>
  </w:style>
  <w:style w:type="character" w:styleId="DeltaViewDeletion" w:customStyle="1">
    <w:name w:val="DeltaView Deletion"/>
    <w:uiPriority w:val="99"/>
    <w:qFormat/>
    <w:rsid w:val="00455a79"/>
    <w:rPr>
      <w:strike/>
      <w:color w:val="FF0000"/>
      <w:spacing w:val="0"/>
    </w:rPr>
  </w:style>
  <w:style w:type="character" w:styleId="DeltaViewMoveSource" w:customStyle="1">
    <w:name w:val="DeltaView Move Source"/>
    <w:uiPriority w:val="99"/>
    <w:qFormat/>
    <w:rsid w:val="00455a79"/>
    <w:rPr>
      <w:strike/>
      <w:color w:val="00C000"/>
      <w:spacing w:val="0"/>
    </w:rPr>
  </w:style>
  <w:style w:type="character" w:styleId="Annotationreference">
    <w:name w:val="annotation reference"/>
    <w:uiPriority w:val="99"/>
    <w:qFormat/>
    <w:rsid w:val="00455a79"/>
    <w:rPr>
      <w:spacing w:val="0"/>
      <w:sz w:val="16"/>
      <w:szCs w:val="16"/>
    </w:rPr>
  </w:style>
  <w:style w:type="character" w:styleId="TextodecomentrioChar1" w:customStyle="1">
    <w:name w:val="Texto de comentário Char1"/>
    <w:link w:val="Textodecomentrio"/>
    <w:uiPriority w:val="99"/>
    <w:qFormat/>
    <w:rsid w:val="00455a79"/>
    <w:rPr>
      <w:rFonts w:ascii="Times New Roman" w:hAnsi="Times New Roman" w:cs="Times New Roman"/>
      <w:sz w:val="20"/>
      <w:szCs w:val="20"/>
      <w:lang w:val="pt-BR"/>
    </w:rPr>
  </w:style>
  <w:style w:type="character" w:styleId="DeltaViewChangeNumber" w:customStyle="1">
    <w:name w:val="DeltaView Change Number"/>
    <w:uiPriority w:val="99"/>
    <w:qFormat/>
    <w:rsid w:val="00455a79"/>
    <w:rPr>
      <w:color w:val="000000"/>
      <w:spacing w:val="0"/>
      <w:vertAlign w:val="superscript"/>
    </w:rPr>
  </w:style>
  <w:style w:type="character" w:styleId="DeltaViewDelimiter" w:customStyle="1">
    <w:name w:val="DeltaView Delimiter"/>
    <w:uiPriority w:val="99"/>
    <w:qFormat/>
    <w:rsid w:val="00455a79"/>
    <w:rPr>
      <w:spacing w:val="0"/>
    </w:rPr>
  </w:style>
  <w:style w:type="character" w:styleId="MapadoDocumentoChar" w:customStyle="1">
    <w:name w:val="Mapa do Documento Char"/>
    <w:link w:val="MapadoDocumento"/>
    <w:uiPriority w:val="99"/>
    <w:semiHidden/>
    <w:qFormat/>
    <w:rsid w:val="00455a79"/>
    <w:rPr>
      <w:rFonts w:ascii="Tahoma" w:hAnsi="Tahoma" w:cs="Tahoma"/>
      <w:sz w:val="16"/>
      <w:szCs w:val="16"/>
      <w:lang w:val="pt-BR"/>
    </w:rPr>
  </w:style>
  <w:style w:type="character" w:styleId="DeltaViewFormatChange" w:customStyle="1">
    <w:name w:val="DeltaView Format Change"/>
    <w:uiPriority w:val="99"/>
    <w:qFormat/>
    <w:rsid w:val="00455a79"/>
    <w:rPr>
      <w:color w:val="000000"/>
      <w:spacing w:val="0"/>
    </w:rPr>
  </w:style>
  <w:style w:type="character" w:styleId="DeltaViewMovedDeletion" w:customStyle="1">
    <w:name w:val="DeltaView Moved Deletion"/>
    <w:uiPriority w:val="99"/>
    <w:qFormat/>
    <w:rsid w:val="00455a79"/>
    <w:rPr>
      <w:strike/>
      <w:color w:val="C08080"/>
      <w:spacing w:val="0"/>
    </w:rPr>
  </w:style>
  <w:style w:type="character" w:styleId="DeltaViewComment" w:customStyle="1">
    <w:name w:val="DeltaView Comment"/>
    <w:uiPriority w:val="99"/>
    <w:qFormat/>
    <w:rsid w:val="00455a79"/>
    <w:rPr>
      <w:color w:val="000000"/>
      <w:spacing w:val="0"/>
    </w:rPr>
  </w:style>
  <w:style w:type="character" w:styleId="DeltaViewStyleChangeText" w:customStyle="1">
    <w:name w:val="DeltaView Style Change Text"/>
    <w:uiPriority w:val="99"/>
    <w:qFormat/>
    <w:rsid w:val="00455a79"/>
    <w:rPr>
      <w:color w:val="000000"/>
      <w:spacing w:val="0"/>
      <w:u w:val="double"/>
    </w:rPr>
  </w:style>
  <w:style w:type="character" w:styleId="DeltaViewStyleChangeLabel" w:customStyle="1">
    <w:name w:val="DeltaView Style Change Label"/>
    <w:uiPriority w:val="99"/>
    <w:qFormat/>
    <w:rsid w:val="00455a79"/>
    <w:rPr>
      <w:color w:val="000000"/>
      <w:spacing w:val="0"/>
    </w:rPr>
  </w:style>
  <w:style w:type="character" w:styleId="DeltaViewInsertedComment" w:customStyle="1">
    <w:name w:val="DeltaView Inserted Comment"/>
    <w:uiPriority w:val="99"/>
    <w:qFormat/>
    <w:rsid w:val="00455a79"/>
    <w:rPr>
      <w:color w:val="0000FF"/>
      <w:spacing w:val="0"/>
      <w:u w:val="double"/>
    </w:rPr>
  </w:style>
  <w:style w:type="character" w:styleId="DeltaViewDeletedComment" w:customStyle="1">
    <w:name w:val="DeltaView Deleted Comment"/>
    <w:uiPriority w:val="99"/>
    <w:qFormat/>
    <w:rsid w:val="00455a79"/>
    <w:rPr>
      <w:strike/>
      <w:color w:val="FF0000"/>
      <w:spacing w:val="0"/>
    </w:rPr>
  </w:style>
  <w:style w:type="character" w:styleId="AssuntodocomentrioChar1" w:customStyle="1">
    <w:name w:val="Assunto do comentário Char1"/>
    <w:link w:val="Assuntodocomentrio"/>
    <w:uiPriority w:val="99"/>
    <w:semiHidden/>
    <w:qFormat/>
    <w:rsid w:val="00843195"/>
    <w:rPr>
      <w:rFonts w:ascii="Times New Roman" w:hAnsi="Times New Roman" w:cs="Times New Roman"/>
      <w:b/>
      <w:bCs/>
      <w:sz w:val="20"/>
      <w:szCs w:val="20"/>
      <w:lang w:val="pt-BR" w:eastAsia="en-US"/>
    </w:rPr>
  </w:style>
  <w:style w:type="character" w:styleId="Ncoradanotaderodap">
    <w:name w:val="Âncora da nota de rodapé"/>
    <w:rPr>
      <w:vertAlign w:val="superscript"/>
    </w:rPr>
  </w:style>
  <w:style w:type="character" w:styleId="FootnoteCharacters">
    <w:name w:val="Footnote Characters"/>
    <w:semiHidden/>
    <w:qFormat/>
    <w:rsid w:val="006b325e"/>
    <w:rPr>
      <w:vertAlign w:val="superscript"/>
    </w:rPr>
  </w:style>
  <w:style w:type="character" w:styleId="TextosemFormataoChar" w:customStyle="1">
    <w:name w:val="Texto sem Formatação Char"/>
    <w:link w:val="TextosemFormatao"/>
    <w:uiPriority w:val="99"/>
    <w:semiHidden/>
    <w:qFormat/>
    <w:rsid w:val="00e92d6f"/>
    <w:rPr>
      <w:sz w:val="22"/>
      <w:szCs w:val="21"/>
    </w:rPr>
  </w:style>
  <w:style w:type="character" w:styleId="Level3Char" w:customStyle="1">
    <w:name w:val="Level 3 Char"/>
    <w:link w:val="Level3"/>
    <w:qFormat/>
    <w:rsid w:val="00046646"/>
    <w:rPr>
      <w:rFonts w:ascii="Arial" w:hAnsi="Arial" w:eastAsia="Arial"/>
      <w:sz w:val="20"/>
      <w:szCs w:val="28"/>
      <w:lang w:val="en-GB" w:eastAsia="en-GB"/>
    </w:rPr>
  </w:style>
  <w:style w:type="character" w:styleId="Level2Char" w:customStyle="1">
    <w:name w:val="Level 2 Char"/>
    <w:link w:val="Level2"/>
    <w:qFormat/>
    <w:rsid w:val="00e04cb7"/>
    <w:rPr>
      <w:rFonts w:ascii="Arial" w:hAnsi="Arial" w:eastAsia="Arial"/>
      <w:sz w:val="20"/>
      <w:szCs w:val="28"/>
      <w:lang w:val="en-GB" w:eastAsia="en-GB"/>
    </w:rPr>
  </w:style>
  <w:style w:type="character" w:styleId="ContratospargrafonicoChar" w:customStyle="1">
    <w:name w:val="Contratos_parágrafo único Char"/>
    <w:basedOn w:val="DefaultParagraphFont"/>
    <w:link w:val="Contratospargrafonico"/>
    <w:qFormat/>
    <w:rsid w:val="006b14a4"/>
    <w:rPr>
      <w:rFonts w:ascii="Arial" w:hAnsi="Arial"/>
      <w:kern w:val="2"/>
      <w:szCs w:val="24"/>
      <w:lang w:eastAsia="en-US"/>
    </w:rPr>
  </w:style>
  <w:style w:type="character" w:styleId="P0Char" w:customStyle="1">
    <w:name w:val="p0 Char"/>
    <w:basedOn w:val="DefaultParagraphFont"/>
    <w:link w:val="p0"/>
    <w:qFormat/>
    <w:locked/>
    <w:rsid w:val="00753f1f"/>
    <w:rPr>
      <w:rFonts w:ascii="Times" w:hAnsi="Times" w:cs="Times"/>
      <w:sz w:val="24"/>
      <w:szCs w:val="24"/>
      <w:lang w:eastAsia="en-US"/>
    </w:rPr>
  </w:style>
  <w:style w:type="character" w:styleId="BodyBlockChar" w:customStyle="1">
    <w:name w:val="BodyBlock Char"/>
    <w:basedOn w:val="DefaultParagraphFont"/>
    <w:link w:val="BodyBlock"/>
    <w:qFormat/>
    <w:rsid w:val="00b156a7"/>
    <w:rPr>
      <w:rFonts w:ascii="Times New Roman" w:hAnsi="Times New Roman"/>
      <w:sz w:val="21"/>
      <w:lang w:val="en-GB" w:eastAsia="en-US"/>
    </w:rPr>
  </w:style>
  <w:style w:type="character" w:styleId="BodyChar" w:customStyle="1">
    <w:name w:val="Body Char"/>
    <w:link w:val="Body"/>
    <w:uiPriority w:val="99"/>
    <w:qFormat/>
    <w:locked/>
    <w:rsid w:val="00585885"/>
    <w:rPr>
      <w:rFonts w:ascii="Arial" w:hAnsi="Arial" w:cs="Arial"/>
      <w:sz w:val="20"/>
      <w:szCs w:val="20"/>
      <w:lang w:eastAsia="en-US"/>
    </w:rPr>
  </w:style>
  <w:style w:type="character" w:styleId="TextodenotaderodapChar" w:customStyle="1">
    <w:name w:val="Texto de nota de rodapé Char"/>
    <w:basedOn w:val="DefaultParagraphFont"/>
    <w:link w:val="Textodenotaderodap"/>
    <w:qFormat/>
    <w:rsid w:val="000223b8"/>
    <w:rPr>
      <w:rFonts w:ascii="Arial" w:hAnsi="Arial" w:cs="Arial"/>
      <w:sz w:val="16"/>
      <w:szCs w:val="20"/>
      <w:lang w:eastAsia="en-US"/>
    </w:rPr>
  </w:style>
  <w:style w:type="character" w:styleId="PlaceholderText">
    <w:name w:val="Placeholder Text"/>
    <w:basedOn w:val="DefaultParagraphFont"/>
    <w:semiHidden/>
    <w:qFormat/>
    <w:rsid w:val="00c856de"/>
    <w:rPr>
      <w:color w:val="808080"/>
    </w:rPr>
  </w:style>
  <w:style w:type="character" w:styleId="MenoPendente1" w:customStyle="1">
    <w:name w:val="Menção Pendente1"/>
    <w:basedOn w:val="DefaultParagraphFont"/>
    <w:uiPriority w:val="99"/>
    <w:semiHidden/>
    <w:unhideWhenUsed/>
    <w:qFormat/>
    <w:rsid w:val="00752f0d"/>
    <w:rPr>
      <w:color w:val="808080"/>
      <w:shd w:fill="E6E6E6" w:val="clear"/>
    </w:rPr>
  </w:style>
  <w:style w:type="character" w:styleId="MenoPendente2" w:customStyle="1">
    <w:name w:val="Menção Pendente2"/>
    <w:basedOn w:val="DefaultParagraphFont"/>
    <w:uiPriority w:val="99"/>
    <w:semiHidden/>
    <w:unhideWhenUsed/>
    <w:qFormat/>
    <w:rsid w:val="002e3edb"/>
    <w:rPr>
      <w:color w:val="605E5C"/>
      <w:shd w:fill="E1DFDD" w:val="clear"/>
    </w:rPr>
  </w:style>
  <w:style w:type="character" w:styleId="MenoPendente3" w:customStyle="1">
    <w:name w:val="Menção Pendente3"/>
    <w:basedOn w:val="DefaultParagraphFont"/>
    <w:uiPriority w:val="99"/>
    <w:semiHidden/>
    <w:unhideWhenUsed/>
    <w:qFormat/>
    <w:rsid w:val="00022a46"/>
    <w:rPr>
      <w:color w:val="605E5C"/>
      <w:shd w:fill="E1DFDD" w:val="clear"/>
    </w:rPr>
  </w:style>
  <w:style w:type="character" w:styleId="PargrafodaListaChar" w:customStyle="1">
    <w:name w:val="Parágrafo da Lista Char"/>
    <w:basedOn w:val="DefaultParagraphFont"/>
    <w:link w:val="PargrafodaLista"/>
    <w:uiPriority w:val="34"/>
    <w:qFormat/>
    <w:locked/>
    <w:rsid w:val="00215cd8"/>
    <w:rPr>
      <w:rFonts w:ascii="Times New Roman" w:hAnsi="Times New Roman"/>
      <w:sz w:val="26"/>
      <w:szCs w:val="26"/>
      <w:lang w:eastAsia="en-US"/>
    </w:rPr>
  </w:style>
  <w:style w:type="character" w:styleId="MenoPendente4" w:customStyle="1">
    <w:name w:val="Menção Pendente4"/>
    <w:basedOn w:val="DefaultParagraphFont"/>
    <w:uiPriority w:val="99"/>
    <w:semiHidden/>
    <w:unhideWhenUsed/>
    <w:qFormat/>
    <w:rsid w:val="00ef2f83"/>
    <w:rPr>
      <w:color w:val="605E5C"/>
      <w:shd w:fill="E1DFDD" w:val="clear"/>
    </w:rPr>
  </w:style>
  <w:style w:type="character" w:styleId="MenoPendente5" w:customStyle="1">
    <w:name w:val="Menção Pendente5"/>
    <w:basedOn w:val="DefaultParagraphFont"/>
    <w:uiPriority w:val="99"/>
    <w:semiHidden/>
    <w:unhideWhenUsed/>
    <w:qFormat/>
    <w:rsid w:val="00b8787f"/>
    <w:rPr>
      <w:color w:val="605E5C"/>
      <w:shd w:fill="E1DFDD" w:val="clear"/>
    </w:rPr>
  </w:style>
  <w:style w:type="character" w:styleId="MenoPendente6" w:customStyle="1">
    <w:name w:val="Menção Pendente6"/>
    <w:basedOn w:val="DefaultParagraphFont"/>
    <w:uiPriority w:val="99"/>
    <w:semiHidden/>
    <w:unhideWhenUsed/>
    <w:qFormat/>
    <w:rsid w:val="00fa50f5"/>
    <w:rPr>
      <w:color w:val="605E5C"/>
      <w:shd w:fill="E1DFDD" w:val="clear"/>
    </w:rPr>
  </w:style>
  <w:style w:type="character" w:styleId="MenoPendente7" w:customStyle="1">
    <w:name w:val="Menção Pendente7"/>
    <w:basedOn w:val="DefaultParagraphFont"/>
    <w:uiPriority w:val="99"/>
    <w:semiHidden/>
    <w:unhideWhenUsed/>
    <w:qFormat/>
    <w:rsid w:val="00c762a3"/>
    <w:rPr>
      <w:color w:val="605E5C"/>
      <w:shd w:fill="E1DFDD" w:val="clear"/>
    </w:rPr>
  </w:style>
  <w:style w:type="character" w:styleId="MenoPendente8" w:customStyle="1">
    <w:name w:val="Menção Pendente8"/>
    <w:basedOn w:val="DefaultParagraphFont"/>
    <w:uiPriority w:val="99"/>
    <w:semiHidden/>
    <w:unhideWhenUsed/>
    <w:qFormat/>
    <w:rsid w:val="00451d9e"/>
    <w:rPr>
      <w:color w:val="605E5C"/>
      <w:shd w:fill="E1DFDD" w:val="clear"/>
    </w:rPr>
  </w:style>
  <w:style w:type="character" w:styleId="Linenumber">
    <w:name w:val="line number"/>
    <w:basedOn w:val="DefaultParagraphFont"/>
    <w:semiHidden/>
    <w:unhideWhenUsed/>
    <w:qFormat/>
    <w:rsid w:val="000e1d4f"/>
    <w:rPr/>
  </w:style>
  <w:style w:type="character" w:styleId="NenhumA" w:customStyle="1">
    <w:name w:val="Nenhum A"/>
    <w:qFormat/>
    <w:rsid w:val="0066568b"/>
    <w:rPr/>
  </w:style>
  <w:style w:type="character" w:styleId="UnresolvedMention">
    <w:name w:val="Unresolved Mention"/>
    <w:basedOn w:val="DefaultParagraphFont"/>
    <w:uiPriority w:val="99"/>
    <w:semiHidden/>
    <w:unhideWhenUsed/>
    <w:qFormat/>
    <w:rsid w:val="00887979"/>
    <w:rPr>
      <w:color w:val="605E5C"/>
      <w:shd w:fill="E1DFDD" w:val="clear"/>
    </w:rPr>
  </w:style>
  <w:style w:type="paragraph" w:styleId="Ttulo" w:customStyle="1">
    <w:name w:val="Título"/>
    <w:basedOn w:val="Normal"/>
    <w:next w:val="Corpodotexto"/>
    <w:qFormat/>
    <w:rsid w:val="00bc4540"/>
    <w:pPr>
      <w:spacing w:lineRule="auto" w:line="290" w:before="0" w:after="140"/>
    </w:pPr>
    <w:rPr>
      <w:rFonts w:ascii="Arial" w:hAnsi="Arial" w:cs="Arial"/>
      <w:b/>
      <w:bCs/>
      <w:color w:val="000000"/>
      <w:sz w:val="22"/>
      <w:szCs w:val="20"/>
    </w:rPr>
  </w:style>
  <w:style w:type="paragraph" w:styleId="Corpodotexto">
    <w:name w:val="Body Text"/>
    <w:basedOn w:val="Normal"/>
    <w:link w:val="CorpodetextoChar"/>
    <w:rsid w:val="00455a79"/>
    <w:pPr>
      <w:tabs>
        <w:tab w:val="clear" w:pos="709"/>
        <w:tab w:val="left" w:pos="576" w:leader="none"/>
        <w:tab w:val="left" w:pos="1152" w:leader="none"/>
      </w:tabs>
      <w:spacing w:lineRule="exact" w:line="360"/>
      <w:ind w:right="-6" w:hanging="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itcar" w:customStyle="1">
    <w:name w:val="citcar"/>
    <w:basedOn w:val="Normal"/>
    <w:next w:val="DeltaViewTableHeading"/>
    <w:uiPriority w:val="99"/>
    <w:qFormat/>
    <w:rsid w:val="00455a79"/>
    <w:pPr>
      <w:spacing w:lineRule="exact" w:line="240"/>
      <w:ind w:right="1134" w:hanging="0"/>
    </w:pPr>
    <w:rPr/>
  </w:style>
  <w:style w:type="paragraph" w:styleId="Citpet" w:customStyle="1">
    <w:name w:val="citpet"/>
    <w:basedOn w:val="DeltaViewTableHeading"/>
    <w:next w:val="DeltaViewTableBody"/>
    <w:uiPriority w:val="99"/>
    <w:qFormat/>
    <w:rsid w:val="00455a79"/>
    <w:pPr>
      <w:widowControl w:val="false"/>
      <w:spacing w:lineRule="exact" w:line="240" w:before="0" w:after="0"/>
      <w:ind w:left="1418" w:right="1418" w:hanging="0"/>
      <w:jc w:val="both"/>
    </w:pPr>
    <w:rPr>
      <w:rFonts w:ascii="Times New Roman" w:hAnsi="Times New Roman" w:cs="Times New Roman"/>
      <w:b w:val="false"/>
      <w:bCs w:val="false"/>
      <w:sz w:val="20"/>
      <w:szCs w:val="20"/>
      <w:lang w:val="pt-BR"/>
    </w:rPr>
  </w:style>
  <w:style w:type="paragraph" w:styleId="MF1" w:customStyle="1">
    <w:name w:val="MF1"/>
    <w:basedOn w:val="Normal"/>
    <w:next w:val="DeltaViewAnnounce"/>
    <w:autoRedefine/>
    <w:uiPriority w:val="99"/>
    <w:qFormat/>
    <w:rsid w:val="00455a79"/>
    <w:pPr>
      <w:spacing w:lineRule="exact" w:line="320"/>
      <w:jc w:val="center"/>
    </w:pPr>
    <w:rPr>
      <w:b/>
      <w:bCs/>
      <w:smallCaps/>
      <w:sz w:val="24"/>
      <w:szCs w:val="24"/>
    </w:rPr>
  </w:style>
  <w:style w:type="paragraph" w:styleId="MF2" w:customStyle="1">
    <w:name w:val="MF2"/>
    <w:basedOn w:val="Normal"/>
    <w:autoRedefine/>
    <w:uiPriority w:val="99"/>
    <w:qFormat/>
    <w:rsid w:val="00455a79"/>
    <w:pPr>
      <w:tabs>
        <w:tab w:val="clear" w:pos="709"/>
      </w:tabs>
      <w:spacing w:lineRule="exact" w:line="320"/>
      <w:ind w:left="0" w:hanging="0"/>
    </w:pPr>
    <w:rPr>
      <w:b/>
      <w:bCs/>
      <w:sz w:val="20"/>
      <w:szCs w:val="20"/>
    </w:rPr>
  </w:style>
  <w:style w:type="paragraph" w:styleId="BodyText2">
    <w:name w:val="Body Text 2"/>
    <w:basedOn w:val="Normal"/>
    <w:link w:val="Corpodetexto2Char"/>
    <w:uiPriority w:val="99"/>
    <w:qFormat/>
    <w:rsid w:val="00455a79"/>
    <w:pPr>
      <w:spacing w:lineRule="exact" w:line="360"/>
      <w:jc w:val="center"/>
    </w:pPr>
    <w:rPr/>
  </w:style>
  <w:style w:type="paragraph" w:styleId="CabealhoeRodap">
    <w:name w:val="Cabeçalho e Rodapé"/>
    <w:basedOn w:val="Normal"/>
    <w:qFormat/>
    <w:pPr/>
    <w:rPr/>
  </w:style>
  <w:style w:type="paragraph" w:styleId="Cabealho">
    <w:name w:val="Header"/>
    <w:basedOn w:val="Normal"/>
    <w:link w:val="CabealhoChar"/>
    <w:uiPriority w:val="99"/>
    <w:rsid w:val="00455a79"/>
    <w:pPr>
      <w:tabs>
        <w:tab w:val="clear" w:pos="709"/>
        <w:tab w:val="center" w:pos="4419" w:leader="none"/>
        <w:tab w:val="right" w:pos="8838" w:leader="none"/>
      </w:tabs>
    </w:pPr>
    <w:rPr/>
  </w:style>
  <w:style w:type="paragraph" w:styleId="Corpodotextorecuado">
    <w:name w:val="Body Text Indent"/>
    <w:basedOn w:val="Normal"/>
    <w:link w:val="RecuodecorpodetextoChar"/>
    <w:uiPriority w:val="99"/>
    <w:rsid w:val="00455a79"/>
    <w:pPr>
      <w:ind w:left="2127" w:hanging="711"/>
    </w:pPr>
    <w:rPr/>
  </w:style>
  <w:style w:type="paragraph" w:styleId="P0" w:customStyle="1">
    <w:name w:val="p0"/>
    <w:basedOn w:val="Normal"/>
    <w:link w:val="p0Char"/>
    <w:qFormat/>
    <w:rsid w:val="00455a79"/>
    <w:pPr>
      <w:tabs>
        <w:tab w:val="clear" w:pos="709"/>
        <w:tab w:val="left" w:pos="720" w:leader="none"/>
      </w:tabs>
      <w:spacing w:lineRule="atLeast" w:line="240"/>
    </w:pPr>
    <w:rPr>
      <w:rFonts w:ascii="Times" w:hAnsi="Times" w:cs="Times"/>
      <w:sz w:val="24"/>
      <w:szCs w:val="24"/>
    </w:rPr>
  </w:style>
  <w:style w:type="paragraph" w:styleId="BodyText3">
    <w:name w:val="Body Text 3"/>
    <w:basedOn w:val="Normal"/>
    <w:link w:val="Corpodetexto3Char"/>
    <w:uiPriority w:val="99"/>
    <w:qFormat/>
    <w:rsid w:val="00455a79"/>
    <w:pPr/>
    <w:rPr>
      <w:sz w:val="16"/>
      <w:szCs w:val="16"/>
    </w:rPr>
  </w:style>
  <w:style w:type="paragraph" w:styleId="C3" w:customStyle="1">
    <w:name w:val="c3"/>
    <w:basedOn w:val="Normal"/>
    <w:next w:val="Annotationtext"/>
    <w:qFormat/>
    <w:rsid w:val="00455a79"/>
    <w:pPr>
      <w:spacing w:lineRule="atLeast" w:line="240"/>
      <w:jc w:val="center"/>
    </w:pPr>
    <w:rPr>
      <w:rFonts w:ascii="Times" w:hAnsi="Times" w:cs="Times"/>
      <w:sz w:val="24"/>
      <w:szCs w:val="24"/>
    </w:rPr>
  </w:style>
  <w:style w:type="paragraph" w:styleId="BodyTextIndent2">
    <w:name w:val="Body Text Indent 2"/>
    <w:basedOn w:val="Normal"/>
    <w:link w:val="Recuodecorpodetexto2Char"/>
    <w:uiPriority w:val="99"/>
    <w:qFormat/>
    <w:rsid w:val="00455a79"/>
    <w:pPr>
      <w:ind w:left="709" w:hanging="709"/>
    </w:pPr>
    <w:rPr/>
  </w:style>
  <w:style w:type="paragraph" w:styleId="Rodap">
    <w:name w:val="Footer"/>
    <w:basedOn w:val="Normal"/>
    <w:link w:val="RodapChar"/>
    <w:uiPriority w:val="99"/>
    <w:rsid w:val="00455a79"/>
    <w:pPr>
      <w:tabs>
        <w:tab w:val="clear" w:pos="709"/>
        <w:tab w:val="center" w:pos="4419" w:leader="none"/>
        <w:tab w:val="right" w:pos="8838" w:leader="none"/>
      </w:tabs>
      <w:jc w:val="left"/>
    </w:pPr>
    <w:rPr/>
  </w:style>
  <w:style w:type="paragraph" w:styleId="BlockText">
    <w:name w:val="Block Text"/>
    <w:basedOn w:val="Normal"/>
    <w:uiPriority w:val="99"/>
    <w:qFormat/>
    <w:rsid w:val="00455a79"/>
    <w:pPr>
      <w:tabs>
        <w:tab w:val="clear" w:pos="709"/>
        <w:tab w:val="left" w:pos="9072" w:leader="none"/>
      </w:tabs>
      <w:spacing w:lineRule="atLeast" w:line="240"/>
      <w:ind w:left="426" w:right="-1" w:hanging="0"/>
    </w:pPr>
    <w:rPr>
      <w:sz w:val="24"/>
      <w:szCs w:val="24"/>
    </w:rPr>
  </w:style>
  <w:style w:type="paragraph" w:styleId="T7" w:customStyle="1">
    <w:name w:val="t7"/>
    <w:basedOn w:val="Normal"/>
    <w:uiPriority w:val="99"/>
    <w:qFormat/>
    <w:rsid w:val="00455a79"/>
    <w:pPr>
      <w:tabs>
        <w:tab w:val="clear" w:pos="709"/>
        <w:tab w:val="left" w:pos="1540" w:leader="none"/>
        <w:tab w:val="left" w:pos="3500" w:leader="none"/>
        <w:tab w:val="left" w:pos="5020" w:leader="none"/>
      </w:tabs>
      <w:spacing w:lineRule="atLeast" w:line="240"/>
      <w:jc w:val="left"/>
    </w:pPr>
    <w:rPr>
      <w:rFonts w:ascii="Times" w:hAnsi="Times" w:cs="Times"/>
      <w:sz w:val="24"/>
      <w:szCs w:val="24"/>
    </w:rPr>
  </w:style>
  <w:style w:type="paragraph" w:styleId="Estilo2" w:customStyle="1">
    <w:name w:val="Estilo2"/>
    <w:basedOn w:val="Normal"/>
    <w:uiPriority w:val="99"/>
    <w:qFormat/>
    <w:rsid w:val="00455a79"/>
    <w:pPr>
      <w:tabs>
        <w:tab w:val="clear" w:pos="709"/>
        <w:tab w:val="left" w:pos="2835" w:leader="none"/>
      </w:tabs>
      <w:spacing w:before="0" w:after="120"/>
      <w:ind w:left="2977" w:hanging="853"/>
      <w:jc w:val="left"/>
    </w:pPr>
    <w:rPr>
      <w:rFonts w:ascii="Arial" w:hAnsi="Arial" w:cs="Arial"/>
      <w:sz w:val="22"/>
      <w:szCs w:val="22"/>
    </w:rPr>
  </w:style>
  <w:style w:type="paragraph" w:styleId="BalloonText1" w:customStyle="1">
    <w:name w:val="Balloon Text1"/>
    <w:basedOn w:val="Normal"/>
    <w:uiPriority w:val="99"/>
    <w:qFormat/>
    <w:rsid w:val="00455a79"/>
    <w:pPr/>
    <w:rPr>
      <w:rFonts w:ascii="Tahoma" w:hAnsi="Tahoma" w:cs="Tahoma"/>
      <w:sz w:val="16"/>
      <w:szCs w:val="16"/>
    </w:rPr>
  </w:style>
  <w:style w:type="paragraph" w:styleId="CommentText1" w:customStyle="1">
    <w:name w:val="Comment Text1"/>
    <w:basedOn w:val="Normal"/>
    <w:uiPriority w:val="99"/>
    <w:qFormat/>
    <w:rsid w:val="00455a79"/>
    <w:pPr/>
    <w:rPr>
      <w:sz w:val="20"/>
      <w:szCs w:val="20"/>
    </w:rPr>
  </w:style>
  <w:style w:type="paragraph" w:styleId="CommentSubject1" w:customStyle="1">
    <w:name w:val="Comment Subject1"/>
    <w:basedOn w:val="CommentText1"/>
    <w:next w:val="CommentText1"/>
    <w:uiPriority w:val="99"/>
    <w:qFormat/>
    <w:rsid w:val="00455a79"/>
    <w:pPr/>
    <w:rPr>
      <w:b/>
      <w:bCs/>
    </w:rPr>
  </w:style>
  <w:style w:type="paragraph" w:styleId="BodyTextIndent3">
    <w:name w:val="Body Text Indent 3"/>
    <w:basedOn w:val="Normal"/>
    <w:link w:val="Recuodecorpodetexto3Char"/>
    <w:uiPriority w:val="99"/>
    <w:qFormat/>
    <w:rsid w:val="00455a79"/>
    <w:pPr>
      <w:spacing w:before="0" w:after="120"/>
      <w:ind w:left="360" w:hanging="0"/>
    </w:pPr>
    <w:rPr>
      <w:sz w:val="16"/>
      <w:szCs w:val="16"/>
    </w:rPr>
  </w:style>
  <w:style w:type="paragraph" w:styleId="Para10" w:customStyle="1">
    <w:name w:val="para10"/>
    <w:uiPriority w:val="99"/>
    <w:qFormat/>
    <w:rsid w:val="00455a79"/>
    <w:pPr>
      <w:widowControl w:val="false"/>
      <w:tabs>
        <w:tab w:val="clear" w:pos="709"/>
        <w:tab w:val="left" w:pos="0" w:leader="none"/>
        <w:tab w:val="left" w:pos="1418" w:leader="none"/>
        <w:tab w:val="left" w:pos="2835" w:leader="none"/>
        <w:tab w:val="left" w:pos="4252" w:leader="none"/>
      </w:tabs>
      <w:bidi w:val="0"/>
      <w:spacing w:lineRule="atLeast" w:line="232" w:before="121" w:after="0"/>
      <w:jc w:val="both"/>
    </w:pPr>
    <w:rPr>
      <w:rFonts w:ascii="Times" w:hAnsi="Times" w:cs="Times" w:eastAsia="Times New Roman"/>
      <w:color w:val="auto"/>
      <w:kern w:val="0"/>
      <w:sz w:val="26"/>
      <w:szCs w:val="26"/>
      <w:lang w:eastAsia="en-US" w:val="pt-BR" w:bidi="ar-SA"/>
    </w:rPr>
  </w:style>
  <w:style w:type="paragraph" w:styleId="Corpo" w:customStyle="1">
    <w:name w:val="Corpo"/>
    <w:uiPriority w:val="99"/>
    <w:qFormat/>
    <w:rsid w:val="00455a79"/>
    <w:pPr>
      <w:widowControl w:val="false"/>
      <w:bidi w:val="0"/>
      <w:spacing w:before="0" w:after="0"/>
      <w:jc w:val="both"/>
    </w:pPr>
    <w:rPr>
      <w:rFonts w:ascii="Times New Roman" w:hAnsi="Times New Roman" w:eastAsia="Times New Roman" w:cs="Times New Roman"/>
      <w:color w:val="000000"/>
      <w:kern w:val="0"/>
      <w:sz w:val="26"/>
      <w:szCs w:val="26"/>
      <w:lang w:eastAsia="en-US" w:val="pt-BR" w:bidi="ar-SA"/>
    </w:rPr>
  </w:style>
  <w:style w:type="paragraph" w:styleId="Ttulododocumento">
    <w:name w:val="Title"/>
    <w:basedOn w:val="Normal"/>
    <w:link w:val="TtuloChar"/>
    <w:uiPriority w:val="10"/>
    <w:qFormat/>
    <w:rsid w:val="00455a79"/>
    <w:pPr>
      <w:keepNext w:val="true"/>
      <w:suppressAutoHyphens w:val="true"/>
      <w:spacing w:before="240" w:after="120"/>
      <w:jc w:val="left"/>
    </w:pPr>
    <w:rPr>
      <w:rFonts w:ascii="Cambria" w:hAnsi="Cambria"/>
      <w:b/>
      <w:bCs/>
      <w:kern w:val="2"/>
      <w:sz w:val="32"/>
      <w:szCs w:val="32"/>
    </w:rPr>
  </w:style>
  <w:style w:type="paragraph" w:styleId="Subttulo">
    <w:name w:val="Subtitle"/>
    <w:basedOn w:val="Normal"/>
    <w:link w:val="SubttuloChar"/>
    <w:uiPriority w:val="11"/>
    <w:qFormat/>
    <w:rsid w:val="00455a79"/>
    <w:pPr>
      <w:tabs>
        <w:tab w:val="clear" w:pos="709"/>
        <w:tab w:val="left" w:pos="0" w:leader="none"/>
        <w:tab w:val="left" w:pos="1440" w:leader="none"/>
        <w:tab w:val="left" w:pos="2880" w:leader="none"/>
        <w:tab w:val="left" w:pos="4320" w:leader="none"/>
      </w:tabs>
      <w:spacing w:lineRule="atLeast" w:line="287" w:before="293" w:after="170"/>
    </w:pPr>
    <w:rPr>
      <w:rFonts w:ascii="Cambria" w:hAnsi="Cambria"/>
      <w:sz w:val="24"/>
      <w:szCs w:val="24"/>
    </w:rPr>
  </w:style>
  <w:style w:type="paragraph" w:styleId="BodyText21" w:customStyle="1">
    <w:name w:val="Body Text 21"/>
    <w:basedOn w:val="Normal"/>
    <w:uiPriority w:val="99"/>
    <w:qFormat/>
    <w:rsid w:val="00455a79"/>
    <w:pPr>
      <w:ind w:left="567" w:hanging="0"/>
    </w:pPr>
    <w:rPr>
      <w:sz w:val="24"/>
      <w:szCs w:val="24"/>
      <w:lang w:val="en-AU"/>
    </w:rPr>
  </w:style>
  <w:style w:type="paragraph" w:styleId="NormalWeb" w:customStyle="1">
    <w:name w:val="Normal(Web)"/>
    <w:basedOn w:val="Normal"/>
    <w:uiPriority w:val="99"/>
    <w:qFormat/>
    <w:rsid w:val="00455a79"/>
    <w:pPr>
      <w:spacing w:before="100" w:after="100"/>
      <w:jc w:val="left"/>
    </w:pPr>
    <w:rPr>
      <w:rFonts w:ascii="Arial Unicode MS" w:hAnsi="Arial Unicode MS" w:eastAsia="Arial Unicode MS" w:cs="Arial Unicode MS"/>
      <w:color w:val="000000"/>
      <w:sz w:val="24"/>
      <w:szCs w:val="24"/>
    </w:rPr>
  </w:style>
  <w:style w:type="paragraph" w:styleId="Ttulo1AgmtArticleNumber" w:customStyle="1">
    <w:name w:val="Título 1.Agmt Article Number"/>
    <w:basedOn w:val="Normal"/>
    <w:next w:val="Normal"/>
    <w:uiPriority w:val="99"/>
    <w:qFormat/>
    <w:rsid w:val="00455a79"/>
    <w:pPr>
      <w:keepNext w:val="true"/>
      <w:jc w:val="left"/>
      <w:outlineLvl w:val="0"/>
    </w:pPr>
    <w:rPr>
      <w:b/>
      <w:bCs/>
      <w:sz w:val="18"/>
      <w:szCs w:val="18"/>
    </w:rPr>
  </w:style>
  <w:style w:type="paragraph" w:styleId="DeltaViewTableBody" w:customStyle="1">
    <w:name w:val="DeltaView Table Body"/>
    <w:basedOn w:val="Normal"/>
    <w:qFormat/>
    <w:rsid w:val="00455a79"/>
    <w:pPr>
      <w:jc w:val="left"/>
    </w:pPr>
    <w:rPr>
      <w:rFonts w:ascii="Arial" w:hAnsi="Arial" w:cs="Arial"/>
      <w:sz w:val="24"/>
      <w:szCs w:val="24"/>
      <w:lang w:val="en-US"/>
    </w:rPr>
  </w:style>
  <w:style w:type="paragraph" w:styleId="BalloonText">
    <w:name w:val="Balloon Text"/>
    <w:basedOn w:val="Normal"/>
    <w:link w:val="TextodebaloChar"/>
    <w:uiPriority w:val="99"/>
    <w:qFormat/>
    <w:rsid w:val="00455a79"/>
    <w:pPr/>
    <w:rPr>
      <w:rFonts w:ascii="Tahoma" w:hAnsi="Tahoma"/>
      <w:sz w:val="16"/>
      <w:szCs w:val="16"/>
    </w:rPr>
  </w:style>
  <w:style w:type="paragraph" w:styleId="CharCharCharCharCharCharCharCharCharCharChar" w:customStyle="1">
    <w:name w:val="Char Char Char Char Char Char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1Char" w:customStyle="1">
    <w:name w:val="Char Char1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2Char" w:customStyle="1">
    <w:name w:val="Char Char2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TEXTO" w:customStyle="1">
    <w:name w:val="TEXTO"/>
    <w:autoRedefine/>
    <w:uiPriority w:val="99"/>
    <w:qFormat/>
    <w:rsid w:val="00455a79"/>
    <w:pPr>
      <w:keepNext w:val="true"/>
      <w:keepLines/>
      <w:widowControl/>
      <w:bidi w:val="0"/>
      <w:spacing w:lineRule="exact" w:line="300" w:before="0" w:after="0"/>
      <w:ind w:left="707" w:hanging="707"/>
      <w:jc w:val="left"/>
    </w:pPr>
    <w:rPr>
      <w:rFonts w:ascii="Frutiger Light" w:hAnsi="Frutiger Light" w:cs="Frutiger Light" w:eastAsia="Times New Roman"/>
      <w:color w:val="auto"/>
      <w:kern w:val="0"/>
      <w:sz w:val="26"/>
      <w:szCs w:val="26"/>
      <w:lang w:eastAsia="en-US" w:val="pt-BR" w:bidi="ar-SA"/>
    </w:rPr>
  </w:style>
  <w:style w:type="paragraph" w:styleId="ListParagraph">
    <w:name w:val="List Paragraph"/>
    <w:basedOn w:val="Normal"/>
    <w:link w:val="PargrafodaListaChar"/>
    <w:uiPriority w:val="34"/>
    <w:qFormat/>
    <w:rsid w:val="00455a79"/>
    <w:pPr>
      <w:ind w:left="708" w:hanging="0"/>
    </w:pPr>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1CharCharCharCharCharCharCharCharCharCharCharChar" w:customStyle="1">
    <w:name w:val="Char1 Char Char Char Char Char Char Char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CharCharCharChar" w:customStyle="1">
    <w:name w:val="Char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 w:customStyle="1">
    <w:name w:val="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ommentSubject2" w:customStyle="1">
    <w:name w:val="Comment Subject2"/>
    <w:basedOn w:val="CommentText1"/>
    <w:next w:val="CommentText1"/>
    <w:uiPriority w:val="99"/>
    <w:qFormat/>
    <w:rsid w:val="00455a79"/>
    <w:pPr/>
    <w:rPr>
      <w:b/>
      <w:bCs/>
    </w:rPr>
  </w:style>
  <w:style w:type="paragraph" w:styleId="ListBullet">
    <w:name w:val="List Bullet"/>
    <w:basedOn w:val="Normal"/>
    <w:uiPriority w:val="99"/>
    <w:qFormat/>
    <w:rsid w:val="00455a79"/>
    <w:pPr/>
    <w:rPr/>
  </w:style>
  <w:style w:type="paragraph" w:styleId="CharChar1CharCharCharCharCharCharCharCharCharCharCharCharCharCharChar" w:customStyle="1">
    <w:name w:val="Char Char1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CharCharChar" w:customStyle="1">
    <w:name w:val="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Estilo" w:customStyle="1">
    <w:name w:val="Estilo"/>
    <w:basedOn w:val="Normal"/>
    <w:uiPriority w:val="99"/>
    <w:qFormat/>
    <w:rsid w:val="00455a79"/>
    <w:pPr>
      <w:spacing w:lineRule="exact" w:line="240" w:before="0" w:after="160"/>
    </w:pPr>
    <w:rPr>
      <w:rFonts w:ascii="Verdana" w:hAnsi="Verdana" w:cs="Verdana"/>
      <w:sz w:val="20"/>
      <w:szCs w:val="20"/>
      <w:lang w:val="en-US"/>
    </w:rPr>
  </w:style>
  <w:style w:type="paragraph" w:styleId="Char2CharCharCharCharChar1" w:customStyle="1">
    <w:name w:val="Char2 Char Char Char Char Char1"/>
    <w:basedOn w:val="Normal"/>
    <w:uiPriority w:val="99"/>
    <w:qFormat/>
    <w:rsid w:val="00455a79"/>
    <w:pPr>
      <w:spacing w:lineRule="exact" w:line="240" w:before="0" w:after="160"/>
    </w:pPr>
    <w:rPr>
      <w:rFonts w:ascii="Verdana" w:hAnsi="Verdana" w:cs="Verdana"/>
      <w:sz w:val="20"/>
      <w:szCs w:val="20"/>
      <w:lang w:val="en-US"/>
    </w:rPr>
  </w:style>
  <w:style w:type="paragraph" w:styleId="CharChar3" w:customStyle="1">
    <w:name w:val="Char Char3"/>
    <w:basedOn w:val="Normal"/>
    <w:uiPriority w:val="99"/>
    <w:qFormat/>
    <w:rsid w:val="00455a79"/>
    <w:pPr>
      <w:spacing w:lineRule="exact" w:line="240" w:before="0" w:after="160"/>
    </w:pPr>
    <w:rPr>
      <w:rFonts w:ascii="Verdana" w:hAnsi="Verdana" w:cs="Verdana"/>
      <w:sz w:val="20"/>
      <w:szCs w:val="20"/>
      <w:lang w:val="en-US"/>
    </w:rPr>
  </w:style>
  <w:style w:type="paragraph" w:styleId="CharChar5Char" w:customStyle="1">
    <w:name w:val="Char Char5 Char"/>
    <w:basedOn w:val="Normal"/>
    <w:uiPriority w:val="99"/>
    <w:qFormat/>
    <w:rsid w:val="00455a79"/>
    <w:pPr>
      <w:spacing w:lineRule="exact" w:line="240" w:before="0" w:after="160"/>
    </w:pPr>
    <w:rPr>
      <w:rFonts w:ascii="Verdana" w:hAnsi="Verdana" w:cs="Verdana"/>
      <w:sz w:val="20"/>
      <w:szCs w:val="20"/>
      <w:lang w:val="en-US"/>
    </w:rPr>
  </w:style>
  <w:style w:type="paragraph" w:styleId="CharChar1CharCharCharCharCharCharCharCharCharCharCharCharCharCharCharChar" w:customStyle="1">
    <w:name w:val="Char Char1 Char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Char1CharCharCharCharCharCharCharCharCharCharCharCharCharCharCharCharCharCharCharCharCharCharChar" w:customStyle="1">
    <w:name w:val="Char Char1 Char Char Char Char Char Char Char Char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2CharCharCharCharChar1Char" w:customStyle="1">
    <w:name w:val="Char2 Char Char Char Char Char1 Char"/>
    <w:basedOn w:val="Normal"/>
    <w:uiPriority w:val="99"/>
    <w:qFormat/>
    <w:rsid w:val="00455a79"/>
    <w:pPr>
      <w:spacing w:lineRule="exact" w:line="240" w:before="0" w:after="160"/>
    </w:pPr>
    <w:rPr>
      <w:rFonts w:ascii="Verdana" w:hAnsi="Verdana" w:cs="Verdana"/>
      <w:sz w:val="20"/>
      <w:szCs w:val="20"/>
      <w:lang w:val="en-US"/>
    </w:rPr>
  </w:style>
  <w:style w:type="paragraph" w:styleId="DeltaViewTableHeading" w:customStyle="1">
    <w:name w:val="DeltaView Table Heading"/>
    <w:basedOn w:val="Normal"/>
    <w:uiPriority w:val="99"/>
    <w:qFormat/>
    <w:rsid w:val="00455a79"/>
    <w:pPr>
      <w:widowControl/>
      <w:spacing w:before="0" w:after="120"/>
      <w:jc w:val="left"/>
    </w:pPr>
    <w:rPr>
      <w:rFonts w:ascii="Arial" w:hAnsi="Arial" w:cs="Arial"/>
      <w:b/>
      <w:bCs/>
      <w:sz w:val="24"/>
      <w:szCs w:val="24"/>
      <w:lang w:val="en-US"/>
    </w:rPr>
  </w:style>
  <w:style w:type="paragraph" w:styleId="DeltaViewAnnounce" w:customStyle="1">
    <w:name w:val="DeltaView Announce"/>
    <w:uiPriority w:val="99"/>
    <w:qFormat/>
    <w:rsid w:val="00c74ebc"/>
    <w:pPr>
      <w:widowControl/>
      <w:bidi w:val="0"/>
      <w:spacing w:beforeAutospacing="1" w:afterAutospacing="1"/>
      <w:jc w:val="left"/>
    </w:pPr>
    <w:rPr>
      <w:rFonts w:ascii="Arial" w:hAnsi="Arial" w:cs="Arial" w:eastAsia="Times New Roman"/>
      <w:color w:val="auto"/>
      <w:kern w:val="0"/>
      <w:sz w:val="26"/>
      <w:szCs w:val="24"/>
      <w:lang w:val="en-GB" w:eastAsia="en-US" w:bidi="ar-SA"/>
    </w:rPr>
  </w:style>
  <w:style w:type="paragraph" w:styleId="Annotationtext">
    <w:name w:val="annotation text"/>
    <w:basedOn w:val="Normal"/>
    <w:link w:val="TextodecomentrioChar1"/>
    <w:uiPriority w:val="99"/>
    <w:qFormat/>
    <w:rsid w:val="00455a79"/>
    <w:pPr>
      <w:widowControl/>
      <w:jc w:val="left"/>
    </w:pPr>
    <w:rPr>
      <w:sz w:val="20"/>
      <w:szCs w:val="20"/>
    </w:rPr>
  </w:style>
  <w:style w:type="paragraph" w:styleId="DocumentMap">
    <w:name w:val="Document Map"/>
    <w:basedOn w:val="Normal"/>
    <w:link w:val="MapadoDocumentoChar"/>
    <w:uiPriority w:val="99"/>
    <w:qFormat/>
    <w:rsid w:val="00455a79"/>
    <w:pPr>
      <w:widowControl/>
      <w:shd w:val="clear" w:color="auto" w:fill="000080"/>
      <w:jc w:val="left"/>
    </w:pPr>
    <w:rPr>
      <w:rFonts w:ascii="Tahoma" w:hAnsi="Tahoma"/>
      <w:sz w:val="16"/>
      <w:szCs w:val="16"/>
    </w:rPr>
  </w:style>
  <w:style w:type="paragraph" w:styleId="Annotationsubject">
    <w:name w:val="annotation subject"/>
    <w:basedOn w:val="Annotationtext"/>
    <w:next w:val="Annotationtext"/>
    <w:link w:val="AssuntodocomentrioChar1"/>
    <w:uiPriority w:val="99"/>
    <w:semiHidden/>
    <w:unhideWhenUsed/>
    <w:qFormat/>
    <w:rsid w:val="00843195"/>
    <w:pPr>
      <w:widowControl w:val="false"/>
      <w:jc w:val="both"/>
    </w:pPr>
    <w:rPr>
      <w:b/>
      <w:bCs/>
    </w:rPr>
  </w:style>
  <w:style w:type="paragraph" w:styleId="NormalWeb1">
    <w:name w:val="Normal (Web)"/>
    <w:basedOn w:val="Normal"/>
    <w:uiPriority w:val="99"/>
    <w:qFormat/>
    <w:rsid w:val="006509fb"/>
    <w:pPr>
      <w:widowControl/>
      <w:spacing w:beforeAutospacing="1" w:afterAutospacing="1"/>
      <w:jc w:val="left"/>
    </w:pPr>
    <w:rPr>
      <w:rFonts w:ascii="Verdana" w:hAnsi="Verdana" w:eastAsia="Arial Unicode MS" w:cs="Verdana"/>
      <w:sz w:val="24"/>
      <w:szCs w:val="24"/>
      <w:lang w:eastAsia="pt-BR"/>
    </w:rPr>
  </w:style>
  <w:style w:type="paragraph" w:styleId="Revision">
    <w:name w:val="Revision"/>
    <w:uiPriority w:val="99"/>
    <w:semiHidden/>
    <w:qFormat/>
    <w:rsid w:val="00294111"/>
    <w:pPr>
      <w:widowControl/>
      <w:bidi w:val="0"/>
      <w:spacing w:before="0" w:after="0"/>
      <w:jc w:val="left"/>
    </w:pPr>
    <w:rPr>
      <w:rFonts w:ascii="Times New Roman" w:hAnsi="Times New Roman" w:eastAsia="Times New Roman" w:cs="Times New Roman"/>
      <w:color w:val="auto"/>
      <w:kern w:val="0"/>
      <w:sz w:val="26"/>
      <w:szCs w:val="26"/>
      <w:lang w:eastAsia="en-US" w:val="pt-BR" w:bidi="ar-SA"/>
    </w:rPr>
  </w:style>
  <w:style w:type="paragraph" w:styleId="Default" w:customStyle="1">
    <w:name w:val="Default"/>
    <w:qFormat/>
    <w:rsid w:val="00c74ebc"/>
    <w:pPr>
      <w:widowControl/>
      <w:bidi w:val="0"/>
      <w:spacing w:before="0" w:after="0"/>
      <w:jc w:val="left"/>
    </w:pPr>
    <w:rPr>
      <w:rFonts w:ascii="Arial" w:hAnsi="Arial" w:cs="Arial" w:eastAsia="Times New Roman"/>
      <w:color w:val="000000"/>
      <w:kern w:val="0"/>
      <w:sz w:val="26"/>
      <w:szCs w:val="24"/>
      <w:lang w:val="pt-BR" w:eastAsia="pt-BR" w:bidi="ar-SA"/>
    </w:rPr>
  </w:style>
  <w:style w:type="paragraph" w:styleId="P3" w:customStyle="1">
    <w:name w:val="p3"/>
    <w:basedOn w:val="Normal"/>
    <w:qFormat/>
    <w:rsid w:val="00a6524f"/>
    <w:pPr>
      <w:widowControl/>
      <w:tabs>
        <w:tab w:val="clear" w:pos="709"/>
        <w:tab w:val="left" w:pos="720" w:leader="none"/>
      </w:tabs>
      <w:spacing w:lineRule="atLeast" w:line="240"/>
    </w:pPr>
    <w:rPr>
      <w:rFonts w:ascii="Times" w:hAnsi="Times" w:eastAsia="MS Mincho"/>
      <w:sz w:val="24"/>
      <w:szCs w:val="20"/>
    </w:rPr>
  </w:style>
  <w:style w:type="paragraph" w:styleId="PlainText">
    <w:name w:val="Plain Text"/>
    <w:basedOn w:val="Normal"/>
    <w:link w:val="TextosemFormataoChar"/>
    <w:uiPriority w:val="99"/>
    <w:semiHidden/>
    <w:unhideWhenUsed/>
    <w:qFormat/>
    <w:rsid w:val="00e92d6f"/>
    <w:pPr>
      <w:widowControl/>
      <w:jc w:val="left"/>
    </w:pPr>
    <w:rPr>
      <w:rFonts w:ascii="Calibri" w:hAnsi="Calibri"/>
      <w:sz w:val="22"/>
      <w:szCs w:val="21"/>
    </w:rPr>
  </w:style>
  <w:style w:type="paragraph" w:styleId="Level4" w:customStyle="1">
    <w:name w:val="Level 4"/>
    <w:basedOn w:val="Normal"/>
    <w:qFormat/>
    <w:rsid w:val="00ac0e40"/>
    <w:pPr>
      <w:widowControl/>
      <w:spacing w:lineRule="auto" w:line="290" w:before="0" w:after="140"/>
      <w:outlineLvl w:val="3"/>
    </w:pPr>
    <w:rPr>
      <w:rFonts w:ascii="Arial" w:hAnsi="Arial" w:eastAsia="Arial"/>
      <w:sz w:val="20"/>
      <w:szCs w:val="20"/>
      <w:lang w:val="en-GB" w:eastAsia="en-GB"/>
    </w:rPr>
  </w:style>
  <w:style w:type="paragraph" w:styleId="Level5" w:customStyle="1">
    <w:name w:val="Level 5"/>
    <w:basedOn w:val="Normal"/>
    <w:qFormat/>
    <w:rsid w:val="00ac0e40"/>
    <w:pPr>
      <w:widowControl/>
      <w:spacing w:lineRule="auto" w:line="290" w:before="0" w:after="140"/>
    </w:pPr>
    <w:rPr>
      <w:rFonts w:ascii="Arial" w:hAnsi="Arial" w:eastAsia="Arial"/>
      <w:sz w:val="20"/>
      <w:szCs w:val="20"/>
      <w:lang w:val="en-GB" w:eastAsia="en-GB"/>
    </w:rPr>
  </w:style>
  <w:style w:type="paragraph" w:styleId="Level3" w:customStyle="1">
    <w:name w:val="Level 3"/>
    <w:basedOn w:val="Normal"/>
    <w:link w:val="Level3Char"/>
    <w:qFormat/>
    <w:rsid w:val="00046646"/>
    <w:pPr>
      <w:widowControl/>
      <w:spacing w:lineRule="auto" w:line="290" w:before="0" w:after="140"/>
      <w:outlineLvl w:val="2"/>
    </w:pPr>
    <w:rPr>
      <w:rFonts w:ascii="Arial" w:hAnsi="Arial" w:eastAsia="Arial"/>
      <w:sz w:val="20"/>
      <w:szCs w:val="28"/>
      <w:lang w:val="en-GB" w:eastAsia="en-GB"/>
    </w:rPr>
  </w:style>
  <w:style w:type="paragraph" w:styleId="Body2" w:customStyle="1">
    <w:name w:val="Body 2"/>
    <w:basedOn w:val="Normal"/>
    <w:qFormat/>
    <w:rsid w:val="00046646"/>
    <w:pPr/>
    <w:rPr/>
  </w:style>
  <w:style w:type="paragraph" w:styleId="Level2" w:customStyle="1">
    <w:name w:val="Level 2"/>
    <w:basedOn w:val="Normal"/>
    <w:link w:val="Level2Char"/>
    <w:qFormat/>
    <w:rsid w:val="00e04cb7"/>
    <w:pPr>
      <w:widowControl/>
      <w:spacing w:lineRule="auto" w:line="290" w:before="0" w:after="140"/>
      <w:outlineLvl w:val="1"/>
    </w:pPr>
    <w:rPr>
      <w:rFonts w:ascii="Arial" w:hAnsi="Arial" w:eastAsia="Arial"/>
      <w:sz w:val="20"/>
      <w:szCs w:val="28"/>
      <w:lang w:val="en-GB" w:eastAsia="en-GB"/>
    </w:rPr>
  </w:style>
  <w:style w:type="paragraph" w:styleId="Marcador1" w:customStyle="1">
    <w:name w:val="Marcador(1)"/>
    <w:basedOn w:val="Normal"/>
    <w:qFormat/>
    <w:rsid w:val="00885c00"/>
    <w:pPr>
      <w:spacing w:lineRule="auto" w:line="290" w:before="0" w:after="140"/>
    </w:pPr>
    <w:rPr>
      <w:rFonts w:ascii="Arial" w:hAnsi="Arial" w:eastAsia="Arial"/>
      <w:sz w:val="20"/>
      <w:szCs w:val="20"/>
      <w:lang w:val="en-GB" w:eastAsia="en-GB"/>
    </w:rPr>
  </w:style>
  <w:style w:type="paragraph" w:styleId="CM13" w:customStyle="1">
    <w:name w:val="CM13"/>
    <w:basedOn w:val="Default"/>
    <w:next w:val="Default"/>
    <w:uiPriority w:val="99"/>
    <w:qFormat/>
    <w:rsid w:val="002a3e1e"/>
    <w:pPr>
      <w:widowControl w:val="false"/>
    </w:pPr>
    <w:rPr>
      <w:rFonts w:ascii="Times" w:hAnsi="Times" w:cs="Times"/>
      <w:color w:val="auto"/>
    </w:rPr>
  </w:style>
  <w:style w:type="paragraph" w:styleId="CM14" w:customStyle="1">
    <w:name w:val="CM14"/>
    <w:basedOn w:val="Default"/>
    <w:next w:val="Default"/>
    <w:uiPriority w:val="99"/>
    <w:qFormat/>
    <w:rsid w:val="002a3e1e"/>
    <w:pPr>
      <w:widowControl w:val="false"/>
    </w:pPr>
    <w:rPr>
      <w:rFonts w:ascii="Times" w:hAnsi="Times" w:cs="Times"/>
      <w:color w:val="auto"/>
    </w:rPr>
  </w:style>
  <w:style w:type="paragraph" w:styleId="CM15" w:customStyle="1">
    <w:name w:val="CM15"/>
    <w:basedOn w:val="Default"/>
    <w:next w:val="Default"/>
    <w:uiPriority w:val="99"/>
    <w:qFormat/>
    <w:rsid w:val="002a3e1e"/>
    <w:pPr>
      <w:widowControl w:val="false"/>
    </w:pPr>
    <w:rPr>
      <w:rFonts w:ascii="Times" w:hAnsi="Times" w:cs="Times"/>
      <w:color w:val="auto"/>
    </w:rPr>
  </w:style>
  <w:style w:type="paragraph" w:styleId="CM3" w:customStyle="1">
    <w:name w:val="CM3"/>
    <w:basedOn w:val="Default"/>
    <w:next w:val="Default"/>
    <w:uiPriority w:val="99"/>
    <w:qFormat/>
    <w:rsid w:val="002a3e1e"/>
    <w:pPr>
      <w:widowControl w:val="false"/>
      <w:spacing w:lineRule="atLeast" w:line="348"/>
    </w:pPr>
    <w:rPr>
      <w:rFonts w:ascii="Times" w:hAnsi="Times" w:cs="Times"/>
      <w:color w:val="auto"/>
    </w:rPr>
  </w:style>
  <w:style w:type="paragraph" w:styleId="CM16" w:customStyle="1">
    <w:name w:val="CM16"/>
    <w:basedOn w:val="Default"/>
    <w:next w:val="Default"/>
    <w:uiPriority w:val="99"/>
    <w:qFormat/>
    <w:rsid w:val="002a3e1e"/>
    <w:pPr>
      <w:widowControl w:val="false"/>
    </w:pPr>
    <w:rPr>
      <w:rFonts w:ascii="Times" w:hAnsi="Times" w:cs="Times"/>
      <w:color w:val="auto"/>
    </w:rPr>
  </w:style>
  <w:style w:type="paragraph" w:styleId="CM17" w:customStyle="1">
    <w:name w:val="CM17"/>
    <w:basedOn w:val="Default"/>
    <w:next w:val="Default"/>
    <w:uiPriority w:val="99"/>
    <w:qFormat/>
    <w:rsid w:val="002a3e1e"/>
    <w:pPr>
      <w:widowControl w:val="false"/>
    </w:pPr>
    <w:rPr>
      <w:rFonts w:ascii="Times" w:hAnsi="Times" w:cs="Times"/>
      <w:color w:val="auto"/>
    </w:rPr>
  </w:style>
  <w:style w:type="paragraph" w:styleId="Level1" w:customStyle="1">
    <w:name w:val="Level 1"/>
    <w:basedOn w:val="Normal"/>
    <w:qFormat/>
    <w:rsid w:val="00da21fb"/>
    <w:pPr>
      <w:keepNext w:val="true"/>
      <w:widowControl/>
      <w:spacing w:lineRule="auto" w:line="290" w:before="280" w:after="140"/>
      <w:outlineLvl w:val="0"/>
    </w:pPr>
    <w:rPr>
      <w:rFonts w:ascii="Arial" w:hAnsi="Arial" w:cs="Arial"/>
      <w:b/>
      <w:bCs/>
      <w:iCs/>
      <w:sz w:val="22"/>
      <w:szCs w:val="20"/>
    </w:rPr>
  </w:style>
  <w:style w:type="paragraph" w:styleId="Level6" w:customStyle="1">
    <w:name w:val="Level 6"/>
    <w:basedOn w:val="Normal"/>
    <w:qFormat/>
    <w:rsid w:val="006b14a4"/>
    <w:pPr>
      <w:widowControl/>
      <w:spacing w:lineRule="auto" w:line="290" w:before="0" w:after="140"/>
    </w:pPr>
    <w:rPr>
      <w:rFonts w:ascii="Arial" w:hAnsi="Arial" w:cs="Arial"/>
      <w:sz w:val="20"/>
    </w:rPr>
  </w:style>
  <w:style w:type="paragraph" w:styleId="Contratos1ClausulasArtigos" w:customStyle="1">
    <w:name w:val="Contratos 1_ClausulasArtigos"/>
    <w:basedOn w:val="Normal"/>
    <w:qFormat/>
    <w:rsid w:val="006b14a4"/>
    <w:pPr>
      <w:widowControl/>
      <w:spacing w:lineRule="auto" w:line="290" w:before="0" w:after="140"/>
    </w:pPr>
    <w:rPr>
      <w:rFonts w:ascii="Arial" w:hAnsi="Arial"/>
      <w:sz w:val="20"/>
      <w:szCs w:val="24"/>
    </w:rPr>
  </w:style>
  <w:style w:type="paragraph" w:styleId="Contratos2pargrafos" w:customStyle="1">
    <w:name w:val="Contratos 2_parágrafos"/>
    <w:basedOn w:val="Normal"/>
    <w:qFormat/>
    <w:rsid w:val="006b14a4"/>
    <w:pPr>
      <w:widowControl/>
      <w:spacing w:lineRule="auto" w:line="290" w:before="0" w:after="140"/>
    </w:pPr>
    <w:rPr>
      <w:rFonts w:ascii="Arial" w:hAnsi="Arial"/>
      <w:sz w:val="20"/>
      <w:szCs w:val="24"/>
    </w:rPr>
  </w:style>
  <w:style w:type="paragraph" w:styleId="Contratos3i" w:customStyle="1">
    <w:name w:val="Contratos 3_(i)"/>
    <w:basedOn w:val="Normal"/>
    <w:qFormat/>
    <w:rsid w:val="006b14a4"/>
    <w:pPr>
      <w:widowControl/>
      <w:spacing w:lineRule="auto" w:line="290" w:before="0" w:after="140"/>
    </w:pPr>
    <w:rPr>
      <w:rFonts w:ascii="Arial" w:hAnsi="Arial"/>
      <w:sz w:val="20"/>
      <w:szCs w:val="24"/>
    </w:rPr>
  </w:style>
  <w:style w:type="paragraph" w:styleId="Contratospargrafonico" w:customStyle="1">
    <w:name w:val="Contratos_parágrafo único"/>
    <w:basedOn w:val="Normal"/>
    <w:link w:val="ContratospargrafonicoChar"/>
    <w:qFormat/>
    <w:rsid w:val="006b14a4"/>
    <w:pPr>
      <w:widowControl/>
      <w:spacing w:lineRule="auto" w:line="290" w:before="0" w:after="140"/>
      <w:ind w:left="680" w:hanging="0"/>
    </w:pPr>
    <w:rPr>
      <w:rFonts w:ascii="Arial" w:hAnsi="Arial"/>
      <w:kern w:val="2"/>
      <w:sz w:val="20"/>
      <w:szCs w:val="24"/>
    </w:rPr>
  </w:style>
  <w:style w:type="paragraph" w:styleId="Body" w:customStyle="1">
    <w:name w:val="Body"/>
    <w:basedOn w:val="Normal"/>
    <w:link w:val="BodyChar"/>
    <w:uiPriority w:val="99"/>
    <w:qFormat/>
    <w:rsid w:val="006b14a4"/>
    <w:pPr>
      <w:widowControl/>
      <w:spacing w:lineRule="auto" w:line="290" w:before="0" w:after="140"/>
    </w:pPr>
    <w:rPr>
      <w:rFonts w:ascii="Arial" w:hAnsi="Arial" w:cs="Arial"/>
      <w:sz w:val="20"/>
      <w:szCs w:val="20"/>
    </w:rPr>
  </w:style>
  <w:style w:type="paragraph" w:styleId="Nivel1" w:customStyle="1">
    <w:name w:val="Nivel 1"/>
    <w:basedOn w:val="CM17"/>
    <w:qFormat/>
    <w:rsid w:val="001d1391"/>
    <w:pPr>
      <w:spacing w:lineRule="atLeast" w:line="300"/>
    </w:pPr>
    <w:rPr>
      <w:rFonts w:ascii="Times New Roman" w:hAnsi="Times New Roman" w:cs="Times New Roman"/>
      <w:b/>
      <w:bCs/>
      <w:color w:val="000000"/>
      <w:sz w:val="22"/>
      <w:szCs w:val="22"/>
    </w:rPr>
  </w:style>
  <w:style w:type="paragraph" w:styleId="Nivel2" w:customStyle="1">
    <w:name w:val="Nivel 2"/>
    <w:basedOn w:val="CM17"/>
    <w:qFormat/>
    <w:rsid w:val="001d1391"/>
    <w:pPr>
      <w:spacing w:lineRule="atLeast" w:line="300"/>
    </w:pPr>
    <w:rPr>
      <w:rFonts w:ascii="Times New Roman" w:hAnsi="Times New Roman" w:cs="Times New Roman"/>
      <w:bCs/>
      <w:color w:val="000000"/>
      <w:sz w:val="22"/>
      <w:szCs w:val="22"/>
    </w:rPr>
  </w:style>
  <w:style w:type="paragraph" w:styleId="Nivel3" w:customStyle="1">
    <w:name w:val="Nivel 3"/>
    <w:basedOn w:val="Corpodotexto"/>
    <w:qFormat/>
    <w:rsid w:val="001d1391"/>
    <w:pPr>
      <w:widowControl/>
      <w:tabs>
        <w:tab w:val="clear" w:pos="576"/>
        <w:tab w:val="clear" w:pos="1152"/>
      </w:tabs>
      <w:spacing w:lineRule="exact" w:line="320"/>
      <w:ind w:right="0" w:hanging="0"/>
    </w:pPr>
    <w:rPr>
      <w:rFonts w:eastAsia="MS Mincho"/>
      <w:color w:val="000000"/>
      <w:sz w:val="22"/>
      <w:szCs w:val="22"/>
      <w:lang w:eastAsia="pt-BR"/>
    </w:rPr>
  </w:style>
  <w:style w:type="paragraph" w:styleId="Nivel4" w:customStyle="1">
    <w:name w:val="Nivel 4"/>
    <w:basedOn w:val="Default"/>
    <w:qFormat/>
    <w:rsid w:val="001d1391"/>
    <w:pPr>
      <w:widowControl w:val="false"/>
      <w:tabs>
        <w:tab w:val="clear" w:pos="709"/>
        <w:tab w:val="left" w:pos="1701" w:leader="none"/>
      </w:tabs>
      <w:spacing w:lineRule="atLeast" w:line="300"/>
      <w:jc w:val="both"/>
    </w:pPr>
    <w:rPr>
      <w:rFonts w:ascii="Times New Roman" w:hAnsi="Times New Roman" w:cs="Times New Roman"/>
      <w:sz w:val="22"/>
      <w:szCs w:val="22"/>
    </w:rPr>
  </w:style>
  <w:style w:type="paragraph" w:styleId="Nivel5" w:customStyle="1">
    <w:name w:val="Nivel 5"/>
    <w:basedOn w:val="Default"/>
    <w:qFormat/>
    <w:rsid w:val="001d1391"/>
    <w:pPr>
      <w:widowControl w:val="false"/>
      <w:spacing w:lineRule="atLeast" w:line="300"/>
      <w:jc w:val="both"/>
    </w:pPr>
    <w:rPr>
      <w:rFonts w:ascii="Times New Roman" w:hAnsi="Times New Roman" w:cs="Times New Roman"/>
      <w:sz w:val="22"/>
      <w:szCs w:val="22"/>
    </w:rPr>
  </w:style>
  <w:style w:type="paragraph" w:styleId="Nivel6" w:customStyle="1">
    <w:name w:val="Nivel 6"/>
    <w:basedOn w:val="CM17"/>
    <w:qFormat/>
    <w:rsid w:val="001d1391"/>
    <w:pPr>
      <w:spacing w:lineRule="atLeast" w:line="300"/>
      <w:jc w:val="both"/>
    </w:pPr>
    <w:rPr>
      <w:rFonts w:ascii="Times New Roman" w:hAnsi="Times New Roman" w:eastAsia="TT108t00" w:cs="Times New Roman"/>
      <w:sz w:val="22"/>
      <w:szCs w:val="22"/>
    </w:rPr>
  </w:style>
  <w:style w:type="paragraph" w:styleId="CM1" w:customStyle="1">
    <w:name w:val="CM1"/>
    <w:basedOn w:val="Default"/>
    <w:next w:val="Default"/>
    <w:uiPriority w:val="99"/>
    <w:qFormat/>
    <w:rsid w:val="004e1850"/>
    <w:pPr>
      <w:widowControl w:val="false"/>
      <w:spacing w:lineRule="atLeast" w:line="351"/>
    </w:pPr>
    <w:rPr>
      <w:rFonts w:ascii="Times" w:hAnsi="Times" w:cs="Times"/>
      <w:color w:val="auto"/>
    </w:rPr>
  </w:style>
  <w:style w:type="paragraph" w:styleId="CM2" w:customStyle="1">
    <w:name w:val="CM2"/>
    <w:basedOn w:val="Default"/>
    <w:next w:val="Default"/>
    <w:uiPriority w:val="99"/>
    <w:qFormat/>
    <w:rsid w:val="004e1850"/>
    <w:pPr>
      <w:widowControl w:val="false"/>
    </w:pPr>
    <w:rPr>
      <w:rFonts w:ascii="Times" w:hAnsi="Times" w:cs="Times"/>
      <w:color w:val="auto"/>
    </w:rPr>
  </w:style>
  <w:style w:type="paragraph" w:styleId="CM18" w:customStyle="1">
    <w:name w:val="CM18"/>
    <w:basedOn w:val="Default"/>
    <w:next w:val="Default"/>
    <w:uiPriority w:val="99"/>
    <w:qFormat/>
    <w:rsid w:val="004e1850"/>
    <w:pPr>
      <w:widowControl w:val="false"/>
    </w:pPr>
    <w:rPr>
      <w:rFonts w:ascii="Times" w:hAnsi="Times" w:cs="Times"/>
      <w:color w:val="auto"/>
    </w:rPr>
  </w:style>
  <w:style w:type="paragraph" w:styleId="CM20" w:customStyle="1">
    <w:name w:val="CM20"/>
    <w:basedOn w:val="Default"/>
    <w:next w:val="Default"/>
    <w:uiPriority w:val="99"/>
    <w:qFormat/>
    <w:rsid w:val="004e1850"/>
    <w:pPr>
      <w:widowControl w:val="false"/>
    </w:pPr>
    <w:rPr>
      <w:rFonts w:ascii="Times" w:hAnsi="Times" w:cs="Times"/>
      <w:color w:val="auto"/>
    </w:rPr>
  </w:style>
  <w:style w:type="paragraph" w:styleId="CM4" w:customStyle="1">
    <w:name w:val="CM4"/>
    <w:basedOn w:val="Default"/>
    <w:next w:val="Default"/>
    <w:uiPriority w:val="99"/>
    <w:qFormat/>
    <w:rsid w:val="004e1850"/>
    <w:pPr>
      <w:widowControl w:val="false"/>
    </w:pPr>
    <w:rPr>
      <w:rFonts w:ascii="Times" w:hAnsi="Times" w:cs="Times"/>
      <w:color w:val="auto"/>
    </w:rPr>
  </w:style>
  <w:style w:type="paragraph" w:styleId="CM5" w:customStyle="1">
    <w:name w:val="CM5"/>
    <w:basedOn w:val="Default"/>
    <w:next w:val="Default"/>
    <w:uiPriority w:val="99"/>
    <w:qFormat/>
    <w:rsid w:val="004e1850"/>
    <w:pPr>
      <w:widowControl w:val="false"/>
      <w:spacing w:lineRule="atLeast" w:line="351"/>
    </w:pPr>
    <w:rPr>
      <w:rFonts w:ascii="Times" w:hAnsi="Times" w:cs="Times"/>
      <w:color w:val="auto"/>
    </w:rPr>
  </w:style>
  <w:style w:type="paragraph" w:styleId="CM24" w:customStyle="1">
    <w:name w:val="CM24"/>
    <w:basedOn w:val="Default"/>
    <w:next w:val="Default"/>
    <w:uiPriority w:val="99"/>
    <w:qFormat/>
    <w:rsid w:val="004e1850"/>
    <w:pPr>
      <w:widowControl w:val="false"/>
    </w:pPr>
    <w:rPr>
      <w:rFonts w:ascii="Times" w:hAnsi="Times" w:cs="Times"/>
      <w:color w:val="auto"/>
    </w:rPr>
  </w:style>
  <w:style w:type="paragraph" w:styleId="CM26" w:customStyle="1">
    <w:name w:val="CM26"/>
    <w:basedOn w:val="Default"/>
    <w:next w:val="Default"/>
    <w:uiPriority w:val="99"/>
    <w:qFormat/>
    <w:rsid w:val="004e1850"/>
    <w:pPr>
      <w:widowControl w:val="false"/>
    </w:pPr>
    <w:rPr>
      <w:rFonts w:ascii="Times" w:hAnsi="Times" w:cs="Times"/>
      <w:color w:val="auto"/>
    </w:rPr>
  </w:style>
  <w:style w:type="paragraph" w:styleId="CM27" w:customStyle="1">
    <w:name w:val="CM27"/>
    <w:basedOn w:val="Default"/>
    <w:next w:val="Default"/>
    <w:uiPriority w:val="99"/>
    <w:qFormat/>
    <w:rsid w:val="004e1850"/>
    <w:pPr>
      <w:widowControl w:val="false"/>
    </w:pPr>
    <w:rPr>
      <w:rFonts w:ascii="Times" w:hAnsi="Times" w:cs="Times"/>
      <w:color w:val="auto"/>
    </w:rPr>
  </w:style>
  <w:style w:type="paragraph" w:styleId="CM28" w:customStyle="1">
    <w:name w:val="CM28"/>
    <w:basedOn w:val="Default"/>
    <w:next w:val="Default"/>
    <w:uiPriority w:val="99"/>
    <w:qFormat/>
    <w:rsid w:val="004e1850"/>
    <w:pPr>
      <w:widowControl w:val="false"/>
    </w:pPr>
    <w:rPr>
      <w:rFonts w:ascii="Times" w:hAnsi="Times" w:cs="Times"/>
      <w:color w:val="auto"/>
    </w:rPr>
  </w:style>
  <w:style w:type="paragraph" w:styleId="CM29" w:customStyle="1">
    <w:name w:val="CM29"/>
    <w:basedOn w:val="Default"/>
    <w:next w:val="Default"/>
    <w:uiPriority w:val="99"/>
    <w:qFormat/>
    <w:rsid w:val="004e1850"/>
    <w:pPr>
      <w:widowControl w:val="false"/>
    </w:pPr>
    <w:rPr>
      <w:rFonts w:ascii="Times" w:hAnsi="Times" w:cs="Times"/>
      <w:color w:val="auto"/>
    </w:rPr>
  </w:style>
  <w:style w:type="paragraph" w:styleId="CM30" w:customStyle="1">
    <w:name w:val="CM30"/>
    <w:basedOn w:val="Default"/>
    <w:next w:val="Default"/>
    <w:uiPriority w:val="99"/>
    <w:qFormat/>
    <w:rsid w:val="004e1850"/>
    <w:pPr>
      <w:widowControl w:val="false"/>
    </w:pPr>
    <w:rPr>
      <w:rFonts w:ascii="Times" w:hAnsi="Times" w:cs="Times"/>
      <w:color w:val="auto"/>
    </w:rPr>
  </w:style>
  <w:style w:type="paragraph" w:styleId="CM25" w:customStyle="1">
    <w:name w:val="CM25"/>
    <w:basedOn w:val="Default"/>
    <w:next w:val="Default"/>
    <w:uiPriority w:val="99"/>
    <w:qFormat/>
    <w:rsid w:val="004e1850"/>
    <w:pPr>
      <w:widowControl w:val="false"/>
    </w:pPr>
    <w:rPr>
      <w:rFonts w:ascii="Times" w:hAnsi="Times" w:cs="Times"/>
      <w:color w:val="auto"/>
    </w:rPr>
  </w:style>
  <w:style w:type="paragraph" w:styleId="CM6" w:customStyle="1">
    <w:name w:val="CM6"/>
    <w:basedOn w:val="Default"/>
    <w:next w:val="Default"/>
    <w:uiPriority w:val="99"/>
    <w:qFormat/>
    <w:rsid w:val="004e1850"/>
    <w:pPr>
      <w:widowControl w:val="false"/>
      <w:spacing w:lineRule="atLeast" w:line="351"/>
    </w:pPr>
    <w:rPr>
      <w:rFonts w:ascii="Times" w:hAnsi="Times" w:cs="Times"/>
      <w:color w:val="auto"/>
    </w:rPr>
  </w:style>
  <w:style w:type="paragraph" w:styleId="CM7" w:customStyle="1">
    <w:name w:val="CM7"/>
    <w:basedOn w:val="Default"/>
    <w:next w:val="Default"/>
    <w:uiPriority w:val="99"/>
    <w:qFormat/>
    <w:rsid w:val="004e1850"/>
    <w:pPr>
      <w:widowControl w:val="false"/>
    </w:pPr>
    <w:rPr>
      <w:rFonts w:ascii="Times" w:hAnsi="Times" w:cs="Times"/>
      <w:color w:val="auto"/>
    </w:rPr>
  </w:style>
  <w:style w:type="paragraph" w:styleId="CM8" w:customStyle="1">
    <w:name w:val="CM8"/>
    <w:basedOn w:val="Default"/>
    <w:next w:val="Default"/>
    <w:uiPriority w:val="99"/>
    <w:qFormat/>
    <w:rsid w:val="004e1850"/>
    <w:pPr>
      <w:widowControl w:val="false"/>
      <w:spacing w:lineRule="atLeast" w:line="346"/>
    </w:pPr>
    <w:rPr>
      <w:rFonts w:ascii="Times" w:hAnsi="Times" w:cs="Times"/>
      <w:color w:val="auto"/>
    </w:rPr>
  </w:style>
  <w:style w:type="paragraph" w:styleId="CM9" w:customStyle="1">
    <w:name w:val="CM9"/>
    <w:basedOn w:val="Default"/>
    <w:next w:val="Default"/>
    <w:uiPriority w:val="99"/>
    <w:qFormat/>
    <w:rsid w:val="004e1850"/>
    <w:pPr>
      <w:widowControl w:val="false"/>
      <w:spacing w:lineRule="atLeast" w:line="348"/>
    </w:pPr>
    <w:rPr>
      <w:rFonts w:ascii="Times" w:hAnsi="Times" w:cs="Times"/>
      <w:color w:val="auto"/>
    </w:rPr>
  </w:style>
  <w:style w:type="paragraph" w:styleId="CM32" w:customStyle="1">
    <w:name w:val="CM32"/>
    <w:basedOn w:val="Default"/>
    <w:next w:val="Default"/>
    <w:uiPriority w:val="99"/>
    <w:qFormat/>
    <w:rsid w:val="004e1850"/>
    <w:pPr>
      <w:widowControl w:val="false"/>
    </w:pPr>
    <w:rPr>
      <w:rFonts w:ascii="Times" w:hAnsi="Times" w:cs="Times"/>
      <w:color w:val="auto"/>
    </w:rPr>
  </w:style>
  <w:style w:type="paragraph" w:styleId="CM10" w:customStyle="1">
    <w:name w:val="CM10"/>
    <w:basedOn w:val="Default"/>
    <w:next w:val="Default"/>
    <w:uiPriority w:val="99"/>
    <w:qFormat/>
    <w:rsid w:val="004e1850"/>
    <w:pPr>
      <w:widowControl w:val="false"/>
      <w:spacing w:lineRule="atLeast" w:line="351"/>
    </w:pPr>
    <w:rPr>
      <w:rFonts w:ascii="Times" w:hAnsi="Times" w:cs="Times"/>
      <w:color w:val="auto"/>
    </w:rPr>
  </w:style>
  <w:style w:type="paragraph" w:styleId="CM12" w:customStyle="1">
    <w:name w:val="CM12"/>
    <w:basedOn w:val="Default"/>
    <w:next w:val="Default"/>
    <w:uiPriority w:val="99"/>
    <w:qFormat/>
    <w:rsid w:val="004e1850"/>
    <w:pPr>
      <w:widowControl w:val="false"/>
      <w:spacing w:lineRule="atLeast" w:line="351"/>
    </w:pPr>
    <w:rPr>
      <w:rFonts w:ascii="Times" w:hAnsi="Times" w:cs="Times"/>
      <w:color w:val="auto"/>
    </w:rPr>
  </w:style>
  <w:style w:type="paragraph" w:styleId="CM19" w:customStyle="1">
    <w:name w:val="CM19"/>
    <w:basedOn w:val="Default"/>
    <w:next w:val="Default"/>
    <w:uiPriority w:val="99"/>
    <w:qFormat/>
    <w:rsid w:val="004e1850"/>
    <w:pPr>
      <w:widowControl w:val="false"/>
    </w:pPr>
    <w:rPr>
      <w:rFonts w:ascii="Times" w:hAnsi="Times" w:cs="Times"/>
      <w:color w:val="auto"/>
    </w:rPr>
  </w:style>
  <w:style w:type="paragraph" w:styleId="Parties" w:customStyle="1">
    <w:name w:val="Parties"/>
    <w:basedOn w:val="Normal"/>
    <w:qFormat/>
    <w:rsid w:val="004e1850"/>
    <w:pPr>
      <w:widowControl/>
      <w:spacing w:lineRule="auto" w:line="290" w:before="0" w:after="140"/>
    </w:pPr>
    <w:rPr>
      <w:rFonts w:ascii="Arial" w:hAnsi="Arial" w:eastAsia="MS Mincho" w:cs="Arial"/>
      <w:bCs/>
      <w:sz w:val="20"/>
      <w:szCs w:val="20"/>
      <w:lang w:eastAsia="pt-BR"/>
    </w:rPr>
  </w:style>
  <w:style w:type="paragraph" w:styleId="Recitals" w:customStyle="1">
    <w:name w:val="Recitals"/>
    <w:basedOn w:val="Normal"/>
    <w:qFormat/>
    <w:rsid w:val="004e1850"/>
    <w:pPr>
      <w:widowControl/>
      <w:spacing w:lineRule="auto" w:line="290" w:before="0" w:after="140"/>
    </w:pPr>
    <w:rPr>
      <w:rFonts w:ascii="Arial" w:hAnsi="Arial" w:eastAsia="MS Mincho" w:cs="Arial"/>
      <w:sz w:val="20"/>
      <w:szCs w:val="20"/>
      <w:lang w:eastAsia="pt-BR"/>
    </w:rPr>
  </w:style>
  <w:style w:type="paragraph" w:styleId="Parties2" w:customStyle="1">
    <w:name w:val="Parties 2"/>
    <w:basedOn w:val="Normal"/>
    <w:qFormat/>
    <w:rsid w:val="004e1850"/>
    <w:pPr>
      <w:widowControl/>
      <w:spacing w:lineRule="auto" w:line="290" w:before="0" w:after="140"/>
    </w:pPr>
    <w:rPr>
      <w:rFonts w:ascii="Arial" w:hAnsi="Arial" w:eastAsia="MS Mincho" w:cs="Arial"/>
      <w:sz w:val="20"/>
      <w:szCs w:val="20"/>
      <w:lang w:eastAsia="pt-BR"/>
    </w:rPr>
  </w:style>
  <w:style w:type="paragraph" w:styleId="Recitals2" w:customStyle="1">
    <w:name w:val="Recitals 2"/>
    <w:basedOn w:val="Normal"/>
    <w:qFormat/>
    <w:rsid w:val="004e1850"/>
    <w:pPr>
      <w:widowControl/>
      <w:spacing w:lineRule="auto" w:line="290" w:before="0" w:after="140"/>
    </w:pPr>
    <w:rPr>
      <w:rFonts w:ascii="Arial" w:hAnsi="Arial" w:eastAsia="MS Mincho" w:cs="Arial"/>
      <w:sz w:val="20"/>
      <w:szCs w:val="20"/>
      <w:lang w:eastAsia="pt-BR"/>
    </w:rPr>
  </w:style>
  <w:style w:type="paragraph" w:styleId="Switzerland" w:customStyle="1">
    <w:name w:val="Switzerland"/>
    <w:basedOn w:val="Corpodotexto"/>
    <w:qFormat/>
    <w:rsid w:val="00f151a9"/>
    <w:pPr>
      <w:widowControl/>
      <w:tabs>
        <w:tab w:val="clear" w:pos="576"/>
        <w:tab w:val="clear" w:pos="1152"/>
      </w:tabs>
      <w:spacing w:lineRule="auto" w:line="240"/>
      <w:ind w:right="0" w:hanging="0"/>
    </w:pPr>
    <w:rPr>
      <w:rFonts w:eastAsia="MS Mincho"/>
      <w:sz w:val="22"/>
      <w:szCs w:val="22"/>
    </w:rPr>
  </w:style>
  <w:style w:type="paragraph" w:styleId="BodyBlock" w:customStyle="1">
    <w:name w:val="BodyBlock"/>
    <w:basedOn w:val="Normal"/>
    <w:link w:val="BodyBlockChar"/>
    <w:qFormat/>
    <w:rsid w:val="00b156a7"/>
    <w:pPr>
      <w:widowControl/>
      <w:tabs>
        <w:tab w:val="clear" w:pos="709"/>
        <w:tab w:val="left" w:pos="432" w:leader="none"/>
      </w:tabs>
      <w:spacing w:lineRule="exact" w:line="240" w:before="0" w:after="120"/>
    </w:pPr>
    <w:rPr>
      <w:sz w:val="21"/>
      <w:szCs w:val="20"/>
      <w:lang w:val="en-GB"/>
    </w:rPr>
  </w:style>
  <w:style w:type="paragraph" w:styleId="Level7" w:customStyle="1">
    <w:name w:val="Level 7"/>
    <w:basedOn w:val="Normal"/>
    <w:qFormat/>
    <w:rsid w:val="00b40460"/>
    <w:pPr>
      <w:widowControl/>
      <w:tabs>
        <w:tab w:val="clear" w:pos="709"/>
        <w:tab w:val="left" w:pos="3288" w:leader="none"/>
      </w:tabs>
      <w:spacing w:lineRule="auto" w:line="290" w:before="0" w:after="140"/>
      <w:ind w:left="3288" w:hanging="680"/>
      <w:outlineLvl w:val="6"/>
    </w:pPr>
    <w:rPr>
      <w:rFonts w:ascii="Arial" w:hAnsi="Arial"/>
      <w:kern w:val="2"/>
      <w:sz w:val="20"/>
      <w:szCs w:val="24"/>
      <w:lang w:eastAsia="en-GB"/>
    </w:rPr>
  </w:style>
  <w:style w:type="paragraph" w:styleId="Level8" w:customStyle="1">
    <w:name w:val="Level 8"/>
    <w:basedOn w:val="Normal"/>
    <w:qFormat/>
    <w:rsid w:val="00b40460"/>
    <w:pPr>
      <w:widowControl/>
      <w:tabs>
        <w:tab w:val="clear" w:pos="709"/>
        <w:tab w:val="left" w:pos="3288" w:leader="none"/>
      </w:tabs>
      <w:spacing w:lineRule="auto" w:line="290" w:before="0" w:after="140"/>
      <w:ind w:left="3288" w:hanging="680"/>
      <w:outlineLvl w:val="7"/>
    </w:pPr>
    <w:rPr>
      <w:rFonts w:ascii="Arial" w:hAnsi="Arial"/>
      <w:kern w:val="2"/>
      <w:sz w:val="20"/>
      <w:szCs w:val="24"/>
      <w:lang w:eastAsia="en-GB"/>
    </w:rPr>
  </w:style>
  <w:style w:type="paragraph" w:styleId="Level9" w:customStyle="1">
    <w:name w:val="Level 9"/>
    <w:basedOn w:val="Normal"/>
    <w:qFormat/>
    <w:rsid w:val="00b40460"/>
    <w:pPr>
      <w:widowControl/>
      <w:tabs>
        <w:tab w:val="clear" w:pos="709"/>
        <w:tab w:val="left" w:pos="3288" w:leader="none"/>
      </w:tabs>
      <w:spacing w:lineRule="auto" w:line="290" w:before="0" w:after="140"/>
      <w:ind w:left="3288" w:hanging="680"/>
      <w:outlineLvl w:val="8"/>
    </w:pPr>
    <w:rPr>
      <w:rFonts w:ascii="Arial" w:hAnsi="Arial"/>
      <w:kern w:val="2"/>
      <w:sz w:val="20"/>
      <w:szCs w:val="24"/>
      <w:lang w:eastAsia="en-GB"/>
    </w:rPr>
  </w:style>
  <w:style w:type="paragraph" w:styleId="Bullet3" w:customStyle="1">
    <w:name w:val="Bullet 3"/>
    <w:basedOn w:val="Normal"/>
    <w:qFormat/>
    <w:rsid w:val="00960d67"/>
    <w:pPr>
      <w:widowControl/>
      <w:spacing w:lineRule="auto" w:line="290" w:before="0" w:after="140"/>
    </w:pPr>
    <w:rPr>
      <w:rFonts w:ascii="Arial" w:hAnsi="Arial" w:cs="Arial"/>
      <w:sz w:val="20"/>
    </w:rPr>
  </w:style>
  <w:style w:type="paragraph" w:styleId="Bullet1" w:customStyle="1">
    <w:name w:val="Bullet 1"/>
    <w:basedOn w:val="Normal"/>
    <w:qFormat/>
    <w:rsid w:val="00960d67"/>
    <w:pPr>
      <w:widowControl/>
      <w:spacing w:lineRule="auto" w:line="290" w:before="0" w:after="140"/>
    </w:pPr>
    <w:rPr>
      <w:rFonts w:ascii="Arial" w:hAnsi="Arial" w:cs="Arial"/>
      <w:sz w:val="20"/>
    </w:rPr>
  </w:style>
  <w:style w:type="paragraph" w:styleId="Bullet2" w:customStyle="1">
    <w:name w:val="Bullet 2"/>
    <w:basedOn w:val="Normal"/>
    <w:qFormat/>
    <w:rsid w:val="00960d67"/>
    <w:pPr>
      <w:widowControl/>
      <w:spacing w:lineRule="auto" w:line="290" w:before="0" w:after="140"/>
    </w:pPr>
    <w:rPr>
      <w:rFonts w:ascii="Arial" w:hAnsi="Arial" w:cs="Arial"/>
      <w:sz w:val="20"/>
    </w:rPr>
  </w:style>
  <w:style w:type="paragraph" w:styleId="Body3" w:customStyle="1">
    <w:name w:val="Body 3"/>
    <w:basedOn w:val="Body"/>
    <w:qFormat/>
    <w:rsid w:val="00c26d10"/>
    <w:pPr>
      <w:ind w:left="2041" w:hanging="0"/>
    </w:pPr>
    <w:rPr>
      <w:szCs w:val="22"/>
      <w:lang w:eastAsia="pt-BR"/>
    </w:rPr>
  </w:style>
  <w:style w:type="paragraph" w:styleId="Notaderodap">
    <w:name w:val="Footnote Text"/>
    <w:basedOn w:val="Normal"/>
    <w:next w:val="FootnoteTextcont"/>
    <w:link w:val="TextodenotaderodapChar"/>
    <w:unhideWhenUsed/>
    <w:rsid w:val="000223b8"/>
    <w:pPr>
      <w:tabs>
        <w:tab w:val="clear" w:pos="709"/>
        <w:tab w:val="left" w:pos="227" w:leader="none"/>
      </w:tabs>
      <w:ind w:left="227" w:hanging="227"/>
    </w:pPr>
    <w:rPr>
      <w:rFonts w:ascii="Arial" w:hAnsi="Arial" w:cs="Arial"/>
      <w:sz w:val="16"/>
      <w:szCs w:val="20"/>
    </w:rPr>
  </w:style>
  <w:style w:type="paragraph" w:styleId="FootnoteTextcont" w:customStyle="1">
    <w:name w:val="Footnote Text cont"/>
    <w:basedOn w:val="Normal"/>
    <w:qFormat/>
    <w:rsid w:val="000223b8"/>
    <w:pPr>
      <w:ind w:left="227" w:hanging="0"/>
    </w:pPr>
    <w:rPr>
      <w:rFonts w:ascii="Arial" w:hAnsi="Arial" w:cs="Arial"/>
      <w:sz w:val="16"/>
    </w:rPr>
  </w:style>
  <w:style w:type="paragraph" w:styleId="ContratoN3" w:customStyle="1">
    <w:name w:val="Contrato_N3"/>
    <w:basedOn w:val="Normal"/>
    <w:qFormat/>
    <w:rsid w:val="00bc4540"/>
    <w:pPr>
      <w:widowControl/>
      <w:tabs>
        <w:tab w:val="clear" w:pos="709"/>
        <w:tab w:val="left" w:pos="1854" w:leader="none"/>
      </w:tabs>
      <w:spacing w:lineRule="exact" w:line="300" w:before="360" w:after="120"/>
      <w:ind w:left="1638" w:hanging="504"/>
    </w:pPr>
    <w:rPr>
      <w:sz w:val="24"/>
      <w:szCs w:val="24"/>
      <w:lang w:val="en-US" w:eastAsia="pt-BR"/>
    </w:rPr>
  </w:style>
  <w:style w:type="paragraph" w:styleId="EstiloContratoN1PretoVersalete" w:customStyle="1">
    <w:name w:val="Estilo Contrato_N1 + Preto Versalete"/>
    <w:basedOn w:val="Normal"/>
    <w:qFormat/>
    <w:rsid w:val="00bc4540"/>
    <w:pPr>
      <w:widowControl/>
      <w:tabs>
        <w:tab w:val="clear" w:pos="709"/>
        <w:tab w:val="left" w:pos="0" w:leader="none"/>
      </w:tabs>
      <w:spacing w:before="600" w:after="120"/>
      <w:ind w:left="0" w:firstLine="288"/>
      <w:jc w:val="center"/>
    </w:pPr>
    <w:rPr>
      <w:rFonts w:ascii="Times New Roman Negrito" w:hAnsi="Times New Roman Negrito"/>
      <w:b/>
      <w:smallCaps/>
      <w:color w:val="000000"/>
      <w:sz w:val="24"/>
      <w:szCs w:val="24"/>
      <w:lang w:val="en-US" w:eastAsia="pt-BR"/>
    </w:rPr>
  </w:style>
  <w:style w:type="paragraph" w:styleId="PargrafodaLista1" w:customStyle="1">
    <w:name w:val="Parágrafo da Lista1"/>
    <w:basedOn w:val="Normal"/>
    <w:qFormat/>
    <w:rsid w:val="00bc4540"/>
    <w:pPr>
      <w:widowControl/>
      <w:jc w:val="left"/>
    </w:pPr>
    <w:rPr>
      <w:sz w:val="24"/>
      <w:szCs w:val="24"/>
      <w:lang w:eastAsia="pt-BR"/>
    </w:rPr>
  </w:style>
  <w:style w:type="paragraph" w:styleId="TabBody" w:customStyle="1">
    <w:name w:val="TabBody"/>
    <w:basedOn w:val="Normal"/>
    <w:qFormat/>
    <w:rsid w:val="00dc1903"/>
    <w:pPr>
      <w:widowControl/>
      <w:spacing w:lineRule="exact" w:line="240" w:before="60" w:after="60"/>
    </w:pPr>
    <w:rPr>
      <w:rFonts w:ascii="Arial" w:hAnsi="Arial" w:eastAsia="Arial Unicode MS" w:cs="Arial"/>
      <w:sz w:val="18"/>
      <w:szCs w:val="24"/>
      <w:lang w:eastAsia="pt-BR"/>
    </w:rPr>
  </w:style>
  <w:style w:type="paragraph" w:styleId="TabHeading" w:customStyle="1">
    <w:name w:val="TabHeading"/>
    <w:basedOn w:val="Normal"/>
    <w:qFormat/>
    <w:rsid w:val="003c7554"/>
    <w:pPr>
      <w:widowControl/>
      <w:spacing w:lineRule="exact" w:line="240" w:before="60" w:after="60"/>
    </w:pPr>
    <w:rPr>
      <w:rFonts w:ascii="Arial" w:hAnsi="Arial" w:eastAsia="SimSun" w:cs="Arial"/>
      <w:b/>
      <w:sz w:val="18"/>
      <w:szCs w:val="24"/>
      <w:lang w:eastAsia="pt-BR"/>
    </w:rPr>
  </w:style>
  <w:style w:type="paragraph" w:styleId="Level51" w:customStyle="1">
    <w:name w:val="level5"/>
    <w:basedOn w:val="Normal"/>
    <w:qFormat/>
    <w:rsid w:val="006f4c13"/>
    <w:pPr>
      <w:widowControl/>
      <w:spacing w:lineRule="auto" w:line="288" w:before="0" w:after="140"/>
      <w:ind w:left="2721" w:hanging="680"/>
    </w:pPr>
    <w:rPr>
      <w:rFonts w:ascii="Arial" w:hAnsi="Arial" w:eastAsia="Calibri" w:cs="Arial" w:eastAsiaTheme="minorHAnsi"/>
      <w:sz w:val="20"/>
      <w:szCs w:val="20"/>
      <w:lang w:eastAsia="pt-BR"/>
    </w:rPr>
  </w:style>
  <w:style w:type="paragraph" w:styleId="CharCharCharCharCharChar1" w:customStyle="1">
    <w:name w:val="Char Char Char Char Char Char1"/>
    <w:basedOn w:val="Normal"/>
    <w:qFormat/>
    <w:rsid w:val="009e02c4"/>
    <w:pPr>
      <w:widowControl/>
      <w:spacing w:lineRule="exact" w:line="240" w:before="0" w:after="160"/>
      <w:jc w:val="left"/>
    </w:pPr>
    <w:rPr>
      <w:rFonts w:ascii="Verdana" w:hAnsi="Verdana"/>
      <w:sz w:val="20"/>
      <w:szCs w:val="20"/>
      <w:lang w:val="en-US"/>
    </w:rPr>
  </w:style>
  <w:style w:type="paragraph" w:styleId="ListParagraph1" w:customStyle="1">
    <w:name w:val="List Paragraph1"/>
    <w:basedOn w:val="Normal"/>
    <w:qFormat/>
    <w:rsid w:val="00832117"/>
    <w:pPr>
      <w:widowControl/>
      <w:ind w:left="708" w:hanging="0"/>
      <w:jc w:val="left"/>
    </w:pPr>
    <w:rPr>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4e18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elanormal"/>
    <w:uiPriority w:val="59"/>
    <w:rsid w:val="00e91c5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wmf"/><Relationship Id="rId7" Type="http://schemas.openxmlformats.org/officeDocument/2006/relationships/hyperlink" Target="mailto:spestruturacao@simplificpavarini.com.br" TargetMode="External"/><Relationship Id="rId8" Type="http://schemas.openxmlformats.org/officeDocument/2006/relationships/hyperlink" Target="mailto:escrituracaorf@itau-unibanco.com.br" TargetMode="Externa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Relationship Id="rId19" Type="http://schemas.openxmlformats.org/officeDocument/2006/relationships/customXml" Target="../customXml/item5.xml"/><Relationship Id="rId20" Type="http://schemas.openxmlformats.org/officeDocument/2006/relationships/customXml" Target="../customXml/item6.xml"/><Relationship Id="rId21" Type="http://schemas.openxmlformats.org/officeDocument/2006/relationships/customXml" Target="../customXml/item7.xml"/><Relationship Id="rId22" Type="http://schemas.openxmlformats.org/officeDocument/2006/relationships/customXml" Target="../customXml/item8.xml"/><Relationship Id="rId23" Type="http://schemas.openxmlformats.org/officeDocument/2006/relationships/customXml" Target="../customXml/item9.xml"/><Relationship Id="rId24" Type="http://schemas.openxmlformats.org/officeDocument/2006/relationships/customXml" Target="../customXml/item10.xml"/><Relationship Id="rId25" Type="http://schemas.openxmlformats.org/officeDocument/2006/relationships/customXml" Target="../customXml/item11.xml"/><Relationship Id="rId26" Type="http://schemas.openxmlformats.org/officeDocument/2006/relationships/customXml" Target="../customXml/item12.xml"/><Relationship Id="rId27" Type="http://schemas.openxmlformats.org/officeDocument/2006/relationships/customXml" Target="../customXml/item13.xml"/><Relationship Id="rId28" Type="http://schemas.openxmlformats.org/officeDocument/2006/relationships/customXml" Target="../customXml/item14.xml"/><Relationship Id="rId29" Type="http://schemas.openxmlformats.org/officeDocument/2006/relationships/customXml" Target="../customXml/item15.xml"/><Relationship Id="rId30" Type="http://schemas.openxmlformats.org/officeDocument/2006/relationships/customXml" Target="../customXml/item16.xml"/><Relationship Id="rId31" Type="http://schemas.openxmlformats.org/officeDocument/2006/relationships/customXml" Target="../customXml/item17.xml"/><Relationship Id="rId32" Type="http://schemas.openxmlformats.org/officeDocument/2006/relationships/customXml" Target="../customXml/item18.xml"/><Relationship Id="rId33" Type="http://schemas.openxmlformats.org/officeDocument/2006/relationships/customXml" Target="../customXml/item19.xml"/><Relationship Id="rId34" Type="http://schemas.openxmlformats.org/officeDocument/2006/relationships/customXml" Target="../customXml/item20.xml"/><Relationship Id="rId35" Type="http://schemas.openxmlformats.org/officeDocument/2006/relationships/customXml" Target="../customXml/item21.xml"/><Relationship Id="rId36" Type="http://schemas.openxmlformats.org/officeDocument/2006/relationships/customXml" Target="../customXml/item22.xml"/><Relationship Id="rId37" Type="http://schemas.openxmlformats.org/officeDocument/2006/relationships/customXml" Target="../customXml/item23.xml"/><Relationship Id="rId38" Type="http://schemas.openxmlformats.org/officeDocument/2006/relationships/customXml" Target="../customXml/item24.xml"/><Relationship Id="rId39" Type="http://schemas.openxmlformats.org/officeDocument/2006/relationships/customXml" Target="../customXml/item25.xml"/><Relationship Id="rId40" Type="http://schemas.openxmlformats.org/officeDocument/2006/relationships/customXml" Target="../customXml/item26.xml"/><Relationship Id="rId41" Type="http://schemas.openxmlformats.org/officeDocument/2006/relationships/customXml" Target="../customXml/item27.xml"/><Relationship Id="rId42" Type="http://schemas.openxmlformats.org/officeDocument/2006/relationships/customXml" Target="../customXml/item28.xml"/><Relationship Id="rId43" Type="http://schemas.openxmlformats.org/officeDocument/2006/relationships/customXml" Target="../customXml/item29.xml"/><Relationship Id="rId44" Type="http://schemas.openxmlformats.org/officeDocument/2006/relationships/customXml" Target="../customXml/item30.xml"/><Relationship Id="rId45" Type="http://schemas.openxmlformats.org/officeDocument/2006/relationships/customXml" Target="../customXml/item31.xml"/><Relationship Id="rId46" Type="http://schemas.openxmlformats.org/officeDocument/2006/relationships/customXml" Target="../customXml/item32.xml"/><Relationship Id="rId47" Type="http://schemas.openxmlformats.org/officeDocument/2006/relationships/customXml" Target="../customXml/item33.xml"/><Relationship Id="rId48" Type="http://schemas.openxmlformats.org/officeDocument/2006/relationships/customXml" Target="../customXml/item34.xml"/><Relationship Id="rId49" Type="http://schemas.openxmlformats.org/officeDocument/2006/relationships/customXml" Target="../customXml/item35.xml"/><Relationship Id="rId50" Type="http://schemas.openxmlformats.org/officeDocument/2006/relationships/customXml" Target="../customXml/item36.xml"/><Relationship Id="rId51" Type="http://schemas.openxmlformats.org/officeDocument/2006/relationships/customXml" Target="../customXml/item37.xml"/><Relationship Id="rId52" Type="http://schemas.openxmlformats.org/officeDocument/2006/relationships/customXml" Target="../customXml/item38.xml"/><Relationship Id="rId53" Type="http://schemas.openxmlformats.org/officeDocument/2006/relationships/customXml" Target="../customXml/item39.xml"/><Relationship Id="rId54" Type="http://schemas.openxmlformats.org/officeDocument/2006/relationships/customXml" Target="../customXml/item40.xml"/><Relationship Id="rId55" Type="http://schemas.openxmlformats.org/officeDocument/2006/relationships/customXml" Target="../customXml/item4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10.xml.rels><?xml version="1.0" encoding="UTF-8"?>
<Relationships xmlns="http://schemas.openxmlformats.org/package/2006/relationships"><Relationship Id="rId1" Type="http://schemas.openxmlformats.org/officeDocument/2006/relationships/customXmlProps" Target="itemProps10.xml"/>
</Relationships>
</file>

<file path=customXml/_rels/item11.xml.rels><?xml version="1.0" encoding="UTF-8"?>
<Relationships xmlns="http://schemas.openxmlformats.org/package/2006/relationships"><Relationship Id="rId1" Type="http://schemas.openxmlformats.org/officeDocument/2006/relationships/customXmlProps" Target="itemProps11.xml"/>
</Relationships>
</file>

<file path=customXml/_rels/item12.xml.rels><?xml version="1.0" encoding="UTF-8"?>
<Relationships xmlns="http://schemas.openxmlformats.org/package/2006/relationships"><Relationship Id="rId1" Type="http://schemas.openxmlformats.org/officeDocument/2006/relationships/customXmlProps" Target="itemProps12.xml"/>
</Relationships>
</file>

<file path=customXml/_rels/item13.xml.rels><?xml version="1.0" encoding="UTF-8"?>
<Relationships xmlns="http://schemas.openxmlformats.org/package/2006/relationships"><Relationship Id="rId1" Type="http://schemas.openxmlformats.org/officeDocument/2006/relationships/customXmlProps" Target="itemProps13.xml"/>
</Relationships>
</file>

<file path=customXml/_rels/item14.xml.rels><?xml version="1.0" encoding="UTF-8"?>
<Relationships xmlns="http://schemas.openxmlformats.org/package/2006/relationships"><Relationship Id="rId1" Type="http://schemas.openxmlformats.org/officeDocument/2006/relationships/customXmlProps" Target="itemProps14.xml"/>
</Relationships>
</file>

<file path=customXml/_rels/item15.xml.rels><?xml version="1.0" encoding="UTF-8"?>
<Relationships xmlns="http://schemas.openxmlformats.org/package/2006/relationships"><Relationship Id="rId1" Type="http://schemas.openxmlformats.org/officeDocument/2006/relationships/customXmlProps" Target="itemProps15.xml"/>
</Relationships>
</file>

<file path=customXml/_rels/item16.xml.rels><?xml version="1.0" encoding="UTF-8"?>
<Relationships xmlns="http://schemas.openxmlformats.org/package/2006/relationships"><Relationship Id="rId1" Type="http://schemas.openxmlformats.org/officeDocument/2006/relationships/customXmlProps" Target="itemProps16.xml"/>
</Relationships>
</file>

<file path=customXml/_rels/item17.xml.rels><?xml version="1.0" encoding="UTF-8"?>
<Relationships xmlns="http://schemas.openxmlformats.org/package/2006/relationships"><Relationship Id="rId1" Type="http://schemas.openxmlformats.org/officeDocument/2006/relationships/customXmlProps" Target="itemProps17.xml"/>
</Relationships>
</file>

<file path=customXml/_rels/item18.xml.rels><?xml version="1.0" encoding="UTF-8"?>
<Relationships xmlns="http://schemas.openxmlformats.org/package/2006/relationships"><Relationship Id="rId1" Type="http://schemas.openxmlformats.org/officeDocument/2006/relationships/customXmlProps" Target="itemProps18.xml"/>
</Relationships>
</file>

<file path=customXml/_rels/item19.xml.rels><?xml version="1.0" encoding="UTF-8"?>
<Relationships xmlns="http://schemas.openxmlformats.org/package/2006/relationships"><Relationship Id="rId1" Type="http://schemas.openxmlformats.org/officeDocument/2006/relationships/customXmlProps" Target="itemProps19.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20.xml.rels><?xml version="1.0" encoding="UTF-8"?>
<Relationships xmlns="http://schemas.openxmlformats.org/package/2006/relationships"><Relationship Id="rId1" Type="http://schemas.openxmlformats.org/officeDocument/2006/relationships/customXmlProps" Target="itemProps20.xml"/>
</Relationships>
</file>

<file path=customXml/_rels/item21.xml.rels><?xml version="1.0" encoding="UTF-8"?>
<Relationships xmlns="http://schemas.openxmlformats.org/package/2006/relationships"><Relationship Id="rId1" Type="http://schemas.openxmlformats.org/officeDocument/2006/relationships/customXmlProps" Target="itemProps21.xml"/>
</Relationships>
</file>

<file path=customXml/_rels/item22.xml.rels><?xml version="1.0" encoding="UTF-8"?>
<Relationships xmlns="http://schemas.openxmlformats.org/package/2006/relationships"><Relationship Id="rId1" Type="http://schemas.openxmlformats.org/officeDocument/2006/relationships/customXmlProps" Target="itemProps22.xml"/>
</Relationships>
</file>

<file path=customXml/_rels/item23.xml.rels><?xml version="1.0" encoding="UTF-8"?>
<Relationships xmlns="http://schemas.openxmlformats.org/package/2006/relationships"><Relationship Id="rId1" Type="http://schemas.openxmlformats.org/officeDocument/2006/relationships/customXmlProps" Target="itemProps23.xml"/>
</Relationships>
</file>

<file path=customXml/_rels/item24.xml.rels><?xml version="1.0" encoding="UTF-8"?>
<Relationships xmlns="http://schemas.openxmlformats.org/package/2006/relationships"><Relationship Id="rId1" Type="http://schemas.openxmlformats.org/officeDocument/2006/relationships/customXmlProps" Target="itemProps24.xml"/>
</Relationships>
</file>

<file path=customXml/_rels/item25.xml.rels><?xml version="1.0" encoding="UTF-8"?>
<Relationships xmlns="http://schemas.openxmlformats.org/package/2006/relationships"><Relationship Id="rId1" Type="http://schemas.openxmlformats.org/officeDocument/2006/relationships/customXmlProps" Target="itemProps25.xml"/>
</Relationships>
</file>

<file path=customXml/_rels/item26.xml.rels><?xml version="1.0" encoding="UTF-8"?>
<Relationships xmlns="http://schemas.openxmlformats.org/package/2006/relationships"><Relationship Id="rId1" Type="http://schemas.openxmlformats.org/officeDocument/2006/relationships/customXmlProps" Target="itemProps26.xml"/>
</Relationships>
</file>

<file path=customXml/_rels/item27.xml.rels><?xml version="1.0" encoding="UTF-8"?>
<Relationships xmlns="http://schemas.openxmlformats.org/package/2006/relationships"><Relationship Id="rId1" Type="http://schemas.openxmlformats.org/officeDocument/2006/relationships/customXmlProps" Target="itemProps27.xml"/>
</Relationships>
</file>

<file path=customXml/_rels/item28.xml.rels><?xml version="1.0" encoding="UTF-8"?>
<Relationships xmlns="http://schemas.openxmlformats.org/package/2006/relationships"><Relationship Id="rId1" Type="http://schemas.openxmlformats.org/officeDocument/2006/relationships/customXmlProps" Target="itemProps28.xml"/>
</Relationships>
</file>

<file path=customXml/_rels/item29.xml.rels><?xml version="1.0" encoding="UTF-8"?>
<Relationships xmlns="http://schemas.openxmlformats.org/package/2006/relationships"><Relationship Id="rId1" Type="http://schemas.openxmlformats.org/officeDocument/2006/relationships/customXmlProps" Target="itemProps29.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30.xml.rels><?xml version="1.0" encoding="UTF-8"?>
<Relationships xmlns="http://schemas.openxmlformats.org/package/2006/relationships"><Relationship Id="rId1" Type="http://schemas.openxmlformats.org/officeDocument/2006/relationships/customXmlProps" Target="itemProps30.xml"/>
</Relationships>
</file>

<file path=customXml/_rels/item31.xml.rels><?xml version="1.0" encoding="UTF-8"?>
<Relationships xmlns="http://schemas.openxmlformats.org/package/2006/relationships"><Relationship Id="rId1" Type="http://schemas.openxmlformats.org/officeDocument/2006/relationships/customXmlProps" Target="itemProps31.xml"/>
</Relationships>
</file>

<file path=customXml/_rels/item32.xml.rels><?xml version="1.0" encoding="UTF-8"?>
<Relationships xmlns="http://schemas.openxmlformats.org/package/2006/relationships"><Relationship Id="rId1" Type="http://schemas.openxmlformats.org/officeDocument/2006/relationships/customXmlProps" Target="itemProps32.xml"/>
</Relationships>
</file>

<file path=customXml/_rels/item33.xml.rels><?xml version="1.0" encoding="UTF-8"?>
<Relationships xmlns="http://schemas.openxmlformats.org/package/2006/relationships"><Relationship Id="rId1" Type="http://schemas.openxmlformats.org/officeDocument/2006/relationships/customXmlProps" Target="itemProps33.xml"/>
</Relationships>
</file>

<file path=customXml/_rels/item34.xml.rels><?xml version="1.0" encoding="UTF-8"?>
<Relationships xmlns="http://schemas.openxmlformats.org/package/2006/relationships"><Relationship Id="rId1" Type="http://schemas.openxmlformats.org/officeDocument/2006/relationships/customXmlProps" Target="itemProps34.xml"/>
</Relationships>
</file>

<file path=customXml/_rels/item35.xml.rels><?xml version="1.0" encoding="UTF-8"?>
<Relationships xmlns="http://schemas.openxmlformats.org/package/2006/relationships"><Relationship Id="rId1" Type="http://schemas.openxmlformats.org/officeDocument/2006/relationships/customXmlProps" Target="itemProps35.xml"/>
</Relationships>
</file>

<file path=customXml/_rels/item36.xml.rels><?xml version="1.0" encoding="UTF-8"?>
<Relationships xmlns="http://schemas.openxmlformats.org/package/2006/relationships"><Relationship Id="rId1" Type="http://schemas.openxmlformats.org/officeDocument/2006/relationships/customXmlProps" Target="itemProps36.xml"/>
</Relationships>
</file>

<file path=customXml/_rels/item37.xml.rels><?xml version="1.0" encoding="UTF-8"?>
<Relationships xmlns="http://schemas.openxmlformats.org/package/2006/relationships"><Relationship Id="rId1" Type="http://schemas.openxmlformats.org/officeDocument/2006/relationships/customXmlProps" Target="itemProps37.xml"/>
</Relationships>
</file>

<file path=customXml/_rels/item38.xml.rels><?xml version="1.0" encoding="UTF-8"?>
<Relationships xmlns="http://schemas.openxmlformats.org/package/2006/relationships"><Relationship Id="rId1" Type="http://schemas.openxmlformats.org/officeDocument/2006/relationships/customXmlProps" Target="itemProps38.xml"/>
</Relationships>
</file>

<file path=customXml/_rels/item39.xml.rels><?xml version="1.0" encoding="UTF-8"?>
<Relationships xmlns="http://schemas.openxmlformats.org/package/2006/relationships"><Relationship Id="rId1" Type="http://schemas.openxmlformats.org/officeDocument/2006/relationships/customXmlProps" Target="itemProps39.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40.xml.rels><?xml version="1.0" encoding="UTF-8"?>
<Relationships xmlns="http://schemas.openxmlformats.org/package/2006/relationships"><Relationship Id="rId1" Type="http://schemas.openxmlformats.org/officeDocument/2006/relationships/customXmlProps" Target="itemProps40.xml"/>
</Relationships>
</file>

<file path=customXml/_rels/item41.xml.rels><?xml version="1.0" encoding="UTF-8"?>
<Relationships xmlns="http://schemas.openxmlformats.org/package/2006/relationships"><Relationship Id="rId1" Type="http://schemas.openxmlformats.org/officeDocument/2006/relationships/customXmlProps" Target="itemProps41.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_rels/item8.xml.rels><?xml version="1.0" encoding="UTF-8"?>
<Relationships xmlns="http://schemas.openxmlformats.org/package/2006/relationships"><Relationship Id="rId1" Type="http://schemas.openxmlformats.org/officeDocument/2006/relationships/customXmlProps" Target="itemProps8.xml"/>
</Relationships>
</file>

<file path=customXml/_rels/item9.xml.rels><?xml version="1.0" encoding="UTF-8"?>
<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roperties xmlns="http://www.imanage.com/work/xmlschema">
  <documentid>SCBF-RJ!5310379.1</documentid>
  <senderid>JFROCHA</senderid>
  <senderemail>JOÃO.ROCHA@CESCONBARRIEU.COM.BR</senderemail>
  <lastmodified>2020-10-19T19:46:00.0000000-03:00</lastmodified>
  <database>SCBF-RJ</database>
</properti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properties xmlns="http://www.imanage.com/work/xmlschema">
  <documentid>SCBF-SP!15259654.14</documentid>
  <senderid>RMORGADO</senderid>
  <senderemail/>
  <lastmodified>2021-03-16T17:34:00.0000000-03:00</lastmodified>
  <database>SCBF-SP</database>
</properties>
</file>

<file path=customXml/item13.xml><?xml version="1.0" encoding="utf-8"?>
<properties xmlns="http://www.imanage.com/work/xmlschema">
  <documentid>LEFOSSE!279774.1</documentid>
  <senderid>RCARVALH</senderid>
  <senderemail>RAVEL.CARVALHO@LEFOSSE.COM</senderemail>
  <lastmodified>2018-12-08T04:14:00.0000000-02:00</lastmodified>
  <database>LEFOSSE</database>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roperties xmlns="http://www.imanage.com/work/xmlschema">
  <documentid>SCBF-SP!15283020.1</documentid>
  <senderid>RMORGADO</senderid>
  <senderemail/>
  <lastmodified>2021-02-15T15:07:00.0000000-03:00</lastmodified>
  <database>SCBF-SP</database>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roperties xmlns="http://www.imanage.com/work/xmlschema">
  <documentid>SCBF-SP!15259654.6</documentid>
  <senderid>RMORGADO</senderid>
  <senderemail/>
  <lastmodified>2021-02-25T11:00:00.0000000-03:00</lastmodified>
  <database>SCBF-SP</database>
</properties>
</file>

<file path=customXml/item19.xml><?xml version="1.0" encoding="utf-8"?>
<properties xmlns="http://www.imanage.com/work/xmlschema">
  <documentid>SCBF-SP!15259654.12</documentid>
  <senderid>RMORGADO</senderid>
  <senderemail/>
  <lastmodified>2021-03-12T21:13:00.0000000-03:00</lastmodified>
  <database>SCBF-SP</database>
</properties>
</file>

<file path=customXml/item2.xml><?xml version="1.0" encoding="utf-8"?>
<properties xmlns="http://www.imanage.com/work/xmlschema">
  <documentid>SCBF-SP!15259654.11</documentid>
  <senderid>RMORGADO</senderid>
  <senderemail/>
  <lastmodified>2021-03-12T21:08:00.0000000-03:00</lastmodified>
  <database>SCBF-SP</database>
</properties>
</file>

<file path=customXml/item20.xml><?xml version="1.0" encoding="utf-8"?>
<properties xmlns="http://www.imanage.com/work/xmlschema">
  <documentid>SCBF-SP!15259654.10</documentid>
  <senderid>RMORGADO</senderid>
  <senderemail/>
  <lastmodified>2021-03-12T16:08:00.0000000-03:00</lastmodified>
  <database>SCBF-SP</database>
</properties>
</file>

<file path=customXml/item21.xml><?xml version="1.0" encoding="utf-8"?>
<properties xmlns="http://www.imanage.com/work/xmlschema">
  <documentid>SCBF-SP!15283020.5</documentid>
  <senderid>RMORGADO</senderid>
  <senderemail/>
  <lastmodified>2021-03-04T16:18:00.0000000-03:00</lastmodified>
  <database>SCBF-SP</database>
</properties>
</file>

<file path=customXml/item22.xml><?xml version="1.0" encoding="utf-8"?>
<properties xmlns="http://www.imanage.com/work/xmlschema">
  <documentid>SCBF-SP!15283020.2</documentid>
  <senderid>RMORGADO</senderid>
  <senderemail/>
  <lastmodified>2021-02-17T15:19:00.0000000-03:00</lastmodified>
  <database>SCBF-SP</database>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properties xmlns="http://www.imanage.com/work/xmlschema">
  <documentid>SCBF-SP!15259654.8</documentid>
  <senderid>RMORGADO</senderid>
  <senderemail/>
  <lastmodified>2021-03-04T16:20:00.0000000-03:00</lastmodified>
  <database>SCBF-SP</database>
</properties>
</file>

<file path=customXml/item25.xml><?xml version="1.0" encoding="utf-8"?>
<LongProperties xmlns="http://schemas.microsoft.com/office/2006/metadata/longProperties"/>
</file>

<file path=customXml/item26.xml><?xml version="1.0" encoding="utf-8"?>
<properties xmlns="http://www.imanage.com/work/xmlschema">
  <documentid>SCBF-SP!15259654.8</documentid>
  <senderid>RMORGADO</senderid>
  <senderemail/>
  <lastmodified>2021-03-03T19:57:00.0000000-03:00</lastmodified>
  <database>SCBF-SP</database>
</properties>
</file>

<file path=customXml/item27.xml><?xml version="1.0" encoding="utf-8"?>
<?mso-contentType ?>
<FormTemplates xmlns="http://schemas.microsoft.com/sharepoint/v3/contenttype/forms">
  <Display>DocumentLibraryForm</Display>
  <Edit>DocumentLibraryForm</Edit>
  <New>DocumentLibraryForm</New>
</FormTemplates>
</file>

<file path=customXml/item28.xml><?xml version="1.0" encoding="utf-8"?>
<properties xmlns="http://www.imanage.com/work/xmlschema">
  <documentid>SCBF-SP!15283020.3</documentid>
  <senderid>RMORGADO</senderid>
  <senderemail/>
  <lastmodified>2021-02-18T07:56:00.0000000-03:00</lastmodified>
  <database>SCBF-SP</database>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30.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properties xmlns="http://www.imanage.com/work/xmlschema">
  <documentid>SCBF-SP!15259654.1</documentid>
  <senderid>RMORGADO</senderid>
  <senderemail/>
  <lastmodified>2021-02-05T11:03:00.0000000-03:00</lastmodified>
  <database>SCBF-SP</database>
</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properties xmlns="http://www.imanage.com/work/xmlschema">
  <documentid>SCBF-SP!15259654.7</documentid>
  <senderid>RMORGADO</senderid>
  <senderemail/>
  <lastmodified>2021-02-26T15:16:00.0000000-03:00</lastmodified>
  <database>SCBF-SP</database>
</properties>
</file>

<file path=customXml/item35.xml><?xml version="1.0" encoding="utf-8"?>
<properties xmlns="http://www.imanage.com/work/xmlschema">
  <documentid>SCBF-SP!15259654.16</documentid>
  <senderid>RMORGADO</senderid>
  <senderemail/>
  <lastmodified>2021-03-25T21:50:00.0000000-03:00</lastmodified>
  <database>SCBF-SP</database>
</properties>
</file>

<file path=customXml/item36.xml><?xml version="1.0" encoding="utf-8"?>
<properties xmlns="http://www.imanage.com/work/xmlschema">
  <documentid>SCBF-SP!15259654.5</documentid>
  <senderid>RMORGADO</senderid>
  <senderemail/>
  <lastmodified>2021-02-18T07:55:00.0000000-03:00</lastmodified>
  <database>SCBF-SP</database>
</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properties xmlns="http://www.imanage.com/work/xmlschema">
  <documentid>SCBF-SP!15259654.11</documentid>
  <senderid>RMORGADO</senderid>
  <senderemail/>
  <lastmodified>2021-03-12T21:08:00.0000000-03:00</lastmodified>
  <database>SCBF-SP</database>
</properties>
</file>

<file path=customXml/item40.xml><?xml version="1.0" encoding="utf-8"?>
<properties xmlns="http://www.imanage.com/work/xmlschema">
  <documentid>SCBF-SP!15259654.9</documentid>
  <senderid>RMORGADO</senderid>
  <senderemail/>
  <lastmodified>2021-03-10T14:47:00.0000000-03:00</lastmodified>
  <database>SCBF-SP</database>
</properties>
</file>

<file path=customXml/item41.xml><?xml version="1.0" encoding="utf-8"?>
<properties xmlns="http://www.imanage.com/work/xmlschema">
  <documentid>SCBF-SP!15259654.2</documentid>
  <senderid>RMORGADO</senderid>
  <senderemail/>
  <lastmodified>2021-02-05T17:20:00.0000000-03:00</lastmodified>
  <database>SCBF-SP</database>
</properties>
</file>

<file path=customXml/item5.xml><?xml version="1.0" encoding="utf-8"?>
<properties xmlns="http://www.imanage.com/work/xmlschema">
  <documentid>SCBF-SP!15259654.5</documentid>
  <senderid>RMORGADO</senderid>
  <senderemail/>
  <lastmodified>2021-02-18T07:54:00.0000000-03:00</lastmodified>
  <database>SCBF-SP</database>
</properties>
</file>

<file path=customXml/item6.xml><?xml version="1.0" encoding="utf-8"?>
<properties xmlns="http://www.imanage.com/work/xmlschema">
  <documentid>SCBF-SP!15259654.4</documentid>
  <senderid>RMORGADO</senderid>
  <senderemail/>
  <lastmodified>2021-02-17T15:23:00.0000000-03:00</lastmodified>
  <database>SCBF-SP</database>
</properties>
</file>

<file path=customXml/item7.xml><?xml version="1.0" encoding="utf-8"?>
<properties xmlns="http://www.imanage.com/work/xmlschema">
  <documentid>SCBF-SP!15259654.17</documentid>
  <senderid>RMORGADO</senderid>
  <senderemail/>
  <lastmodified>2021-03-25T21:58:00.0000000-03:00</lastmodified>
  <database>SCBF-SP</database>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10.xml><?xml version="1.0" encoding="utf-8"?>
<ds:datastoreItem xmlns:ds="http://schemas.openxmlformats.org/officeDocument/2006/customXml" ds:itemID="{12CB7FA2-9F89-4456-B0D8-128AB2CCFE88}">
  <ds:schemaRefs>
    <ds:schemaRef ds:uri="http://www.imanage.com/work/xmlschema"/>
  </ds:schemaRefs>
</ds:datastoreItem>
</file>

<file path=customXml/itemProps1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2.xml><?xml version="1.0" encoding="utf-8"?>
<ds:datastoreItem xmlns:ds="http://schemas.openxmlformats.org/officeDocument/2006/customXml" ds:itemID="{170088C1-8685-4D47-8946-A1BD282E3CF8}">
  <ds:schemaRefs>
    <ds:schemaRef ds:uri="http://www.imanage.com/work/xmlschema"/>
  </ds:schemaRefs>
</ds:datastoreItem>
</file>

<file path=customXml/itemProps13.xml><?xml version="1.0" encoding="utf-8"?>
<ds:datastoreItem xmlns:ds="http://schemas.openxmlformats.org/officeDocument/2006/customXml" ds:itemID="{A1554A32-912B-430B-863A-406AB946B29F}">
  <ds:schemaRefs>
    <ds:schemaRef ds:uri="http://www.imanage.com/work/xmlschema"/>
  </ds:schemaRefs>
</ds:datastoreItem>
</file>

<file path=customXml/itemProps14.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15.xml><?xml version="1.0" encoding="utf-8"?>
<ds:datastoreItem xmlns:ds="http://schemas.openxmlformats.org/officeDocument/2006/customXml" ds:itemID="{A003DEF3-4B33-48DC-83D6-A1AC5C77BB0E}">
  <ds:schemaRefs>
    <ds:schemaRef ds:uri="http://www.imanage.com/work/xmlschema"/>
  </ds:schemaRefs>
</ds:datastoreItem>
</file>

<file path=customXml/itemProps16.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17.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18.xml><?xml version="1.0" encoding="utf-8"?>
<ds:datastoreItem xmlns:ds="http://schemas.openxmlformats.org/officeDocument/2006/customXml" ds:itemID="{DC2DD7DC-71FC-471E-A70F-46A0A24FF553}">
  <ds:schemaRefs>
    <ds:schemaRef ds:uri="http://www.imanage.com/work/xmlschema"/>
  </ds:schemaRefs>
</ds:datastoreItem>
</file>

<file path=customXml/itemProps19.xml><?xml version="1.0" encoding="utf-8"?>
<ds:datastoreItem xmlns:ds="http://schemas.openxmlformats.org/officeDocument/2006/customXml" ds:itemID="{07C49B61-93F5-4915-8877-1CEA05150E1E}">
  <ds:schemaRefs>
    <ds:schemaRef ds:uri="http://www.imanage.com/work/xmlschema"/>
  </ds:schemaRefs>
</ds:datastoreItem>
</file>

<file path=customXml/itemProps2.xml><?xml version="1.0" encoding="utf-8"?>
<ds:datastoreItem xmlns:ds="http://schemas.openxmlformats.org/officeDocument/2006/customXml" ds:itemID="{55B46D05-0BDC-45BC-9B3D-19E1106057E0}">
  <ds:schemaRefs>
    <ds:schemaRef ds:uri="http://www.imanage.com/work/xmlschema"/>
  </ds:schemaRefs>
</ds:datastoreItem>
</file>

<file path=customXml/itemProps20.xml><?xml version="1.0" encoding="utf-8"?>
<ds:datastoreItem xmlns:ds="http://schemas.openxmlformats.org/officeDocument/2006/customXml" ds:itemID="{BECD29E5-E000-49E8-9266-D03A0FAC43DF}">
  <ds:schemaRefs>
    <ds:schemaRef ds:uri="http://www.imanage.com/work/xmlschema"/>
  </ds:schemaRefs>
</ds:datastoreItem>
</file>

<file path=customXml/itemProps21.xml><?xml version="1.0" encoding="utf-8"?>
<ds:datastoreItem xmlns:ds="http://schemas.openxmlformats.org/officeDocument/2006/customXml" ds:itemID="{63CE15BF-A6AE-48FB-92CE-599BB3A7F858}">
  <ds:schemaRefs>
    <ds:schemaRef ds:uri="http://www.imanage.com/work/xmlschema"/>
  </ds:schemaRefs>
</ds:datastoreItem>
</file>

<file path=customXml/itemProps22.xml><?xml version="1.0" encoding="utf-8"?>
<ds:datastoreItem xmlns:ds="http://schemas.openxmlformats.org/officeDocument/2006/customXml" ds:itemID="{415647AF-4336-4A31-ADF3-751D4897F855}">
  <ds:schemaRefs>
    <ds:schemaRef ds:uri="http://www.imanage.com/work/xmlschema"/>
  </ds:schemaRefs>
</ds:datastoreItem>
</file>

<file path=customXml/itemProps23.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24.xml><?xml version="1.0" encoding="utf-8"?>
<ds:datastoreItem xmlns:ds="http://schemas.openxmlformats.org/officeDocument/2006/customXml" ds:itemID="{163416C8-CBD5-4D95-BDF7-E086777BD828}">
  <ds:schemaRefs>
    <ds:schemaRef ds:uri="http://www.imanage.com/work/xmlschema"/>
  </ds:schemaRefs>
</ds:datastoreItem>
</file>

<file path=customXml/itemProps2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6.xml><?xml version="1.0" encoding="utf-8"?>
<ds:datastoreItem xmlns:ds="http://schemas.openxmlformats.org/officeDocument/2006/customXml" ds:itemID="{A73C0BB3-00B4-4D26-AD91-0317627AA996}">
  <ds:schemaRefs>
    <ds:schemaRef ds:uri="http://www.imanage.com/work/xmlschema"/>
  </ds:schemaRefs>
</ds:datastoreItem>
</file>

<file path=customXml/itemProps2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8.xml><?xml version="1.0" encoding="utf-8"?>
<ds:datastoreItem xmlns:ds="http://schemas.openxmlformats.org/officeDocument/2006/customXml" ds:itemID="{33B463BC-1765-4939-B8E0-52B4EF3140A3}">
  <ds:schemaRefs>
    <ds:schemaRef ds:uri="http://www.imanage.com/work/xmlschema"/>
  </ds:schemaRefs>
</ds:datastoreItem>
</file>

<file path=customXml/itemProps29.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0.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2.xml><?xml version="1.0" encoding="utf-8"?>
<ds:datastoreItem xmlns:ds="http://schemas.openxmlformats.org/officeDocument/2006/customXml" ds:itemID="{461C11DF-C88C-452C-A8DB-EE5CB10AD109}">
  <ds:schemaRefs>
    <ds:schemaRef ds:uri="http://www.imanage.com/work/xmlschema"/>
  </ds:schemaRefs>
</ds:datastoreItem>
</file>

<file path=customXml/itemProps33.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34.xml><?xml version="1.0" encoding="utf-8"?>
<ds:datastoreItem xmlns:ds="http://schemas.openxmlformats.org/officeDocument/2006/customXml" ds:itemID="{89A61AC9-5CAF-49B0-96F4-FB925E99794E}">
  <ds:schemaRefs>
    <ds:schemaRef ds:uri="http://www.imanage.com/work/xmlschema"/>
  </ds:schemaRefs>
</ds:datastoreItem>
</file>

<file path=customXml/itemProps35.xml><?xml version="1.0" encoding="utf-8"?>
<ds:datastoreItem xmlns:ds="http://schemas.openxmlformats.org/officeDocument/2006/customXml" ds:itemID="{C05D959A-82FB-4632-8C83-5D1AD73A6CFB}">
  <ds:schemaRefs>
    <ds:schemaRef ds:uri="http://www.imanage.com/work/xmlschema"/>
  </ds:schemaRefs>
</ds:datastoreItem>
</file>

<file path=customXml/itemProps36.xml><?xml version="1.0" encoding="utf-8"?>
<ds:datastoreItem xmlns:ds="http://schemas.openxmlformats.org/officeDocument/2006/customXml" ds:itemID="{193177D1-F816-4492-AEEE-3B9351677291}">
  <ds:schemaRefs>
    <ds:schemaRef ds:uri="http://www.imanage.com/work/xmlschema"/>
  </ds:schemaRefs>
</ds:datastoreItem>
</file>

<file path=customXml/itemProps37.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38.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613A5B0-0882-4C5D-BB07-1C34FE7AFD06}">
  <ds:schemaRefs>
    <ds:schemaRef ds:uri="http://www.imanage.com/work/xmlschema"/>
  </ds:schemaRefs>
</ds:datastoreItem>
</file>

<file path=customXml/itemProps40.xml><?xml version="1.0" encoding="utf-8"?>
<ds:datastoreItem xmlns:ds="http://schemas.openxmlformats.org/officeDocument/2006/customXml" ds:itemID="{EED81B83-F010-492B-9B83-2CD2D96102BD}">
  <ds:schemaRefs>
    <ds:schemaRef ds:uri="http://www.imanage.com/work/xmlschema"/>
  </ds:schemaRefs>
</ds:datastoreItem>
</file>

<file path=customXml/itemProps41.xml><?xml version="1.0" encoding="utf-8"?>
<ds:datastoreItem xmlns:ds="http://schemas.openxmlformats.org/officeDocument/2006/customXml" ds:itemID="{3A5DDCF4-6371-4751-83A1-3B6DB7BBA33C}">
  <ds:schemaRefs>
    <ds:schemaRef ds:uri="http://www.imanage.com/work/xmlschema"/>
  </ds:schemaRefs>
</ds:datastoreItem>
</file>

<file path=customXml/itemProps5.xml><?xml version="1.0" encoding="utf-8"?>
<ds:datastoreItem xmlns:ds="http://schemas.openxmlformats.org/officeDocument/2006/customXml" ds:itemID="{271A5D31-41AF-49C2-8D4B-62FD7FB4760D}">
  <ds:schemaRefs>
    <ds:schemaRef ds:uri="http://www.imanage.com/work/xmlschema"/>
  </ds:schemaRefs>
</ds:datastoreItem>
</file>

<file path=customXml/itemProps6.xml><?xml version="1.0" encoding="utf-8"?>
<ds:datastoreItem xmlns:ds="http://schemas.openxmlformats.org/officeDocument/2006/customXml" ds:itemID="{BB03CEE4-AB6A-4B7E-A6DE-6875F2047842}">
  <ds:schemaRefs>
    <ds:schemaRef ds:uri="http://www.imanage.com/work/xmlschema"/>
  </ds:schemaRefs>
</ds:datastoreItem>
</file>

<file path=customXml/itemProps7.xml><?xml version="1.0" encoding="utf-8"?>
<ds:datastoreItem xmlns:ds="http://schemas.openxmlformats.org/officeDocument/2006/customXml" ds:itemID="{EBA8F823-A13D-4F12-8C1F-30F82D2AD00B}">
  <ds:schemaRefs>
    <ds:schemaRef ds:uri="http://www.imanage.com/work/xmlschema"/>
  </ds:schemaRefs>
</ds:datastoreItem>
</file>

<file path=customXml/itemProps8.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9.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Application>LibreOffice/6.4.2.2$Windows_X86_64 LibreOffice_project/4e471d8c02c9c90f512f7f9ead8875b57fcb1ec3</Application>
  <Pages>68</Pages>
  <Words>19285</Words>
  <Characters>110800</Characters>
  <CharactersWithSpaces>129288</CharactersWithSpaces>
  <Paragraphs>560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2021-06-23T18:07:00Z</dcterms:created>
  <dc:creator>Stocche Forbes</dc:creator>
  <dc:description/>
  <dc:language>pt-BR</dc:language>
  <cp:lastModifiedBy/>
  <cp:lastPrinted>2021-02-15T18:02:00Z</cp:lastPrinted>
  <dcterms:modified xsi:type="dcterms:W3CDTF">2021-06-24T18:03:12Z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orDocumento">
    <vt:lpwstr/>
  </property>
  <property fmtid="{D5CDD505-2E9C-101B-9397-08002B2CF9AE}" pid="4" name="BillingPartner">
    <vt:lpwstr>395</vt:lpwstr>
  </property>
  <property fmtid="{D5CDD505-2E9C-101B-9397-08002B2CF9AE}" pid="5" name="Cliente">
    <vt:lpwstr>1839;#Companhia Energética do Maranhão - CEMAR|63fa940e-ccb3-484a-8068-9d42957db93f</vt:lpwstr>
  </property>
  <property fmtid="{D5CDD505-2E9C-101B-9397-08002B2CF9AE}" pid="6" name="Codigo">
    <vt:lpwstr>L212145</vt:lpwstr>
  </property>
  <property fmtid="{D5CDD505-2E9C-101B-9397-08002B2CF9AE}" pid="7" name="CodigoSegmento">
    <vt:lpwstr>L212145-01</vt:lpwstr>
  </property>
  <property fmtid="{D5CDD505-2E9C-101B-9397-08002B2CF9AE}" pid="8" name="ContentTypeId">
    <vt:lpwstr>0x01010002316287F114104FB05C975809A4BDF2</vt:lpwstr>
  </property>
  <property fmtid="{D5CDD505-2E9C-101B-9397-08002B2CF9AE}" pid="9" name="DLCPolicyLabelClientValue">
    <vt:lpwstr>LDOC-3-190094/0.3</vt:lpwstr>
  </property>
  <property fmtid="{D5CDD505-2E9C-101B-9397-08002B2CF9AE}" pid="10" name="DLCPolicyLabelValue">
    <vt:lpwstr>LDOC-3-190094/0.3</vt:lpwstr>
  </property>
  <property fmtid="{D5CDD505-2E9C-101B-9397-08002B2CF9AE}" pid="11" name="DocSecurity">
    <vt:i4>0</vt:i4>
  </property>
  <property fmtid="{D5CDD505-2E9C-101B-9397-08002B2CF9AE}" pid="12" name="HyperlinksChanged">
    <vt:bool>0</vt:bool>
  </property>
  <property fmtid="{D5CDD505-2E9C-101B-9397-08002B2CF9AE}" pid="13" name="IDUnico">
    <vt:lpwstr>LDOC-3-266965</vt:lpwstr>
  </property>
  <property fmtid="{D5CDD505-2E9C-101B-9397-08002B2CF9AE}" pid="14" name="IdiomaDocumento">
    <vt:lpwstr>Português</vt:lpwstr>
  </property>
  <property fmtid="{D5CDD505-2E9C-101B-9397-08002B2CF9AE}" pid="15" name="Keywords1">
    <vt:lpwstr/>
  </property>
  <property fmtid="{D5CDD505-2E9C-101B-9397-08002B2CF9AE}" pid="16" name="Knowhow">
    <vt:bool>0</vt:bool>
  </property>
  <property fmtid="{D5CDD505-2E9C-101B-9397-08002B2CF9AE}" pid="17" name="LikedBy">
    <vt:lpwstr/>
  </property>
  <property fmtid="{D5CDD505-2E9C-101B-9397-08002B2CF9AE}" pid="18" name="LinksUpToDate">
    <vt:bool>0</vt:bool>
  </property>
  <property fmtid="{D5CDD505-2E9C-101B-9397-08002B2CF9AE}" pid="19" name="MSIP_Label_38dfde47-f100-441b-b584-049a7fefba8a_ActionId">
    <vt:lpwstr>8d7eda3b-6f42-4a4b-acc1-783e9b612da7</vt:lpwstr>
  </property>
  <property fmtid="{D5CDD505-2E9C-101B-9397-08002B2CF9AE}" pid="20" name="MSIP_Label_38dfde47-f100-441b-b584-049a7fefba8a_ContentBits">
    <vt:lpwstr>2</vt:lpwstr>
  </property>
  <property fmtid="{D5CDD505-2E9C-101B-9397-08002B2CF9AE}" pid="21" name="MSIP_Label_38dfde47-f100-441b-b584-049a7fefba8a_Enabled">
    <vt:lpwstr>true</vt:lpwstr>
  </property>
  <property fmtid="{D5CDD505-2E9C-101B-9397-08002B2CF9AE}" pid="22" name="MSIP_Label_38dfde47-f100-441b-b584-049a7fefba8a_Method">
    <vt:lpwstr>Standard</vt:lpwstr>
  </property>
  <property fmtid="{D5CDD505-2E9C-101B-9397-08002B2CF9AE}" pid="23" name="MSIP_Label_38dfde47-f100-441b-b584-049a7fefba8a_Name">
    <vt:lpwstr>38dfde47-f100-441b-b584-049a7fefba8a</vt:lpwstr>
  </property>
  <property fmtid="{D5CDD505-2E9C-101B-9397-08002B2CF9AE}" pid="24" name="MSIP_Label_38dfde47-f100-441b-b584-049a7fefba8a_SetDate">
    <vt:lpwstr>2021-06-14T22:03:14Z</vt:lpwstr>
  </property>
  <property fmtid="{D5CDD505-2E9C-101B-9397-08002B2CF9AE}" pid="25" name="MSIP_Label_38dfde47-f100-441b-b584-049a7fefba8a_SiteId">
    <vt:lpwstr>16e7cf3f-6af4-4e76-941e-aecafb9704e9</vt:lpwstr>
  </property>
  <property fmtid="{D5CDD505-2E9C-101B-9397-08002B2CF9AE}" pid="26" name="MSIP_Label_59f6b450-b779-4ed9-b37e-4a5b0cc9de23_ActionId">
    <vt:lpwstr>5c0d3d97-6c50-48a2-9ee3-1aa82df5f48d</vt:lpwstr>
  </property>
  <property fmtid="{D5CDD505-2E9C-101B-9397-08002B2CF9AE}" pid="27" name="MSIP_Label_59f6b450-b779-4ed9-b37e-4a5b0cc9de23_ContentBits">
    <vt:lpwstr>0</vt:lpwstr>
  </property>
  <property fmtid="{D5CDD505-2E9C-101B-9397-08002B2CF9AE}" pid="28" name="MSIP_Label_59f6b450-b779-4ed9-b37e-4a5b0cc9de23_Enabled">
    <vt:lpwstr>true</vt:lpwstr>
  </property>
  <property fmtid="{D5CDD505-2E9C-101B-9397-08002B2CF9AE}" pid="29" name="MSIP_Label_59f6b450-b779-4ed9-b37e-4a5b0cc9de23_Method">
    <vt:lpwstr>Privileged</vt:lpwstr>
  </property>
  <property fmtid="{D5CDD505-2E9C-101B-9397-08002B2CF9AE}" pid="30" name="MSIP_Label_59f6b450-b779-4ed9-b37e-4a5b0cc9de23_Name">
    <vt:lpwstr>Compartilhamento Externo</vt:lpwstr>
  </property>
  <property fmtid="{D5CDD505-2E9C-101B-9397-08002B2CF9AE}" pid="31" name="MSIP_Label_59f6b450-b779-4ed9-b37e-4a5b0cc9de23_SetDate">
    <vt:lpwstr>2021-05-13T19:51:02Z</vt:lpwstr>
  </property>
  <property fmtid="{D5CDD505-2E9C-101B-9397-08002B2CF9AE}" pid="32" name="MSIP_Label_59f6b450-b779-4ed9-b37e-4a5b0cc9de23_SiteId">
    <vt:lpwstr>591669a0-183f-49a5-98f4-9aa0d0b63d81</vt:lpwstr>
  </property>
  <property fmtid="{D5CDD505-2E9C-101B-9397-08002B2CF9AE}" pid="33" name="MSIP_Label_7bc6e253-7033-4299-b83e-6575a0ec40c3_ActionId">
    <vt:lpwstr>5c0d3d97-6c50-48a2-9ee3-1aa82df5f48d</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Enabled">
    <vt:lpwstr>True</vt:lpwstr>
  </property>
  <property fmtid="{D5CDD505-2E9C-101B-9397-08002B2CF9AE}" pid="36" name="MSIP_Label_7bc6e253-7033-4299-b83e-6575a0ec40c3_Extended_MSFT_Method">
    <vt:lpwstr>Manual</vt:lpwstr>
  </property>
  <property fmtid="{D5CDD505-2E9C-101B-9397-08002B2CF9AE}" pid="37" name="MSIP_Label_7bc6e253-7033-4299-b83e-6575a0ec40c3_Name">
    <vt:lpwstr>Corporativo</vt:lpwstr>
  </property>
  <property fmtid="{D5CDD505-2E9C-101B-9397-08002B2CF9AE}" pid="38" name="MSIP_Label_7bc6e253-7033-4299-b83e-6575a0ec40c3_Owner">
    <vt:lpwstr>stella.fumis@itaubba.com</vt:lpwstr>
  </property>
  <property fmtid="{D5CDD505-2E9C-101B-9397-08002B2CF9AE}" pid="39" name="MSIP_Label_7bc6e253-7033-4299-b83e-6575a0ec40c3_SetDate">
    <vt:lpwstr>2021-01-29T21:04:10.4734046Z</vt:lpwstr>
  </property>
  <property fmtid="{D5CDD505-2E9C-101B-9397-08002B2CF9AE}" pid="40" name="MSIP_Label_7bc6e253-7033-4299-b83e-6575a0ec40c3_SiteId">
    <vt:lpwstr>591669a0-183f-49a5-98f4-9aa0d0b63d81</vt:lpwstr>
  </property>
  <property fmtid="{D5CDD505-2E9C-101B-9397-08002B2CF9AE}" pid="41" name="MatterAtivo">
    <vt:bool>1</vt:bool>
  </property>
  <property fmtid="{D5CDD505-2E9C-101B-9397-08002B2CF9AE}" pid="42" name="MatterManager">
    <vt:lpwstr>430</vt:lpwstr>
  </property>
  <property fmtid="{D5CDD505-2E9C-101B-9397-08002B2CF9AE}" pid="43" name="RatedBy">
    <vt:lpwstr/>
  </property>
  <property fmtid="{D5CDD505-2E9C-101B-9397-08002B2CF9AE}" pid="44" name="ScaleCrop">
    <vt:bool>0</vt:bool>
  </property>
  <property fmtid="{D5CDD505-2E9C-101B-9397-08002B2CF9AE}" pid="45" name="ShareDoc">
    <vt:bool>0</vt:bool>
  </property>
  <property fmtid="{D5CDD505-2E9C-101B-9397-08002B2CF9AE}" pid="46" name="StatusDocumento">
    <vt:lpwstr>Não Iniciada</vt:lpwstr>
  </property>
  <property fmtid="{D5CDD505-2E9C-101B-9397-08002B2CF9AE}" pid="47" name="TaxCatchAll">
    <vt:lpwstr>1125;#</vt:lpwstr>
  </property>
  <property fmtid="{D5CDD505-2E9C-101B-9397-08002B2CF9AE}" pid="48" name="VersaoDocumento">
    <vt:lpwstr>0.1</vt:lpwstr>
  </property>
  <property fmtid="{D5CDD505-2E9C-101B-9397-08002B2CF9AE}" pid="49" name="_dlc_DocId">
    <vt:lpwstr>LDOC-3-190094</vt:lpwstr>
  </property>
  <property fmtid="{D5CDD505-2E9C-101B-9397-08002B2CF9AE}" pid="50" name="_dlc_DocIdItemGuid">
    <vt:lpwstr>7408425f-6498-45d4-83e4-30736eb3e6aa</vt:lpwstr>
  </property>
  <property fmtid="{D5CDD505-2E9C-101B-9397-08002B2CF9AE}" pid="51" name="_dlc_DocIdUrl">
    <vt:lpwstr>http://sharepoint/_layouts/15/DocIdRedir.aspx?ID=LDOC-3-190094, LDOC-3-190094</vt:lpwstr>
  </property>
  <property fmtid="{D5CDD505-2E9C-101B-9397-08002B2CF9AE}" pid="52" name="_docset_NoMedatataSyncRequired">
    <vt:lpwstr>False</vt:lpwstr>
  </property>
  <property fmtid="{D5CDD505-2E9C-101B-9397-08002B2CF9AE}" pid="53" name="d47f3fc68dc1429b8573eb2634792044">
    <vt:lpwstr>Qualicorp S.A.:Qualicorp S.A.|27e647d7-490e-47f6-aff5-0ad60fdfc814</vt:lpwstr>
  </property>
  <property fmtid="{D5CDD505-2E9C-101B-9397-08002B2CF9AE}" pid="54" name="display_urn:schemas-microsoft-com:office:office#BillingPartner">
    <vt:lpwstr>Ricardo Prado</vt:lpwstr>
  </property>
  <property fmtid="{D5CDD505-2E9C-101B-9397-08002B2CF9AE}" pid="55" name="display_urn:schemas-microsoft-com:office:office#MatterManager">
    <vt:lpwstr>Bruno Massis</vt:lpwstr>
  </property>
  <property fmtid="{D5CDD505-2E9C-101B-9397-08002B2CF9AE}" pid="56" name="iManageFooter">
    <vt:lpwstr>3379826v2 / 2411-2 </vt:lpwstr>
  </property>
</Properties>
</file>