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8952F" w14:textId="060D20C7" w:rsidR="00111F6A" w:rsidRPr="001B534D" w:rsidRDefault="0092588C" w:rsidP="00D460BB">
      <w:pPr>
        <w:autoSpaceDE/>
        <w:autoSpaceDN/>
        <w:adjustRightInd/>
        <w:spacing w:line="360" w:lineRule="auto"/>
        <w:jc w:val="both"/>
        <w:rPr>
          <w:rFonts w:ascii="Verdana" w:hAnsi="Verdana" w:cs="Tahoma"/>
          <w:b/>
          <w:smallCaps/>
          <w:color w:val="000000"/>
          <w:szCs w:val="24"/>
        </w:rPr>
      </w:pPr>
      <w:r w:rsidRPr="001B534D">
        <w:rPr>
          <w:rFonts w:ascii="Verdana" w:hAnsi="Verdana" w:cs="Tahoma"/>
          <w:b/>
          <w:smallCaps/>
          <w:color w:val="000000"/>
          <w:szCs w:val="24"/>
        </w:rPr>
        <w:t xml:space="preserve">PRIMEIRO ADITAMENTO AO </w:t>
      </w:r>
      <w:r w:rsidR="00111F6A" w:rsidRPr="001B534D">
        <w:rPr>
          <w:rFonts w:ascii="Verdana" w:hAnsi="Verdana" w:cs="Tahoma"/>
          <w:b/>
          <w:smallCaps/>
          <w:color w:val="000000"/>
          <w:szCs w:val="24"/>
        </w:rPr>
        <w:t xml:space="preserve">INSTRUMENTO </w:t>
      </w:r>
      <w:r w:rsidR="00111F6A" w:rsidRPr="001B534D">
        <w:rPr>
          <w:rFonts w:ascii="Verdana" w:hAnsi="Verdana"/>
          <w:b/>
          <w:szCs w:val="24"/>
        </w:rPr>
        <w:t>PARTICULAR</w:t>
      </w:r>
      <w:bookmarkStart w:id="0" w:name="_Hlk480971106"/>
      <w:r w:rsidR="007F209F" w:rsidRPr="001B534D">
        <w:rPr>
          <w:rFonts w:ascii="Verdana" w:hAnsi="Verdana" w:cs="Tahoma"/>
          <w:b/>
          <w:smallCaps/>
          <w:color w:val="000000"/>
          <w:szCs w:val="24"/>
        </w:rPr>
        <w:t xml:space="preserve"> DE </w:t>
      </w:r>
      <w:r w:rsidR="00805BA5" w:rsidRPr="001B534D">
        <w:rPr>
          <w:rFonts w:ascii="Verdana" w:hAnsi="Verdana" w:cs="Tahoma"/>
          <w:b/>
          <w:smallCaps/>
          <w:color w:val="000000"/>
          <w:szCs w:val="24"/>
        </w:rPr>
        <w:t>ALIENAÇÃO FIDUCIÁRIA DE COTAS</w:t>
      </w:r>
      <w:r w:rsidR="00C07E6F" w:rsidRPr="001B534D">
        <w:rPr>
          <w:rFonts w:ascii="Verdana" w:hAnsi="Verdana" w:cs="Tahoma"/>
          <w:b/>
          <w:smallCaps/>
          <w:color w:val="000000"/>
          <w:szCs w:val="24"/>
        </w:rPr>
        <w:t xml:space="preserve"> E CESSÃO FIDUCIÁRIA DE DIREITOS CREDITÓRIOS</w:t>
      </w:r>
      <w:r w:rsidR="00111F6A" w:rsidRPr="001B534D">
        <w:rPr>
          <w:rFonts w:ascii="Verdana" w:hAnsi="Verdana" w:cs="Tahoma"/>
          <w:b/>
          <w:smallCaps/>
          <w:color w:val="000000"/>
          <w:szCs w:val="24"/>
        </w:rPr>
        <w:t xml:space="preserve"> EM GARANTIA E OUTRAS AVENÇAS</w:t>
      </w:r>
    </w:p>
    <w:bookmarkEnd w:id="0"/>
    <w:p w14:paraId="51101F17" w14:textId="77777777" w:rsidR="00111F6A" w:rsidRPr="001B534D" w:rsidRDefault="00111F6A" w:rsidP="00E32CB6">
      <w:pPr>
        <w:jc w:val="both"/>
        <w:rPr>
          <w:rFonts w:ascii="Verdana" w:hAnsi="Verdana" w:cs="Tahoma"/>
          <w:color w:val="000000"/>
          <w:szCs w:val="24"/>
        </w:rPr>
      </w:pPr>
    </w:p>
    <w:p w14:paraId="72858839" w14:textId="33789B90" w:rsidR="00111F6A" w:rsidRPr="001B534D" w:rsidRDefault="00111F6A" w:rsidP="00D460BB">
      <w:pPr>
        <w:pStyle w:val="p0"/>
        <w:spacing w:line="360" w:lineRule="auto"/>
        <w:rPr>
          <w:rFonts w:ascii="Verdana" w:hAnsi="Verdana" w:cs="Tahoma"/>
          <w:color w:val="000000"/>
        </w:rPr>
      </w:pPr>
      <w:bookmarkStart w:id="1" w:name="_DV_M1"/>
      <w:bookmarkEnd w:id="1"/>
      <w:r w:rsidRPr="001B534D">
        <w:rPr>
          <w:rFonts w:ascii="Verdana" w:hAnsi="Verdana" w:cs="Tahoma"/>
          <w:color w:val="000000"/>
        </w:rPr>
        <w:t xml:space="preserve">Pelo presente </w:t>
      </w:r>
      <w:r w:rsidR="0092588C" w:rsidRPr="001B534D">
        <w:rPr>
          <w:rFonts w:ascii="Verdana" w:hAnsi="Verdana" w:cs="Tahoma"/>
          <w:color w:val="000000"/>
        </w:rPr>
        <w:t xml:space="preserve">Primeiro Aditamento ao </w:t>
      </w:r>
      <w:r w:rsidRPr="001B534D">
        <w:rPr>
          <w:rFonts w:ascii="Verdana" w:hAnsi="Verdana" w:cs="Tahoma"/>
          <w:color w:val="000000"/>
        </w:rPr>
        <w:t xml:space="preserve">Instrumento Particular </w:t>
      </w:r>
      <w:r w:rsidR="00805BA5" w:rsidRPr="001B534D">
        <w:rPr>
          <w:rFonts w:ascii="Verdana" w:hAnsi="Verdana" w:cs="Tahoma"/>
          <w:color w:val="000000"/>
        </w:rPr>
        <w:t>de Alienação Fiduciária de Cotas</w:t>
      </w:r>
      <w:r w:rsidR="00C07E6F" w:rsidRPr="001B534D">
        <w:rPr>
          <w:rFonts w:ascii="Verdana" w:hAnsi="Verdana" w:cs="Tahoma"/>
          <w:color w:val="000000"/>
        </w:rPr>
        <w:t xml:space="preserve"> e Cessão Fiduciária de Direitos Creditórios</w:t>
      </w:r>
      <w:r w:rsidRPr="001B534D">
        <w:rPr>
          <w:rFonts w:ascii="Verdana" w:hAnsi="Verdana" w:cs="Tahoma"/>
          <w:color w:val="000000"/>
        </w:rPr>
        <w:t xml:space="preserve"> em Garantia e Outras Avenças (“</w:t>
      </w:r>
      <w:r w:rsidR="0092588C" w:rsidRPr="001B534D">
        <w:rPr>
          <w:rFonts w:ascii="Verdana" w:hAnsi="Verdana" w:cs="Tahoma"/>
          <w:color w:val="000000"/>
        </w:rPr>
        <w:t xml:space="preserve">1º Aditamento </w:t>
      </w:r>
      <w:r w:rsidR="00805BA5" w:rsidRPr="001B534D">
        <w:rPr>
          <w:rFonts w:ascii="Verdana" w:hAnsi="Verdana" w:cs="Tahoma"/>
          <w:color w:val="000000"/>
          <w:u w:val="single"/>
        </w:rPr>
        <w:t>Alienação Fiduciária de Cotas</w:t>
      </w:r>
      <w:r w:rsidRPr="001B534D">
        <w:rPr>
          <w:rFonts w:ascii="Verdana" w:hAnsi="Verdana" w:cs="Tahoma"/>
          <w:color w:val="000000"/>
        </w:rPr>
        <w:t>”), as partes:</w:t>
      </w:r>
    </w:p>
    <w:p w14:paraId="07C7EEDE" w14:textId="77777777" w:rsidR="00111F6A" w:rsidRPr="001B534D" w:rsidRDefault="00111F6A" w:rsidP="00E32CB6">
      <w:pPr>
        <w:pStyle w:val="p0"/>
        <w:spacing w:line="240" w:lineRule="auto"/>
        <w:rPr>
          <w:rFonts w:ascii="Verdana" w:hAnsi="Verdana" w:cs="Tahoma"/>
          <w:color w:val="000000"/>
        </w:rPr>
      </w:pPr>
    </w:p>
    <w:p w14:paraId="106A7D85" w14:textId="06133EDD" w:rsidR="00946188" w:rsidRPr="001B534D" w:rsidRDefault="00C07E6F" w:rsidP="00D460BB">
      <w:pPr>
        <w:pStyle w:val="PargrafodaLista"/>
        <w:numPr>
          <w:ilvl w:val="0"/>
          <w:numId w:val="3"/>
        </w:numPr>
        <w:spacing w:line="360" w:lineRule="auto"/>
        <w:ind w:left="426" w:hanging="426"/>
        <w:jc w:val="both"/>
        <w:rPr>
          <w:rFonts w:ascii="Verdana" w:hAnsi="Verdana" w:cs="Calibri"/>
          <w:szCs w:val="24"/>
        </w:rPr>
      </w:pPr>
      <w:bookmarkStart w:id="2" w:name="_DV_M2"/>
      <w:bookmarkEnd w:id="2"/>
      <w:r w:rsidRPr="001B534D">
        <w:rPr>
          <w:rFonts w:ascii="Verdana" w:hAnsi="Verdana" w:cs="Arial"/>
          <w:b/>
          <w:szCs w:val="24"/>
        </w:rPr>
        <w:t>INEPAR S.A. INDÚSTRIA E CONSTRUÇÕES – EM RECUPERAÇÃO JUDICIAL</w:t>
      </w:r>
      <w:r w:rsidRPr="001B534D">
        <w:rPr>
          <w:rFonts w:ascii="Verdana" w:hAnsi="Verdana" w:cs="Arial"/>
          <w:bCs/>
          <w:szCs w:val="24"/>
        </w:rPr>
        <w:t>,</w:t>
      </w:r>
      <w:r w:rsidRPr="001B534D">
        <w:rPr>
          <w:rFonts w:ascii="Verdana" w:hAnsi="Verdana" w:cs="Arial"/>
          <w:b/>
          <w:szCs w:val="24"/>
        </w:rPr>
        <w:t xml:space="preserve"> </w:t>
      </w:r>
      <w:r w:rsidRPr="001B534D">
        <w:rPr>
          <w:rFonts w:ascii="Verdana" w:hAnsi="Verdana" w:cs="Arial"/>
          <w:szCs w:val="24"/>
        </w:rPr>
        <w:t>sociedade por ações, com registro de companhia aberta perante a CVM, com sede na cidade de Curitiba, Estado do Paraná, na Alameda Dr. Carlos de Carvalho nº 373, 11º andar, Centro, CEP 80410-180, inscrita no CNPJ/ME sob nº 76.627.504/0001-06, neste ato representada na forma do seu estatuto social (</w:t>
      </w:r>
      <w:r w:rsidR="005B5DA2" w:rsidRPr="001B534D">
        <w:rPr>
          <w:rFonts w:ascii="Verdana" w:hAnsi="Verdana" w:cs="Arial"/>
          <w:szCs w:val="24"/>
        </w:rPr>
        <w:t>“</w:t>
      </w:r>
      <w:r w:rsidR="005B5DA2" w:rsidRPr="001B534D">
        <w:rPr>
          <w:rFonts w:ascii="Verdana" w:hAnsi="Verdana" w:cs="Arial"/>
          <w:szCs w:val="24"/>
          <w:u w:val="single"/>
        </w:rPr>
        <w:t>Inepar</w:t>
      </w:r>
      <w:r w:rsidR="005B5DA2" w:rsidRPr="001B534D">
        <w:rPr>
          <w:rFonts w:ascii="Verdana" w:hAnsi="Verdana" w:cs="Arial"/>
          <w:szCs w:val="24"/>
        </w:rPr>
        <w:t>”</w:t>
      </w:r>
      <w:r w:rsidRPr="001B534D">
        <w:rPr>
          <w:rFonts w:ascii="Verdana" w:hAnsi="Verdana" w:cs="Arial"/>
          <w:szCs w:val="24"/>
        </w:rPr>
        <w:t>);</w:t>
      </w:r>
    </w:p>
    <w:p w14:paraId="0391A441" w14:textId="77777777" w:rsidR="00ED4A66" w:rsidRPr="001B534D" w:rsidRDefault="00ED4A66" w:rsidP="00E32CB6">
      <w:pPr>
        <w:pStyle w:val="PargrafodaLista"/>
        <w:ind w:left="425"/>
        <w:jc w:val="both"/>
        <w:rPr>
          <w:rFonts w:ascii="Verdana" w:hAnsi="Verdana" w:cs="Calibri"/>
          <w:szCs w:val="24"/>
        </w:rPr>
      </w:pPr>
    </w:p>
    <w:p w14:paraId="248BC435" w14:textId="77777777" w:rsidR="001A311B" w:rsidRPr="001B534D" w:rsidRDefault="00ED4A66" w:rsidP="00ED4A66">
      <w:pPr>
        <w:pStyle w:val="PargrafodaLista"/>
        <w:numPr>
          <w:ilvl w:val="0"/>
          <w:numId w:val="3"/>
        </w:numPr>
        <w:spacing w:line="360" w:lineRule="auto"/>
        <w:ind w:left="426" w:hanging="426"/>
        <w:jc w:val="both"/>
        <w:rPr>
          <w:rFonts w:ascii="Verdana" w:hAnsi="Verdana" w:cs="Calibri"/>
          <w:szCs w:val="24"/>
        </w:rPr>
      </w:pPr>
      <w:r w:rsidRPr="001B534D">
        <w:rPr>
          <w:rFonts w:ascii="Verdana" w:hAnsi="Verdana" w:cs="Arial"/>
          <w:b/>
          <w:szCs w:val="24"/>
        </w:rPr>
        <w:t>INEPAR EQUIPAMENTOS E MONTAGENS S.A. – EM RECUPERAÇÃO JUDICIAL</w:t>
      </w:r>
      <w:r w:rsidRPr="001B534D">
        <w:rPr>
          <w:rFonts w:ascii="Verdana" w:hAnsi="Verdana" w:cs="Arial"/>
          <w:bCs/>
          <w:szCs w:val="24"/>
        </w:rPr>
        <w:t>,</w:t>
      </w:r>
      <w:r w:rsidRPr="001B534D">
        <w:rPr>
          <w:rFonts w:ascii="Verdana" w:hAnsi="Verdana" w:cs="Arial"/>
          <w:b/>
          <w:szCs w:val="24"/>
        </w:rPr>
        <w:t xml:space="preserve"> </w:t>
      </w:r>
      <w:r w:rsidRPr="001B534D">
        <w:rPr>
          <w:rFonts w:ascii="Verdana" w:hAnsi="Verdana" w:cs="Arial"/>
          <w:szCs w:val="24"/>
        </w:rPr>
        <w:t>sociedade por ações, com sede na cidade de Curitiba, Estado do Paraná, na Alameda Dr. Carlos de Carvalho nº 373, 11º andar, Centro, CEP 80410-180, inscrita no CNPJ/ME sob nº</w:t>
      </w:r>
      <w:r w:rsidR="00610F76" w:rsidRPr="001B534D">
        <w:rPr>
          <w:rFonts w:ascii="Verdana" w:hAnsi="Verdana" w:cs="Arial"/>
          <w:szCs w:val="24"/>
        </w:rPr>
        <w:t> 02.258.422/0001-97</w:t>
      </w:r>
      <w:r w:rsidRPr="001B534D">
        <w:rPr>
          <w:rFonts w:ascii="Verdana" w:hAnsi="Verdana" w:cs="Arial"/>
          <w:szCs w:val="24"/>
        </w:rPr>
        <w:t>, neste ato representada na forma do seu estatuto social (“</w:t>
      </w:r>
      <w:r w:rsidRPr="001B534D">
        <w:rPr>
          <w:rFonts w:ascii="Verdana" w:hAnsi="Verdana" w:cs="Arial"/>
          <w:szCs w:val="24"/>
          <w:u w:val="single"/>
        </w:rPr>
        <w:t>Inepar</w:t>
      </w:r>
      <w:r w:rsidR="00610F76" w:rsidRPr="001B534D">
        <w:rPr>
          <w:rFonts w:ascii="Verdana" w:hAnsi="Verdana" w:cs="Arial"/>
          <w:szCs w:val="24"/>
          <w:u w:val="single"/>
        </w:rPr>
        <w:t xml:space="preserve"> Equipamentos</w:t>
      </w:r>
      <w:r w:rsidRPr="001B534D">
        <w:rPr>
          <w:rFonts w:ascii="Verdana" w:hAnsi="Verdana" w:cs="Arial"/>
          <w:szCs w:val="24"/>
        </w:rPr>
        <w:t>”</w:t>
      </w:r>
      <w:r w:rsidR="001A311B" w:rsidRPr="001B534D">
        <w:rPr>
          <w:rFonts w:ascii="Verdana" w:hAnsi="Verdana" w:cs="Arial"/>
          <w:szCs w:val="24"/>
        </w:rPr>
        <w:t>)</w:t>
      </w:r>
    </w:p>
    <w:p w14:paraId="20F2EF6F" w14:textId="77777777" w:rsidR="001A311B" w:rsidRPr="001B534D" w:rsidRDefault="001A311B" w:rsidP="001A311B">
      <w:pPr>
        <w:pStyle w:val="PargrafodaLista"/>
        <w:rPr>
          <w:rFonts w:ascii="Verdana" w:hAnsi="Verdana" w:cs="Arial"/>
          <w:szCs w:val="24"/>
        </w:rPr>
      </w:pPr>
    </w:p>
    <w:p w14:paraId="20490C9A" w14:textId="03139A9F" w:rsidR="00ED4A66" w:rsidRPr="001B534D" w:rsidRDefault="002F2987" w:rsidP="00ED4A66">
      <w:pPr>
        <w:pStyle w:val="PargrafodaLista"/>
        <w:numPr>
          <w:ilvl w:val="0"/>
          <w:numId w:val="3"/>
        </w:numPr>
        <w:spacing w:line="360" w:lineRule="auto"/>
        <w:ind w:left="426" w:hanging="426"/>
        <w:jc w:val="both"/>
        <w:rPr>
          <w:rFonts w:ascii="Verdana" w:hAnsi="Verdana" w:cs="Calibri"/>
          <w:szCs w:val="24"/>
        </w:rPr>
      </w:pPr>
      <w:r w:rsidRPr="001B534D">
        <w:rPr>
          <w:rFonts w:ascii="Verdana" w:hAnsi="Verdana" w:cs="Arial"/>
          <w:b/>
          <w:bCs/>
          <w:szCs w:val="24"/>
        </w:rPr>
        <w:t>IESA PROJETOS, EQUIPAMENTOS E MONTAGENS S.A. – EM RECUPERAÇÃO JUDICIAL</w:t>
      </w:r>
      <w:r w:rsidRPr="001B534D">
        <w:rPr>
          <w:rFonts w:ascii="Verdana" w:hAnsi="Verdana" w:cs="Arial"/>
          <w:szCs w:val="24"/>
        </w:rPr>
        <w:t>, sociedade por ações, com sede na cidade de Araraquara, Estado de São Paulo, na Rodovia Manoel de Abreu, s/n, Km 4,5, CEP 14806-500, inscrita no CNPJ/ME sob o nº 29.918.943/0008-56, neste ato representada na forma de seu estatuto social (“</w:t>
      </w:r>
      <w:r w:rsidRPr="001B534D">
        <w:rPr>
          <w:rFonts w:ascii="Verdana" w:hAnsi="Verdana" w:cs="Arial"/>
          <w:szCs w:val="24"/>
          <w:u w:val="single"/>
        </w:rPr>
        <w:t>IESA</w:t>
      </w:r>
      <w:r w:rsidRPr="001B534D">
        <w:rPr>
          <w:rFonts w:ascii="Verdana" w:hAnsi="Verdana" w:cs="Arial"/>
          <w:szCs w:val="24"/>
        </w:rPr>
        <w:t>”</w:t>
      </w:r>
      <w:r w:rsidR="00ED4A66" w:rsidRPr="001B534D">
        <w:rPr>
          <w:rFonts w:ascii="Verdana" w:hAnsi="Verdana" w:cs="Arial"/>
          <w:szCs w:val="24"/>
        </w:rPr>
        <w:t xml:space="preserve"> </w:t>
      </w:r>
      <w:r w:rsidR="00610F76" w:rsidRPr="001B534D">
        <w:rPr>
          <w:rFonts w:ascii="Verdana" w:hAnsi="Verdana" w:cs="Arial"/>
          <w:szCs w:val="24"/>
        </w:rPr>
        <w:t>e, quando em conjunto com a Inepar</w:t>
      </w:r>
      <w:r w:rsidRPr="001B534D">
        <w:rPr>
          <w:rFonts w:ascii="Verdana" w:hAnsi="Verdana" w:cs="Arial"/>
          <w:szCs w:val="24"/>
        </w:rPr>
        <w:t xml:space="preserve"> e com a Inepar Equipamentos</w:t>
      </w:r>
      <w:r w:rsidR="00610F76" w:rsidRPr="001B534D">
        <w:rPr>
          <w:rFonts w:ascii="Verdana" w:hAnsi="Verdana" w:cs="Arial"/>
          <w:szCs w:val="24"/>
        </w:rPr>
        <w:t xml:space="preserve">, </w:t>
      </w:r>
      <w:r w:rsidR="00ED4A66" w:rsidRPr="001B534D">
        <w:rPr>
          <w:rFonts w:ascii="Verdana" w:hAnsi="Verdana" w:cs="Arial"/>
          <w:szCs w:val="24"/>
        </w:rPr>
        <w:t>“</w:t>
      </w:r>
      <w:r w:rsidR="00ED4A66" w:rsidRPr="001B534D">
        <w:rPr>
          <w:rFonts w:ascii="Verdana" w:hAnsi="Verdana" w:cs="Arial"/>
          <w:szCs w:val="24"/>
          <w:u w:val="single"/>
        </w:rPr>
        <w:t>Fiduciante</w:t>
      </w:r>
      <w:r w:rsidR="00610F76" w:rsidRPr="001B534D">
        <w:rPr>
          <w:rFonts w:ascii="Verdana" w:hAnsi="Verdana" w:cs="Arial"/>
          <w:szCs w:val="24"/>
          <w:u w:val="single"/>
        </w:rPr>
        <w:t>s</w:t>
      </w:r>
      <w:r w:rsidR="00ED4A66" w:rsidRPr="001B534D">
        <w:rPr>
          <w:rFonts w:ascii="Verdana" w:hAnsi="Verdana" w:cs="Arial"/>
          <w:szCs w:val="24"/>
        </w:rPr>
        <w:t>”);</w:t>
      </w:r>
    </w:p>
    <w:p w14:paraId="60984794" w14:textId="77777777" w:rsidR="009A74F5" w:rsidRPr="001B534D" w:rsidRDefault="009A74F5" w:rsidP="00E32CB6">
      <w:pPr>
        <w:jc w:val="both"/>
        <w:rPr>
          <w:rFonts w:ascii="Verdana" w:hAnsi="Verdana" w:cs="Tahoma"/>
          <w:color w:val="000000"/>
          <w:szCs w:val="24"/>
        </w:rPr>
      </w:pPr>
    </w:p>
    <w:p w14:paraId="4DA48637" w14:textId="4319381A" w:rsidR="00F95A70" w:rsidRPr="001B534D" w:rsidRDefault="00463039" w:rsidP="00A87944">
      <w:pPr>
        <w:pStyle w:val="PargrafodaLista"/>
        <w:numPr>
          <w:ilvl w:val="0"/>
          <w:numId w:val="3"/>
        </w:numPr>
        <w:spacing w:line="360" w:lineRule="auto"/>
        <w:ind w:left="426" w:hanging="426"/>
        <w:jc w:val="both"/>
        <w:rPr>
          <w:rStyle w:val="DeltaViewInsertion"/>
          <w:rFonts w:ascii="Verdana" w:hAnsi="Verdana" w:cs="Tahoma"/>
          <w:color w:val="000000"/>
          <w:szCs w:val="24"/>
          <w:u w:val="none"/>
        </w:rPr>
      </w:pPr>
      <w:bookmarkStart w:id="3" w:name="_DV_M10"/>
      <w:bookmarkStart w:id="4" w:name="_DV_M12"/>
      <w:bookmarkStart w:id="5" w:name="_DV_C15"/>
      <w:bookmarkEnd w:id="3"/>
      <w:bookmarkEnd w:id="4"/>
      <w:r w:rsidRPr="001B534D">
        <w:rPr>
          <w:rFonts w:ascii="Verdana" w:hAnsi="Verdana" w:cs="Arial"/>
          <w:b/>
          <w:szCs w:val="24"/>
        </w:rPr>
        <w:lastRenderedPageBreak/>
        <w:t>SIMPLIFIC PAVARINI DISTRIBUIDORA DE TÍTULOS E VALORES MOBILIÁRIOS LTDA.</w:t>
      </w:r>
      <w:r w:rsidR="00D442E7" w:rsidRPr="001B534D">
        <w:rPr>
          <w:rFonts w:ascii="Verdana" w:hAnsi="Verdana"/>
          <w:b/>
          <w:szCs w:val="24"/>
        </w:rPr>
        <w:t xml:space="preserve">, </w:t>
      </w:r>
      <w:r w:rsidR="00D442E7" w:rsidRPr="001B534D">
        <w:rPr>
          <w:rFonts w:ascii="Verdana" w:hAnsi="Verdana" w:cs="Arial"/>
          <w:szCs w:val="24"/>
        </w:rPr>
        <w:t xml:space="preserve">sociedade </w:t>
      </w:r>
      <w:r w:rsidRPr="001B534D">
        <w:rPr>
          <w:rFonts w:ascii="Verdana" w:hAnsi="Verdana" w:cs="Arial"/>
          <w:szCs w:val="24"/>
        </w:rPr>
        <w:t>limitada</w:t>
      </w:r>
      <w:r w:rsidR="00D442E7" w:rsidRPr="001B534D">
        <w:rPr>
          <w:rFonts w:ascii="Verdana" w:hAnsi="Verdana" w:cs="Arial"/>
          <w:szCs w:val="24"/>
        </w:rPr>
        <w:t xml:space="preserve">, </w:t>
      </w:r>
      <w:r w:rsidR="00536F44" w:rsidRPr="001B534D">
        <w:rPr>
          <w:rFonts w:ascii="Verdana" w:hAnsi="Verdana" w:cs="Arial"/>
          <w:szCs w:val="24"/>
        </w:rPr>
        <w:t xml:space="preserve">atuando por sua filial na cidade e Estado de São Paulo, na Rua Joaquim Floriano, nº 466, Bloco B, Sala 1.401, Itaim Bibi, CEP 04534-002, inscrita no CNPJ/ME sob nº 15.227.994/0004-01, </w:t>
      </w:r>
      <w:r w:rsidR="00D442E7" w:rsidRPr="001B534D">
        <w:rPr>
          <w:rFonts w:ascii="Verdana" w:hAnsi="Verdana" w:cs="Arial"/>
          <w:szCs w:val="24"/>
        </w:rPr>
        <w:t xml:space="preserve">na qualidade de novo representante da comunhão dos debenturistas titulares das </w:t>
      </w:r>
      <w:r w:rsidR="00776BFF" w:rsidRPr="001B534D">
        <w:rPr>
          <w:rFonts w:ascii="Verdana" w:hAnsi="Verdana" w:cs="Arial"/>
          <w:szCs w:val="24"/>
        </w:rPr>
        <w:t>D</w:t>
      </w:r>
      <w:r w:rsidR="00D442E7" w:rsidRPr="001B534D">
        <w:rPr>
          <w:rFonts w:ascii="Verdana" w:hAnsi="Verdana" w:cs="Arial"/>
          <w:szCs w:val="24"/>
        </w:rPr>
        <w:t>ebêntures</w:t>
      </w:r>
      <w:r w:rsidR="00776BFF" w:rsidRPr="001B534D">
        <w:rPr>
          <w:rFonts w:ascii="Verdana" w:hAnsi="Verdana" w:cs="Arial"/>
          <w:szCs w:val="24"/>
        </w:rPr>
        <w:t xml:space="preserve"> (conforme abaixo definido)</w:t>
      </w:r>
      <w:r w:rsidR="00C562FC" w:rsidRPr="001B534D">
        <w:rPr>
          <w:rFonts w:ascii="Verdana" w:hAnsi="Verdana" w:cs="Arial"/>
          <w:szCs w:val="24"/>
        </w:rPr>
        <w:t xml:space="preserve"> (“</w:t>
      </w:r>
      <w:r w:rsidR="00C562FC" w:rsidRPr="00B16759">
        <w:rPr>
          <w:rFonts w:ascii="Verdana" w:hAnsi="Verdana" w:cs="Arial"/>
          <w:szCs w:val="24"/>
          <w:u w:val="single"/>
        </w:rPr>
        <w:t>Debenturistas</w:t>
      </w:r>
      <w:r w:rsidR="00C562FC" w:rsidRPr="001B534D">
        <w:rPr>
          <w:rFonts w:ascii="Verdana" w:hAnsi="Verdana" w:cs="Arial"/>
          <w:szCs w:val="24"/>
        </w:rPr>
        <w:t>”)</w:t>
      </w:r>
      <w:r w:rsidR="00D442E7" w:rsidRPr="001B534D">
        <w:rPr>
          <w:rFonts w:ascii="Verdana" w:hAnsi="Verdana" w:cs="Arial"/>
          <w:szCs w:val="24"/>
        </w:rPr>
        <w:t>, neste ato representada na forma de seu contrato social</w:t>
      </w:r>
      <w:r w:rsidR="00A8220B" w:rsidRPr="001B534D">
        <w:rPr>
          <w:rFonts w:ascii="Verdana" w:hAnsi="Verdana" w:cs="Arial"/>
          <w:szCs w:val="24"/>
        </w:rPr>
        <w:t xml:space="preserve"> (“</w:t>
      </w:r>
      <w:r w:rsidR="00A8220B" w:rsidRPr="001B534D">
        <w:rPr>
          <w:rFonts w:ascii="Verdana" w:hAnsi="Verdana" w:cs="Arial"/>
          <w:szCs w:val="24"/>
          <w:u w:val="single"/>
        </w:rPr>
        <w:t>Agente Fiduciário</w:t>
      </w:r>
      <w:r w:rsidR="00A8220B" w:rsidRPr="001B534D">
        <w:rPr>
          <w:rFonts w:ascii="Verdana" w:hAnsi="Verdana" w:cs="Arial"/>
          <w:szCs w:val="24"/>
        </w:rPr>
        <w:t>” ou “</w:t>
      </w:r>
      <w:r w:rsidR="00A8220B" w:rsidRPr="001B534D">
        <w:rPr>
          <w:rFonts w:ascii="Verdana" w:hAnsi="Verdana" w:cs="Arial"/>
          <w:szCs w:val="24"/>
          <w:u w:val="single"/>
        </w:rPr>
        <w:t>Fiduciário</w:t>
      </w:r>
      <w:r w:rsidR="00A8220B" w:rsidRPr="001B534D">
        <w:rPr>
          <w:rFonts w:ascii="Verdana" w:hAnsi="Verdana" w:cs="Arial"/>
          <w:szCs w:val="24"/>
        </w:rPr>
        <w:t>”)</w:t>
      </w:r>
      <w:r w:rsidR="00717A21" w:rsidRPr="001B534D">
        <w:rPr>
          <w:rFonts w:ascii="Verdana" w:hAnsi="Verdana"/>
          <w:szCs w:val="24"/>
        </w:rPr>
        <w:t>.</w:t>
      </w:r>
      <w:bookmarkEnd w:id="5"/>
    </w:p>
    <w:p w14:paraId="5E41B918" w14:textId="77777777" w:rsidR="00F95A70" w:rsidRPr="001B534D" w:rsidRDefault="00F95A70" w:rsidP="00E32CB6">
      <w:pPr>
        <w:jc w:val="both"/>
        <w:rPr>
          <w:rStyle w:val="DeltaViewInsertion"/>
          <w:rFonts w:ascii="Verdana" w:hAnsi="Verdana" w:cs="Tahoma"/>
          <w:color w:val="000000"/>
          <w:szCs w:val="24"/>
          <w:u w:val="none"/>
        </w:rPr>
      </w:pPr>
    </w:p>
    <w:p w14:paraId="050DC956" w14:textId="7ED79996" w:rsidR="00CB21FF" w:rsidRPr="001B534D" w:rsidRDefault="00CB21FF" w:rsidP="00D460BB">
      <w:pPr>
        <w:spacing w:line="360" w:lineRule="auto"/>
        <w:jc w:val="both"/>
        <w:rPr>
          <w:rFonts w:ascii="Verdana" w:hAnsi="Verdana"/>
          <w:szCs w:val="24"/>
        </w:rPr>
      </w:pPr>
      <w:r w:rsidRPr="001B534D">
        <w:rPr>
          <w:rFonts w:ascii="Verdana" w:hAnsi="Verdana"/>
          <w:szCs w:val="24"/>
        </w:rPr>
        <w:t xml:space="preserve">Sendo </w:t>
      </w:r>
      <w:r w:rsidR="00F825D5" w:rsidRPr="001B534D">
        <w:rPr>
          <w:rFonts w:ascii="Verdana" w:hAnsi="Verdana"/>
          <w:szCs w:val="24"/>
        </w:rPr>
        <w:t>a</w:t>
      </w:r>
      <w:r w:rsidRPr="001B534D">
        <w:rPr>
          <w:rFonts w:ascii="Verdana" w:hAnsi="Verdana"/>
          <w:szCs w:val="24"/>
        </w:rPr>
        <w:t xml:space="preserve"> Fiduciante</w:t>
      </w:r>
      <w:r w:rsidR="00610F76" w:rsidRPr="001B534D">
        <w:rPr>
          <w:rFonts w:ascii="Verdana" w:hAnsi="Verdana"/>
          <w:szCs w:val="24"/>
        </w:rPr>
        <w:t>s</w:t>
      </w:r>
      <w:r w:rsidRPr="001B534D">
        <w:rPr>
          <w:rFonts w:ascii="Verdana" w:hAnsi="Verdana"/>
          <w:szCs w:val="24"/>
        </w:rPr>
        <w:t xml:space="preserve"> e </w:t>
      </w:r>
      <w:r w:rsidR="00C07E6F" w:rsidRPr="001B534D">
        <w:rPr>
          <w:rFonts w:ascii="Verdana" w:hAnsi="Verdana"/>
          <w:szCs w:val="24"/>
        </w:rPr>
        <w:t>o</w:t>
      </w:r>
      <w:r w:rsidRPr="001B534D">
        <w:rPr>
          <w:rFonts w:ascii="Verdana" w:hAnsi="Verdana"/>
          <w:szCs w:val="24"/>
        </w:rPr>
        <w:t xml:space="preserve"> Fiduciári</w:t>
      </w:r>
      <w:r w:rsidR="00C07E6F" w:rsidRPr="001B534D">
        <w:rPr>
          <w:rFonts w:ascii="Verdana" w:hAnsi="Verdana"/>
          <w:szCs w:val="24"/>
        </w:rPr>
        <w:t>o</w:t>
      </w:r>
      <w:r w:rsidRPr="001B534D">
        <w:rPr>
          <w:rFonts w:ascii="Verdana" w:hAnsi="Verdana"/>
          <w:szCs w:val="24"/>
        </w:rPr>
        <w:t xml:space="preserve"> </w:t>
      </w:r>
      <w:r w:rsidR="00E85342" w:rsidRPr="001B534D">
        <w:rPr>
          <w:rFonts w:ascii="Verdana" w:hAnsi="Verdana"/>
          <w:szCs w:val="24"/>
        </w:rPr>
        <w:t xml:space="preserve">doravante </w:t>
      </w:r>
      <w:r w:rsidR="002C7601" w:rsidRPr="001B534D">
        <w:rPr>
          <w:rFonts w:ascii="Verdana" w:hAnsi="Verdana"/>
          <w:szCs w:val="24"/>
        </w:rPr>
        <w:t>denominados</w:t>
      </w:r>
      <w:r w:rsidR="00E85342" w:rsidRPr="001B534D">
        <w:rPr>
          <w:rFonts w:ascii="Verdana" w:hAnsi="Verdana"/>
          <w:szCs w:val="24"/>
        </w:rPr>
        <w:t>, em conjunto, como</w:t>
      </w:r>
      <w:r w:rsidRPr="001B534D">
        <w:rPr>
          <w:rFonts w:ascii="Verdana" w:hAnsi="Verdana"/>
          <w:szCs w:val="24"/>
        </w:rPr>
        <w:t xml:space="preserve"> “</w:t>
      </w:r>
      <w:r w:rsidRPr="001B534D">
        <w:rPr>
          <w:rFonts w:ascii="Verdana" w:hAnsi="Verdana"/>
          <w:szCs w:val="24"/>
          <w:u w:val="single"/>
        </w:rPr>
        <w:t>Partes</w:t>
      </w:r>
      <w:r w:rsidRPr="001B534D">
        <w:rPr>
          <w:rFonts w:ascii="Verdana" w:hAnsi="Verdana"/>
          <w:szCs w:val="24"/>
        </w:rPr>
        <w:t xml:space="preserve">” e, </w:t>
      </w:r>
      <w:r w:rsidR="00E85342" w:rsidRPr="001B534D">
        <w:rPr>
          <w:rFonts w:ascii="Verdana" w:hAnsi="Verdana"/>
          <w:szCs w:val="24"/>
        </w:rPr>
        <w:t xml:space="preserve">individual e indistintamente como “Parte” e, </w:t>
      </w:r>
      <w:r w:rsidRPr="001B534D">
        <w:rPr>
          <w:rFonts w:ascii="Verdana" w:hAnsi="Verdana"/>
          <w:szCs w:val="24"/>
        </w:rPr>
        <w:t xml:space="preserve">ainda, na qualidade de interveniente anuente: </w:t>
      </w:r>
    </w:p>
    <w:p w14:paraId="7088B0EF" w14:textId="77777777" w:rsidR="00CB21FF" w:rsidRPr="001B534D" w:rsidRDefault="00CB21FF" w:rsidP="00D460BB">
      <w:pPr>
        <w:spacing w:line="360" w:lineRule="auto"/>
        <w:jc w:val="both"/>
        <w:rPr>
          <w:rStyle w:val="DeltaViewInsertion"/>
          <w:rFonts w:ascii="Verdana" w:hAnsi="Verdana" w:cs="Tahoma"/>
          <w:color w:val="000000"/>
          <w:szCs w:val="24"/>
          <w:u w:val="none"/>
        </w:rPr>
      </w:pPr>
    </w:p>
    <w:p w14:paraId="4D634F86" w14:textId="07731122" w:rsidR="0037337F" w:rsidRPr="001B534D" w:rsidRDefault="00C07E6F" w:rsidP="00A65B7B">
      <w:pPr>
        <w:pStyle w:val="PargrafodaLista"/>
        <w:numPr>
          <w:ilvl w:val="0"/>
          <w:numId w:val="3"/>
        </w:numPr>
        <w:spacing w:line="360" w:lineRule="auto"/>
        <w:ind w:left="425" w:hanging="425"/>
        <w:jc w:val="both"/>
        <w:rPr>
          <w:rFonts w:ascii="Verdana" w:eastAsia="Garamond,Arial" w:hAnsi="Verdana" w:cs="Garamond,Arial"/>
          <w:b/>
          <w:bCs/>
          <w:szCs w:val="24"/>
          <w:lang w:eastAsia="en-US"/>
        </w:rPr>
      </w:pPr>
      <w:bookmarkStart w:id="6" w:name="_DV_M13"/>
      <w:bookmarkStart w:id="7" w:name="_DV_M14"/>
      <w:bookmarkEnd w:id="6"/>
      <w:bookmarkEnd w:id="7"/>
      <w:r w:rsidRPr="001B534D">
        <w:rPr>
          <w:rFonts w:ascii="Verdana" w:eastAsia="Garamond,Arial" w:hAnsi="Verdana" w:cs="Garamond,Arial"/>
          <w:b/>
          <w:bCs/>
          <w:szCs w:val="24"/>
          <w:lang w:eastAsia="en-US"/>
        </w:rPr>
        <w:t>TARANIS - FUNDO DE INVESTIMENTO EM DIREITOS CREDITÓRIOS NÃO - PADRONIZADOS</w:t>
      </w:r>
      <w:r w:rsidR="00551151" w:rsidRPr="001B534D">
        <w:rPr>
          <w:rFonts w:ascii="Verdana" w:eastAsia="Garamond,Calibri" w:hAnsi="Verdana" w:cs="Garamond,Calibri"/>
          <w:szCs w:val="24"/>
        </w:rPr>
        <w:t xml:space="preserve">, fundo de investimento </w:t>
      </w:r>
      <w:r w:rsidRPr="001B534D">
        <w:rPr>
          <w:rFonts w:ascii="Verdana" w:eastAsia="Garamond,Calibri" w:hAnsi="Verdana" w:cs="Garamond,Calibri"/>
          <w:szCs w:val="24"/>
        </w:rPr>
        <w:t>em direitos creditórios</w:t>
      </w:r>
      <w:r w:rsidR="00551151" w:rsidRPr="001B534D">
        <w:rPr>
          <w:rFonts w:ascii="Verdana" w:eastAsia="Garamond,Calibri" w:hAnsi="Verdana" w:cs="Garamond,Calibri"/>
          <w:szCs w:val="24"/>
        </w:rPr>
        <w:t xml:space="preserve">, </w:t>
      </w:r>
      <w:r w:rsidR="00B80FCB" w:rsidRPr="001B534D">
        <w:rPr>
          <w:rFonts w:ascii="Verdana" w:eastAsia="Garamond,Calibri" w:hAnsi="Verdana" w:cs="Garamond,Calibri"/>
          <w:szCs w:val="24"/>
        </w:rPr>
        <w:t>inscrito no CNPJ</w:t>
      </w:r>
      <w:r w:rsidR="00560A60" w:rsidRPr="001B534D">
        <w:rPr>
          <w:rFonts w:ascii="Verdana" w:eastAsia="Garamond,Calibri" w:hAnsi="Verdana" w:cs="Garamond,Calibri"/>
          <w:szCs w:val="24"/>
        </w:rPr>
        <w:t>/ME</w:t>
      </w:r>
      <w:r w:rsidR="00B80FCB" w:rsidRPr="001B534D">
        <w:rPr>
          <w:rFonts w:ascii="Verdana" w:eastAsia="Garamond,Calibri" w:hAnsi="Verdana" w:cs="Garamond,Calibri"/>
          <w:szCs w:val="24"/>
        </w:rPr>
        <w:t xml:space="preserve"> sob o n°</w:t>
      </w:r>
      <w:r w:rsidRPr="001B534D">
        <w:rPr>
          <w:rFonts w:ascii="Verdana" w:eastAsia="Garamond,Calibri" w:hAnsi="Verdana" w:cs="Garamond,Calibri"/>
          <w:szCs w:val="24"/>
        </w:rPr>
        <w:t> 31.164.462/0001-78</w:t>
      </w:r>
      <w:r w:rsidR="00B80FCB" w:rsidRPr="001B534D">
        <w:rPr>
          <w:rFonts w:ascii="Verdana" w:eastAsia="Garamond,Calibri" w:hAnsi="Verdana" w:cs="Garamond,Calibri"/>
          <w:szCs w:val="24"/>
        </w:rPr>
        <w:t xml:space="preserve">, </w:t>
      </w:r>
      <w:r w:rsidR="00551151" w:rsidRPr="001B534D">
        <w:rPr>
          <w:rFonts w:ascii="Verdana" w:eastAsia="Garamond,Calibri" w:hAnsi="Verdana" w:cs="Garamond,Calibri"/>
          <w:szCs w:val="24"/>
        </w:rPr>
        <w:t xml:space="preserve">neste ato representado na forma de seu Regulamento por sua administradora </w:t>
      </w:r>
      <w:r w:rsidRPr="001B534D">
        <w:rPr>
          <w:rFonts w:ascii="Verdana" w:eastAsia="Garamond,Calibri" w:hAnsi="Verdana" w:cs="Garamond,Calibri"/>
          <w:b/>
          <w:szCs w:val="24"/>
        </w:rPr>
        <w:t xml:space="preserve">OLIVEIRA TRUST </w:t>
      </w:r>
      <w:r w:rsidR="006E308D" w:rsidRPr="001B534D">
        <w:rPr>
          <w:rFonts w:ascii="Verdana" w:eastAsia="Garamond,Calibri" w:hAnsi="Verdana" w:cs="Garamond,Calibri"/>
          <w:b/>
          <w:szCs w:val="24"/>
        </w:rPr>
        <w:t>DISTRIBUIDORA DE TÍTULOS E VALORES MOBILIÁRIOS S.A.</w:t>
      </w:r>
      <w:r w:rsidR="00551151" w:rsidRPr="001B534D">
        <w:rPr>
          <w:rFonts w:ascii="Verdana" w:hAnsi="Verdana" w:cs="Arial"/>
          <w:szCs w:val="24"/>
        </w:rPr>
        <w:t xml:space="preserve">, </w:t>
      </w:r>
      <w:r w:rsidR="00A65B7B" w:rsidRPr="001B534D">
        <w:rPr>
          <w:rFonts w:ascii="Verdana" w:hAnsi="Verdana" w:cs="Arial"/>
          <w:szCs w:val="24"/>
        </w:rPr>
        <w:t xml:space="preserve">instituição financeira, inscrita no CNPJ/ME sob o nº 36.113.876/0001-91, com sede na cidade e Estado do Rio de Janeiro, na Avenida das Américas, nº 3434, Bloco 07, Sala 201, Barra da Tijuca, CEP 22.640-102, devidamente autorizada pela CVM a exercer a atividade de administração de carteira de valores mobiliários, por meio do Ato Declaratório CVM nº 6.696, de 21 de fevereiro de 2002, na qualidade de Administradora do Fundo </w:t>
      </w:r>
      <w:r w:rsidR="00111F6A" w:rsidRPr="001B534D">
        <w:rPr>
          <w:rFonts w:ascii="Verdana" w:hAnsi="Verdana" w:cs="Tahoma"/>
          <w:szCs w:val="24"/>
        </w:rPr>
        <w:t>(“</w:t>
      </w:r>
      <w:r w:rsidR="005B5DA2" w:rsidRPr="001B534D">
        <w:rPr>
          <w:rFonts w:ascii="Verdana" w:hAnsi="Verdana" w:cs="Tahoma"/>
          <w:szCs w:val="24"/>
          <w:u w:val="single"/>
        </w:rPr>
        <w:t>Fundo</w:t>
      </w:r>
      <w:r w:rsidR="00111F6A" w:rsidRPr="001B534D">
        <w:rPr>
          <w:rFonts w:ascii="Verdana" w:hAnsi="Verdana" w:cs="Tahoma"/>
          <w:szCs w:val="24"/>
        </w:rPr>
        <w:t>”</w:t>
      </w:r>
      <w:r w:rsidR="00A65B7B" w:rsidRPr="001B534D">
        <w:rPr>
          <w:rFonts w:ascii="Verdana" w:hAnsi="Verdana" w:cs="Tahoma"/>
          <w:szCs w:val="24"/>
        </w:rPr>
        <w:t xml:space="preserve"> e “</w:t>
      </w:r>
      <w:r w:rsidR="00A65B7B" w:rsidRPr="001B534D">
        <w:rPr>
          <w:rFonts w:ascii="Verdana" w:hAnsi="Verdana"/>
          <w:szCs w:val="24"/>
          <w:u w:val="single"/>
        </w:rPr>
        <w:t>Administradora</w:t>
      </w:r>
      <w:r w:rsidR="00A65B7B" w:rsidRPr="001B534D">
        <w:rPr>
          <w:rFonts w:ascii="Verdana" w:hAnsi="Verdana" w:cs="Tahoma"/>
          <w:szCs w:val="24"/>
        </w:rPr>
        <w:t>”, respectivamente</w:t>
      </w:r>
      <w:r w:rsidR="00111F6A" w:rsidRPr="001B534D">
        <w:rPr>
          <w:rFonts w:ascii="Verdana" w:hAnsi="Verdana" w:cs="Tahoma"/>
          <w:szCs w:val="24"/>
        </w:rPr>
        <w:t>).</w:t>
      </w:r>
    </w:p>
    <w:p w14:paraId="3BFF092D" w14:textId="77777777" w:rsidR="00C37306" w:rsidRPr="001B534D" w:rsidRDefault="00C37306" w:rsidP="00E32CB6">
      <w:pPr>
        <w:pStyle w:val="PargrafodaLista1"/>
        <w:spacing w:line="240" w:lineRule="auto"/>
        <w:ind w:left="0"/>
        <w:rPr>
          <w:rFonts w:ascii="Verdana" w:hAnsi="Verdana" w:cs="Tahoma"/>
        </w:rPr>
      </w:pPr>
    </w:p>
    <w:p w14:paraId="5EE6E662" w14:textId="701358C0" w:rsidR="009A74F5" w:rsidRPr="009A74F5" w:rsidRDefault="009A74F5" w:rsidP="009A74F5">
      <w:pPr>
        <w:rPr>
          <w:rFonts w:ascii="Verdana" w:eastAsia="Arial Unicode MS" w:hAnsi="Verdana"/>
          <w:b/>
          <w:bCs/>
        </w:rPr>
      </w:pPr>
      <w:bookmarkStart w:id="8" w:name="_DV_M16"/>
      <w:bookmarkEnd w:id="8"/>
      <w:r w:rsidRPr="009A74F5">
        <w:rPr>
          <w:rFonts w:ascii="Verdana" w:hAnsi="Verdana"/>
          <w:b/>
          <w:bCs/>
        </w:rPr>
        <w:t>CONSIDERANDO QUE:</w:t>
      </w:r>
    </w:p>
    <w:p w14:paraId="2C7C70CE" w14:textId="77777777" w:rsidR="00111F6A" w:rsidRPr="001B534D" w:rsidRDefault="00111F6A" w:rsidP="009A74F5">
      <w:pPr>
        <w:pStyle w:val="Ttulo3"/>
      </w:pPr>
    </w:p>
    <w:p w14:paraId="64EDA3CB" w14:textId="5709A55E" w:rsidR="005B5DA2" w:rsidRPr="001B534D" w:rsidRDefault="005B5DA2" w:rsidP="001B7484">
      <w:pPr>
        <w:pStyle w:val="PargrafodaLista"/>
        <w:numPr>
          <w:ilvl w:val="0"/>
          <w:numId w:val="18"/>
        </w:numPr>
        <w:autoSpaceDE/>
        <w:autoSpaceDN/>
        <w:adjustRightInd/>
        <w:spacing w:line="360" w:lineRule="auto"/>
        <w:ind w:left="567" w:hanging="567"/>
        <w:contextualSpacing/>
        <w:jc w:val="both"/>
        <w:rPr>
          <w:rFonts w:ascii="Verdana" w:hAnsi="Verdana" w:cs="Arial"/>
          <w:szCs w:val="24"/>
        </w:rPr>
      </w:pPr>
      <w:bookmarkStart w:id="9" w:name="_DV_M17"/>
      <w:bookmarkEnd w:id="9"/>
      <w:r w:rsidRPr="001B534D">
        <w:rPr>
          <w:rFonts w:ascii="Verdana" w:hAnsi="Verdana" w:cs="Arial"/>
          <w:szCs w:val="24"/>
        </w:rPr>
        <w:t xml:space="preserve">a Inepar celebrou em 20 de julho de 2012, o </w:t>
      </w:r>
      <w:r w:rsidRPr="001B534D">
        <w:rPr>
          <w:rFonts w:ascii="Verdana" w:hAnsi="Verdana" w:cs="Arial"/>
          <w:i/>
          <w:iCs/>
          <w:szCs w:val="24"/>
        </w:rPr>
        <w:t xml:space="preserve">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w:t>
      </w:r>
      <w:r w:rsidRPr="001B534D">
        <w:rPr>
          <w:rFonts w:ascii="Verdana" w:hAnsi="Verdana" w:cs="Arial"/>
          <w:szCs w:val="24"/>
        </w:rPr>
        <w:t>(“</w:t>
      </w:r>
      <w:r w:rsidRPr="00B16759">
        <w:rPr>
          <w:rFonts w:ascii="Verdana" w:hAnsi="Verdana" w:cs="Arial"/>
          <w:szCs w:val="24"/>
          <w:u w:val="single"/>
        </w:rPr>
        <w:t>Escritura de Emissão</w:t>
      </w:r>
      <w:r w:rsidRPr="001B534D">
        <w:rPr>
          <w:rFonts w:ascii="Verdana" w:hAnsi="Verdana" w:cs="Arial"/>
          <w:szCs w:val="24"/>
        </w:rPr>
        <w:t>”), a qual foi devidamente registrada perante a Junta Comercial do Estado de São Paulo em 09 de agosto de 2012 sob nº ED000963-5/000, conforme aditada posteriormente, tendo por objeto a emissão de 15.000 (quinze mil) debêntures (“</w:t>
      </w:r>
      <w:r w:rsidRPr="001B534D">
        <w:rPr>
          <w:rFonts w:ascii="Verdana" w:hAnsi="Verdana" w:cs="Arial"/>
          <w:bCs/>
          <w:szCs w:val="24"/>
          <w:u w:val="single"/>
        </w:rPr>
        <w:t>Emissão</w:t>
      </w:r>
      <w:r w:rsidRPr="001B534D">
        <w:rPr>
          <w:rFonts w:ascii="Verdana" w:hAnsi="Verdana" w:cs="Arial"/>
          <w:szCs w:val="24"/>
        </w:rPr>
        <w:t>” e “</w:t>
      </w:r>
      <w:r w:rsidRPr="001B534D">
        <w:rPr>
          <w:rFonts w:ascii="Verdana" w:hAnsi="Verdana" w:cs="Arial"/>
          <w:szCs w:val="24"/>
          <w:u w:val="single"/>
        </w:rPr>
        <w:t>Debêntures</w:t>
      </w:r>
      <w:r w:rsidRPr="001B534D">
        <w:rPr>
          <w:rFonts w:ascii="Verdana" w:hAnsi="Verdana" w:cs="Arial"/>
          <w:szCs w:val="24"/>
        </w:rPr>
        <w:t>”</w:t>
      </w:r>
      <w:r w:rsidR="00B90288" w:rsidRPr="001B534D">
        <w:rPr>
          <w:rFonts w:ascii="Verdana" w:hAnsi="Verdana" w:cs="Arial"/>
          <w:szCs w:val="24"/>
        </w:rPr>
        <w:t>, respectivamente</w:t>
      </w:r>
      <w:r w:rsidRPr="001B534D">
        <w:rPr>
          <w:rFonts w:ascii="Verdana" w:hAnsi="Verdana" w:cs="Arial"/>
          <w:szCs w:val="24"/>
        </w:rPr>
        <w:t>);</w:t>
      </w:r>
    </w:p>
    <w:p w14:paraId="0BB196E3" w14:textId="77777777" w:rsidR="005B5DA2" w:rsidRPr="001B534D" w:rsidRDefault="005B5DA2" w:rsidP="00E32CB6">
      <w:pPr>
        <w:pStyle w:val="PargrafodaLista"/>
        <w:ind w:left="567" w:hanging="567"/>
        <w:jc w:val="both"/>
        <w:rPr>
          <w:rFonts w:ascii="Verdana" w:hAnsi="Verdana" w:cs="Arial"/>
          <w:szCs w:val="24"/>
        </w:rPr>
      </w:pPr>
    </w:p>
    <w:p w14:paraId="3112E2BB" w14:textId="00B166BB" w:rsidR="00D73713" w:rsidRPr="001B534D" w:rsidRDefault="00F97C4F" w:rsidP="00DA7973">
      <w:pPr>
        <w:pStyle w:val="PargrafodaLista"/>
        <w:numPr>
          <w:ilvl w:val="0"/>
          <w:numId w:val="18"/>
        </w:numPr>
        <w:autoSpaceDE/>
        <w:autoSpaceDN/>
        <w:adjustRightInd/>
        <w:spacing w:line="360" w:lineRule="auto"/>
        <w:ind w:left="567" w:hanging="567"/>
        <w:contextualSpacing/>
        <w:jc w:val="both"/>
        <w:rPr>
          <w:rFonts w:ascii="Verdana" w:hAnsi="Verdana" w:cs="Arial"/>
          <w:szCs w:val="24"/>
        </w:rPr>
      </w:pPr>
      <w:r w:rsidRPr="001B534D">
        <w:rPr>
          <w:rFonts w:ascii="Verdana" w:hAnsi="Verdana" w:cs="Arial"/>
          <w:szCs w:val="24"/>
        </w:rPr>
        <w:t xml:space="preserve">em </w:t>
      </w:r>
      <w:r w:rsidR="003C7BFF" w:rsidRPr="001B534D">
        <w:rPr>
          <w:rFonts w:ascii="Verdana" w:hAnsi="Verdana" w:cs="Arial"/>
          <w:szCs w:val="24"/>
        </w:rPr>
        <w:t xml:space="preserve">08 de julho </w:t>
      </w:r>
      <w:r w:rsidRPr="001B534D">
        <w:rPr>
          <w:rFonts w:ascii="Verdana" w:hAnsi="Verdana" w:cs="Arial"/>
          <w:szCs w:val="24"/>
        </w:rPr>
        <w:t xml:space="preserve">de 2021, foi aprovado em Assembleia Geral Extraordinária dos acionistas da </w:t>
      </w:r>
      <w:r w:rsidR="001E6A37" w:rsidRPr="001B534D">
        <w:rPr>
          <w:rFonts w:ascii="Verdana" w:hAnsi="Verdana" w:cs="Arial"/>
          <w:szCs w:val="24"/>
        </w:rPr>
        <w:t>Inepar,</w:t>
      </w:r>
      <w:r w:rsidRPr="001B534D">
        <w:rPr>
          <w:rFonts w:ascii="Verdana" w:hAnsi="Verdana" w:cs="Arial"/>
          <w:szCs w:val="24"/>
        </w:rPr>
        <w:t xml:space="preserve"> a proposta apresentada e aceita pelos </w:t>
      </w:r>
      <w:r w:rsidR="00C562FC" w:rsidRPr="001B534D">
        <w:rPr>
          <w:rFonts w:ascii="Verdana" w:hAnsi="Verdana" w:cs="Arial"/>
          <w:szCs w:val="24"/>
        </w:rPr>
        <w:t>D</w:t>
      </w:r>
      <w:r w:rsidRPr="001B534D">
        <w:rPr>
          <w:rFonts w:ascii="Verdana" w:hAnsi="Verdana" w:cs="Arial"/>
          <w:szCs w:val="24"/>
        </w:rPr>
        <w:t xml:space="preserve">ebenturistas, </w:t>
      </w:r>
      <w:r w:rsidR="00C562FC" w:rsidRPr="001B534D">
        <w:rPr>
          <w:rFonts w:ascii="Verdana" w:hAnsi="Verdana" w:cs="Arial"/>
          <w:szCs w:val="24"/>
        </w:rPr>
        <w:t xml:space="preserve">no âmbito do </w:t>
      </w:r>
      <w:r w:rsidR="00C562FC" w:rsidRPr="001B534D">
        <w:rPr>
          <w:rFonts w:ascii="Verdana" w:hAnsi="Verdana" w:cs="Arial"/>
          <w:szCs w:val="24"/>
        </w:rPr>
        <w:t>Instrumento Particular de Transação, celebrado em 30 de março de 2021 (“</w:t>
      </w:r>
      <w:r w:rsidR="00C562FC" w:rsidRPr="00B16759">
        <w:rPr>
          <w:rFonts w:ascii="Verdana" w:hAnsi="Verdana" w:cs="Arial"/>
          <w:szCs w:val="24"/>
          <w:u w:val="single"/>
        </w:rPr>
        <w:t>Instrumento de Transação</w:t>
      </w:r>
      <w:r w:rsidR="00C562FC" w:rsidRPr="001B534D">
        <w:rPr>
          <w:rFonts w:ascii="Verdana" w:hAnsi="Verdana" w:cs="Arial"/>
          <w:szCs w:val="24"/>
        </w:rPr>
        <w:t>”);</w:t>
      </w:r>
      <w:r w:rsidR="00C562FC" w:rsidRPr="001B534D">
        <w:rPr>
          <w:rFonts w:ascii="Verdana" w:hAnsi="Verdana" w:cs="Arial"/>
          <w:szCs w:val="24"/>
        </w:rPr>
        <w:t xml:space="preserve"> </w:t>
      </w:r>
      <w:r w:rsidRPr="001B534D">
        <w:rPr>
          <w:rFonts w:ascii="Verdana" w:hAnsi="Verdana" w:cs="Arial"/>
          <w:szCs w:val="24"/>
        </w:rPr>
        <w:t>incluindo a constituição da garantia</w:t>
      </w:r>
      <w:r w:rsidR="00C562FC" w:rsidRPr="001B534D">
        <w:rPr>
          <w:rFonts w:ascii="Verdana" w:hAnsi="Verdana" w:cs="Arial"/>
          <w:szCs w:val="24"/>
        </w:rPr>
        <w:t xml:space="preserve">, nos termos do </w:t>
      </w:r>
      <w:r w:rsidR="00DA7973" w:rsidRPr="001B534D">
        <w:rPr>
          <w:rFonts w:ascii="Verdana" w:hAnsi="Verdana" w:cs="Arial"/>
          <w:szCs w:val="24"/>
        </w:rPr>
        <w:t>Contrato de Alienação Fiduciária</w:t>
      </w:r>
      <w:r w:rsidR="00744D53" w:rsidRPr="001B534D">
        <w:rPr>
          <w:rFonts w:ascii="Verdana" w:hAnsi="Verdana" w:cs="Arial"/>
          <w:szCs w:val="24"/>
        </w:rPr>
        <w:t xml:space="preserve"> de Cotas</w:t>
      </w:r>
      <w:r w:rsidR="00DA7973" w:rsidRPr="001B534D">
        <w:rPr>
          <w:rFonts w:ascii="Verdana" w:hAnsi="Verdana" w:cs="Arial"/>
          <w:szCs w:val="24"/>
        </w:rPr>
        <w:t xml:space="preserve">, ora aditado; </w:t>
      </w:r>
      <w:r w:rsidRPr="001B534D">
        <w:rPr>
          <w:rFonts w:ascii="Verdana" w:hAnsi="Verdana" w:cs="Arial"/>
          <w:szCs w:val="24"/>
        </w:rPr>
        <w:t xml:space="preserve"> </w:t>
      </w:r>
    </w:p>
    <w:p w14:paraId="32EE7FC5" w14:textId="77777777" w:rsidR="00283AFB" w:rsidRPr="001B534D" w:rsidRDefault="00283AFB" w:rsidP="00D0007D">
      <w:pPr>
        <w:pStyle w:val="PargrafodaLista"/>
        <w:rPr>
          <w:rFonts w:ascii="Verdana" w:hAnsi="Verdana" w:cs="Arial"/>
          <w:szCs w:val="24"/>
        </w:rPr>
      </w:pPr>
    </w:p>
    <w:p w14:paraId="30E4BE3A" w14:textId="0B097B7D" w:rsidR="00AD1925" w:rsidRPr="00AD1925" w:rsidRDefault="002154FB" w:rsidP="001B7484">
      <w:pPr>
        <w:pStyle w:val="NormalWeb"/>
        <w:numPr>
          <w:ilvl w:val="0"/>
          <w:numId w:val="18"/>
        </w:numPr>
        <w:tabs>
          <w:tab w:val="left" w:pos="567"/>
        </w:tabs>
        <w:spacing w:before="0" w:beforeAutospacing="0" w:after="0" w:afterAutospacing="0" w:line="360" w:lineRule="auto"/>
        <w:ind w:left="567" w:hanging="567"/>
        <w:jc w:val="both"/>
        <w:rPr>
          <w:rFonts w:ascii="Verdana" w:hAnsi="Verdana" w:cs="Calibri"/>
        </w:rPr>
      </w:pPr>
      <w:r w:rsidRPr="001B534D">
        <w:rPr>
          <w:rFonts w:ascii="Verdana" w:hAnsi="Verdana" w:cs="Tahoma"/>
        </w:rPr>
        <w:t xml:space="preserve">em garantia do fiel, integral e pontual cumprimento </w:t>
      </w:r>
      <w:r w:rsidR="00CA3B4E" w:rsidRPr="001B534D">
        <w:rPr>
          <w:rFonts w:ascii="Verdana" w:hAnsi="Verdana" w:cs="Tahoma"/>
        </w:rPr>
        <w:t xml:space="preserve">de </w:t>
      </w:r>
      <w:r w:rsidR="00EE5046" w:rsidRPr="001B534D">
        <w:rPr>
          <w:rFonts w:ascii="Verdana" w:hAnsi="Verdana"/>
        </w:rPr>
        <w:t xml:space="preserve">todas as obrigações, presentes e futuras, principais e acessórias, pecuniárias ou não, assumidas ou que venham a ser assumidas pela </w:t>
      </w:r>
      <w:r w:rsidR="0085255D" w:rsidRPr="001B534D">
        <w:rPr>
          <w:rFonts w:ascii="Verdana" w:hAnsi="Verdana"/>
        </w:rPr>
        <w:t xml:space="preserve">Inepar </w:t>
      </w:r>
      <w:r w:rsidR="00EE5046" w:rsidRPr="001B534D">
        <w:rPr>
          <w:rFonts w:ascii="Verdana" w:hAnsi="Verdana"/>
        </w:rPr>
        <w:t xml:space="preserve">no âmbito </w:t>
      </w:r>
      <w:r w:rsidR="005B5DA2" w:rsidRPr="001B534D">
        <w:rPr>
          <w:rFonts w:ascii="Verdana" w:hAnsi="Verdana"/>
        </w:rPr>
        <w:t>das Debêntures</w:t>
      </w:r>
      <w:r w:rsidR="00EE5046" w:rsidRPr="001B534D">
        <w:rPr>
          <w:rFonts w:ascii="Verdana" w:hAnsi="Verdana"/>
        </w:rPr>
        <w:t>, incluindo o pagamento de todos os encargos legais ou contratuais</w:t>
      </w:r>
      <w:r w:rsidRPr="001B534D">
        <w:rPr>
          <w:rFonts w:ascii="Verdana" w:eastAsia="Arial Unicode MS" w:hAnsi="Verdana" w:cs="Tahoma"/>
        </w:rPr>
        <w:t xml:space="preserve"> (“</w:t>
      </w:r>
      <w:r w:rsidRPr="001B534D">
        <w:rPr>
          <w:rFonts w:ascii="Verdana" w:eastAsia="Arial Unicode MS" w:hAnsi="Verdana" w:cs="Tahoma"/>
          <w:u w:val="single"/>
        </w:rPr>
        <w:t>Obrigações Garantidas</w:t>
      </w:r>
      <w:r w:rsidRPr="001B534D">
        <w:rPr>
          <w:rFonts w:ascii="Verdana" w:eastAsia="Arial Unicode MS" w:hAnsi="Verdana" w:cs="Tahoma"/>
        </w:rPr>
        <w:t>”)</w:t>
      </w:r>
      <w:r w:rsidR="00552114" w:rsidRPr="001B534D">
        <w:rPr>
          <w:rFonts w:ascii="Verdana" w:hAnsi="Verdana" w:cs="Trebuchet MS"/>
        </w:rPr>
        <w:t xml:space="preserve">, </w:t>
      </w:r>
      <w:r w:rsidR="00F825D5" w:rsidRPr="001B534D">
        <w:rPr>
          <w:rFonts w:ascii="Verdana" w:hAnsi="Verdana" w:cs="Trebuchet MS"/>
        </w:rPr>
        <w:t>a</w:t>
      </w:r>
      <w:r w:rsidR="00ED50C0" w:rsidRPr="001B534D">
        <w:rPr>
          <w:rFonts w:ascii="Verdana" w:hAnsi="Verdana" w:cs="Trebuchet MS"/>
        </w:rPr>
        <w:t xml:space="preserve"> </w:t>
      </w:r>
      <w:r w:rsidR="0085255D" w:rsidRPr="001B534D">
        <w:rPr>
          <w:rFonts w:ascii="Verdana" w:hAnsi="Verdana" w:cs="Trebuchet MS"/>
        </w:rPr>
        <w:t xml:space="preserve">Inepar </w:t>
      </w:r>
      <w:r w:rsidR="00552114" w:rsidRPr="001B534D">
        <w:rPr>
          <w:rFonts w:ascii="Verdana" w:hAnsi="Verdana"/>
        </w:rPr>
        <w:t>alien</w:t>
      </w:r>
      <w:r w:rsidR="0092588C" w:rsidRPr="001B534D">
        <w:rPr>
          <w:rFonts w:ascii="Verdana" w:hAnsi="Verdana"/>
        </w:rPr>
        <w:t>ou</w:t>
      </w:r>
      <w:r w:rsidR="00552114" w:rsidRPr="001B534D">
        <w:rPr>
          <w:rFonts w:ascii="Verdana" w:hAnsi="Verdana"/>
        </w:rPr>
        <w:t xml:space="preserve"> fiduciariamente determinadas cotas de emissão do </w:t>
      </w:r>
      <w:r w:rsidR="005B5DA2" w:rsidRPr="001B534D">
        <w:rPr>
          <w:rFonts w:ascii="Verdana" w:hAnsi="Verdana"/>
        </w:rPr>
        <w:t>Fundo</w:t>
      </w:r>
      <w:r w:rsidR="00552114" w:rsidRPr="001B534D">
        <w:rPr>
          <w:rFonts w:ascii="Verdana" w:hAnsi="Verdana"/>
        </w:rPr>
        <w:t xml:space="preserve">, </w:t>
      </w:r>
      <w:r w:rsidR="00C94B1C" w:rsidRPr="001B534D">
        <w:rPr>
          <w:rFonts w:ascii="Verdana" w:hAnsi="Verdana"/>
        </w:rPr>
        <w:t>conforme disciplinad</w:t>
      </w:r>
      <w:r w:rsidR="0078597D" w:rsidRPr="001B534D">
        <w:rPr>
          <w:rFonts w:ascii="Verdana" w:hAnsi="Verdana"/>
        </w:rPr>
        <w:t>as</w:t>
      </w:r>
      <w:r w:rsidR="00C94B1C" w:rsidRPr="001B534D">
        <w:rPr>
          <w:rFonts w:ascii="Verdana" w:hAnsi="Verdana"/>
        </w:rPr>
        <w:t xml:space="preserve"> abaixo</w:t>
      </w:r>
      <w:r w:rsidR="005B5DA2" w:rsidRPr="001B534D">
        <w:rPr>
          <w:rFonts w:ascii="Verdana" w:hAnsi="Verdana"/>
        </w:rPr>
        <w:t xml:space="preserve">, </w:t>
      </w:r>
      <w:r w:rsidR="0085255D" w:rsidRPr="001B534D">
        <w:rPr>
          <w:rFonts w:ascii="Verdana" w:hAnsi="Verdana"/>
        </w:rPr>
        <w:t xml:space="preserve">e as Fiduciantes </w:t>
      </w:r>
      <w:r w:rsidR="00DA7973" w:rsidRPr="001B534D">
        <w:rPr>
          <w:rFonts w:ascii="Verdana" w:hAnsi="Verdana"/>
        </w:rPr>
        <w:t xml:space="preserve">constituíram </w:t>
      </w:r>
      <w:r w:rsidR="005B5DA2" w:rsidRPr="001B534D">
        <w:rPr>
          <w:rFonts w:ascii="Verdana" w:hAnsi="Verdana"/>
        </w:rPr>
        <w:t xml:space="preserve">cessão fiduciária </w:t>
      </w:r>
      <w:r w:rsidR="0078597D" w:rsidRPr="001B534D">
        <w:rPr>
          <w:rFonts w:ascii="Verdana" w:hAnsi="Verdana"/>
        </w:rPr>
        <w:t>sobre</w:t>
      </w:r>
      <w:r w:rsidR="00C46B71" w:rsidRPr="001B534D">
        <w:rPr>
          <w:rFonts w:ascii="Verdana" w:hAnsi="Verdana"/>
        </w:rPr>
        <w:t xml:space="preserve"> </w:t>
      </w:r>
      <w:r w:rsidR="00C46B71" w:rsidRPr="001B534D">
        <w:rPr>
          <w:rFonts w:ascii="Verdana" w:eastAsia="Arial Unicode MS" w:hAnsi="Verdana" w:cs="Tahoma"/>
          <w:color w:val="000000"/>
        </w:rPr>
        <w:t xml:space="preserve">todos os </w:t>
      </w:r>
      <w:r w:rsidR="00C46B71" w:rsidRPr="001B534D">
        <w:rPr>
          <w:rFonts w:ascii="Verdana" w:hAnsi="Verdana"/>
        </w:rPr>
        <w:t xml:space="preserve">frutos, rendimentos, remunerações, vantagens e direitos </w:t>
      </w:r>
      <w:r w:rsidR="005B5DA2" w:rsidRPr="001B534D">
        <w:rPr>
          <w:rFonts w:ascii="Verdana" w:hAnsi="Verdana"/>
        </w:rPr>
        <w:t xml:space="preserve">que forem atribuídos </w:t>
      </w:r>
      <w:r w:rsidR="009F2FA4" w:rsidRPr="001B534D">
        <w:rPr>
          <w:rFonts w:ascii="Verdana" w:hAnsi="Verdana"/>
        </w:rPr>
        <w:t>às</w:t>
      </w:r>
      <w:r w:rsidR="005B5DA2" w:rsidRPr="001B534D">
        <w:rPr>
          <w:rFonts w:ascii="Verdana" w:hAnsi="Verdana"/>
        </w:rPr>
        <w:t xml:space="preserve"> cotas de emissão do </w:t>
      </w:r>
      <w:r w:rsidR="00BF76BE" w:rsidRPr="001B534D">
        <w:rPr>
          <w:rFonts w:ascii="Verdana" w:hAnsi="Verdana"/>
        </w:rPr>
        <w:t>F</w:t>
      </w:r>
      <w:r w:rsidR="005B5DA2" w:rsidRPr="001B534D">
        <w:rPr>
          <w:rFonts w:ascii="Verdana" w:hAnsi="Verdana"/>
        </w:rPr>
        <w:t>undo</w:t>
      </w:r>
      <w:r w:rsidR="00552114" w:rsidRPr="001B534D">
        <w:rPr>
          <w:rFonts w:ascii="Verdana" w:hAnsi="Verdana"/>
        </w:rPr>
        <w:t>;</w:t>
      </w:r>
    </w:p>
    <w:p w14:paraId="170FAFFF" w14:textId="0C54EBBF" w:rsidR="00ED50C0" w:rsidRPr="001B534D" w:rsidRDefault="006E308D" w:rsidP="00AD1925">
      <w:pPr>
        <w:pStyle w:val="NormalWeb"/>
        <w:tabs>
          <w:tab w:val="left" w:pos="567"/>
        </w:tabs>
        <w:spacing w:before="0" w:beforeAutospacing="0" w:after="0" w:afterAutospacing="0"/>
        <w:ind w:left="567"/>
        <w:jc w:val="both"/>
        <w:rPr>
          <w:rFonts w:ascii="Verdana" w:hAnsi="Verdana" w:cs="Calibri"/>
        </w:rPr>
      </w:pPr>
      <w:r w:rsidRPr="001B534D">
        <w:rPr>
          <w:rFonts w:ascii="Verdana" w:hAnsi="Verdana"/>
        </w:rPr>
        <w:t xml:space="preserve"> </w:t>
      </w:r>
    </w:p>
    <w:p w14:paraId="005C5E50" w14:textId="59E5438F" w:rsidR="00B10DA6" w:rsidRPr="001B534D" w:rsidRDefault="003F3407" w:rsidP="001B7484">
      <w:pPr>
        <w:pStyle w:val="NormalWeb"/>
        <w:numPr>
          <w:ilvl w:val="0"/>
          <w:numId w:val="18"/>
        </w:numPr>
        <w:tabs>
          <w:tab w:val="left" w:pos="567"/>
        </w:tabs>
        <w:spacing w:before="0" w:beforeAutospacing="0" w:after="0" w:afterAutospacing="0" w:line="360" w:lineRule="auto"/>
        <w:ind w:left="567" w:hanging="567"/>
        <w:jc w:val="both"/>
        <w:rPr>
          <w:rFonts w:ascii="Verdana" w:hAnsi="Verdana" w:cs="Calibri"/>
        </w:rPr>
      </w:pPr>
      <w:r w:rsidRPr="001B534D">
        <w:rPr>
          <w:rFonts w:ascii="Verdana" w:hAnsi="Verdana" w:cs="Calibri"/>
        </w:rPr>
        <w:t xml:space="preserve">as Partes desejam celebrar </w:t>
      </w:r>
      <w:r w:rsidR="00B10DA6" w:rsidRPr="001B534D">
        <w:rPr>
          <w:rFonts w:ascii="Verdana" w:hAnsi="Verdana" w:cs="Calibri"/>
        </w:rPr>
        <w:t xml:space="preserve">o presente </w:t>
      </w:r>
      <w:r w:rsidRPr="001B534D">
        <w:rPr>
          <w:rFonts w:ascii="Verdana" w:hAnsi="Verdana" w:cs="Calibri"/>
        </w:rPr>
        <w:t xml:space="preserve">1º Aditamento </w:t>
      </w:r>
      <w:r w:rsidR="00B10DA6" w:rsidRPr="001B534D">
        <w:rPr>
          <w:rFonts w:ascii="Verdana" w:hAnsi="Verdana" w:cs="Calibri"/>
        </w:rPr>
        <w:t>Alienação Fiduciária de Cotas</w:t>
      </w:r>
      <w:r w:rsidRPr="001B534D">
        <w:rPr>
          <w:rFonts w:ascii="Verdana" w:hAnsi="Verdana" w:cs="Calibri"/>
        </w:rPr>
        <w:t xml:space="preserve">, para </w:t>
      </w:r>
      <w:r w:rsidR="00DA7973" w:rsidRPr="001B534D">
        <w:rPr>
          <w:rFonts w:ascii="Verdana" w:hAnsi="Verdana" w:cs="Calibri"/>
          <w:b/>
          <w:bCs/>
        </w:rPr>
        <w:t>(a)</w:t>
      </w:r>
      <w:r w:rsidR="00DA7973" w:rsidRPr="001B534D">
        <w:rPr>
          <w:rFonts w:ascii="Verdana" w:hAnsi="Verdana" w:cs="Calibri"/>
        </w:rPr>
        <w:t xml:space="preserve"> alterar o inciso (</w:t>
      </w:r>
      <w:proofErr w:type="spellStart"/>
      <w:r w:rsidR="00DA7973" w:rsidRPr="001B534D">
        <w:rPr>
          <w:rFonts w:ascii="Verdana" w:hAnsi="Verdana" w:cs="Calibri"/>
        </w:rPr>
        <w:t>vii</w:t>
      </w:r>
      <w:proofErr w:type="spellEnd"/>
      <w:r w:rsidR="00DA7973" w:rsidRPr="001B534D">
        <w:rPr>
          <w:rFonts w:ascii="Verdana" w:hAnsi="Verdana" w:cs="Calibri"/>
        </w:rPr>
        <w:t xml:space="preserve">) dos </w:t>
      </w:r>
      <w:proofErr w:type="spellStart"/>
      <w:r w:rsidR="00DA7973" w:rsidRPr="001B534D">
        <w:rPr>
          <w:rFonts w:ascii="Verdana" w:hAnsi="Verdana" w:cs="Calibri"/>
        </w:rPr>
        <w:t>Considerandos</w:t>
      </w:r>
      <w:proofErr w:type="spellEnd"/>
      <w:r w:rsidR="00744D53" w:rsidRPr="001B534D">
        <w:rPr>
          <w:rFonts w:ascii="Verdana" w:hAnsi="Verdana" w:cs="Calibri"/>
        </w:rPr>
        <w:t xml:space="preserve">, corrigindo as quantidades de Cotas de cada um dos titulares e </w:t>
      </w:r>
      <w:r w:rsidR="00744D53" w:rsidRPr="001B534D">
        <w:rPr>
          <w:rFonts w:ascii="Verdana" w:hAnsi="Verdana" w:cs="Calibri"/>
          <w:b/>
          <w:bCs/>
        </w:rPr>
        <w:t>(b)</w:t>
      </w:r>
      <w:r w:rsidR="00744D53" w:rsidRPr="001B534D">
        <w:rPr>
          <w:rFonts w:ascii="Verdana" w:hAnsi="Verdana" w:cs="Calibri"/>
        </w:rPr>
        <w:t xml:space="preserve"> </w:t>
      </w:r>
      <w:r w:rsidRPr="001B534D">
        <w:rPr>
          <w:rFonts w:ascii="Verdana" w:hAnsi="Verdana" w:cs="Calibri"/>
        </w:rPr>
        <w:t xml:space="preserve">deixar claro que a </w:t>
      </w:r>
      <w:r w:rsidRPr="00985603">
        <w:rPr>
          <w:rFonts w:ascii="Verdana" w:hAnsi="Verdana"/>
        </w:rPr>
        <w:t>Cessão Fiduciária de Direitos Creditórios</w:t>
      </w:r>
      <w:r w:rsidRPr="00985603">
        <w:rPr>
          <w:rFonts w:ascii="Verdana" w:hAnsi="Verdana"/>
        </w:rPr>
        <w:t xml:space="preserve"> (conforme definido na Cláusula </w:t>
      </w:r>
      <w:r w:rsidR="00D1325A" w:rsidRPr="00985603">
        <w:rPr>
          <w:rFonts w:ascii="Verdana" w:hAnsi="Verdana"/>
        </w:rPr>
        <w:t>1.1 (</w:t>
      </w:r>
      <w:proofErr w:type="spellStart"/>
      <w:r w:rsidR="00D1325A" w:rsidRPr="00985603">
        <w:rPr>
          <w:rFonts w:ascii="Verdana" w:hAnsi="Verdana"/>
        </w:rPr>
        <w:t>ii</w:t>
      </w:r>
      <w:proofErr w:type="spellEnd"/>
      <w:r w:rsidR="00D1325A" w:rsidRPr="00985603">
        <w:rPr>
          <w:rFonts w:ascii="Verdana" w:hAnsi="Verdana"/>
        </w:rPr>
        <w:t>) do Contrato de Alienação F</w:t>
      </w:r>
      <w:r w:rsidR="00744D53" w:rsidRPr="00985603">
        <w:rPr>
          <w:rFonts w:ascii="Verdana" w:hAnsi="Verdana"/>
        </w:rPr>
        <w:t>iduciária de Cotas</w:t>
      </w:r>
      <w:r w:rsidRPr="00985603">
        <w:rPr>
          <w:rFonts w:ascii="Verdana" w:hAnsi="Verdana" w:cs="Calibri"/>
        </w:rPr>
        <w:t>,</w:t>
      </w:r>
      <w:r w:rsidR="00B10DA6" w:rsidRPr="00985603">
        <w:rPr>
          <w:rFonts w:ascii="Verdana" w:hAnsi="Verdana" w:cs="Calibri"/>
        </w:rPr>
        <w:t xml:space="preserve"> </w:t>
      </w:r>
      <w:r w:rsidRPr="00985603">
        <w:rPr>
          <w:rFonts w:ascii="Verdana" w:hAnsi="Verdana" w:cs="Calibri"/>
        </w:rPr>
        <w:t>s</w:t>
      </w:r>
      <w:r w:rsidRPr="00985603">
        <w:rPr>
          <w:rFonts w:ascii="Verdana" w:hAnsi="Verdana"/>
        </w:rPr>
        <w:t xml:space="preserve">obre </w:t>
      </w:r>
      <w:r w:rsidRPr="00985603">
        <w:rPr>
          <w:rFonts w:ascii="Verdana" w:eastAsia="Arial Unicode MS" w:hAnsi="Verdana" w:cs="Tahoma"/>
          <w:color w:val="000000"/>
        </w:rPr>
        <w:t>todos os</w:t>
      </w:r>
      <w:r w:rsidRPr="001B534D">
        <w:rPr>
          <w:rFonts w:ascii="Verdana" w:eastAsia="Arial Unicode MS" w:hAnsi="Verdana" w:cs="Tahoma"/>
          <w:color w:val="000000"/>
        </w:rPr>
        <w:t xml:space="preserve"> </w:t>
      </w:r>
      <w:r w:rsidRPr="001B534D">
        <w:rPr>
          <w:rFonts w:ascii="Verdana" w:hAnsi="Verdana"/>
        </w:rPr>
        <w:t>frutos, rendimentos, remunerações, vantagens e direitos que forem atribuídos às</w:t>
      </w:r>
      <w:r w:rsidRPr="001B534D">
        <w:rPr>
          <w:rFonts w:ascii="Verdana" w:hAnsi="Verdana"/>
        </w:rPr>
        <w:t xml:space="preserve"> Cotas Seniores, </w:t>
      </w:r>
      <w:r w:rsidR="00744D53" w:rsidRPr="001B534D">
        <w:rPr>
          <w:rFonts w:ascii="Verdana" w:hAnsi="Verdana"/>
        </w:rPr>
        <w:t xml:space="preserve">se referem à totalidade das Cotas Seniores, presentes e futuras e </w:t>
      </w:r>
    </w:p>
    <w:p w14:paraId="00118F22" w14:textId="77777777" w:rsidR="00805BA5" w:rsidRPr="001B534D" w:rsidRDefault="00805BA5" w:rsidP="00AD1925">
      <w:pPr>
        <w:rPr>
          <w:rFonts w:ascii="Verdana" w:hAnsi="Verdana" w:cs="Tahoma"/>
          <w:color w:val="000000"/>
          <w:szCs w:val="24"/>
        </w:rPr>
      </w:pPr>
    </w:p>
    <w:p w14:paraId="1C0D829C" w14:textId="4B5DBDE2" w:rsidR="00197F54" w:rsidRPr="001B534D" w:rsidRDefault="00197F54" w:rsidP="001B7484">
      <w:pPr>
        <w:pStyle w:val="NormalWeb"/>
        <w:numPr>
          <w:ilvl w:val="0"/>
          <w:numId w:val="18"/>
        </w:numPr>
        <w:tabs>
          <w:tab w:val="left" w:pos="567"/>
        </w:tabs>
        <w:spacing w:before="0" w:beforeAutospacing="0" w:after="0" w:afterAutospacing="0" w:line="360" w:lineRule="auto"/>
        <w:ind w:left="567" w:hanging="567"/>
        <w:jc w:val="both"/>
        <w:rPr>
          <w:rFonts w:ascii="Verdana" w:eastAsia="Calibri" w:hAnsi="Verdana"/>
          <w:lang w:eastAsia="en-US"/>
        </w:rPr>
      </w:pPr>
      <w:r w:rsidRPr="001B534D">
        <w:rPr>
          <w:rFonts w:ascii="Verdana" w:hAnsi="Verdana" w:cs="Tahoma"/>
          <w:color w:val="000000"/>
        </w:rPr>
        <w:t xml:space="preserve">as </w:t>
      </w:r>
      <w:r w:rsidRPr="001B534D">
        <w:rPr>
          <w:rFonts w:ascii="Verdana" w:eastAsia="Calibri" w:hAnsi="Verdana" w:cs="Calibri"/>
          <w:lang w:eastAsia="en-US"/>
        </w:rPr>
        <w:t xml:space="preserve">Partes dispuseram de tempo e condições adequadas para a avaliação e discussão de todas as cláusulas do presente </w:t>
      </w:r>
      <w:r w:rsidR="00744D53" w:rsidRPr="001B534D">
        <w:rPr>
          <w:rFonts w:ascii="Verdana" w:eastAsia="Calibri" w:hAnsi="Verdana" w:cs="Calibri"/>
          <w:lang w:eastAsia="en-US"/>
        </w:rPr>
        <w:t xml:space="preserve">1º Aditamento </w:t>
      </w:r>
      <w:r w:rsidR="00C2552A" w:rsidRPr="001B534D">
        <w:rPr>
          <w:rFonts w:ascii="Verdana" w:eastAsia="Calibri" w:hAnsi="Verdana" w:cs="Calibri"/>
          <w:lang w:eastAsia="en-US"/>
        </w:rPr>
        <w:t>Alienação Fiduciária</w:t>
      </w:r>
      <w:r w:rsidR="00805BA5" w:rsidRPr="001B534D">
        <w:rPr>
          <w:rFonts w:ascii="Verdana" w:eastAsia="Calibri" w:hAnsi="Verdana" w:cs="Calibri"/>
          <w:lang w:eastAsia="en-US"/>
        </w:rPr>
        <w:t xml:space="preserve"> de Cotas</w:t>
      </w:r>
      <w:r w:rsidRPr="001B534D">
        <w:rPr>
          <w:rFonts w:ascii="Verdana" w:eastAsia="Calibri" w:hAnsi="Verdana" w:cs="Calibri"/>
          <w:lang w:eastAsia="en-US"/>
        </w:rPr>
        <w:t>, cuja celebração, execução e extinção são pautadas pelos princípios da igualdade, probidade, lealdade e boa-fé.</w:t>
      </w:r>
    </w:p>
    <w:p w14:paraId="2A076201" w14:textId="2CB2BE32" w:rsidR="00111F6A" w:rsidRPr="001B534D" w:rsidRDefault="00111F6A" w:rsidP="00E32CB6">
      <w:pPr>
        <w:jc w:val="both"/>
        <w:rPr>
          <w:rFonts w:ascii="Verdana" w:hAnsi="Verdana" w:cs="Tahoma"/>
          <w:color w:val="000000"/>
          <w:szCs w:val="24"/>
        </w:rPr>
      </w:pPr>
    </w:p>
    <w:p w14:paraId="17326198" w14:textId="664A6762" w:rsidR="00942BBC" w:rsidRPr="001B534D" w:rsidRDefault="00111F6A" w:rsidP="00942BBC">
      <w:pPr>
        <w:spacing w:line="360" w:lineRule="auto"/>
        <w:jc w:val="both"/>
        <w:rPr>
          <w:rFonts w:ascii="Verdana" w:hAnsi="Verdana" w:cs="Tahoma"/>
          <w:color w:val="000000"/>
          <w:szCs w:val="24"/>
        </w:rPr>
      </w:pPr>
      <w:bookmarkStart w:id="10" w:name="_DV_M59"/>
      <w:bookmarkEnd w:id="10"/>
      <w:r w:rsidRPr="001B534D">
        <w:rPr>
          <w:rFonts w:ascii="Verdana" w:hAnsi="Verdana" w:cs="Tahoma"/>
          <w:color w:val="000000"/>
          <w:szCs w:val="24"/>
        </w:rPr>
        <w:t xml:space="preserve">Resolvem as Partes, na melhor forma de direito, celebrar o presente </w:t>
      </w:r>
      <w:r w:rsidR="00744D53" w:rsidRPr="001B534D">
        <w:rPr>
          <w:rFonts w:ascii="Verdana" w:hAnsi="Verdana" w:cs="Tahoma"/>
          <w:color w:val="000000"/>
          <w:szCs w:val="24"/>
        </w:rPr>
        <w:t xml:space="preserve">1º Aditamento </w:t>
      </w:r>
      <w:r w:rsidR="00805BA5" w:rsidRPr="001B534D">
        <w:rPr>
          <w:rFonts w:ascii="Verdana" w:hAnsi="Verdana" w:cs="Tahoma"/>
          <w:color w:val="000000"/>
          <w:szCs w:val="24"/>
        </w:rPr>
        <w:t>Alienação Fiduciária de Cotas</w:t>
      </w:r>
      <w:r w:rsidRPr="001B534D">
        <w:rPr>
          <w:rFonts w:ascii="Verdana" w:hAnsi="Verdana" w:cs="Tahoma"/>
          <w:color w:val="000000"/>
          <w:szCs w:val="24"/>
        </w:rPr>
        <w:t>, que se regerá pelas cláusulas a seguir redigidas e demais disposições, contratuais e legais, aplicáveis.</w:t>
      </w:r>
      <w:bookmarkStart w:id="11" w:name="_DV_M60"/>
      <w:bookmarkStart w:id="12" w:name="_DV_M61"/>
      <w:bookmarkEnd w:id="11"/>
      <w:bookmarkEnd w:id="12"/>
    </w:p>
    <w:p w14:paraId="19DDE18B" w14:textId="77777777" w:rsidR="00F535A2" w:rsidRDefault="00F535A2" w:rsidP="00F535A2">
      <w:pPr>
        <w:spacing w:line="360" w:lineRule="auto"/>
        <w:jc w:val="both"/>
        <w:rPr>
          <w:rFonts w:ascii="Verdana" w:hAnsi="Verdana" w:cs="Tahoma"/>
          <w:color w:val="000000"/>
          <w:szCs w:val="24"/>
        </w:rPr>
      </w:pPr>
    </w:p>
    <w:p w14:paraId="7B363998" w14:textId="4F6D041A" w:rsidR="00942BBC" w:rsidRPr="001B534D" w:rsidRDefault="0049169D" w:rsidP="00942BBC">
      <w:pPr>
        <w:spacing w:line="360" w:lineRule="auto"/>
        <w:jc w:val="both"/>
        <w:rPr>
          <w:rFonts w:ascii="Verdana" w:hAnsi="Verdana" w:cs="Tahoma"/>
          <w:b/>
          <w:smallCaps/>
          <w:color w:val="000000"/>
          <w:szCs w:val="24"/>
        </w:rPr>
      </w:pPr>
      <w:r w:rsidRPr="001B534D">
        <w:rPr>
          <w:rFonts w:ascii="Verdana" w:hAnsi="Verdana" w:cs="Tahoma"/>
          <w:b/>
          <w:smallCaps/>
          <w:color w:val="000000"/>
          <w:szCs w:val="24"/>
        </w:rPr>
        <w:t>CLÁUSULA PRIMEIRA</w:t>
      </w:r>
      <w:r w:rsidR="008E49CF" w:rsidRPr="001B534D">
        <w:rPr>
          <w:rFonts w:ascii="Verdana" w:hAnsi="Verdana" w:cs="Tahoma"/>
          <w:b/>
          <w:smallCaps/>
          <w:color w:val="000000"/>
          <w:szCs w:val="24"/>
        </w:rPr>
        <w:t xml:space="preserve"> </w:t>
      </w:r>
      <w:r w:rsidR="001B534D" w:rsidRPr="001B534D">
        <w:rPr>
          <w:rFonts w:ascii="Verdana" w:hAnsi="Verdana" w:cs="Tahoma"/>
          <w:b/>
          <w:smallCaps/>
          <w:color w:val="000000"/>
          <w:szCs w:val="24"/>
        </w:rPr>
        <w:t>–</w:t>
      </w:r>
      <w:r w:rsidR="008E49CF" w:rsidRPr="001B534D">
        <w:rPr>
          <w:rFonts w:ascii="Verdana" w:hAnsi="Verdana" w:cs="Tahoma"/>
          <w:b/>
          <w:smallCaps/>
          <w:color w:val="000000"/>
          <w:szCs w:val="24"/>
        </w:rPr>
        <w:t xml:space="preserve"> </w:t>
      </w:r>
      <w:bookmarkStart w:id="13" w:name="_DV_M62"/>
      <w:bookmarkEnd w:id="13"/>
      <w:r w:rsidR="00783261">
        <w:rPr>
          <w:rFonts w:ascii="Verdana" w:hAnsi="Verdana" w:cs="Tahoma"/>
          <w:b/>
          <w:smallCaps/>
          <w:color w:val="000000"/>
          <w:szCs w:val="24"/>
        </w:rPr>
        <w:t xml:space="preserve">TERMOS </w:t>
      </w:r>
      <w:r w:rsidR="001B534D" w:rsidRPr="001B534D">
        <w:rPr>
          <w:rFonts w:ascii="Verdana" w:hAnsi="Verdana" w:cs="Tahoma"/>
          <w:b/>
          <w:smallCaps/>
          <w:color w:val="000000"/>
          <w:szCs w:val="24"/>
        </w:rPr>
        <w:t>DEFINI</w:t>
      </w:r>
      <w:r w:rsidR="00783261">
        <w:rPr>
          <w:rFonts w:ascii="Verdana" w:hAnsi="Verdana" w:cs="Tahoma"/>
          <w:b/>
          <w:smallCaps/>
          <w:color w:val="000000"/>
          <w:szCs w:val="24"/>
        </w:rPr>
        <w:t>DOS</w:t>
      </w:r>
    </w:p>
    <w:p w14:paraId="3EBF9806" w14:textId="27C392C3" w:rsidR="001B534D" w:rsidRPr="001B534D" w:rsidRDefault="001B534D" w:rsidP="00E32CB6">
      <w:pPr>
        <w:jc w:val="both"/>
        <w:rPr>
          <w:rFonts w:ascii="Verdana" w:hAnsi="Verdana" w:cs="Tahoma"/>
          <w:b/>
          <w:smallCaps/>
          <w:color w:val="000000"/>
          <w:szCs w:val="24"/>
        </w:rPr>
      </w:pPr>
    </w:p>
    <w:p w14:paraId="562B97D0" w14:textId="3CE545C0" w:rsidR="00783261" w:rsidRPr="00AD1925" w:rsidRDefault="001B534D" w:rsidP="00AD1925">
      <w:pPr>
        <w:pStyle w:val="PargrafodaLista"/>
        <w:keepNext/>
        <w:keepLines/>
        <w:suppressAutoHyphens/>
        <w:autoSpaceDE/>
        <w:autoSpaceDN/>
        <w:adjustRightInd/>
        <w:spacing w:line="360" w:lineRule="auto"/>
        <w:ind w:left="0"/>
        <w:jc w:val="both"/>
        <w:rPr>
          <w:rFonts w:ascii="Verdana" w:hAnsi="Verdana" w:cs="Calibri"/>
        </w:rPr>
      </w:pPr>
      <w:r w:rsidRPr="00AD1925">
        <w:rPr>
          <w:rFonts w:ascii="Verdana" w:hAnsi="Verdana" w:cs="Tahoma"/>
          <w:b/>
          <w:smallCaps/>
          <w:color w:val="000000"/>
          <w:szCs w:val="24"/>
        </w:rPr>
        <w:t>1.1</w:t>
      </w:r>
      <w:bookmarkStart w:id="14" w:name="_Hlk85055455"/>
      <w:bookmarkStart w:id="15" w:name="_Hlk83635139"/>
      <w:r w:rsidR="00783261" w:rsidRPr="00AD1925">
        <w:rPr>
          <w:rFonts w:ascii="Verdana" w:hAnsi="Verdana" w:cs="Tahoma"/>
          <w:b/>
          <w:smallCaps/>
          <w:color w:val="000000"/>
          <w:szCs w:val="24"/>
        </w:rPr>
        <w:t>.</w:t>
      </w:r>
      <w:r w:rsidR="00783261" w:rsidRPr="00AD1925">
        <w:rPr>
          <w:rFonts w:ascii="Verdana" w:hAnsi="Verdana" w:cs="Tahoma"/>
          <w:b/>
          <w:smallCaps/>
          <w:color w:val="000000"/>
          <w:szCs w:val="24"/>
        </w:rPr>
        <w:tab/>
      </w:r>
      <w:r w:rsidR="00783261" w:rsidRPr="00AD1925">
        <w:rPr>
          <w:rFonts w:ascii="Verdana" w:hAnsi="Verdana" w:cs="Calibri"/>
        </w:rPr>
        <w:t xml:space="preserve"> </w:t>
      </w:r>
      <w:r w:rsidR="00783261" w:rsidRPr="00AD1925">
        <w:rPr>
          <w:rFonts w:ascii="Verdana" w:hAnsi="Verdana" w:cs="Calibri"/>
        </w:rPr>
        <w:t xml:space="preserve">As expressões utilizadas neste </w:t>
      </w:r>
      <w:r w:rsidR="00783261" w:rsidRPr="00AD1925">
        <w:rPr>
          <w:rFonts w:ascii="Verdana" w:hAnsi="Verdana" w:cs="Calibri"/>
        </w:rPr>
        <w:t>1º Aditamento Alienação Fiduciária de Cotas,</w:t>
      </w:r>
      <w:r w:rsidR="00783261" w:rsidRPr="00AD1925">
        <w:rPr>
          <w:rFonts w:ascii="Verdana" w:hAnsi="Verdana" w:cs="Calibri"/>
        </w:rPr>
        <w:t xml:space="preserve"> em letra maiúscula e aqui não definidas de forma diversa</w:t>
      </w:r>
      <w:r w:rsidR="00783261" w:rsidRPr="00AD1925">
        <w:rPr>
          <w:rFonts w:ascii="Verdana" w:hAnsi="Verdana" w:cs="Calibri"/>
        </w:rPr>
        <w:t>,</w:t>
      </w:r>
      <w:r w:rsidR="00783261" w:rsidRPr="00AD1925">
        <w:rPr>
          <w:rFonts w:ascii="Verdana" w:hAnsi="Verdana" w:cs="Calibri"/>
        </w:rPr>
        <w:t xml:space="preserve"> terão o significado a elas atribuído </w:t>
      </w:r>
      <w:r w:rsidR="00AD1925" w:rsidRPr="00AD1925">
        <w:rPr>
          <w:rFonts w:ascii="Verdana" w:hAnsi="Verdana" w:cs="Calibri"/>
        </w:rPr>
        <w:t xml:space="preserve">no Contrato de Alienação Fiduciária de Cotas e </w:t>
      </w:r>
      <w:r w:rsidR="00783261" w:rsidRPr="00AD1925">
        <w:rPr>
          <w:rFonts w:ascii="Verdana" w:hAnsi="Verdana" w:cs="Calibri"/>
        </w:rPr>
        <w:t>na Escritura de Emissão</w:t>
      </w:r>
      <w:bookmarkEnd w:id="14"/>
      <w:r w:rsidR="00783261" w:rsidRPr="00AD1925">
        <w:rPr>
          <w:rFonts w:ascii="Verdana" w:hAnsi="Verdana" w:cs="Calibri"/>
        </w:rPr>
        <w:t>.</w:t>
      </w:r>
      <w:bookmarkEnd w:id="15"/>
      <w:r w:rsidR="00783261" w:rsidRPr="00AD1925">
        <w:rPr>
          <w:rFonts w:ascii="Verdana" w:hAnsi="Verdana" w:cs="Calibri"/>
        </w:rPr>
        <w:t xml:space="preserve"> </w:t>
      </w:r>
    </w:p>
    <w:p w14:paraId="3228A92F" w14:textId="77777777" w:rsidR="00C37306" w:rsidRPr="00AD1925" w:rsidRDefault="00C37306" w:rsidP="00942BBC">
      <w:pPr>
        <w:spacing w:line="360" w:lineRule="auto"/>
        <w:jc w:val="both"/>
        <w:rPr>
          <w:rFonts w:ascii="Verdana" w:hAnsi="Verdana" w:cs="Tahoma"/>
          <w:b/>
          <w:smallCaps/>
          <w:color w:val="000000"/>
          <w:szCs w:val="24"/>
        </w:rPr>
      </w:pPr>
    </w:p>
    <w:p w14:paraId="42A649BF" w14:textId="5FE033CA" w:rsidR="001B534D" w:rsidRPr="001B534D" w:rsidRDefault="001B534D" w:rsidP="001B534D">
      <w:pPr>
        <w:pStyle w:val="PargrafodaLista"/>
        <w:spacing w:line="360" w:lineRule="auto"/>
        <w:ind w:left="0"/>
        <w:jc w:val="both"/>
        <w:rPr>
          <w:rFonts w:ascii="Verdana" w:hAnsi="Verdana" w:cs="Arial"/>
          <w:b/>
          <w:szCs w:val="24"/>
        </w:rPr>
      </w:pPr>
      <w:r w:rsidRPr="001B534D">
        <w:rPr>
          <w:rFonts w:ascii="Verdana" w:hAnsi="Verdana" w:cs="Arial"/>
          <w:b/>
          <w:szCs w:val="24"/>
        </w:rPr>
        <w:t xml:space="preserve">CLÁUSULA </w:t>
      </w:r>
      <w:r w:rsidRPr="001B534D">
        <w:rPr>
          <w:rFonts w:ascii="Verdana" w:hAnsi="Verdana" w:cs="Arial"/>
          <w:b/>
          <w:szCs w:val="24"/>
        </w:rPr>
        <w:t>SEGUNDA -</w:t>
      </w:r>
      <w:r w:rsidRPr="001B534D">
        <w:rPr>
          <w:rFonts w:ascii="Verdana" w:hAnsi="Verdana" w:cs="Arial"/>
          <w:b/>
          <w:szCs w:val="24"/>
        </w:rPr>
        <w:t xml:space="preserve"> ALTERAÇÕES</w:t>
      </w:r>
    </w:p>
    <w:p w14:paraId="00680D4B" w14:textId="77777777" w:rsidR="001B534D" w:rsidRPr="001B534D" w:rsidRDefault="001B534D" w:rsidP="001B534D">
      <w:pPr>
        <w:pStyle w:val="PargrafodaLista"/>
        <w:spacing w:line="360" w:lineRule="auto"/>
        <w:ind w:left="0"/>
        <w:jc w:val="both"/>
        <w:rPr>
          <w:rFonts w:ascii="Verdana" w:hAnsi="Verdana" w:cs="Arial"/>
          <w:b/>
          <w:bCs/>
          <w:szCs w:val="24"/>
        </w:rPr>
      </w:pPr>
    </w:p>
    <w:p w14:paraId="3F794B3A" w14:textId="473F09BC" w:rsidR="009A74F5" w:rsidRDefault="001B534D" w:rsidP="00F535A2">
      <w:pPr>
        <w:autoSpaceDE/>
        <w:autoSpaceDN/>
        <w:adjustRightInd/>
        <w:spacing w:line="360" w:lineRule="auto"/>
        <w:contextualSpacing/>
        <w:jc w:val="both"/>
        <w:rPr>
          <w:rFonts w:ascii="Verdana" w:hAnsi="Verdana" w:cs="Arial"/>
          <w:szCs w:val="24"/>
        </w:rPr>
      </w:pPr>
      <w:r w:rsidRPr="001B534D">
        <w:rPr>
          <w:rFonts w:ascii="Verdana" w:hAnsi="Verdana" w:cs="Arial"/>
          <w:b/>
          <w:bCs/>
          <w:szCs w:val="24"/>
        </w:rPr>
        <w:t>2.1.</w:t>
      </w:r>
      <w:r w:rsidRPr="001B534D">
        <w:rPr>
          <w:rFonts w:ascii="Verdana" w:hAnsi="Verdana" w:cs="Arial"/>
          <w:szCs w:val="24"/>
        </w:rPr>
        <w:tab/>
      </w:r>
      <w:r w:rsidRPr="001B534D">
        <w:rPr>
          <w:rFonts w:ascii="Verdana" w:hAnsi="Verdana" w:cs="Arial"/>
          <w:szCs w:val="24"/>
        </w:rPr>
        <w:t>As Partes decidem alterar o</w:t>
      </w:r>
      <w:r w:rsidR="00AD1925">
        <w:rPr>
          <w:rFonts w:ascii="Verdana" w:hAnsi="Verdana" w:cs="Arial"/>
          <w:szCs w:val="24"/>
        </w:rPr>
        <w:t xml:space="preserve"> inciso (</w:t>
      </w:r>
      <w:proofErr w:type="spellStart"/>
      <w:r w:rsidR="00AD1925">
        <w:rPr>
          <w:rFonts w:ascii="Verdana" w:hAnsi="Verdana" w:cs="Arial"/>
          <w:szCs w:val="24"/>
        </w:rPr>
        <w:t>vii</w:t>
      </w:r>
      <w:proofErr w:type="spellEnd"/>
      <w:r w:rsidR="00AD1925">
        <w:rPr>
          <w:rFonts w:ascii="Verdana" w:hAnsi="Verdana" w:cs="Arial"/>
          <w:szCs w:val="24"/>
        </w:rPr>
        <w:t>) dos “</w:t>
      </w:r>
      <w:proofErr w:type="spellStart"/>
      <w:r w:rsidR="00AD1925">
        <w:rPr>
          <w:rFonts w:ascii="Verdana" w:hAnsi="Verdana" w:cs="Arial"/>
          <w:szCs w:val="24"/>
        </w:rPr>
        <w:t>Considerandos</w:t>
      </w:r>
      <w:proofErr w:type="spellEnd"/>
      <w:r w:rsidR="00AD1925">
        <w:rPr>
          <w:rFonts w:ascii="Verdana" w:hAnsi="Verdana" w:cs="Arial"/>
          <w:szCs w:val="24"/>
        </w:rPr>
        <w:t>” e o inciso (</w:t>
      </w:r>
      <w:proofErr w:type="spellStart"/>
      <w:r w:rsidR="00AD1925">
        <w:rPr>
          <w:rFonts w:ascii="Verdana" w:hAnsi="Verdana" w:cs="Arial"/>
          <w:szCs w:val="24"/>
        </w:rPr>
        <w:t>ii</w:t>
      </w:r>
      <w:proofErr w:type="spellEnd"/>
      <w:r w:rsidR="00AD1925">
        <w:rPr>
          <w:rFonts w:ascii="Verdana" w:hAnsi="Verdana" w:cs="Arial"/>
          <w:szCs w:val="24"/>
        </w:rPr>
        <w:t>) da Cláusula 1.1</w:t>
      </w:r>
      <w:r w:rsidRPr="001B534D">
        <w:rPr>
          <w:rFonts w:ascii="Verdana" w:hAnsi="Verdana" w:cs="Arial"/>
          <w:szCs w:val="24"/>
        </w:rPr>
        <w:t>, que passará a vigorar com a seguinte redação:</w:t>
      </w:r>
    </w:p>
    <w:p w14:paraId="58655600" w14:textId="77777777" w:rsidR="00F535A2" w:rsidRPr="00F535A2" w:rsidRDefault="00F535A2" w:rsidP="00F535A2">
      <w:pPr>
        <w:autoSpaceDE/>
        <w:autoSpaceDN/>
        <w:adjustRightInd/>
        <w:contextualSpacing/>
        <w:jc w:val="both"/>
        <w:rPr>
          <w:rFonts w:ascii="Verdana" w:hAnsi="Verdana" w:cs="Arial"/>
          <w:szCs w:val="24"/>
        </w:rPr>
      </w:pPr>
    </w:p>
    <w:p w14:paraId="03971837" w14:textId="02743747" w:rsidR="001B534D" w:rsidRDefault="00C37306" w:rsidP="009A74F5">
      <w:pPr>
        <w:pStyle w:val="Ttulo3"/>
        <w:ind w:firstLine="709"/>
        <w:rPr>
          <w:b w:val="0"/>
          <w:i/>
          <w:iCs/>
        </w:rPr>
      </w:pPr>
      <w:r w:rsidRPr="00C37306">
        <w:rPr>
          <w:b w:val="0"/>
          <w:i/>
          <w:iCs/>
        </w:rPr>
        <w:t>“Considerando que:</w:t>
      </w:r>
    </w:p>
    <w:p w14:paraId="28D0D958" w14:textId="6F2EC63B" w:rsidR="00B16759" w:rsidRDefault="00B16759" w:rsidP="00B16759"/>
    <w:p w14:paraId="7077A74A" w14:textId="696223CA" w:rsidR="00B16759" w:rsidRPr="00B16759" w:rsidRDefault="00B16759" w:rsidP="00B16759">
      <w:r>
        <w:tab/>
        <w:t>(...)</w:t>
      </w:r>
    </w:p>
    <w:p w14:paraId="711A8C24" w14:textId="77777777" w:rsidR="00C37306" w:rsidRPr="00C37306" w:rsidRDefault="00C37306" w:rsidP="00C37306"/>
    <w:p w14:paraId="3E8F3344" w14:textId="56BA1543" w:rsidR="001B534D" w:rsidRPr="00AD1925" w:rsidRDefault="001B534D" w:rsidP="001B534D">
      <w:pPr>
        <w:pStyle w:val="NormalWeb"/>
        <w:tabs>
          <w:tab w:val="left" w:pos="567"/>
        </w:tabs>
        <w:spacing w:before="0" w:beforeAutospacing="0" w:after="0" w:afterAutospacing="0" w:line="360" w:lineRule="auto"/>
        <w:ind w:left="709"/>
        <w:jc w:val="both"/>
        <w:rPr>
          <w:rFonts w:ascii="Verdana" w:hAnsi="Verdana" w:cs="Calibri"/>
          <w:i/>
          <w:iCs/>
        </w:rPr>
      </w:pPr>
      <w:r w:rsidRPr="00AD1925">
        <w:rPr>
          <w:rFonts w:ascii="Verdana" w:hAnsi="Verdana" w:cs="Calibri"/>
          <w:i/>
          <w:iCs/>
        </w:rPr>
        <w:t>(</w:t>
      </w:r>
      <w:proofErr w:type="spellStart"/>
      <w:r w:rsidRPr="00AD1925">
        <w:rPr>
          <w:rFonts w:ascii="Verdana" w:hAnsi="Verdana" w:cs="Calibri"/>
          <w:i/>
          <w:iCs/>
        </w:rPr>
        <w:t>vii</w:t>
      </w:r>
      <w:proofErr w:type="spellEnd"/>
      <w:r w:rsidRPr="00AD1925">
        <w:rPr>
          <w:rFonts w:ascii="Verdana" w:hAnsi="Verdana" w:cs="Calibri"/>
          <w:i/>
          <w:iCs/>
        </w:rPr>
        <w:t>)</w:t>
      </w:r>
      <w:r w:rsidRPr="00AD1925">
        <w:rPr>
          <w:rFonts w:ascii="Verdana" w:hAnsi="Verdana" w:cs="Calibri"/>
          <w:i/>
          <w:iCs/>
        </w:rPr>
        <w:tab/>
        <w:t xml:space="preserve">o Fundo possui, atualmente, </w:t>
      </w:r>
      <w:r w:rsidRPr="00AD1925">
        <w:rPr>
          <w:rFonts w:ascii="Verdana" w:hAnsi="Verdana" w:cs="Calibri"/>
          <w:b/>
          <w:bCs/>
          <w:i/>
          <w:iCs/>
        </w:rPr>
        <w:t>(a)</w:t>
      </w:r>
      <w:r w:rsidRPr="00AD1925">
        <w:rPr>
          <w:rFonts w:ascii="Verdana" w:hAnsi="Verdana" w:cs="Calibri"/>
          <w:i/>
          <w:iCs/>
        </w:rPr>
        <w:t xml:space="preserve"> 1.054,74 (mil e cinquenta e quatro inteiros e setenta e quatro centésimos) cotas sêniores (as “</w:t>
      </w:r>
      <w:r w:rsidRPr="00AD1925">
        <w:rPr>
          <w:rFonts w:ascii="Verdana" w:hAnsi="Verdana" w:cs="Calibri"/>
          <w:i/>
          <w:iCs/>
          <w:u w:val="single"/>
        </w:rPr>
        <w:t>Cotas Seniores</w:t>
      </w:r>
      <w:r w:rsidRPr="00AD1925">
        <w:rPr>
          <w:rFonts w:ascii="Verdana" w:hAnsi="Verdana" w:cs="Calibri"/>
          <w:i/>
          <w:iCs/>
        </w:rPr>
        <w:t xml:space="preserve">”), sendo 474,96 (quatrocentas e setenta e quatro inteiros e noventa e seis centésimos) detidas pela Inepar, 579,77 (quinhentas e setenta e nove inteiros e setenta e sete centésimos) detidas pela Inepar Equipamentos; e </w:t>
      </w:r>
      <w:r w:rsidRPr="00AD1925">
        <w:rPr>
          <w:rFonts w:ascii="Verdana" w:hAnsi="Verdana" w:cs="Calibri"/>
          <w:b/>
          <w:bCs/>
          <w:i/>
          <w:iCs/>
        </w:rPr>
        <w:t>(b)</w:t>
      </w:r>
      <w:r w:rsidRPr="00AD1925">
        <w:rPr>
          <w:rFonts w:ascii="Verdana" w:hAnsi="Verdana" w:cs="Calibri"/>
          <w:i/>
          <w:iCs/>
        </w:rPr>
        <w:t xml:space="preserve"> 619.100 (seiscentas e dezenove mil e cem) cotas subordinadas, das quais, </w:t>
      </w:r>
      <w:r w:rsidRPr="00AD1925">
        <w:rPr>
          <w:rFonts w:ascii="Verdana" w:hAnsi="Verdana" w:cs="Calibri"/>
          <w:i/>
          <w:iCs/>
          <w:highlight w:val="yellow"/>
        </w:rPr>
        <w:t>94.112 (noventa e quatro mil, cento e doze) são detidas pela Inepar, 76.493 (setenta e seis mil, quatrocentas e noventa e três) são detidas pela Inepar Equipamentos, e 331.584 (trezentas e trinta e um mil, quinhentas e oitenta e quatro) são detidas pela IESA</w:t>
      </w:r>
      <w:r w:rsidRPr="00AD1925">
        <w:rPr>
          <w:rFonts w:ascii="Verdana" w:hAnsi="Verdana" w:cs="Calibri"/>
          <w:i/>
          <w:iCs/>
        </w:rPr>
        <w:t xml:space="preserve"> (“</w:t>
      </w:r>
      <w:r w:rsidRPr="00AD1925">
        <w:rPr>
          <w:rFonts w:ascii="Verdana" w:hAnsi="Verdana" w:cs="Calibri"/>
          <w:i/>
          <w:iCs/>
          <w:u w:val="single"/>
        </w:rPr>
        <w:t>Cotas Subordinadas</w:t>
      </w:r>
      <w:r w:rsidRPr="00AD1925">
        <w:rPr>
          <w:rFonts w:ascii="Verdana" w:hAnsi="Verdana" w:cs="Calibri"/>
          <w:i/>
          <w:iCs/>
        </w:rPr>
        <w:t>” e, quando em conjunto com as Cotas Seniores, “</w:t>
      </w:r>
      <w:r w:rsidRPr="00AD1925">
        <w:rPr>
          <w:rFonts w:ascii="Verdana" w:hAnsi="Verdana" w:cs="Calibri"/>
          <w:i/>
          <w:iCs/>
          <w:u w:val="single"/>
        </w:rPr>
        <w:t>Cotas</w:t>
      </w:r>
      <w:r w:rsidRPr="00AD1925">
        <w:rPr>
          <w:rFonts w:ascii="Verdana" w:hAnsi="Verdana" w:cs="Calibri"/>
          <w:i/>
          <w:iCs/>
        </w:rPr>
        <w:t>”);</w:t>
      </w:r>
      <w:r w:rsidR="007748DB">
        <w:rPr>
          <w:rFonts w:ascii="Verdana" w:hAnsi="Verdana" w:cs="Calibri"/>
          <w:i/>
          <w:iCs/>
        </w:rPr>
        <w:t>”</w:t>
      </w:r>
      <w:r w:rsidRPr="00AD1925">
        <w:rPr>
          <w:rFonts w:ascii="Verdana" w:hAnsi="Verdana" w:cs="Calibri"/>
          <w:i/>
          <w:iCs/>
        </w:rPr>
        <w:t xml:space="preserve"> </w:t>
      </w:r>
    </w:p>
    <w:p w14:paraId="5B2892A9" w14:textId="77777777" w:rsidR="001B534D" w:rsidRPr="00AD1925" w:rsidRDefault="001B534D" w:rsidP="00942BBC">
      <w:pPr>
        <w:spacing w:line="360" w:lineRule="auto"/>
        <w:jc w:val="both"/>
        <w:rPr>
          <w:rFonts w:ascii="Verdana" w:hAnsi="Verdana" w:cs="Tahoma"/>
          <w:b/>
          <w:i/>
          <w:iCs/>
          <w:smallCaps/>
          <w:color w:val="000000"/>
          <w:szCs w:val="24"/>
        </w:rPr>
      </w:pPr>
    </w:p>
    <w:p w14:paraId="731CEC59" w14:textId="6458FC4C" w:rsidR="00942BBC" w:rsidRPr="00AD1925" w:rsidRDefault="00AD1925" w:rsidP="001B534D">
      <w:pPr>
        <w:ind w:left="709"/>
        <w:jc w:val="both"/>
        <w:rPr>
          <w:rFonts w:ascii="Verdana" w:hAnsi="Verdana" w:cs="Tahoma"/>
          <w:bCs/>
          <w:i/>
          <w:iCs/>
          <w:smallCaps/>
          <w:color w:val="000000"/>
          <w:szCs w:val="24"/>
        </w:rPr>
      </w:pPr>
      <w:r>
        <w:rPr>
          <w:rFonts w:ascii="Verdana" w:hAnsi="Verdana" w:cs="Tahoma"/>
          <w:b/>
          <w:i/>
          <w:iCs/>
          <w:smallCaps/>
          <w:color w:val="000000"/>
          <w:szCs w:val="24"/>
        </w:rPr>
        <w:t>“</w:t>
      </w:r>
      <w:r w:rsidR="00942BBC" w:rsidRPr="00AD1925">
        <w:rPr>
          <w:rFonts w:ascii="Verdana" w:hAnsi="Verdana" w:cs="Tahoma"/>
          <w:b/>
          <w:i/>
          <w:iCs/>
          <w:smallCaps/>
          <w:color w:val="000000"/>
          <w:szCs w:val="24"/>
        </w:rPr>
        <w:t xml:space="preserve">1.1 </w:t>
      </w:r>
      <w:r w:rsidR="00942BBC" w:rsidRPr="00AD1925">
        <w:rPr>
          <w:rFonts w:ascii="Verdana" w:hAnsi="Verdana" w:cs="Tahoma"/>
          <w:bCs/>
          <w:i/>
          <w:iCs/>
          <w:smallCaps/>
          <w:color w:val="000000"/>
          <w:szCs w:val="24"/>
        </w:rPr>
        <w:t>(...)</w:t>
      </w:r>
    </w:p>
    <w:p w14:paraId="1F06502C" w14:textId="62785812" w:rsidR="00942BBC" w:rsidRPr="00AD1925" w:rsidRDefault="00942BBC" w:rsidP="00942BBC">
      <w:pPr>
        <w:jc w:val="both"/>
        <w:rPr>
          <w:rFonts w:ascii="Verdana" w:hAnsi="Verdana" w:cs="Tahoma"/>
          <w:b/>
          <w:i/>
          <w:iCs/>
          <w:smallCaps/>
          <w:color w:val="000000"/>
          <w:szCs w:val="24"/>
        </w:rPr>
      </w:pPr>
    </w:p>
    <w:p w14:paraId="3DD7916B" w14:textId="4638DD93" w:rsidR="00942BBC" w:rsidRPr="00AD1925" w:rsidRDefault="00942BBC" w:rsidP="00942BBC">
      <w:pPr>
        <w:jc w:val="both"/>
        <w:rPr>
          <w:rFonts w:ascii="Verdana" w:hAnsi="Verdana" w:cs="Tahoma"/>
          <w:bCs/>
          <w:i/>
          <w:iCs/>
          <w:smallCaps/>
          <w:color w:val="000000"/>
          <w:szCs w:val="24"/>
        </w:rPr>
      </w:pPr>
      <w:r w:rsidRPr="00AD1925">
        <w:rPr>
          <w:rFonts w:ascii="Verdana" w:hAnsi="Verdana" w:cs="Tahoma"/>
          <w:bCs/>
          <w:i/>
          <w:iCs/>
          <w:smallCaps/>
          <w:color w:val="000000"/>
          <w:szCs w:val="24"/>
        </w:rPr>
        <w:tab/>
        <w:t>(...)</w:t>
      </w:r>
    </w:p>
    <w:p w14:paraId="0E9930FD" w14:textId="77777777" w:rsidR="00942BBC" w:rsidRPr="00AD1925" w:rsidRDefault="00942BBC" w:rsidP="00942BBC">
      <w:pPr>
        <w:jc w:val="both"/>
        <w:rPr>
          <w:rFonts w:ascii="Verdana" w:hAnsi="Verdana" w:cs="Tahoma"/>
          <w:b/>
          <w:i/>
          <w:iCs/>
          <w:smallCaps/>
          <w:color w:val="000000"/>
          <w:szCs w:val="24"/>
        </w:rPr>
      </w:pPr>
    </w:p>
    <w:p w14:paraId="0AF8FF37" w14:textId="297E90A8" w:rsidR="00942BBC" w:rsidRPr="00AD1925" w:rsidRDefault="00942BBC" w:rsidP="00942BBC">
      <w:pPr>
        <w:pStyle w:val="Corpodetexto3"/>
        <w:keepNext/>
        <w:keepLines/>
        <w:spacing w:line="360" w:lineRule="auto"/>
        <w:ind w:left="709"/>
        <w:rPr>
          <w:rFonts w:ascii="Verdana" w:eastAsia="Arial Unicode MS" w:hAnsi="Verdana" w:cs="Tahoma"/>
          <w:i/>
          <w:iCs/>
          <w:color w:val="000000"/>
        </w:rPr>
      </w:pPr>
      <w:r w:rsidRPr="00AD1925">
        <w:rPr>
          <w:rFonts w:ascii="Verdana" w:eastAsia="Arial Unicode MS" w:hAnsi="Verdana" w:cs="Tahoma"/>
          <w:b/>
          <w:bCs/>
          <w:i/>
          <w:iCs/>
          <w:color w:val="000000"/>
        </w:rPr>
        <w:lastRenderedPageBreak/>
        <w:t>(</w:t>
      </w:r>
      <w:proofErr w:type="spellStart"/>
      <w:r w:rsidRPr="00AD1925">
        <w:rPr>
          <w:rFonts w:ascii="Verdana" w:eastAsia="Arial Unicode MS" w:hAnsi="Verdana" w:cs="Tahoma"/>
          <w:b/>
          <w:bCs/>
          <w:i/>
          <w:iCs/>
          <w:color w:val="000000"/>
        </w:rPr>
        <w:t>ii</w:t>
      </w:r>
      <w:proofErr w:type="spellEnd"/>
      <w:r w:rsidRPr="00AD1925">
        <w:rPr>
          <w:rFonts w:ascii="Verdana" w:eastAsia="Arial Unicode MS" w:hAnsi="Verdana" w:cs="Tahoma"/>
          <w:b/>
          <w:bCs/>
          <w:i/>
          <w:iCs/>
          <w:color w:val="000000"/>
        </w:rPr>
        <w:t>)</w:t>
      </w:r>
      <w:r w:rsidRPr="00AD1925">
        <w:rPr>
          <w:rFonts w:ascii="Verdana" w:eastAsia="Arial Unicode MS" w:hAnsi="Verdana" w:cs="Tahoma"/>
          <w:i/>
          <w:iCs/>
          <w:color w:val="000000"/>
        </w:rPr>
        <w:tab/>
      </w:r>
      <w:r w:rsidRPr="00AD1925">
        <w:rPr>
          <w:rFonts w:ascii="Verdana" w:eastAsia="Arial Unicode MS" w:hAnsi="Verdana" w:cs="Tahoma"/>
          <w:i/>
          <w:iCs/>
          <w:color w:val="000000"/>
        </w:rPr>
        <w:t xml:space="preserve">Constituem a cessão fiduciária sobre todos os </w:t>
      </w:r>
      <w:r w:rsidRPr="00AD1925">
        <w:rPr>
          <w:rFonts w:ascii="Verdana" w:hAnsi="Verdana"/>
          <w:i/>
          <w:iCs/>
        </w:rPr>
        <w:t>frutos, rendimentos, remunerações, vantagens e direitos decorrentes da totalidade das Cotas Alienadas Fiduciariamente, bem como da totalidade das Cotas Seniores</w:t>
      </w:r>
      <w:r w:rsidRPr="00AD1925">
        <w:rPr>
          <w:rFonts w:ascii="Verdana" w:hAnsi="Verdana"/>
          <w:i/>
          <w:iCs/>
        </w:rPr>
        <w:t xml:space="preserve"> presentes e </w:t>
      </w:r>
      <w:proofErr w:type="spellStart"/>
      <w:r w:rsidRPr="00AD1925">
        <w:rPr>
          <w:rFonts w:ascii="Verdana" w:hAnsi="Verdana"/>
          <w:i/>
          <w:iCs/>
        </w:rPr>
        <w:t>fututas</w:t>
      </w:r>
      <w:proofErr w:type="spellEnd"/>
      <w:r w:rsidRPr="00AD1925">
        <w:rPr>
          <w:rFonts w:ascii="Verdana" w:hAnsi="Verdana"/>
          <w:i/>
          <w:iCs/>
        </w:rPr>
        <w:t xml:space="preserve">, e/ou quaisquer outros proventos, bens, valores, produtos decorrentes de venda dos ativos </w:t>
      </w:r>
      <w:r w:rsidRPr="00AD1925">
        <w:rPr>
          <w:rFonts w:ascii="Verdana" w:eastAsia="Arial Unicode MS" w:hAnsi="Verdana" w:cs="Tahoma"/>
          <w:i/>
          <w:iCs/>
          <w:color w:val="000000"/>
        </w:rPr>
        <w:t xml:space="preserve">do Fundo, incluindo os eventuais recursos recebidos em razão de resgate ou amortização </w:t>
      </w:r>
      <w:r w:rsidRPr="00AD1925">
        <w:rPr>
          <w:rFonts w:ascii="Verdana" w:hAnsi="Verdana"/>
          <w:i/>
          <w:iCs/>
        </w:rPr>
        <w:t>das Cotas Alienadas Fiduciariamente e da totalidade das Cotas Seniores</w:t>
      </w:r>
      <w:r w:rsidRPr="00AD1925">
        <w:rPr>
          <w:rFonts w:ascii="Verdana" w:hAnsi="Verdana"/>
          <w:i/>
          <w:iCs/>
        </w:rPr>
        <w:t xml:space="preserve"> presentes e futuras</w:t>
      </w:r>
      <w:r w:rsidRPr="00AD1925">
        <w:rPr>
          <w:rFonts w:ascii="Verdana" w:hAnsi="Verdana"/>
          <w:i/>
          <w:iCs/>
        </w:rPr>
        <w:t xml:space="preserve"> (“</w:t>
      </w:r>
      <w:r w:rsidRPr="00AD1925">
        <w:rPr>
          <w:rFonts w:ascii="Verdana" w:hAnsi="Verdana"/>
          <w:i/>
          <w:iCs/>
          <w:u w:val="single"/>
        </w:rPr>
        <w:t>Direitos</w:t>
      </w:r>
      <w:r w:rsidRPr="00AD1925">
        <w:rPr>
          <w:rFonts w:ascii="Verdana" w:hAnsi="Verdana"/>
          <w:i/>
          <w:iCs/>
        </w:rPr>
        <w:t>” e “</w:t>
      </w:r>
      <w:r w:rsidRPr="00AD1925">
        <w:rPr>
          <w:rFonts w:ascii="Verdana" w:hAnsi="Verdana"/>
          <w:i/>
          <w:iCs/>
          <w:u w:val="single"/>
        </w:rPr>
        <w:t>Cessão Fiduciária de Direitos Creditórios”</w:t>
      </w:r>
      <w:r w:rsidRPr="00AD1925">
        <w:rPr>
          <w:rFonts w:ascii="Verdana" w:hAnsi="Verdana"/>
          <w:i/>
          <w:iCs/>
        </w:rPr>
        <w:t>), ressalvado o disposto na Cláusula 1.12 e seguintes, abaixo.</w:t>
      </w:r>
      <w:r w:rsidR="00AD1925">
        <w:rPr>
          <w:rFonts w:ascii="Verdana" w:hAnsi="Verdana"/>
          <w:i/>
          <w:iCs/>
        </w:rPr>
        <w:t>”</w:t>
      </w:r>
    </w:p>
    <w:p w14:paraId="012CFA95" w14:textId="77777777" w:rsidR="00E32CB6" w:rsidRDefault="00E32CB6" w:rsidP="00B16759">
      <w:pPr>
        <w:rPr>
          <w:rFonts w:ascii="Verdana" w:hAnsi="Verdana" w:cs="Arial"/>
          <w:b/>
          <w:szCs w:val="24"/>
        </w:rPr>
      </w:pPr>
    </w:p>
    <w:p w14:paraId="136ECF52" w14:textId="1F6F0559" w:rsidR="00C37306" w:rsidRDefault="00C64EAA" w:rsidP="00B16759">
      <w:pPr>
        <w:rPr>
          <w:rFonts w:ascii="Verdana" w:hAnsi="Verdana" w:cs="Arial"/>
          <w:b/>
          <w:szCs w:val="24"/>
        </w:rPr>
      </w:pPr>
      <w:r w:rsidRPr="001B534D">
        <w:rPr>
          <w:rFonts w:ascii="Verdana" w:hAnsi="Verdana" w:cs="Arial"/>
          <w:b/>
          <w:szCs w:val="24"/>
        </w:rPr>
        <w:t xml:space="preserve">CLÁUSULA </w:t>
      </w:r>
      <w:r>
        <w:rPr>
          <w:rFonts w:ascii="Verdana" w:hAnsi="Verdana" w:cs="Arial"/>
          <w:b/>
          <w:szCs w:val="24"/>
        </w:rPr>
        <w:t>TERCEIRA</w:t>
      </w:r>
      <w:r w:rsidRPr="001B534D">
        <w:rPr>
          <w:rFonts w:ascii="Verdana" w:hAnsi="Verdana" w:cs="Arial"/>
          <w:b/>
          <w:szCs w:val="24"/>
        </w:rPr>
        <w:t xml:space="preserve"> </w:t>
      </w:r>
      <w:r>
        <w:rPr>
          <w:rFonts w:ascii="Verdana" w:hAnsi="Verdana" w:cs="Arial"/>
          <w:b/>
          <w:szCs w:val="24"/>
        </w:rPr>
        <w:t>–</w:t>
      </w:r>
      <w:r w:rsidRPr="001B534D">
        <w:rPr>
          <w:rFonts w:ascii="Verdana" w:hAnsi="Verdana" w:cs="Arial"/>
          <w:b/>
          <w:szCs w:val="24"/>
        </w:rPr>
        <w:t xml:space="preserve"> </w:t>
      </w:r>
      <w:r>
        <w:rPr>
          <w:rFonts w:ascii="Verdana" w:hAnsi="Verdana" w:cs="Arial"/>
          <w:b/>
          <w:szCs w:val="24"/>
        </w:rPr>
        <w:t>DISPOSIÇÕES GERAIS</w:t>
      </w:r>
    </w:p>
    <w:p w14:paraId="2B7DE783" w14:textId="77777777" w:rsidR="00C37306" w:rsidRPr="0027729C" w:rsidRDefault="00C37306" w:rsidP="00C37306">
      <w:pPr>
        <w:pStyle w:val="PargrafodaLista"/>
        <w:spacing w:before="120" w:line="360" w:lineRule="auto"/>
        <w:ind w:left="0"/>
        <w:jc w:val="both"/>
        <w:rPr>
          <w:rFonts w:ascii="Verdana" w:hAnsi="Verdana" w:cs="Arial"/>
          <w:b/>
          <w:szCs w:val="24"/>
        </w:rPr>
      </w:pPr>
    </w:p>
    <w:p w14:paraId="3D328FEC" w14:textId="236DB944" w:rsidR="00C37306" w:rsidRPr="00C37306" w:rsidRDefault="00C37306" w:rsidP="00C37306">
      <w:pPr>
        <w:pStyle w:val="PargrafodaLista"/>
        <w:spacing w:line="360" w:lineRule="auto"/>
        <w:ind w:left="0"/>
        <w:jc w:val="both"/>
        <w:rPr>
          <w:rFonts w:ascii="Verdana" w:hAnsi="Verdana"/>
          <w:szCs w:val="24"/>
        </w:rPr>
      </w:pPr>
      <w:r>
        <w:rPr>
          <w:rFonts w:ascii="Verdana" w:hAnsi="Verdana" w:cs="Arial"/>
          <w:b/>
          <w:szCs w:val="24"/>
        </w:rPr>
        <w:t>3.1.</w:t>
      </w:r>
      <w:r>
        <w:rPr>
          <w:rFonts w:ascii="Verdana" w:hAnsi="Verdana" w:cs="Arial"/>
          <w:b/>
          <w:szCs w:val="24"/>
        </w:rPr>
        <w:tab/>
      </w:r>
      <w:r w:rsidR="0027729C" w:rsidRPr="001B534D">
        <w:rPr>
          <w:rFonts w:ascii="Verdana" w:hAnsi="Verdana" w:cs="Arial"/>
          <w:b/>
          <w:szCs w:val="24"/>
        </w:rPr>
        <w:t>Registro</w:t>
      </w:r>
      <w:r w:rsidR="0027729C" w:rsidRPr="001B534D">
        <w:rPr>
          <w:rFonts w:ascii="Verdana" w:hAnsi="Verdana" w:cs="Arial"/>
          <w:bCs/>
          <w:szCs w:val="24"/>
        </w:rPr>
        <w:t xml:space="preserve">. O presente Aditamento deverá ser registrado </w:t>
      </w:r>
      <w:r w:rsidR="0027729C" w:rsidRPr="001B534D">
        <w:rPr>
          <w:rFonts w:ascii="Verdana" w:hAnsi="Verdana"/>
          <w:szCs w:val="24"/>
        </w:rPr>
        <w:t>nos Cartórios de Registro de Títulos e Documentos das cidades do Rio de Janeiro/RJ, São Paulo/SP e Curitiba/PR, devendo os respectivos comprovantes serem encaminhados ao Agente Fiduciário em até 30 (trinta) dias contados da data de assinatura deste, podendo ser prorrogado em razão de fundamentada necessidade. Uma via original do presente Aditamento registrada nos competentes Cartórios deverá ser encaminhada ao Agente Fiduciário em até 5 (cinco) dias após o seu registro.</w:t>
      </w:r>
    </w:p>
    <w:p w14:paraId="17B999F3" w14:textId="77777777" w:rsidR="0027729C" w:rsidRPr="001B534D" w:rsidRDefault="0027729C" w:rsidP="00C37306">
      <w:pPr>
        <w:pStyle w:val="PargrafodaLista"/>
        <w:spacing w:line="360" w:lineRule="auto"/>
        <w:ind w:left="709"/>
        <w:rPr>
          <w:rFonts w:ascii="Verdana" w:hAnsi="Verdana" w:cs="Arial"/>
          <w:szCs w:val="24"/>
        </w:rPr>
      </w:pPr>
    </w:p>
    <w:p w14:paraId="4653BFB7" w14:textId="77E3FB04" w:rsidR="0027729C" w:rsidRPr="001B534D" w:rsidRDefault="00C37306" w:rsidP="00C37306">
      <w:pPr>
        <w:pStyle w:val="titulo3"/>
        <w:numPr>
          <w:ilvl w:val="0"/>
          <w:numId w:val="0"/>
        </w:numPr>
        <w:spacing w:before="0" w:after="0" w:line="360" w:lineRule="auto"/>
        <w:rPr>
          <w:rFonts w:ascii="Verdana" w:hAnsi="Verdana" w:cs="Arial"/>
          <w:sz w:val="24"/>
          <w:szCs w:val="24"/>
        </w:rPr>
      </w:pPr>
      <w:r>
        <w:rPr>
          <w:rFonts w:ascii="Verdana" w:hAnsi="Verdana" w:cs="Arial"/>
          <w:b/>
          <w:bCs/>
          <w:sz w:val="24"/>
          <w:szCs w:val="24"/>
        </w:rPr>
        <w:t>3.2.</w:t>
      </w:r>
      <w:r>
        <w:rPr>
          <w:rFonts w:ascii="Verdana" w:hAnsi="Verdana" w:cs="Arial"/>
          <w:b/>
          <w:bCs/>
          <w:sz w:val="24"/>
          <w:szCs w:val="24"/>
        </w:rPr>
        <w:tab/>
      </w:r>
      <w:r w:rsidR="0027729C" w:rsidRPr="001B534D">
        <w:rPr>
          <w:rFonts w:ascii="Verdana" w:hAnsi="Verdana" w:cs="Arial"/>
          <w:b/>
          <w:bCs/>
          <w:sz w:val="24"/>
          <w:szCs w:val="24"/>
        </w:rPr>
        <w:t>Ratificação.</w:t>
      </w:r>
      <w:r w:rsidR="0027729C" w:rsidRPr="001B534D">
        <w:rPr>
          <w:rFonts w:ascii="Verdana" w:hAnsi="Verdana" w:cs="Arial"/>
          <w:sz w:val="24"/>
          <w:szCs w:val="24"/>
        </w:rPr>
        <w:t xml:space="preserve"> Todos os demais termos e condições do Contrato de Alienação Fiduciária de Cotas que não tenham sido expressamente alterados pelo presente Aditamento, são, neste ato, ratificados e permanecem em pleno vigor e efeito.</w:t>
      </w:r>
    </w:p>
    <w:p w14:paraId="15EEB16A" w14:textId="77777777" w:rsidR="0027729C" w:rsidRPr="001B534D" w:rsidRDefault="0027729C" w:rsidP="0027729C">
      <w:pPr>
        <w:pStyle w:val="titulo3"/>
        <w:numPr>
          <w:ilvl w:val="0"/>
          <w:numId w:val="0"/>
        </w:numPr>
        <w:spacing w:before="0" w:after="0" w:line="360" w:lineRule="auto"/>
        <w:rPr>
          <w:rFonts w:ascii="Verdana" w:hAnsi="Verdana" w:cs="Arial"/>
          <w:sz w:val="24"/>
          <w:szCs w:val="24"/>
        </w:rPr>
      </w:pPr>
    </w:p>
    <w:p w14:paraId="0118F27F" w14:textId="6293F2F8" w:rsidR="0027729C" w:rsidRPr="001B534D" w:rsidRDefault="00C37306" w:rsidP="00C37306">
      <w:pPr>
        <w:pStyle w:val="titulo3"/>
        <w:numPr>
          <w:ilvl w:val="0"/>
          <w:numId w:val="0"/>
        </w:numPr>
        <w:spacing w:before="0" w:after="0" w:line="360" w:lineRule="auto"/>
        <w:rPr>
          <w:rFonts w:ascii="Verdana" w:hAnsi="Verdana" w:cs="Arial"/>
          <w:sz w:val="24"/>
          <w:szCs w:val="24"/>
        </w:rPr>
      </w:pPr>
      <w:r>
        <w:rPr>
          <w:rFonts w:ascii="Verdana" w:hAnsi="Verdana" w:cs="Arial"/>
          <w:b/>
          <w:sz w:val="24"/>
          <w:szCs w:val="24"/>
        </w:rPr>
        <w:t>3.3.</w:t>
      </w:r>
      <w:r>
        <w:rPr>
          <w:rFonts w:ascii="Verdana" w:hAnsi="Verdana" w:cs="Arial"/>
          <w:b/>
          <w:sz w:val="24"/>
          <w:szCs w:val="24"/>
        </w:rPr>
        <w:tab/>
      </w:r>
      <w:r w:rsidR="0027729C" w:rsidRPr="001B534D">
        <w:rPr>
          <w:rFonts w:ascii="Verdana" w:hAnsi="Verdana" w:cs="Arial"/>
          <w:b/>
          <w:sz w:val="24"/>
          <w:szCs w:val="24"/>
        </w:rPr>
        <w:t>Declarações e Garantias</w:t>
      </w:r>
      <w:r w:rsidR="0027729C" w:rsidRPr="001B534D">
        <w:rPr>
          <w:rFonts w:ascii="Verdana" w:hAnsi="Verdana" w:cs="Arial"/>
          <w:sz w:val="24"/>
          <w:szCs w:val="24"/>
        </w:rPr>
        <w:t>. As Fiduciantes declaram e garantem ao Fiduciário que todas as declarações e garantias previstas no Contrato de Alienação Fiduciária de Cotas permanecem verdadeiras, corretas e plenamente válidas e eficazes na data de assinatura do presente Aditamento.</w:t>
      </w:r>
    </w:p>
    <w:p w14:paraId="351BB473" w14:textId="77777777" w:rsidR="0027729C" w:rsidRPr="001B534D" w:rsidRDefault="0027729C" w:rsidP="0027729C">
      <w:pPr>
        <w:spacing w:line="360" w:lineRule="auto"/>
        <w:jc w:val="both"/>
        <w:rPr>
          <w:rFonts w:ascii="Verdana" w:hAnsi="Verdana" w:cs="Arial"/>
          <w:szCs w:val="24"/>
        </w:rPr>
      </w:pPr>
    </w:p>
    <w:p w14:paraId="02E6701B" w14:textId="3E7E9354" w:rsidR="0027729C" w:rsidRPr="001B534D" w:rsidRDefault="00C37306" w:rsidP="00C37306">
      <w:pPr>
        <w:pStyle w:val="titulo3"/>
        <w:numPr>
          <w:ilvl w:val="0"/>
          <w:numId w:val="0"/>
        </w:numPr>
        <w:spacing w:before="0" w:after="0" w:line="360" w:lineRule="auto"/>
        <w:rPr>
          <w:rFonts w:ascii="Verdana" w:hAnsi="Verdana" w:cs="Arial"/>
          <w:sz w:val="24"/>
          <w:szCs w:val="24"/>
        </w:rPr>
      </w:pPr>
      <w:r>
        <w:rPr>
          <w:rFonts w:ascii="Verdana" w:hAnsi="Verdana" w:cs="Arial"/>
          <w:b/>
          <w:sz w:val="24"/>
          <w:szCs w:val="24"/>
        </w:rPr>
        <w:t>3.4.</w:t>
      </w:r>
      <w:r>
        <w:rPr>
          <w:rFonts w:ascii="Verdana" w:hAnsi="Verdana" w:cs="Arial"/>
          <w:b/>
          <w:sz w:val="24"/>
          <w:szCs w:val="24"/>
        </w:rPr>
        <w:tab/>
      </w:r>
      <w:r w:rsidR="0027729C" w:rsidRPr="001B534D">
        <w:rPr>
          <w:rFonts w:ascii="Verdana" w:hAnsi="Verdana" w:cs="Arial"/>
          <w:b/>
          <w:sz w:val="24"/>
          <w:szCs w:val="24"/>
        </w:rPr>
        <w:t>Novação.</w:t>
      </w:r>
      <w:r w:rsidR="0027729C" w:rsidRPr="001B534D">
        <w:rPr>
          <w:rFonts w:ascii="Verdana" w:hAnsi="Verdana" w:cs="Arial"/>
          <w:sz w:val="24"/>
          <w:szCs w:val="24"/>
        </w:rPr>
        <w:t xml:space="preserve"> Este Aditamento não constitui novação ou renúncia do Contrato de Alienação Fiduciária de Cotas, total ou parcial, de modo que todos os direitos e obrigações das partes estipulados no Contrato de Alienação Fiduciária de Cotas, exceto pelo quanto expressamente alterado por este Aditamento, continuam em pleno vigor.</w:t>
      </w:r>
    </w:p>
    <w:p w14:paraId="5D676FFF" w14:textId="77777777" w:rsidR="0027729C" w:rsidRPr="001B534D" w:rsidRDefault="0027729C" w:rsidP="0027729C">
      <w:pPr>
        <w:spacing w:line="360" w:lineRule="auto"/>
        <w:jc w:val="both"/>
        <w:rPr>
          <w:rFonts w:ascii="Verdana" w:hAnsi="Verdana" w:cs="Arial"/>
          <w:szCs w:val="24"/>
        </w:rPr>
      </w:pPr>
    </w:p>
    <w:p w14:paraId="644063F7" w14:textId="16218FB5" w:rsidR="0027729C" w:rsidRPr="001B534D" w:rsidRDefault="00C37306" w:rsidP="00C37306">
      <w:pPr>
        <w:pStyle w:val="titulo3"/>
        <w:numPr>
          <w:ilvl w:val="0"/>
          <w:numId w:val="0"/>
        </w:numPr>
        <w:spacing w:before="0" w:after="0" w:line="360" w:lineRule="auto"/>
        <w:rPr>
          <w:rFonts w:ascii="Verdana" w:hAnsi="Verdana" w:cs="Arial"/>
          <w:sz w:val="24"/>
          <w:szCs w:val="24"/>
        </w:rPr>
      </w:pPr>
      <w:r>
        <w:rPr>
          <w:rFonts w:ascii="Verdana" w:hAnsi="Verdana" w:cs="Arial"/>
          <w:b/>
          <w:sz w:val="24"/>
          <w:szCs w:val="24"/>
        </w:rPr>
        <w:t>3.5.</w:t>
      </w:r>
      <w:r>
        <w:rPr>
          <w:rFonts w:ascii="Verdana" w:hAnsi="Verdana" w:cs="Arial"/>
          <w:b/>
          <w:sz w:val="24"/>
          <w:szCs w:val="24"/>
        </w:rPr>
        <w:tab/>
      </w:r>
      <w:r w:rsidR="0027729C" w:rsidRPr="001B534D">
        <w:rPr>
          <w:rFonts w:ascii="Verdana" w:hAnsi="Verdana" w:cs="Arial"/>
          <w:b/>
          <w:sz w:val="24"/>
          <w:szCs w:val="24"/>
        </w:rPr>
        <w:t>Lei de Regência e Foro</w:t>
      </w:r>
      <w:r w:rsidR="0027729C" w:rsidRPr="001B534D">
        <w:rPr>
          <w:rFonts w:ascii="Verdana" w:hAnsi="Verdana" w:cs="Arial"/>
          <w:sz w:val="24"/>
          <w:szCs w:val="24"/>
        </w:rPr>
        <w:t>. O presente Aditamento é regido pelas Leis da República Federativa do Brasil. As partes elegem o foro da comarca da cidade e Estado de São Paulo, com expressa renúncia de quaisquer outros, por mais privilegiados que sejam, para dirimir qualquer questão oriunda do presente Aditamento.</w:t>
      </w:r>
    </w:p>
    <w:p w14:paraId="24C75A0E" w14:textId="77777777" w:rsidR="00C64EAA" w:rsidRPr="00C64EAA" w:rsidRDefault="00C64EAA" w:rsidP="00F535A2">
      <w:pPr>
        <w:pStyle w:val="PargrafodaLista"/>
        <w:ind w:left="709"/>
        <w:jc w:val="both"/>
        <w:rPr>
          <w:rFonts w:ascii="Verdana" w:hAnsi="Verdana" w:cs="Arial"/>
        </w:rPr>
      </w:pPr>
    </w:p>
    <w:p w14:paraId="18CCE6F6" w14:textId="77777777" w:rsidR="00C64EAA" w:rsidRPr="00C64EAA" w:rsidRDefault="00C64EAA" w:rsidP="00C64EAA">
      <w:pPr>
        <w:spacing w:line="360" w:lineRule="auto"/>
        <w:jc w:val="both"/>
        <w:rPr>
          <w:rFonts w:ascii="Verdana" w:hAnsi="Verdana" w:cs="Arial"/>
        </w:rPr>
      </w:pPr>
      <w:r w:rsidRPr="00C64EAA">
        <w:rPr>
          <w:rFonts w:ascii="Verdana" w:hAnsi="Verdana" w:cs="Arial"/>
        </w:rPr>
        <w:t xml:space="preserve">E por assim estarem justas e contratadas, as Partes firmam este Terceiro Aditamento em 4 (quatro) vias de igual teor e conteúdo, na presença das 2 (duas) testemunhas abaixo assinadas. </w:t>
      </w:r>
    </w:p>
    <w:p w14:paraId="07C52032" w14:textId="77777777" w:rsidR="00C64EAA" w:rsidRPr="00C21029" w:rsidRDefault="00C64EAA" w:rsidP="00C64EAA">
      <w:pPr>
        <w:spacing w:line="360" w:lineRule="auto"/>
        <w:jc w:val="center"/>
        <w:rPr>
          <w:rFonts w:ascii="Garamond" w:hAnsi="Garamond" w:cs="Arial"/>
        </w:rPr>
      </w:pPr>
    </w:p>
    <w:p w14:paraId="3070D3D0" w14:textId="7E0355EF" w:rsidR="00C64EAA" w:rsidRPr="00AF04E7" w:rsidRDefault="00C64EAA" w:rsidP="00C64EAA">
      <w:pPr>
        <w:spacing w:line="360" w:lineRule="auto"/>
        <w:jc w:val="center"/>
        <w:rPr>
          <w:rFonts w:ascii="Verdana" w:hAnsi="Verdana" w:cs="Arial"/>
        </w:rPr>
      </w:pPr>
      <w:r w:rsidRPr="00AF04E7">
        <w:rPr>
          <w:rFonts w:ascii="Verdana" w:hAnsi="Verdana" w:cs="Arial"/>
        </w:rPr>
        <w:t xml:space="preserve">São Paulo/SP, </w:t>
      </w:r>
      <w:r w:rsidR="00AF04E7">
        <w:rPr>
          <w:rFonts w:ascii="Verdana" w:hAnsi="Verdana" w:cs="Arial"/>
        </w:rPr>
        <w:t>18</w:t>
      </w:r>
      <w:r w:rsidRPr="00AF04E7">
        <w:rPr>
          <w:rFonts w:ascii="Verdana" w:hAnsi="Verdana" w:cs="Arial"/>
        </w:rPr>
        <w:t xml:space="preserve"> de </w:t>
      </w:r>
      <w:r w:rsidR="00AF04E7">
        <w:rPr>
          <w:rFonts w:ascii="Verdana" w:hAnsi="Verdana" w:cs="Arial"/>
        </w:rPr>
        <w:t>abril</w:t>
      </w:r>
      <w:r w:rsidRPr="00AF04E7">
        <w:rPr>
          <w:rFonts w:ascii="Verdana" w:hAnsi="Verdana" w:cs="Arial"/>
        </w:rPr>
        <w:t xml:space="preserve"> de 202</w:t>
      </w:r>
      <w:r w:rsidR="00AF04E7">
        <w:rPr>
          <w:rFonts w:ascii="Verdana" w:hAnsi="Verdana" w:cs="Arial"/>
        </w:rPr>
        <w:t>2</w:t>
      </w:r>
      <w:r w:rsidRPr="00AF04E7">
        <w:rPr>
          <w:rFonts w:ascii="Verdana" w:hAnsi="Verdana" w:cs="Arial"/>
        </w:rPr>
        <w:t>.</w:t>
      </w:r>
    </w:p>
    <w:p w14:paraId="68F3CA70" w14:textId="77777777" w:rsidR="00111F6A" w:rsidRPr="001B534D" w:rsidRDefault="00111F6A" w:rsidP="00D460BB">
      <w:pPr>
        <w:spacing w:line="360" w:lineRule="auto"/>
        <w:jc w:val="center"/>
        <w:rPr>
          <w:rFonts w:ascii="Verdana" w:eastAsia="MS Mincho" w:hAnsi="Verdana" w:cs="Tahoma"/>
          <w:szCs w:val="24"/>
        </w:rPr>
      </w:pPr>
      <w:bookmarkStart w:id="16" w:name="_DV_M67"/>
      <w:bookmarkStart w:id="17" w:name="_DV_M83"/>
      <w:bookmarkStart w:id="18" w:name="_DV_M84"/>
      <w:bookmarkStart w:id="19" w:name="_DV_M91"/>
      <w:bookmarkStart w:id="20" w:name="_DV_M92"/>
      <w:bookmarkStart w:id="21" w:name="_DV_M93"/>
      <w:bookmarkStart w:id="22" w:name="_DV_M94"/>
      <w:bookmarkStart w:id="23" w:name="_DV_M117"/>
      <w:bookmarkStart w:id="24" w:name="_DV_M96"/>
      <w:bookmarkStart w:id="25" w:name="_DV_M97"/>
      <w:bookmarkStart w:id="26" w:name="_DV_M98"/>
      <w:bookmarkStart w:id="27" w:name="_DV_M99"/>
      <w:bookmarkStart w:id="28" w:name="_DV_M100"/>
      <w:bookmarkStart w:id="29" w:name="_DV_M101"/>
      <w:bookmarkStart w:id="30" w:name="_DV_M102"/>
      <w:bookmarkStart w:id="31" w:name="_DV_M103"/>
      <w:bookmarkStart w:id="32" w:name="_DV_M105"/>
      <w:bookmarkStart w:id="33" w:name="_DV_M106"/>
      <w:bookmarkStart w:id="34" w:name="_DV_M107"/>
      <w:bookmarkStart w:id="35" w:name="_DV_M108"/>
      <w:bookmarkStart w:id="36" w:name="_DV_M109"/>
      <w:bookmarkStart w:id="37" w:name="_DV_M110"/>
      <w:bookmarkStart w:id="38" w:name="_DV_M112"/>
      <w:bookmarkStart w:id="39" w:name="_DV_M114"/>
      <w:bookmarkStart w:id="40" w:name="_DV_M118"/>
      <w:bookmarkStart w:id="41" w:name="_DV_M119"/>
      <w:bookmarkStart w:id="42" w:name="_DV_M129"/>
      <w:bookmarkStart w:id="43" w:name="_DV_M130"/>
      <w:bookmarkStart w:id="44" w:name="_DV_M136"/>
      <w:bookmarkStart w:id="45" w:name="_DV_M138"/>
      <w:bookmarkStart w:id="46" w:name="_DV_M148"/>
      <w:bookmarkStart w:id="47" w:name="_DV_M149"/>
      <w:bookmarkStart w:id="48" w:name="_DV_M126"/>
      <w:bookmarkStart w:id="49" w:name="_DV_M127"/>
      <w:bookmarkStart w:id="50" w:name="_DV_M151"/>
      <w:bookmarkStart w:id="51" w:name="_DV_M152"/>
      <w:bookmarkStart w:id="52" w:name="_DV_M153"/>
      <w:bookmarkStart w:id="53" w:name="_DV_M154"/>
      <w:bookmarkStart w:id="54" w:name="_DV_M155"/>
      <w:bookmarkStart w:id="55" w:name="_DV_M156"/>
      <w:bookmarkStart w:id="56" w:name="_DV_M157"/>
      <w:bookmarkStart w:id="57" w:name="_DV_M158"/>
      <w:bookmarkStart w:id="58" w:name="_DV_M159"/>
      <w:bookmarkStart w:id="59" w:name="_DV_M160"/>
      <w:bookmarkStart w:id="60" w:name="_DV_M161"/>
      <w:bookmarkStart w:id="61" w:name="_DV_M162"/>
      <w:bookmarkStart w:id="62" w:name="_DV_M163"/>
      <w:bookmarkStart w:id="63" w:name="_DV_M165"/>
      <w:bookmarkStart w:id="64" w:name="_DV_M166"/>
      <w:bookmarkStart w:id="65" w:name="_DV_M168"/>
      <w:bookmarkStart w:id="66" w:name="_DV_M169"/>
      <w:bookmarkStart w:id="67" w:name="_DV_M170"/>
      <w:bookmarkStart w:id="68" w:name="_DV_M280"/>
      <w:bookmarkStart w:id="69" w:name="_DV_M281"/>
      <w:bookmarkStart w:id="70" w:name="_DV_M282"/>
      <w:bookmarkStart w:id="71" w:name="_DV_M199"/>
      <w:bookmarkStart w:id="72" w:name="_DV_M200"/>
      <w:bookmarkStart w:id="73" w:name="_DV_M20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77E65966" w14:textId="3B274E54" w:rsidR="00111F6A" w:rsidRPr="001B534D" w:rsidRDefault="005968BC" w:rsidP="00D460BB">
      <w:pPr>
        <w:spacing w:line="360" w:lineRule="auto"/>
        <w:jc w:val="center"/>
        <w:rPr>
          <w:rFonts w:ascii="Verdana" w:hAnsi="Verdana" w:cs="Calibri"/>
          <w:bCs/>
          <w:szCs w:val="24"/>
        </w:rPr>
      </w:pPr>
      <w:bookmarkStart w:id="74" w:name="_DV_M206"/>
      <w:bookmarkStart w:id="75" w:name="_DV_M207"/>
      <w:bookmarkEnd w:id="74"/>
      <w:bookmarkEnd w:id="75"/>
      <w:r w:rsidRPr="001B534D">
        <w:rPr>
          <w:rFonts w:ascii="Verdana" w:hAnsi="Verdana" w:cs="Calibri"/>
          <w:bCs/>
          <w:color w:val="808080"/>
          <w:szCs w:val="24"/>
        </w:rPr>
        <w:t>(</w:t>
      </w:r>
      <w:r w:rsidRPr="001B534D">
        <w:rPr>
          <w:rFonts w:ascii="Verdana" w:hAnsi="Verdana" w:cs="Calibri"/>
          <w:bCs/>
          <w:i/>
          <w:szCs w:val="24"/>
        </w:rPr>
        <w:t>assinaturas na próxima página</w:t>
      </w:r>
      <w:r w:rsidRPr="001B534D">
        <w:rPr>
          <w:rFonts w:ascii="Verdana" w:hAnsi="Verdana" w:cs="Calibri"/>
          <w:bCs/>
          <w:szCs w:val="24"/>
        </w:rPr>
        <w:t>)</w:t>
      </w:r>
    </w:p>
    <w:p w14:paraId="76C33F7E" w14:textId="72C7DB48" w:rsidR="00543391" w:rsidRPr="0027729C" w:rsidRDefault="00543391" w:rsidP="0027729C">
      <w:pPr>
        <w:autoSpaceDE/>
        <w:autoSpaceDN/>
        <w:adjustRightInd/>
        <w:jc w:val="both"/>
        <w:rPr>
          <w:rFonts w:ascii="Verdana" w:eastAsia="MS Mincho" w:hAnsi="Verdana" w:cs="Tahoma"/>
          <w:color w:val="000000"/>
          <w:sz w:val="22"/>
          <w:szCs w:val="22"/>
        </w:rPr>
      </w:pPr>
      <w:r w:rsidRPr="001B534D">
        <w:rPr>
          <w:rFonts w:ascii="Verdana" w:eastAsia="MS Mincho" w:hAnsi="Verdana" w:cs="Tahoma"/>
          <w:b/>
          <w:color w:val="000000"/>
          <w:szCs w:val="24"/>
        </w:rPr>
        <w:br w:type="page"/>
      </w:r>
      <w:r w:rsidR="00F002E8" w:rsidRPr="0027729C">
        <w:rPr>
          <w:rFonts w:ascii="Verdana" w:eastAsia="MS Mincho" w:hAnsi="Verdana" w:cs="Tahoma"/>
          <w:color w:val="000000"/>
          <w:sz w:val="22"/>
          <w:szCs w:val="22"/>
        </w:rPr>
        <w:lastRenderedPageBreak/>
        <w:t>(</w:t>
      </w:r>
      <w:r w:rsidR="00F002E8" w:rsidRPr="0027729C">
        <w:rPr>
          <w:rFonts w:ascii="Verdana" w:eastAsia="MS Mincho" w:hAnsi="Verdana" w:cs="Tahoma"/>
          <w:i/>
          <w:color w:val="000000"/>
          <w:sz w:val="22"/>
          <w:szCs w:val="22"/>
        </w:rPr>
        <w:t>Página de Assinaturas 1/</w:t>
      </w:r>
      <w:r w:rsidR="00AF04E7" w:rsidRPr="0027729C">
        <w:rPr>
          <w:rFonts w:ascii="Verdana" w:eastAsia="MS Mincho" w:hAnsi="Verdana" w:cs="Tahoma"/>
          <w:i/>
          <w:color w:val="000000"/>
          <w:sz w:val="22"/>
          <w:szCs w:val="22"/>
        </w:rPr>
        <w:t>1</w:t>
      </w:r>
      <w:r w:rsidR="00F002E8" w:rsidRPr="0027729C">
        <w:rPr>
          <w:rFonts w:ascii="Verdana" w:eastAsia="MS Mincho" w:hAnsi="Verdana" w:cs="Tahoma"/>
          <w:i/>
          <w:color w:val="000000"/>
          <w:sz w:val="22"/>
          <w:szCs w:val="22"/>
        </w:rPr>
        <w:t xml:space="preserve"> do </w:t>
      </w:r>
      <w:r w:rsidR="00AF04E7" w:rsidRPr="0027729C">
        <w:rPr>
          <w:rFonts w:ascii="Verdana" w:eastAsia="MS Mincho" w:hAnsi="Verdana" w:cs="Tahoma"/>
          <w:i/>
          <w:color w:val="000000"/>
          <w:sz w:val="22"/>
          <w:szCs w:val="22"/>
        </w:rPr>
        <w:t xml:space="preserve">Primeiro Aditamento ao </w:t>
      </w:r>
      <w:r w:rsidR="00F002E8" w:rsidRPr="0027729C">
        <w:rPr>
          <w:rFonts w:ascii="Verdana" w:eastAsia="MS Mincho" w:hAnsi="Verdana" w:cs="Tahoma"/>
          <w:i/>
          <w:color w:val="000000"/>
          <w:sz w:val="22"/>
          <w:szCs w:val="22"/>
        </w:rPr>
        <w:t xml:space="preserve">Instrumento Particular </w:t>
      </w:r>
      <w:r w:rsidR="00805BA5" w:rsidRPr="0027729C">
        <w:rPr>
          <w:rFonts w:ascii="Verdana" w:eastAsia="MS Mincho" w:hAnsi="Verdana" w:cs="Tahoma"/>
          <w:i/>
          <w:color w:val="000000"/>
          <w:sz w:val="22"/>
          <w:szCs w:val="22"/>
        </w:rPr>
        <w:t>de Alienação Fiduciária de Cotas</w:t>
      </w:r>
      <w:r w:rsidR="00F002E8" w:rsidRPr="0027729C">
        <w:rPr>
          <w:rFonts w:ascii="Verdana" w:eastAsia="MS Mincho" w:hAnsi="Verdana" w:cs="Tahoma"/>
          <w:i/>
          <w:color w:val="000000"/>
          <w:sz w:val="22"/>
          <w:szCs w:val="22"/>
        </w:rPr>
        <w:t xml:space="preserve"> </w:t>
      </w:r>
      <w:r w:rsidR="0021765F" w:rsidRPr="0027729C">
        <w:rPr>
          <w:rFonts w:ascii="Verdana" w:eastAsia="MS Mincho" w:hAnsi="Verdana" w:cs="Tahoma"/>
          <w:i/>
          <w:color w:val="000000"/>
          <w:sz w:val="22"/>
          <w:szCs w:val="22"/>
        </w:rPr>
        <w:t xml:space="preserve">e Cessão Fiduciária de Direitos Creditórios de Direitos Creditórios </w:t>
      </w:r>
      <w:r w:rsidR="00F002E8" w:rsidRPr="0027729C">
        <w:rPr>
          <w:rFonts w:ascii="Verdana" w:eastAsia="MS Mincho" w:hAnsi="Verdana" w:cs="Tahoma"/>
          <w:i/>
          <w:color w:val="000000"/>
          <w:sz w:val="22"/>
          <w:szCs w:val="22"/>
        </w:rPr>
        <w:t xml:space="preserve">em Garantia e Outras Avenças, celebrado entre </w:t>
      </w:r>
      <w:r w:rsidR="0021765F" w:rsidRPr="0027729C">
        <w:rPr>
          <w:rFonts w:ascii="Verdana" w:eastAsia="MS Mincho" w:hAnsi="Verdana" w:cs="Tahoma"/>
          <w:i/>
          <w:color w:val="000000"/>
          <w:sz w:val="22"/>
          <w:szCs w:val="22"/>
        </w:rPr>
        <w:t xml:space="preserve">Inepar S.A. Indústria e Construções – Em Recuperação Judicial, </w:t>
      </w:r>
      <w:r w:rsidR="00244773" w:rsidRPr="0027729C">
        <w:rPr>
          <w:rFonts w:ascii="Verdana" w:eastAsia="MS Mincho" w:hAnsi="Verdana" w:cs="Tahoma"/>
          <w:i/>
          <w:color w:val="000000"/>
          <w:sz w:val="22"/>
          <w:szCs w:val="22"/>
        </w:rPr>
        <w:t xml:space="preserve">Inepar Equipamentos e Montagens S.A. – Em Recuperação Judicial, </w:t>
      </w:r>
      <w:r w:rsidR="00823782" w:rsidRPr="0027729C">
        <w:rPr>
          <w:rFonts w:ascii="Verdana" w:eastAsia="MS Mincho" w:hAnsi="Verdana" w:cs="Tahoma"/>
          <w:i/>
          <w:color w:val="000000"/>
          <w:sz w:val="22"/>
          <w:szCs w:val="22"/>
        </w:rPr>
        <w:t xml:space="preserve">IESA Projetos, Equipamentos e Montagens S.A. – Em Recuperação Judicial e </w:t>
      </w:r>
      <w:r w:rsidR="004667B1" w:rsidRPr="0027729C">
        <w:rPr>
          <w:rFonts w:ascii="Verdana" w:hAnsi="Verdana" w:cs="Arial"/>
          <w:bCs/>
          <w:i/>
          <w:iCs/>
          <w:sz w:val="22"/>
          <w:szCs w:val="22"/>
        </w:rPr>
        <w:t>Simplific Pavarini</w:t>
      </w:r>
      <w:r w:rsidR="004667B1" w:rsidRPr="0027729C">
        <w:rPr>
          <w:rFonts w:ascii="Verdana" w:hAnsi="Verdana"/>
          <w:i/>
          <w:sz w:val="22"/>
          <w:szCs w:val="22"/>
        </w:rPr>
        <w:t xml:space="preserve"> Distribuidora de Títulos e Valores Mobiliários </w:t>
      </w:r>
      <w:r w:rsidR="004667B1" w:rsidRPr="0027729C">
        <w:rPr>
          <w:rFonts w:ascii="Verdana" w:hAnsi="Verdana" w:cs="Arial"/>
          <w:bCs/>
          <w:i/>
          <w:iCs/>
          <w:sz w:val="22"/>
          <w:szCs w:val="22"/>
        </w:rPr>
        <w:t>Ltda</w:t>
      </w:r>
      <w:r w:rsidR="004667B1" w:rsidRPr="0027729C">
        <w:rPr>
          <w:rFonts w:ascii="Verdana" w:hAnsi="Verdana"/>
          <w:i/>
          <w:sz w:val="22"/>
          <w:szCs w:val="22"/>
        </w:rPr>
        <w:t>.</w:t>
      </w:r>
      <w:r w:rsidR="00924423" w:rsidRPr="0027729C">
        <w:rPr>
          <w:rFonts w:ascii="Verdana" w:eastAsia="MS Mincho" w:hAnsi="Verdana" w:cs="Tahoma"/>
          <w:i/>
          <w:color w:val="000000"/>
          <w:sz w:val="22"/>
          <w:szCs w:val="22"/>
        </w:rPr>
        <w:t xml:space="preserve">, com a interveniência anuência do </w:t>
      </w:r>
      <w:proofErr w:type="spellStart"/>
      <w:r w:rsidR="0021765F" w:rsidRPr="0027729C">
        <w:rPr>
          <w:rFonts w:ascii="Verdana" w:eastAsia="MS Mincho" w:hAnsi="Verdana" w:cs="Tahoma"/>
          <w:i/>
          <w:color w:val="000000"/>
          <w:sz w:val="22"/>
          <w:szCs w:val="22"/>
        </w:rPr>
        <w:t>Taranis</w:t>
      </w:r>
      <w:proofErr w:type="spellEnd"/>
      <w:r w:rsidR="0021765F" w:rsidRPr="0027729C">
        <w:rPr>
          <w:rFonts w:ascii="Verdana" w:eastAsia="MS Mincho" w:hAnsi="Verdana" w:cs="Tahoma"/>
          <w:i/>
          <w:color w:val="000000"/>
          <w:sz w:val="22"/>
          <w:szCs w:val="22"/>
        </w:rPr>
        <w:t xml:space="preserve"> – Fundo de Investimento em Direitos Creditórios Não-Padronizados</w:t>
      </w:r>
      <w:r w:rsidR="00924423" w:rsidRPr="0027729C">
        <w:rPr>
          <w:rFonts w:ascii="Verdana" w:eastAsia="MS Mincho" w:hAnsi="Verdana" w:cs="Tahoma"/>
          <w:i/>
          <w:color w:val="000000"/>
          <w:sz w:val="22"/>
          <w:szCs w:val="22"/>
        </w:rPr>
        <w:t xml:space="preserve">, em </w:t>
      </w:r>
      <w:r w:rsidR="003C7BFF" w:rsidRPr="0027729C">
        <w:rPr>
          <w:rFonts w:ascii="Verdana" w:eastAsia="MS Mincho" w:hAnsi="Verdana" w:cs="Tahoma"/>
          <w:i/>
          <w:color w:val="000000"/>
          <w:sz w:val="22"/>
          <w:szCs w:val="22"/>
        </w:rPr>
        <w:t>1</w:t>
      </w:r>
      <w:r w:rsidR="00AF04E7" w:rsidRPr="0027729C">
        <w:rPr>
          <w:rFonts w:ascii="Verdana" w:eastAsia="MS Mincho" w:hAnsi="Verdana" w:cs="Tahoma"/>
          <w:i/>
          <w:color w:val="000000"/>
          <w:sz w:val="22"/>
          <w:szCs w:val="22"/>
        </w:rPr>
        <w:t>8</w:t>
      </w:r>
      <w:r w:rsidR="003C7BFF" w:rsidRPr="0027729C">
        <w:rPr>
          <w:rFonts w:ascii="Verdana" w:eastAsia="MS Mincho" w:hAnsi="Verdana" w:cs="Tahoma"/>
          <w:i/>
          <w:color w:val="000000"/>
          <w:sz w:val="22"/>
          <w:szCs w:val="22"/>
        </w:rPr>
        <w:t xml:space="preserve"> </w:t>
      </w:r>
      <w:r w:rsidR="00FF3050" w:rsidRPr="0027729C">
        <w:rPr>
          <w:rFonts w:ascii="Verdana" w:eastAsia="MS Mincho" w:hAnsi="Verdana" w:cs="Tahoma"/>
          <w:i/>
          <w:color w:val="000000"/>
          <w:sz w:val="22"/>
          <w:szCs w:val="22"/>
        </w:rPr>
        <w:t xml:space="preserve">de </w:t>
      </w:r>
      <w:r w:rsidR="00AF04E7" w:rsidRPr="0027729C">
        <w:rPr>
          <w:rFonts w:ascii="Verdana" w:eastAsia="MS Mincho" w:hAnsi="Verdana" w:cs="Tahoma"/>
          <w:i/>
          <w:color w:val="000000"/>
          <w:sz w:val="22"/>
          <w:szCs w:val="22"/>
        </w:rPr>
        <w:t>abril</w:t>
      </w:r>
      <w:r w:rsidR="003C7BFF" w:rsidRPr="0027729C">
        <w:rPr>
          <w:rFonts w:ascii="Verdana" w:eastAsia="MS Mincho" w:hAnsi="Verdana" w:cs="Tahoma"/>
          <w:i/>
          <w:color w:val="000000"/>
          <w:sz w:val="22"/>
          <w:szCs w:val="22"/>
        </w:rPr>
        <w:t xml:space="preserve"> </w:t>
      </w:r>
      <w:r w:rsidR="00924423" w:rsidRPr="0027729C">
        <w:rPr>
          <w:rFonts w:ascii="Verdana" w:eastAsia="MS Mincho" w:hAnsi="Verdana" w:cs="Tahoma"/>
          <w:i/>
          <w:color w:val="000000"/>
          <w:sz w:val="22"/>
          <w:szCs w:val="22"/>
        </w:rPr>
        <w:t xml:space="preserve">de </w:t>
      </w:r>
      <w:r w:rsidR="0070740A" w:rsidRPr="0027729C">
        <w:rPr>
          <w:rFonts w:ascii="Verdana" w:eastAsia="MS Mincho" w:hAnsi="Verdana" w:cs="Tahoma"/>
          <w:i/>
          <w:color w:val="000000"/>
          <w:sz w:val="22"/>
          <w:szCs w:val="22"/>
        </w:rPr>
        <w:t>202</w:t>
      </w:r>
      <w:r w:rsidR="00AF04E7" w:rsidRPr="0027729C">
        <w:rPr>
          <w:rFonts w:ascii="Verdana" w:eastAsia="MS Mincho" w:hAnsi="Verdana" w:cs="Tahoma"/>
          <w:i/>
          <w:color w:val="000000"/>
          <w:sz w:val="22"/>
          <w:szCs w:val="22"/>
        </w:rPr>
        <w:t>2</w:t>
      </w:r>
      <w:r w:rsidR="00F002E8" w:rsidRPr="0027729C">
        <w:rPr>
          <w:rFonts w:ascii="Verdana" w:eastAsia="MS Mincho" w:hAnsi="Verdana" w:cs="Tahoma"/>
          <w:color w:val="000000"/>
          <w:sz w:val="22"/>
          <w:szCs w:val="22"/>
        </w:rPr>
        <w:t>)</w:t>
      </w:r>
    </w:p>
    <w:p w14:paraId="2A4481D4" w14:textId="77777777" w:rsidR="0027729C" w:rsidRPr="001B534D" w:rsidRDefault="0027729C" w:rsidP="00D460BB">
      <w:pPr>
        <w:tabs>
          <w:tab w:val="left" w:pos="4040"/>
        </w:tabs>
        <w:spacing w:line="360" w:lineRule="auto"/>
        <w:jc w:val="both"/>
        <w:rPr>
          <w:rFonts w:ascii="Verdana" w:hAnsi="Verdana" w:cs="Trebuchet MS"/>
          <w:i/>
          <w:szCs w:val="24"/>
        </w:rPr>
      </w:pPr>
    </w:p>
    <w:p w14:paraId="5FFFBA52" w14:textId="77777777" w:rsidR="00303105" w:rsidRPr="001B534D" w:rsidRDefault="00303105" w:rsidP="00D460BB">
      <w:pPr>
        <w:tabs>
          <w:tab w:val="left" w:pos="4040"/>
        </w:tabs>
        <w:spacing w:line="360" w:lineRule="auto"/>
        <w:jc w:val="both"/>
        <w:rPr>
          <w:rFonts w:ascii="Verdana" w:hAnsi="Verdana" w:cs="Trebuchet MS"/>
          <w:i/>
          <w:szCs w:val="24"/>
        </w:rPr>
      </w:pPr>
    </w:p>
    <w:p w14:paraId="7BB4C196" w14:textId="77777777" w:rsidR="0021765F" w:rsidRPr="00AF04E7" w:rsidRDefault="0021765F" w:rsidP="00D460BB">
      <w:pPr>
        <w:spacing w:line="360" w:lineRule="auto"/>
        <w:jc w:val="center"/>
        <w:rPr>
          <w:rFonts w:ascii="Verdana" w:hAnsi="Verdana" w:cs="Trebuchet MS"/>
          <w:i/>
          <w:sz w:val="22"/>
          <w:szCs w:val="22"/>
        </w:rPr>
      </w:pPr>
      <w:r w:rsidRPr="00AF04E7">
        <w:rPr>
          <w:rFonts w:ascii="Verdana" w:hAnsi="Verdana" w:cs="Arial"/>
          <w:b/>
          <w:sz w:val="22"/>
          <w:szCs w:val="22"/>
        </w:rPr>
        <w:t>INEPAR S.A. INDÚSTRIA E CONSTRUÇÕES – EM RECUPERAÇÃO JUDICIAL</w:t>
      </w:r>
      <w:r w:rsidRPr="00AF04E7">
        <w:rPr>
          <w:rFonts w:ascii="Verdana" w:hAnsi="Verdana" w:cs="Trebuchet MS"/>
          <w:i/>
          <w:sz w:val="22"/>
          <w:szCs w:val="22"/>
        </w:rPr>
        <w:t xml:space="preserve"> </w:t>
      </w:r>
    </w:p>
    <w:p w14:paraId="6E775D77" w14:textId="33DE8C2F" w:rsidR="00F002E8" w:rsidRPr="00AF04E7" w:rsidRDefault="00F002E8" w:rsidP="00D460BB">
      <w:pPr>
        <w:spacing w:line="360" w:lineRule="auto"/>
        <w:jc w:val="center"/>
        <w:rPr>
          <w:rFonts w:ascii="Verdana" w:hAnsi="Verdana" w:cs="Trebuchet MS"/>
          <w:i/>
          <w:sz w:val="22"/>
          <w:szCs w:val="22"/>
        </w:rPr>
      </w:pPr>
      <w:r w:rsidRPr="00AF04E7">
        <w:rPr>
          <w:rFonts w:ascii="Verdana" w:hAnsi="Verdana" w:cs="Trebuchet MS"/>
          <w:i/>
          <w:sz w:val="22"/>
          <w:szCs w:val="22"/>
        </w:rPr>
        <w:t>Fiduciante</w:t>
      </w:r>
    </w:p>
    <w:p w14:paraId="0D0B037F" w14:textId="77777777" w:rsidR="00244773" w:rsidRPr="00AF04E7" w:rsidRDefault="00244773" w:rsidP="00D460BB">
      <w:pPr>
        <w:spacing w:line="360" w:lineRule="auto"/>
        <w:jc w:val="center"/>
        <w:rPr>
          <w:rFonts w:ascii="Verdana" w:hAnsi="Verdana" w:cs="Trebuchet MS"/>
          <w:i/>
          <w:sz w:val="22"/>
          <w:szCs w:val="22"/>
        </w:rPr>
      </w:pPr>
    </w:p>
    <w:p w14:paraId="3E36CCAD" w14:textId="61B72213" w:rsidR="00244773" w:rsidRPr="00AF04E7" w:rsidRDefault="00244773" w:rsidP="00244773">
      <w:pPr>
        <w:spacing w:line="360" w:lineRule="auto"/>
        <w:jc w:val="center"/>
        <w:rPr>
          <w:rFonts w:ascii="Verdana" w:hAnsi="Verdana" w:cs="Trebuchet MS"/>
          <w:i/>
          <w:sz w:val="22"/>
          <w:szCs w:val="22"/>
        </w:rPr>
      </w:pPr>
      <w:r w:rsidRPr="00AF04E7">
        <w:rPr>
          <w:rFonts w:ascii="Verdana" w:hAnsi="Verdana" w:cs="Arial"/>
          <w:b/>
          <w:sz w:val="22"/>
          <w:szCs w:val="22"/>
        </w:rPr>
        <w:t>INEPAR EQUIPAMENTOS E MONTAGENS S.A. – EM RECUPERAÇÃO JUDICIAL</w:t>
      </w:r>
      <w:r w:rsidRPr="00AF04E7">
        <w:rPr>
          <w:rFonts w:ascii="Verdana" w:hAnsi="Verdana" w:cs="Trebuchet MS"/>
          <w:i/>
          <w:sz w:val="22"/>
          <w:szCs w:val="22"/>
        </w:rPr>
        <w:t xml:space="preserve"> </w:t>
      </w:r>
    </w:p>
    <w:p w14:paraId="5756E349" w14:textId="77777777" w:rsidR="00244773" w:rsidRPr="00AF04E7" w:rsidRDefault="00244773" w:rsidP="00244773">
      <w:pPr>
        <w:spacing w:line="360" w:lineRule="auto"/>
        <w:jc w:val="center"/>
        <w:rPr>
          <w:rFonts w:ascii="Verdana" w:hAnsi="Verdana" w:cs="Trebuchet MS"/>
          <w:i/>
          <w:sz w:val="22"/>
          <w:szCs w:val="22"/>
        </w:rPr>
      </w:pPr>
      <w:r w:rsidRPr="00AF04E7">
        <w:rPr>
          <w:rFonts w:ascii="Verdana" w:hAnsi="Verdana" w:cs="Trebuchet MS"/>
          <w:i/>
          <w:sz w:val="22"/>
          <w:szCs w:val="22"/>
        </w:rPr>
        <w:t>Fiduciante</w:t>
      </w:r>
    </w:p>
    <w:p w14:paraId="3686640D" w14:textId="5CB9159F" w:rsidR="00C96D3E" w:rsidRPr="00AF04E7" w:rsidRDefault="00C96D3E" w:rsidP="00D460BB">
      <w:pPr>
        <w:spacing w:line="360" w:lineRule="auto"/>
        <w:jc w:val="center"/>
        <w:rPr>
          <w:rFonts w:ascii="Verdana" w:hAnsi="Verdana" w:cs="Trebuchet MS"/>
          <w:i/>
          <w:sz w:val="22"/>
          <w:szCs w:val="22"/>
        </w:rPr>
      </w:pPr>
    </w:p>
    <w:p w14:paraId="437F58DE" w14:textId="1036B20E" w:rsidR="00C96D3E" w:rsidRPr="00AF04E7" w:rsidRDefault="00C96D3E" w:rsidP="00C96D3E">
      <w:pPr>
        <w:spacing w:line="360" w:lineRule="auto"/>
        <w:jc w:val="center"/>
        <w:rPr>
          <w:rFonts w:ascii="Verdana" w:hAnsi="Verdana" w:cs="Arial"/>
          <w:b/>
          <w:bCs/>
          <w:sz w:val="22"/>
          <w:szCs w:val="22"/>
        </w:rPr>
      </w:pPr>
      <w:r w:rsidRPr="00AF04E7">
        <w:rPr>
          <w:rFonts w:ascii="Verdana" w:hAnsi="Verdana" w:cs="Arial"/>
          <w:b/>
          <w:bCs/>
          <w:sz w:val="22"/>
          <w:szCs w:val="22"/>
        </w:rPr>
        <w:lastRenderedPageBreak/>
        <w:t>IESA PROJETOS, EQUIPAMENTOS E MONTAGENS S.A. – EM RECUPERAÇÃO JUDICIAL</w:t>
      </w:r>
    </w:p>
    <w:p w14:paraId="0D821457" w14:textId="77777777" w:rsidR="00C96D3E" w:rsidRPr="00AF04E7" w:rsidRDefault="00C96D3E" w:rsidP="00C96D3E">
      <w:pPr>
        <w:spacing w:line="360" w:lineRule="auto"/>
        <w:jc w:val="center"/>
        <w:rPr>
          <w:rFonts w:ascii="Verdana" w:hAnsi="Verdana" w:cs="Trebuchet MS"/>
          <w:i/>
          <w:sz w:val="22"/>
          <w:szCs w:val="22"/>
        </w:rPr>
      </w:pPr>
      <w:r w:rsidRPr="00AF04E7">
        <w:rPr>
          <w:rFonts w:ascii="Verdana" w:hAnsi="Verdana" w:cs="Trebuchet MS"/>
          <w:i/>
          <w:sz w:val="22"/>
          <w:szCs w:val="22"/>
        </w:rPr>
        <w:t>Fiduciante</w:t>
      </w:r>
    </w:p>
    <w:p w14:paraId="42B48B81" w14:textId="77777777" w:rsidR="00DF62F9" w:rsidRPr="00AF04E7" w:rsidRDefault="00DF62F9" w:rsidP="00D460BB">
      <w:pPr>
        <w:spacing w:line="360" w:lineRule="auto"/>
        <w:jc w:val="center"/>
        <w:rPr>
          <w:rFonts w:ascii="Verdana" w:hAnsi="Verdana" w:cs="Trebuchet MS"/>
          <w:i/>
          <w:sz w:val="22"/>
          <w:szCs w:val="22"/>
        </w:rPr>
      </w:pPr>
    </w:p>
    <w:p w14:paraId="394F1000" w14:textId="5B18F077" w:rsidR="0021765F" w:rsidRPr="00AF04E7" w:rsidRDefault="004667B1" w:rsidP="00D460BB">
      <w:pPr>
        <w:spacing w:line="360" w:lineRule="auto"/>
        <w:jc w:val="center"/>
        <w:rPr>
          <w:rFonts w:ascii="Verdana" w:hAnsi="Verdana" w:cs="Arial"/>
          <w:b/>
          <w:sz w:val="22"/>
          <w:szCs w:val="22"/>
        </w:rPr>
      </w:pPr>
      <w:r w:rsidRPr="00AF04E7">
        <w:rPr>
          <w:rFonts w:ascii="Verdana" w:hAnsi="Verdana" w:cs="Arial"/>
          <w:b/>
          <w:sz w:val="22"/>
          <w:szCs w:val="22"/>
        </w:rPr>
        <w:t>SIMPLIFIC PAVARINI DISTRIBUIDORA DE TÍTULOS E VALORES MOBILIÁRIOS LTDA.</w:t>
      </w:r>
    </w:p>
    <w:p w14:paraId="271DD192" w14:textId="2D26EB5E" w:rsidR="00DF62F9" w:rsidRPr="00AF04E7" w:rsidRDefault="00DF62F9" w:rsidP="00C96D3E">
      <w:pPr>
        <w:spacing w:line="360" w:lineRule="auto"/>
        <w:jc w:val="center"/>
        <w:rPr>
          <w:rFonts w:ascii="Verdana" w:hAnsi="Verdana"/>
          <w:sz w:val="22"/>
          <w:szCs w:val="22"/>
        </w:rPr>
      </w:pPr>
      <w:r w:rsidRPr="00AF04E7">
        <w:rPr>
          <w:rFonts w:ascii="Verdana" w:hAnsi="Verdana" w:cs="Trebuchet MS"/>
          <w:i/>
          <w:sz w:val="22"/>
          <w:szCs w:val="22"/>
        </w:rPr>
        <w:t>Fiduci</w:t>
      </w:r>
      <w:r w:rsidR="0021765F" w:rsidRPr="00AF04E7">
        <w:rPr>
          <w:rFonts w:ascii="Verdana" w:hAnsi="Verdana" w:cs="Trebuchet MS"/>
          <w:i/>
          <w:sz w:val="22"/>
          <w:szCs w:val="22"/>
        </w:rPr>
        <w:t>ária</w:t>
      </w:r>
    </w:p>
    <w:p w14:paraId="0B2598AE" w14:textId="77777777" w:rsidR="0027729C" w:rsidRPr="00AF04E7" w:rsidRDefault="0027729C" w:rsidP="00D460BB">
      <w:pPr>
        <w:autoSpaceDE/>
        <w:autoSpaceDN/>
        <w:adjustRightInd/>
        <w:spacing w:line="360" w:lineRule="auto"/>
        <w:rPr>
          <w:rFonts w:ascii="Verdana" w:eastAsia="MS Mincho" w:hAnsi="Verdana" w:cs="Tahoma"/>
          <w:color w:val="000000"/>
          <w:sz w:val="22"/>
          <w:szCs w:val="22"/>
        </w:rPr>
      </w:pPr>
    </w:p>
    <w:p w14:paraId="0001D3CB" w14:textId="77777777" w:rsidR="00E200A1" w:rsidRPr="00AF04E7" w:rsidRDefault="00E200A1" w:rsidP="00D460BB">
      <w:pPr>
        <w:spacing w:line="360" w:lineRule="auto"/>
        <w:jc w:val="center"/>
        <w:rPr>
          <w:rFonts w:ascii="Verdana" w:hAnsi="Verdana" w:cs="Trebuchet MS"/>
          <w:i/>
          <w:sz w:val="22"/>
          <w:szCs w:val="22"/>
        </w:rPr>
      </w:pPr>
      <w:r w:rsidRPr="00AF04E7">
        <w:rPr>
          <w:rFonts w:ascii="Verdana" w:eastAsia="Garamond,Arial" w:hAnsi="Verdana" w:cs="Garamond,Arial"/>
          <w:b/>
          <w:bCs/>
          <w:sz w:val="22"/>
          <w:szCs w:val="22"/>
          <w:lang w:eastAsia="en-US"/>
        </w:rPr>
        <w:lastRenderedPageBreak/>
        <w:t>TARANIS - FUNDO DE INVESTIMENTO EM DIREITOS CREDITÓRIOS NÃO - PADRONIZADOS</w:t>
      </w:r>
      <w:r w:rsidRPr="00AF04E7">
        <w:rPr>
          <w:rFonts w:ascii="Verdana" w:hAnsi="Verdana" w:cs="Trebuchet MS"/>
          <w:i/>
          <w:sz w:val="22"/>
          <w:szCs w:val="22"/>
        </w:rPr>
        <w:t xml:space="preserve"> </w:t>
      </w:r>
    </w:p>
    <w:p w14:paraId="734B3892" w14:textId="4FA600A2" w:rsidR="00764F9F" w:rsidRPr="00AF04E7" w:rsidRDefault="00E200A1" w:rsidP="00D460BB">
      <w:pPr>
        <w:spacing w:line="360" w:lineRule="auto"/>
        <w:jc w:val="center"/>
        <w:rPr>
          <w:rFonts w:ascii="Verdana" w:hAnsi="Verdana" w:cs="Trebuchet MS"/>
          <w:i/>
          <w:sz w:val="22"/>
          <w:szCs w:val="22"/>
        </w:rPr>
      </w:pPr>
      <w:r w:rsidRPr="00AF04E7">
        <w:rPr>
          <w:rFonts w:ascii="Verdana" w:hAnsi="Verdana" w:cs="Trebuchet MS"/>
          <w:i/>
          <w:sz w:val="22"/>
          <w:szCs w:val="22"/>
        </w:rPr>
        <w:t>Fundo</w:t>
      </w:r>
    </w:p>
    <w:p w14:paraId="5B4B320E" w14:textId="77777777" w:rsidR="0027729C" w:rsidRPr="0027729C" w:rsidRDefault="0027729C" w:rsidP="0027729C">
      <w:pPr>
        <w:jc w:val="center"/>
        <w:rPr>
          <w:rFonts w:ascii="Verdana" w:hAnsi="Verdana" w:cs="Trebuchet MS"/>
          <w:sz w:val="22"/>
          <w:szCs w:val="22"/>
        </w:rPr>
      </w:pPr>
    </w:p>
    <w:p w14:paraId="447EBD26" w14:textId="41F3F2E9" w:rsidR="006212C5" w:rsidRDefault="006212C5" w:rsidP="0027729C">
      <w:pPr>
        <w:jc w:val="both"/>
        <w:rPr>
          <w:rFonts w:ascii="Verdana" w:hAnsi="Verdana" w:cs="Trebuchet MS"/>
          <w:bCs/>
          <w:sz w:val="22"/>
          <w:szCs w:val="22"/>
        </w:rPr>
      </w:pPr>
      <w:r w:rsidRPr="0027729C">
        <w:rPr>
          <w:rFonts w:ascii="Verdana" w:hAnsi="Verdana" w:cs="Trebuchet MS"/>
          <w:bCs/>
          <w:sz w:val="22"/>
          <w:szCs w:val="22"/>
          <w:u w:val="single"/>
        </w:rPr>
        <w:t>Testemunhas</w:t>
      </w:r>
      <w:r w:rsidRPr="0027729C">
        <w:rPr>
          <w:rFonts w:ascii="Verdana" w:hAnsi="Verdana" w:cs="Trebuchet MS"/>
          <w:bCs/>
          <w:sz w:val="22"/>
          <w:szCs w:val="22"/>
        </w:rPr>
        <w:t>:</w:t>
      </w:r>
    </w:p>
    <w:p w14:paraId="46BABD18" w14:textId="04F52381" w:rsidR="00B16759" w:rsidRDefault="00B16759" w:rsidP="0027729C">
      <w:pPr>
        <w:jc w:val="both"/>
        <w:rPr>
          <w:rFonts w:ascii="Verdana" w:hAnsi="Verdana" w:cs="Trebuchet MS"/>
          <w:bCs/>
          <w:sz w:val="22"/>
          <w:szCs w:val="22"/>
        </w:rPr>
      </w:pPr>
    </w:p>
    <w:p w14:paraId="4B5FC0EA" w14:textId="77777777" w:rsidR="00B16759" w:rsidRPr="0027729C" w:rsidRDefault="00B16759" w:rsidP="0027729C">
      <w:pPr>
        <w:jc w:val="both"/>
        <w:rPr>
          <w:rFonts w:ascii="Verdana" w:hAnsi="Verdana" w:cs="Trebuchet MS"/>
          <w:sz w:val="22"/>
          <w:szCs w:val="22"/>
        </w:rPr>
      </w:pPr>
    </w:p>
    <w:p w14:paraId="4D2B45A7" w14:textId="77777777" w:rsidR="006212C5" w:rsidRPr="0027729C" w:rsidRDefault="006212C5" w:rsidP="0027729C">
      <w:pPr>
        <w:jc w:val="both"/>
        <w:rPr>
          <w:rFonts w:ascii="Verdana" w:hAnsi="Verdana" w:cs="Trebuchet MS"/>
          <w:sz w:val="22"/>
          <w:szCs w:val="22"/>
        </w:rPr>
      </w:pPr>
    </w:p>
    <w:tbl>
      <w:tblPr>
        <w:tblW w:w="9439" w:type="dxa"/>
        <w:tblBorders>
          <w:insideH w:val="single" w:sz="4" w:space="0" w:color="auto"/>
        </w:tblBorders>
        <w:tblLook w:val="04A0" w:firstRow="1" w:lastRow="0" w:firstColumn="1" w:lastColumn="0" w:noHBand="0" w:noVBand="1"/>
      </w:tblPr>
      <w:tblGrid>
        <w:gridCol w:w="4229"/>
        <w:gridCol w:w="993"/>
        <w:gridCol w:w="4217"/>
      </w:tblGrid>
      <w:tr w:rsidR="006212C5" w:rsidRPr="0027729C" w14:paraId="4D5EDC4D" w14:textId="77777777" w:rsidTr="00152A48">
        <w:trPr>
          <w:trHeight w:val="866"/>
        </w:trPr>
        <w:tc>
          <w:tcPr>
            <w:tcW w:w="4229" w:type="dxa"/>
            <w:tcBorders>
              <w:top w:val="single" w:sz="4" w:space="0" w:color="auto"/>
              <w:bottom w:val="nil"/>
            </w:tcBorders>
          </w:tcPr>
          <w:p w14:paraId="101BF242" w14:textId="77777777" w:rsidR="006212C5" w:rsidRPr="0027729C" w:rsidRDefault="006212C5" w:rsidP="0027729C">
            <w:pPr>
              <w:jc w:val="both"/>
              <w:rPr>
                <w:rFonts w:ascii="Verdana" w:hAnsi="Verdana" w:cs="Trebuchet MS"/>
                <w:iCs/>
                <w:sz w:val="22"/>
                <w:szCs w:val="22"/>
              </w:rPr>
            </w:pPr>
            <w:r w:rsidRPr="0027729C">
              <w:rPr>
                <w:rFonts w:ascii="Verdana" w:hAnsi="Verdana" w:cs="Trebuchet MS"/>
                <w:iCs/>
                <w:sz w:val="22"/>
                <w:szCs w:val="22"/>
              </w:rPr>
              <w:t xml:space="preserve">Nome: </w:t>
            </w:r>
          </w:p>
          <w:p w14:paraId="1B29989C" w14:textId="6A290EA6" w:rsidR="006212C5" w:rsidRPr="0027729C" w:rsidRDefault="006212C5" w:rsidP="0027729C">
            <w:pPr>
              <w:jc w:val="both"/>
              <w:rPr>
                <w:rFonts w:ascii="Verdana" w:hAnsi="Verdana" w:cs="Trebuchet MS"/>
                <w:sz w:val="22"/>
                <w:szCs w:val="22"/>
              </w:rPr>
            </w:pPr>
            <w:r w:rsidRPr="0027729C">
              <w:rPr>
                <w:rFonts w:ascii="Verdana" w:hAnsi="Verdana" w:cs="Trebuchet MS"/>
                <w:iCs/>
                <w:sz w:val="22"/>
                <w:szCs w:val="22"/>
              </w:rPr>
              <w:t>CPF:</w:t>
            </w:r>
          </w:p>
          <w:p w14:paraId="25D048DA" w14:textId="77777777" w:rsidR="006212C5" w:rsidRPr="0027729C" w:rsidRDefault="006212C5" w:rsidP="0027729C">
            <w:pPr>
              <w:jc w:val="both"/>
              <w:rPr>
                <w:rFonts w:ascii="Verdana" w:hAnsi="Verdana" w:cs="Trebuchet MS"/>
                <w:iCs/>
                <w:sz w:val="22"/>
                <w:szCs w:val="22"/>
              </w:rPr>
            </w:pPr>
            <w:r w:rsidRPr="0027729C">
              <w:rPr>
                <w:rFonts w:ascii="Verdana" w:hAnsi="Verdana" w:cs="Trebuchet MS"/>
                <w:sz w:val="22"/>
                <w:szCs w:val="22"/>
              </w:rPr>
              <w:t xml:space="preserve">RG: </w:t>
            </w:r>
          </w:p>
        </w:tc>
        <w:tc>
          <w:tcPr>
            <w:tcW w:w="993" w:type="dxa"/>
          </w:tcPr>
          <w:p w14:paraId="4287A52B" w14:textId="77777777" w:rsidR="006212C5" w:rsidRPr="0027729C" w:rsidRDefault="006212C5" w:rsidP="0027729C">
            <w:pPr>
              <w:jc w:val="both"/>
              <w:rPr>
                <w:rFonts w:ascii="Verdana" w:hAnsi="Verdana" w:cs="Trebuchet MS"/>
                <w:i/>
                <w:iCs/>
                <w:sz w:val="22"/>
                <w:szCs w:val="22"/>
              </w:rPr>
            </w:pPr>
          </w:p>
        </w:tc>
        <w:tc>
          <w:tcPr>
            <w:tcW w:w="4217" w:type="dxa"/>
            <w:tcBorders>
              <w:top w:val="single" w:sz="4" w:space="0" w:color="auto"/>
              <w:bottom w:val="nil"/>
            </w:tcBorders>
          </w:tcPr>
          <w:p w14:paraId="68D83185" w14:textId="77777777" w:rsidR="006212C5" w:rsidRPr="0027729C" w:rsidRDefault="006212C5" w:rsidP="0027729C">
            <w:pPr>
              <w:jc w:val="both"/>
              <w:rPr>
                <w:rFonts w:ascii="Verdana" w:hAnsi="Verdana" w:cs="Trebuchet MS"/>
                <w:iCs/>
                <w:sz w:val="22"/>
                <w:szCs w:val="22"/>
              </w:rPr>
            </w:pPr>
            <w:r w:rsidRPr="0027729C">
              <w:rPr>
                <w:rFonts w:ascii="Verdana" w:hAnsi="Verdana" w:cs="Trebuchet MS"/>
                <w:iCs/>
                <w:sz w:val="22"/>
                <w:szCs w:val="22"/>
              </w:rPr>
              <w:t xml:space="preserve">Nome: </w:t>
            </w:r>
          </w:p>
          <w:p w14:paraId="48F09F6C" w14:textId="1697841B" w:rsidR="006212C5" w:rsidRPr="0027729C" w:rsidRDefault="006212C5" w:rsidP="0027729C">
            <w:pPr>
              <w:jc w:val="both"/>
              <w:rPr>
                <w:rFonts w:ascii="Verdana" w:hAnsi="Verdana" w:cs="Trebuchet MS"/>
                <w:sz w:val="22"/>
                <w:szCs w:val="22"/>
              </w:rPr>
            </w:pPr>
            <w:r w:rsidRPr="0027729C">
              <w:rPr>
                <w:rFonts w:ascii="Verdana" w:hAnsi="Verdana" w:cs="Trebuchet MS"/>
                <w:iCs/>
                <w:sz w:val="22"/>
                <w:szCs w:val="22"/>
              </w:rPr>
              <w:t xml:space="preserve">CPF: </w:t>
            </w:r>
          </w:p>
          <w:p w14:paraId="5220BF7C" w14:textId="77777777" w:rsidR="006212C5" w:rsidRPr="0027729C" w:rsidRDefault="006212C5" w:rsidP="0027729C">
            <w:pPr>
              <w:jc w:val="both"/>
              <w:rPr>
                <w:rFonts w:ascii="Verdana" w:hAnsi="Verdana" w:cs="Trebuchet MS"/>
                <w:iCs/>
                <w:sz w:val="22"/>
                <w:szCs w:val="22"/>
              </w:rPr>
            </w:pPr>
            <w:r w:rsidRPr="0027729C">
              <w:rPr>
                <w:rFonts w:ascii="Verdana" w:hAnsi="Verdana" w:cs="Trebuchet MS"/>
                <w:sz w:val="22"/>
                <w:szCs w:val="22"/>
              </w:rPr>
              <w:t xml:space="preserve">RG: </w:t>
            </w:r>
          </w:p>
        </w:tc>
      </w:tr>
    </w:tbl>
    <w:p w14:paraId="4339DE65" w14:textId="1E8F988F" w:rsidR="00D55894" w:rsidRPr="001B534D" w:rsidRDefault="00D55894" w:rsidP="00152A48">
      <w:pPr>
        <w:spacing w:line="360" w:lineRule="auto"/>
        <w:rPr>
          <w:rFonts w:ascii="Verdana" w:hAnsi="Verdana" w:cs="Trebuchet MS"/>
          <w:b/>
          <w:szCs w:val="24"/>
        </w:rPr>
      </w:pPr>
      <w:bookmarkStart w:id="76" w:name="_DV_M209"/>
      <w:bookmarkStart w:id="77" w:name="_DV_M221"/>
      <w:bookmarkStart w:id="78" w:name="_DV_M228"/>
      <w:bookmarkStart w:id="79" w:name="_DV_M229"/>
      <w:bookmarkStart w:id="80" w:name="_DV_M230"/>
      <w:bookmarkStart w:id="81" w:name="_DV_M247"/>
      <w:bookmarkStart w:id="82" w:name="_DV_M248"/>
      <w:bookmarkStart w:id="83" w:name="_DV_M249"/>
      <w:bookmarkStart w:id="84" w:name="_DV_M250"/>
      <w:bookmarkStart w:id="85" w:name="_DV_M251"/>
      <w:bookmarkEnd w:id="76"/>
      <w:bookmarkEnd w:id="77"/>
      <w:bookmarkEnd w:id="78"/>
      <w:bookmarkEnd w:id="79"/>
      <w:bookmarkEnd w:id="80"/>
      <w:bookmarkEnd w:id="81"/>
      <w:bookmarkEnd w:id="82"/>
      <w:bookmarkEnd w:id="83"/>
      <w:bookmarkEnd w:id="84"/>
      <w:bookmarkEnd w:id="85"/>
    </w:p>
    <w:sectPr w:rsidR="00D55894" w:rsidRPr="001B534D" w:rsidSect="001B534D">
      <w:footerReference w:type="default" r:id="rId11"/>
      <w:pgSz w:w="12240" w:h="15840"/>
      <w:pgMar w:top="1418" w:right="1418" w:bottom="1418"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AE196" w14:textId="77777777" w:rsidR="001321CA" w:rsidRDefault="001321CA">
      <w:pPr>
        <w:rPr>
          <w:szCs w:val="24"/>
        </w:rPr>
      </w:pPr>
      <w:r>
        <w:rPr>
          <w:szCs w:val="24"/>
        </w:rPr>
        <w:separator/>
      </w:r>
    </w:p>
  </w:endnote>
  <w:endnote w:type="continuationSeparator" w:id="0">
    <w:p w14:paraId="2CB5A9F7" w14:textId="77777777" w:rsidR="001321CA" w:rsidRDefault="001321CA">
      <w:pPr>
        <w:rPr>
          <w:szCs w:val="24"/>
        </w:rPr>
      </w:pPr>
      <w:r>
        <w:rPr>
          <w:szCs w:val="24"/>
        </w:rPr>
        <w:continuationSeparator/>
      </w:r>
    </w:p>
  </w:endnote>
  <w:endnote w:type="continuationNotice" w:id="1">
    <w:p w14:paraId="2EE295D7" w14:textId="77777777" w:rsidR="001321CA" w:rsidRDefault="001321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font>
  <w:font w:name="Times">
    <w:altName w:val="Times New Roman"/>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Arial">
    <w:altName w:val="Times New Roman"/>
    <w:panose1 w:val="00000000000000000000"/>
    <w:charset w:val="00"/>
    <w:family w:val="roman"/>
    <w:notTrueType/>
    <w:pitch w:val="default"/>
    <w:sig w:usb0="00000003" w:usb1="00000000" w:usb2="00000000" w:usb3="00000000" w:csb0="00000001" w:csb1="00000000"/>
  </w:font>
  <w:font w:name="Garamond,Calibri">
    <w:altName w:val="MS Mincho"/>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highlight w:val="yellow"/>
      </w:rPr>
      <w:id w:val="362715243"/>
      <w:docPartObj>
        <w:docPartGallery w:val="Page Numbers (Bottom of Page)"/>
        <w:docPartUnique/>
      </w:docPartObj>
    </w:sdtPr>
    <w:sdtEndPr>
      <w:rPr>
        <w:highlight w:val="none"/>
      </w:rPr>
    </w:sdtEndPr>
    <w:sdtContent>
      <w:p w14:paraId="42659BD0" w14:textId="69145E59" w:rsidR="004F24A6" w:rsidRPr="001B61A1" w:rsidRDefault="004F24A6" w:rsidP="005407DF">
        <w:pPr>
          <w:pStyle w:val="Rodap"/>
          <w:jc w:val="right"/>
          <w:rPr>
            <w:sz w:val="18"/>
            <w:szCs w:val="18"/>
          </w:rPr>
        </w:pPr>
        <w:r w:rsidRPr="00B757F3">
          <w:rPr>
            <w:rFonts w:ascii="Garamond" w:hAnsi="Garamond"/>
            <w:sz w:val="18"/>
            <w:szCs w:val="18"/>
          </w:rPr>
          <w:fldChar w:fldCharType="begin"/>
        </w:r>
        <w:r w:rsidRPr="00A045DA">
          <w:rPr>
            <w:rFonts w:ascii="Garamond" w:hAnsi="Garamond"/>
            <w:sz w:val="18"/>
            <w:szCs w:val="18"/>
          </w:rPr>
          <w:instrText>PAGE   \* MERGEFORMAT</w:instrText>
        </w:r>
        <w:r w:rsidRPr="00B757F3">
          <w:rPr>
            <w:rFonts w:ascii="Garamond" w:hAnsi="Garamond"/>
            <w:sz w:val="18"/>
            <w:szCs w:val="18"/>
          </w:rPr>
          <w:fldChar w:fldCharType="separate"/>
        </w:r>
        <w:r w:rsidRPr="00CC104D">
          <w:rPr>
            <w:rFonts w:ascii="Garamond" w:hAnsi="Garamond"/>
            <w:noProof/>
            <w:sz w:val="18"/>
            <w:szCs w:val="18"/>
            <w:lang w:val="pt-BR"/>
          </w:rPr>
          <w:t>1</w:t>
        </w:r>
        <w:r w:rsidRPr="00B757F3">
          <w:rPr>
            <w:rFonts w:ascii="Garamond" w:hAnsi="Garamond"/>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A8999" w14:textId="77777777" w:rsidR="001321CA" w:rsidRDefault="001321CA">
      <w:pPr>
        <w:rPr>
          <w:szCs w:val="24"/>
        </w:rPr>
      </w:pPr>
      <w:r>
        <w:rPr>
          <w:szCs w:val="24"/>
        </w:rPr>
        <w:separator/>
      </w:r>
    </w:p>
  </w:footnote>
  <w:footnote w:type="continuationSeparator" w:id="0">
    <w:p w14:paraId="3A5784DA" w14:textId="77777777" w:rsidR="001321CA" w:rsidRDefault="001321CA">
      <w:pPr>
        <w:rPr>
          <w:szCs w:val="24"/>
        </w:rPr>
      </w:pPr>
      <w:r>
        <w:rPr>
          <w:szCs w:val="24"/>
        </w:rPr>
        <w:continuationSeparator/>
      </w:r>
    </w:p>
  </w:footnote>
  <w:footnote w:type="continuationNotice" w:id="1">
    <w:p w14:paraId="238B9F6D" w14:textId="77777777" w:rsidR="001321CA" w:rsidRDefault="001321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F525684"/>
    <w:lvl w:ilvl="0">
      <w:start w:val="1"/>
      <w:numFmt w:val="decimal"/>
      <w:pStyle w:val="Level1"/>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Wingdings" w:hint="default"/>
        <w:b/>
        <w:i w:val="0"/>
        <w:spacing w:val="0"/>
        <w:sz w:val="22"/>
        <w:szCs w:val="22"/>
      </w:rPr>
    </w:lvl>
    <w:lvl w:ilvl="2">
      <w:start w:val="1"/>
      <w:numFmt w:val="decimal"/>
      <w:pStyle w:val="Level3"/>
      <w:lvlText w:val="%1.%2.%3"/>
      <w:lvlJc w:val="left"/>
      <w:pPr>
        <w:tabs>
          <w:tab w:val="num" w:pos="2071"/>
        </w:tabs>
        <w:ind w:left="2071" w:hanging="794"/>
      </w:pPr>
      <w:rPr>
        <w:rFonts w:ascii="Tahoma" w:hAnsi="Tahoma" w:cs="Wingdings" w:hint="default"/>
        <w:b/>
        <w:i w:val="0"/>
        <w:spacing w:val="0"/>
        <w:sz w:val="22"/>
        <w:szCs w:val="22"/>
      </w:rPr>
    </w:lvl>
    <w:lvl w:ilvl="3">
      <w:start w:val="1"/>
      <w:numFmt w:val="decimal"/>
      <w:pStyle w:val="Level5"/>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 w15:restartNumberingAfterBreak="0">
    <w:nsid w:val="0000000B"/>
    <w:multiLevelType w:val="multilevel"/>
    <w:tmpl w:val="C3784EEA"/>
    <w:lvl w:ilvl="0">
      <w:start w:val="1"/>
      <w:numFmt w:val="decimal"/>
      <w:pStyle w:val="Ttulo1"/>
      <w:lvlText w:val="Section %1."/>
      <w:lvlJc w:val="left"/>
      <w:pPr>
        <w:tabs>
          <w:tab w:val="num" w:pos="1080"/>
        </w:tabs>
      </w:pPr>
      <w:rPr>
        <w:rFonts w:ascii="Times New Roman" w:hAnsi="Times New Roman" w:cs="Times New Roman" w:hint="default"/>
        <w:b w:val="0"/>
        <w:i w:val="0"/>
        <w:spacing w:val="0"/>
        <w:sz w:val="24"/>
        <w:u w:val="single"/>
      </w:rPr>
    </w:lvl>
    <w:lvl w:ilvl="1">
      <w:start w:val="1"/>
      <w:numFmt w:val="decimalZero"/>
      <w:lvlText w:val="%1.%2"/>
      <w:lvlJc w:val="left"/>
      <w:pPr>
        <w:tabs>
          <w:tab w:val="num" w:pos="360"/>
        </w:tabs>
      </w:pPr>
      <w:rPr>
        <w:rFonts w:ascii="Times New Roman" w:hAnsi="Times New Roman" w:cs="Times New Roman" w:hint="default"/>
        <w:b w:val="0"/>
        <w:i w:val="0"/>
        <w:spacing w:val="0"/>
        <w:sz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rPr>
    </w:lvl>
    <w:lvl w:ilvl="3">
      <w:start w:val="1"/>
      <w:numFmt w:val="lowerRoman"/>
      <w:lvlText w:val="(%4)"/>
      <w:lvlJc w:val="right"/>
      <w:pPr>
        <w:tabs>
          <w:tab w:val="num" w:pos="1021"/>
        </w:tabs>
        <w:ind w:left="1021" w:hanging="114"/>
      </w:pPr>
      <w:rPr>
        <w:rFonts w:ascii="Times New Roman" w:hAnsi="Times New Roman" w:cs="Times New Roman" w:hint="default"/>
        <w:b w:val="0"/>
        <w:i w:val="0"/>
        <w:spacing w:val="0"/>
        <w:sz w:val="24"/>
      </w:rPr>
    </w:lvl>
    <w:lvl w:ilvl="4">
      <w:start w:val="1"/>
      <w:numFmt w:val="decimal"/>
      <w:pStyle w:val="Ttulo5"/>
      <w:lvlText w:val="%5)"/>
      <w:lvlJc w:val="left"/>
      <w:pPr>
        <w:tabs>
          <w:tab w:val="num" w:pos="1008"/>
        </w:tabs>
        <w:ind w:left="1008" w:hanging="432"/>
      </w:pPr>
      <w:rPr>
        <w:rFonts w:ascii="Times New Roman" w:hAnsi="Times New Roman" w:cs="Times New Roman" w:hint="default"/>
        <w:b w:val="0"/>
        <w:i w:val="0"/>
        <w:spacing w:val="0"/>
        <w:sz w:val="24"/>
      </w:rPr>
    </w:lvl>
    <w:lvl w:ilvl="5">
      <w:start w:val="1"/>
      <w:numFmt w:val="lowerLetter"/>
      <w:lvlText w:val="%6)"/>
      <w:lvlJc w:val="left"/>
      <w:pPr>
        <w:tabs>
          <w:tab w:val="num" w:pos="1152"/>
        </w:tabs>
        <w:ind w:left="1152" w:hanging="432"/>
      </w:pPr>
      <w:rPr>
        <w:rFonts w:cs="Times New Roman"/>
        <w:spacing w:val="0"/>
      </w:rPr>
    </w:lvl>
    <w:lvl w:ilvl="6">
      <w:start w:val="1"/>
      <w:numFmt w:val="lowerRoman"/>
      <w:lvlText w:val="%7)"/>
      <w:lvlJc w:val="right"/>
      <w:pPr>
        <w:tabs>
          <w:tab w:val="num" w:pos="1296"/>
        </w:tabs>
        <w:ind w:left="1296" w:hanging="288"/>
      </w:pPr>
      <w:rPr>
        <w:rFonts w:cs="Times New Roman"/>
        <w:spacing w:val="0"/>
      </w:rPr>
    </w:lvl>
    <w:lvl w:ilvl="7">
      <w:start w:val="1"/>
      <w:numFmt w:val="lowerLetter"/>
      <w:lvlText w:val="%8."/>
      <w:lvlJc w:val="left"/>
      <w:pPr>
        <w:tabs>
          <w:tab w:val="num" w:pos="1440"/>
        </w:tabs>
        <w:ind w:left="1440" w:hanging="432"/>
      </w:pPr>
      <w:rPr>
        <w:rFonts w:cs="Times New Roman"/>
        <w:spacing w:val="0"/>
      </w:rPr>
    </w:lvl>
    <w:lvl w:ilvl="8">
      <w:start w:val="1"/>
      <w:numFmt w:val="lowerRoman"/>
      <w:lvlText w:val="%9."/>
      <w:lvlJc w:val="right"/>
      <w:pPr>
        <w:tabs>
          <w:tab w:val="num" w:pos="1584"/>
        </w:tabs>
        <w:ind w:left="1584" w:hanging="144"/>
      </w:pPr>
      <w:rPr>
        <w:rFonts w:cs="Times New Roman"/>
        <w:spacing w:val="0"/>
      </w:rPr>
    </w:lvl>
  </w:abstractNum>
  <w:abstractNum w:abstractNumId="2" w15:restartNumberingAfterBreak="0">
    <w:nsid w:val="068E2C7F"/>
    <w:multiLevelType w:val="hybridMultilevel"/>
    <w:tmpl w:val="7A48AF3E"/>
    <w:lvl w:ilvl="0" w:tplc="825C8C08">
      <w:start w:val="1"/>
      <w:numFmt w:val="upperRoman"/>
      <w:lvlText w:val="%1."/>
      <w:lvlJc w:val="left"/>
      <w:pPr>
        <w:ind w:left="720" w:hanging="360"/>
      </w:pPr>
      <w:rPr>
        <w:rFonts w:hint="default"/>
        <w:b/>
        <w:sz w:val="22"/>
      </w:rPr>
    </w:lvl>
    <w:lvl w:ilvl="1" w:tplc="36165A08">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B27939"/>
    <w:multiLevelType w:val="multilevel"/>
    <w:tmpl w:val="BE1A68C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C116F9"/>
    <w:multiLevelType w:val="multilevel"/>
    <w:tmpl w:val="1FDEDC64"/>
    <w:lvl w:ilvl="0">
      <w:start w:val="1"/>
      <w:numFmt w:val="decimal"/>
      <w:lvlText w:val="%1."/>
      <w:lvlJc w:val="left"/>
      <w:pPr>
        <w:tabs>
          <w:tab w:val="num" w:pos="709"/>
        </w:tabs>
        <w:ind w:left="709" w:hanging="709"/>
      </w:pPr>
      <w:rPr>
        <w:rFonts w:hint="default"/>
        <w:b w:val="0"/>
      </w:rPr>
    </w:lvl>
    <w:lvl w:ilvl="1">
      <w:start w:val="1"/>
      <w:numFmt w:val="decimal"/>
      <w:lvlText w:val="1.%2."/>
      <w:lvlJc w:val="left"/>
      <w:pPr>
        <w:tabs>
          <w:tab w:val="num" w:pos="709"/>
        </w:tabs>
        <w:ind w:left="709" w:hanging="709"/>
      </w:pPr>
      <w:rPr>
        <w:rFonts w:hint="default"/>
        <w:b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EDE122A"/>
    <w:multiLevelType w:val="multilevel"/>
    <w:tmpl w:val="1682EAC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3D86E57"/>
    <w:multiLevelType w:val="multilevel"/>
    <w:tmpl w:val="D0C8279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2F2821"/>
    <w:multiLevelType w:val="hybridMultilevel"/>
    <w:tmpl w:val="D3389B6E"/>
    <w:lvl w:ilvl="0" w:tplc="D0004BDE">
      <w:start w:val="1"/>
      <w:numFmt w:val="decimal"/>
      <w:lvlText w:val="11.%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997FF9"/>
    <w:multiLevelType w:val="hybridMultilevel"/>
    <w:tmpl w:val="00028AFC"/>
    <w:lvl w:ilvl="0" w:tplc="16701D0E">
      <w:start w:val="1"/>
      <w:numFmt w:val="decimal"/>
      <w:lvlText w:val="10.%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90C6829"/>
    <w:multiLevelType w:val="hybridMultilevel"/>
    <w:tmpl w:val="2C262FFC"/>
    <w:lvl w:ilvl="0" w:tplc="C2A8294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9A009F0"/>
    <w:multiLevelType w:val="hybridMultilevel"/>
    <w:tmpl w:val="A29A6700"/>
    <w:lvl w:ilvl="0" w:tplc="BE16F4D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09E4900"/>
    <w:multiLevelType w:val="multilevel"/>
    <w:tmpl w:val="8468ED5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3C41431D"/>
    <w:multiLevelType w:val="multilevel"/>
    <w:tmpl w:val="CB8C3BC8"/>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ascii="Garamond" w:hAnsi="Garamond" w:hint="default"/>
        <w:sz w:val="22"/>
        <w:szCs w:val="1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584B9D"/>
    <w:multiLevelType w:val="multilevel"/>
    <w:tmpl w:val="DFCE698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F76E0B"/>
    <w:multiLevelType w:val="multilevel"/>
    <w:tmpl w:val="460EF30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45C9656D"/>
    <w:multiLevelType w:val="multilevel"/>
    <w:tmpl w:val="C4AA469C"/>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46B43826"/>
    <w:multiLevelType w:val="hybridMultilevel"/>
    <w:tmpl w:val="A330E118"/>
    <w:lvl w:ilvl="0" w:tplc="FAC4CF26">
      <w:start w:val="1"/>
      <w:numFmt w:val="decimal"/>
      <w:lvlText w:val="9.%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6DA6720"/>
    <w:multiLevelType w:val="multilevel"/>
    <w:tmpl w:val="28A22D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758316D"/>
    <w:multiLevelType w:val="hybridMultilevel"/>
    <w:tmpl w:val="D0E8F5AC"/>
    <w:lvl w:ilvl="0" w:tplc="933C031C">
      <w:start w:val="1"/>
      <w:numFmt w:val="decimal"/>
      <w:lvlText w:val="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9730B27"/>
    <w:multiLevelType w:val="hybridMultilevel"/>
    <w:tmpl w:val="F10E481E"/>
    <w:lvl w:ilvl="0" w:tplc="04160017">
      <w:start w:val="1"/>
      <w:numFmt w:val="lowerLetter"/>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9CC6902"/>
    <w:multiLevelType w:val="multilevel"/>
    <w:tmpl w:val="736C9458"/>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A2A64BA"/>
    <w:multiLevelType w:val="hybridMultilevel"/>
    <w:tmpl w:val="EF148D58"/>
    <w:lvl w:ilvl="0" w:tplc="35BE3000">
      <w:start w:val="1"/>
      <w:numFmt w:val="decimal"/>
      <w:lvlText w:val="8.%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BB05C17"/>
    <w:multiLevelType w:val="hybridMultilevel"/>
    <w:tmpl w:val="FC10A87E"/>
    <w:lvl w:ilvl="0" w:tplc="C4767BC0">
      <w:start w:val="1"/>
      <w:numFmt w:val="lowerRoman"/>
      <w:lvlText w:val="(%1)"/>
      <w:lvlJc w:val="left"/>
      <w:pPr>
        <w:ind w:left="1429" w:hanging="720"/>
      </w:pPr>
      <w:rPr>
        <w:rFonts w:eastAsia="Times New Roman" w:cs="Trebuchet MS" w:hint="default"/>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52B813E5"/>
    <w:multiLevelType w:val="multilevel"/>
    <w:tmpl w:val="E0DAB10A"/>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2.2.%3."/>
      <w:lvlJc w:val="left"/>
      <w:pPr>
        <w:ind w:left="720" w:hanging="720"/>
      </w:pPr>
      <w:rPr>
        <w:rFonts w:hint="default"/>
      </w:rPr>
    </w:lvl>
    <w:lvl w:ilvl="3">
      <w:start w:val="5"/>
      <w:numFmt w:val="decimal"/>
      <w:lvlText w:val="2.1.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4B86948"/>
    <w:multiLevelType w:val="hybridMultilevel"/>
    <w:tmpl w:val="0BC02D64"/>
    <w:lvl w:ilvl="0" w:tplc="95D49476">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58BF5613"/>
    <w:multiLevelType w:val="multilevel"/>
    <w:tmpl w:val="831653C8"/>
    <w:lvl w:ilvl="0">
      <w:start w:val="1"/>
      <w:numFmt w:val="upperRoman"/>
      <w:pStyle w:val="titulo1"/>
      <w:lvlText w:val="Cláusula %1"/>
      <w:lvlJc w:val="left"/>
      <w:pPr>
        <w:tabs>
          <w:tab w:val="num" w:pos="-1985"/>
        </w:tabs>
        <w:ind w:left="0" w:firstLine="0"/>
      </w:pPr>
      <w:rPr>
        <w:rFonts w:ascii="Arial" w:hAnsi="Arial" w:cs="Arial" w:hint="default"/>
        <w:b/>
        <w:i w:val="0"/>
        <w:caps/>
        <w:sz w:val="16"/>
        <w:szCs w:val="16"/>
      </w:rPr>
    </w:lvl>
    <w:lvl w:ilvl="1">
      <w:start w:val="1"/>
      <w:numFmt w:val="decimal"/>
      <w:lvlText w:val="3.%2."/>
      <w:lvlJc w:val="left"/>
      <w:pPr>
        <w:tabs>
          <w:tab w:val="num" w:pos="0"/>
        </w:tabs>
        <w:ind w:left="0" w:firstLine="0"/>
      </w:pPr>
      <w:rPr>
        <w:rFonts w:hint="default"/>
        <w:b w:val="0"/>
        <w:i w:val="0"/>
        <w:sz w:val="16"/>
        <w:szCs w:val="16"/>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16"/>
        <w:szCs w:val="16"/>
        <w:lang w:val="pt-BR"/>
      </w:rPr>
    </w:lvl>
    <w:lvl w:ilvl="3">
      <w:start w:val="1"/>
      <w:numFmt w:val="decimal"/>
      <w:pStyle w:val="titulo4"/>
      <w:isLgl/>
      <w:lvlText w:val="%1.%2.%3.%4."/>
      <w:lvlJc w:val="left"/>
      <w:pPr>
        <w:tabs>
          <w:tab w:val="num" w:pos="-360"/>
        </w:tabs>
        <w:ind w:left="0" w:firstLine="0"/>
      </w:pPr>
      <w:rPr>
        <w:rFonts w:ascii="Arial" w:hAnsi="Arial" w:cs="Arial" w:hint="default"/>
        <w:b w:val="0"/>
        <w:i w:val="0"/>
        <w:sz w:val="16"/>
        <w:szCs w:val="16"/>
      </w:rPr>
    </w:lvl>
    <w:lvl w:ilvl="4">
      <w:start w:val="1"/>
      <w:numFmt w:val="decimal"/>
      <w:pStyle w:val="titulo5"/>
      <w:isLgl/>
      <w:lvlText w:val="%1.%2.%3.%4.%5."/>
      <w:lvlJc w:val="left"/>
      <w:pPr>
        <w:tabs>
          <w:tab w:val="num" w:pos="-1985"/>
        </w:tabs>
        <w:ind w:left="-1985" w:firstLine="357"/>
      </w:pPr>
      <w:rPr>
        <w:rFonts w:ascii="Arial" w:hAnsi="Arial" w:cs="Arial" w:hint="default"/>
        <w:b w:val="0"/>
        <w:i w:val="0"/>
        <w:sz w:val="22"/>
      </w:rPr>
    </w:lvl>
    <w:lvl w:ilvl="5">
      <w:start w:val="1"/>
      <w:numFmt w:val="decimal"/>
      <w:lvlText w:val="%1.%2.%3.%4.%5.%6."/>
      <w:lvlJc w:val="left"/>
      <w:pPr>
        <w:tabs>
          <w:tab w:val="num" w:pos="-1985"/>
        </w:tabs>
        <w:ind w:left="-1985" w:firstLine="0"/>
      </w:pPr>
      <w:rPr>
        <w:rFonts w:hint="default"/>
      </w:rPr>
    </w:lvl>
    <w:lvl w:ilvl="6">
      <w:start w:val="1"/>
      <w:numFmt w:val="decimal"/>
      <w:lvlText w:val="%1.%2.%3.%4.%5.%6.%7."/>
      <w:lvlJc w:val="left"/>
      <w:pPr>
        <w:tabs>
          <w:tab w:val="num" w:pos="-1985"/>
        </w:tabs>
        <w:ind w:left="-1985" w:firstLine="0"/>
      </w:pPr>
      <w:rPr>
        <w:rFonts w:hint="default"/>
      </w:rPr>
    </w:lvl>
    <w:lvl w:ilvl="7">
      <w:start w:val="1"/>
      <w:numFmt w:val="decimal"/>
      <w:lvlText w:val="%1.%2.%3.%4.%5.%6.%7.%8."/>
      <w:lvlJc w:val="left"/>
      <w:pPr>
        <w:tabs>
          <w:tab w:val="num" w:pos="-1985"/>
        </w:tabs>
        <w:ind w:left="-1985" w:firstLine="0"/>
      </w:pPr>
      <w:rPr>
        <w:rFonts w:hint="default"/>
      </w:rPr>
    </w:lvl>
    <w:lvl w:ilvl="8">
      <w:start w:val="1"/>
      <w:numFmt w:val="decimal"/>
      <w:lvlText w:val="%1.%2.%3.%4.%5.%6.%7.%8.%9."/>
      <w:lvlJc w:val="left"/>
      <w:pPr>
        <w:tabs>
          <w:tab w:val="num" w:pos="-1985"/>
        </w:tabs>
        <w:ind w:left="-1985" w:firstLine="0"/>
      </w:pPr>
      <w:rPr>
        <w:rFonts w:hint="default"/>
      </w:rPr>
    </w:lvl>
  </w:abstractNum>
  <w:abstractNum w:abstractNumId="26" w15:restartNumberingAfterBreak="0">
    <w:nsid w:val="5B2445AF"/>
    <w:multiLevelType w:val="hybridMultilevel"/>
    <w:tmpl w:val="7A48AF3E"/>
    <w:lvl w:ilvl="0" w:tplc="825C8C08">
      <w:start w:val="1"/>
      <w:numFmt w:val="upperRoman"/>
      <w:lvlText w:val="%1."/>
      <w:lvlJc w:val="left"/>
      <w:pPr>
        <w:ind w:left="720" w:hanging="360"/>
      </w:pPr>
      <w:rPr>
        <w:rFonts w:hint="default"/>
        <w:b/>
        <w:sz w:val="22"/>
      </w:rPr>
    </w:lvl>
    <w:lvl w:ilvl="1" w:tplc="36165A08">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F4C2E5A"/>
    <w:multiLevelType w:val="hybridMultilevel"/>
    <w:tmpl w:val="0BC02D64"/>
    <w:lvl w:ilvl="0" w:tplc="95D49476">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69F22CF2"/>
    <w:multiLevelType w:val="hybridMultilevel"/>
    <w:tmpl w:val="8C4CA214"/>
    <w:lvl w:ilvl="0" w:tplc="E43A107A">
      <w:start w:val="1"/>
      <w:numFmt w:val="decimal"/>
      <w:lvlText w:val="2.%1."/>
      <w:lvlJc w:val="left"/>
      <w:pPr>
        <w:ind w:left="285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411189"/>
    <w:multiLevelType w:val="hybridMultilevel"/>
    <w:tmpl w:val="B010009E"/>
    <w:lvl w:ilvl="0" w:tplc="0F0468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67B1416"/>
    <w:multiLevelType w:val="hybridMultilevel"/>
    <w:tmpl w:val="722ECA3C"/>
    <w:lvl w:ilvl="0" w:tplc="0B367A6A">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7596C94"/>
    <w:multiLevelType w:val="multilevel"/>
    <w:tmpl w:val="EFC2AAC8"/>
    <w:lvl w:ilvl="0">
      <w:start w:val="1"/>
      <w:numFmt w:val="lowerRoman"/>
      <w:lvlText w:val="(%1)"/>
      <w:lvlJc w:val="left"/>
      <w:pPr>
        <w:ind w:left="360" w:hanging="360"/>
      </w:pPr>
      <w:rPr>
        <w:rFonts w:hint="default"/>
      </w:r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8FB1775"/>
    <w:multiLevelType w:val="hybridMultilevel"/>
    <w:tmpl w:val="13CCEB0E"/>
    <w:lvl w:ilvl="0" w:tplc="92FE9858">
      <w:start w:val="1"/>
      <w:numFmt w:val="decimal"/>
      <w:lvlText w:val="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40601048">
    <w:abstractNumId w:val="1"/>
  </w:num>
  <w:num w:numId="2" w16cid:durableId="1297370565">
    <w:abstractNumId w:val="0"/>
  </w:num>
  <w:num w:numId="3" w16cid:durableId="965084436">
    <w:abstractNumId w:val="26"/>
  </w:num>
  <w:num w:numId="4" w16cid:durableId="1023017474">
    <w:abstractNumId w:val="5"/>
  </w:num>
  <w:num w:numId="5" w16cid:durableId="123348546">
    <w:abstractNumId w:val="4"/>
  </w:num>
  <w:num w:numId="6" w16cid:durableId="920866307">
    <w:abstractNumId w:val="30"/>
  </w:num>
  <w:num w:numId="7" w16cid:durableId="228660741">
    <w:abstractNumId w:val="21"/>
  </w:num>
  <w:num w:numId="8" w16cid:durableId="1248419126">
    <w:abstractNumId w:val="16"/>
  </w:num>
  <w:num w:numId="9" w16cid:durableId="1066686664">
    <w:abstractNumId w:val="19"/>
  </w:num>
  <w:num w:numId="10" w16cid:durableId="1195996099">
    <w:abstractNumId w:val="28"/>
  </w:num>
  <w:num w:numId="11" w16cid:durableId="212742359">
    <w:abstractNumId w:val="23"/>
  </w:num>
  <w:num w:numId="12" w16cid:durableId="1034774155">
    <w:abstractNumId w:val="3"/>
  </w:num>
  <w:num w:numId="13" w16cid:durableId="174466336">
    <w:abstractNumId w:val="18"/>
  </w:num>
  <w:num w:numId="14" w16cid:durableId="521212076">
    <w:abstractNumId w:val="29"/>
  </w:num>
  <w:num w:numId="15" w16cid:durableId="542450069">
    <w:abstractNumId w:val="32"/>
  </w:num>
  <w:num w:numId="16" w16cid:durableId="1292441591">
    <w:abstractNumId w:val="8"/>
  </w:num>
  <w:num w:numId="17" w16cid:durableId="1264916176">
    <w:abstractNumId w:val="7"/>
  </w:num>
  <w:num w:numId="18" w16cid:durableId="3326100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2236600">
    <w:abstractNumId w:val="22"/>
  </w:num>
  <w:num w:numId="20" w16cid:durableId="1600674127">
    <w:abstractNumId w:val="11"/>
  </w:num>
  <w:num w:numId="21" w16cid:durableId="1361974305">
    <w:abstractNumId w:val="10"/>
  </w:num>
  <w:num w:numId="22" w16cid:durableId="966662028">
    <w:abstractNumId w:val="12"/>
  </w:num>
  <w:num w:numId="23" w16cid:durableId="1633168378">
    <w:abstractNumId w:val="20"/>
  </w:num>
  <w:num w:numId="24" w16cid:durableId="836000649">
    <w:abstractNumId w:val="2"/>
  </w:num>
  <w:num w:numId="25" w16cid:durableId="1283270121">
    <w:abstractNumId w:val="24"/>
  </w:num>
  <w:num w:numId="26" w16cid:durableId="1429082026">
    <w:abstractNumId w:val="27"/>
  </w:num>
  <w:num w:numId="27" w16cid:durableId="656423572">
    <w:abstractNumId w:val="17"/>
  </w:num>
  <w:num w:numId="28" w16cid:durableId="670841532">
    <w:abstractNumId w:val="25"/>
  </w:num>
  <w:num w:numId="29" w16cid:durableId="302318686">
    <w:abstractNumId w:val="13"/>
  </w:num>
  <w:num w:numId="30" w16cid:durableId="1379666367">
    <w:abstractNumId w:val="9"/>
  </w:num>
  <w:num w:numId="31" w16cid:durableId="1948346037">
    <w:abstractNumId w:val="31"/>
  </w:num>
  <w:num w:numId="32" w16cid:durableId="1014382758">
    <w:abstractNumId w:val="6"/>
  </w:num>
  <w:num w:numId="33" w16cid:durableId="15569628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90722588">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6385"/>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A7A"/>
    <w:rsid w:val="00000CE9"/>
    <w:rsid w:val="0000231B"/>
    <w:rsid w:val="0000246D"/>
    <w:rsid w:val="000103F2"/>
    <w:rsid w:val="00013938"/>
    <w:rsid w:val="000142C0"/>
    <w:rsid w:val="00014A60"/>
    <w:rsid w:val="00014A99"/>
    <w:rsid w:val="00015D50"/>
    <w:rsid w:val="000170B3"/>
    <w:rsid w:val="00021F09"/>
    <w:rsid w:val="00023F6F"/>
    <w:rsid w:val="00025256"/>
    <w:rsid w:val="0002536E"/>
    <w:rsid w:val="00030182"/>
    <w:rsid w:val="0003083B"/>
    <w:rsid w:val="0003098F"/>
    <w:rsid w:val="0003169D"/>
    <w:rsid w:val="00035AAD"/>
    <w:rsid w:val="00036CE3"/>
    <w:rsid w:val="0004583E"/>
    <w:rsid w:val="00047631"/>
    <w:rsid w:val="00052DF0"/>
    <w:rsid w:val="00055D83"/>
    <w:rsid w:val="00056093"/>
    <w:rsid w:val="00056109"/>
    <w:rsid w:val="000605A4"/>
    <w:rsid w:val="0006690A"/>
    <w:rsid w:val="00070EE8"/>
    <w:rsid w:val="00072D4A"/>
    <w:rsid w:val="000736CE"/>
    <w:rsid w:val="00077BCE"/>
    <w:rsid w:val="000823D9"/>
    <w:rsid w:val="00082D5E"/>
    <w:rsid w:val="00090C49"/>
    <w:rsid w:val="00090CC2"/>
    <w:rsid w:val="00092485"/>
    <w:rsid w:val="00096DF0"/>
    <w:rsid w:val="000A425F"/>
    <w:rsid w:val="000A4FE4"/>
    <w:rsid w:val="000A7D9F"/>
    <w:rsid w:val="000B0DD0"/>
    <w:rsid w:val="000B1F31"/>
    <w:rsid w:val="000B3943"/>
    <w:rsid w:val="000B4E57"/>
    <w:rsid w:val="000C0D48"/>
    <w:rsid w:val="000C11AC"/>
    <w:rsid w:val="000C3FE9"/>
    <w:rsid w:val="000C5DAE"/>
    <w:rsid w:val="000D07E2"/>
    <w:rsid w:val="000D53C1"/>
    <w:rsid w:val="000D7996"/>
    <w:rsid w:val="000E5715"/>
    <w:rsid w:val="000E5DB0"/>
    <w:rsid w:val="000E6360"/>
    <w:rsid w:val="000F0B70"/>
    <w:rsid w:val="000F657E"/>
    <w:rsid w:val="001003EB"/>
    <w:rsid w:val="00101019"/>
    <w:rsid w:val="00101E13"/>
    <w:rsid w:val="0010438F"/>
    <w:rsid w:val="00104BD3"/>
    <w:rsid w:val="001068F8"/>
    <w:rsid w:val="00111239"/>
    <w:rsid w:val="00111B8A"/>
    <w:rsid w:val="00111F6A"/>
    <w:rsid w:val="001130B7"/>
    <w:rsid w:val="00114544"/>
    <w:rsid w:val="00114FF3"/>
    <w:rsid w:val="00121FA4"/>
    <w:rsid w:val="00125BF5"/>
    <w:rsid w:val="001321CA"/>
    <w:rsid w:val="00133886"/>
    <w:rsid w:val="0013501F"/>
    <w:rsid w:val="00135A66"/>
    <w:rsid w:val="00136037"/>
    <w:rsid w:val="00141091"/>
    <w:rsid w:val="00142195"/>
    <w:rsid w:val="00147EE0"/>
    <w:rsid w:val="00151876"/>
    <w:rsid w:val="00152A48"/>
    <w:rsid w:val="001530BB"/>
    <w:rsid w:val="00153862"/>
    <w:rsid w:val="00157432"/>
    <w:rsid w:val="0016188A"/>
    <w:rsid w:val="001647D7"/>
    <w:rsid w:val="00171D2B"/>
    <w:rsid w:val="0017208D"/>
    <w:rsid w:val="00172CB6"/>
    <w:rsid w:val="00172CF8"/>
    <w:rsid w:val="001731BC"/>
    <w:rsid w:val="00173FFA"/>
    <w:rsid w:val="001740E3"/>
    <w:rsid w:val="0017666C"/>
    <w:rsid w:val="00176AD2"/>
    <w:rsid w:val="001816C5"/>
    <w:rsid w:val="00184F07"/>
    <w:rsid w:val="0019073F"/>
    <w:rsid w:val="00192587"/>
    <w:rsid w:val="00192FF4"/>
    <w:rsid w:val="001960E0"/>
    <w:rsid w:val="0019616D"/>
    <w:rsid w:val="001963E1"/>
    <w:rsid w:val="00197F54"/>
    <w:rsid w:val="001A0C15"/>
    <w:rsid w:val="001A242E"/>
    <w:rsid w:val="001A311B"/>
    <w:rsid w:val="001A3AA5"/>
    <w:rsid w:val="001A40AF"/>
    <w:rsid w:val="001A77C9"/>
    <w:rsid w:val="001B256E"/>
    <w:rsid w:val="001B2B86"/>
    <w:rsid w:val="001B3625"/>
    <w:rsid w:val="001B534D"/>
    <w:rsid w:val="001B5DC9"/>
    <w:rsid w:val="001B61A1"/>
    <w:rsid w:val="001B7484"/>
    <w:rsid w:val="001C4C8A"/>
    <w:rsid w:val="001C5410"/>
    <w:rsid w:val="001C5BDF"/>
    <w:rsid w:val="001C5CBC"/>
    <w:rsid w:val="001C6DD6"/>
    <w:rsid w:val="001D1CFD"/>
    <w:rsid w:val="001D5125"/>
    <w:rsid w:val="001D7303"/>
    <w:rsid w:val="001D782D"/>
    <w:rsid w:val="001D7902"/>
    <w:rsid w:val="001E0613"/>
    <w:rsid w:val="001E265A"/>
    <w:rsid w:val="001E4128"/>
    <w:rsid w:val="001E6110"/>
    <w:rsid w:val="001E6A37"/>
    <w:rsid w:val="001E702D"/>
    <w:rsid w:val="001F03DB"/>
    <w:rsid w:val="001F28C5"/>
    <w:rsid w:val="001F3604"/>
    <w:rsid w:val="001F50CF"/>
    <w:rsid w:val="002034E4"/>
    <w:rsid w:val="00203995"/>
    <w:rsid w:val="00203AE1"/>
    <w:rsid w:val="00203D77"/>
    <w:rsid w:val="00205C0D"/>
    <w:rsid w:val="002113F6"/>
    <w:rsid w:val="002126F7"/>
    <w:rsid w:val="002143F2"/>
    <w:rsid w:val="002154FB"/>
    <w:rsid w:val="0021765F"/>
    <w:rsid w:val="002216D5"/>
    <w:rsid w:val="00222141"/>
    <w:rsid w:val="002236FB"/>
    <w:rsid w:val="00223BE0"/>
    <w:rsid w:val="0022596E"/>
    <w:rsid w:val="00226CE5"/>
    <w:rsid w:val="002273CE"/>
    <w:rsid w:val="00231F0B"/>
    <w:rsid w:val="0023500D"/>
    <w:rsid w:val="00235CAA"/>
    <w:rsid w:val="00235FF1"/>
    <w:rsid w:val="00236AF2"/>
    <w:rsid w:val="0023773D"/>
    <w:rsid w:val="00241CDB"/>
    <w:rsid w:val="00242752"/>
    <w:rsid w:val="00244773"/>
    <w:rsid w:val="00246227"/>
    <w:rsid w:val="0024745A"/>
    <w:rsid w:val="00253D0A"/>
    <w:rsid w:val="002544D3"/>
    <w:rsid w:val="00255F65"/>
    <w:rsid w:val="00260DCD"/>
    <w:rsid w:val="002615A5"/>
    <w:rsid w:val="0026559B"/>
    <w:rsid w:val="0026755E"/>
    <w:rsid w:val="00270437"/>
    <w:rsid w:val="00270894"/>
    <w:rsid w:val="0027729C"/>
    <w:rsid w:val="0027737E"/>
    <w:rsid w:val="002821D3"/>
    <w:rsid w:val="00283AFB"/>
    <w:rsid w:val="00283BA5"/>
    <w:rsid w:val="00283BB2"/>
    <w:rsid w:val="002862EA"/>
    <w:rsid w:val="00290A1A"/>
    <w:rsid w:val="0029504C"/>
    <w:rsid w:val="002A1AFF"/>
    <w:rsid w:val="002A22A4"/>
    <w:rsid w:val="002A44AD"/>
    <w:rsid w:val="002A4CE3"/>
    <w:rsid w:val="002A4F7E"/>
    <w:rsid w:val="002B0841"/>
    <w:rsid w:val="002B108C"/>
    <w:rsid w:val="002B1B17"/>
    <w:rsid w:val="002B5604"/>
    <w:rsid w:val="002B79CB"/>
    <w:rsid w:val="002C118A"/>
    <w:rsid w:val="002C5360"/>
    <w:rsid w:val="002C5BDB"/>
    <w:rsid w:val="002C746E"/>
    <w:rsid w:val="002C7601"/>
    <w:rsid w:val="002C7A3A"/>
    <w:rsid w:val="002D2676"/>
    <w:rsid w:val="002E00AA"/>
    <w:rsid w:val="002E0C5E"/>
    <w:rsid w:val="002E1886"/>
    <w:rsid w:val="002F2134"/>
    <w:rsid w:val="002F2987"/>
    <w:rsid w:val="002F5124"/>
    <w:rsid w:val="002F59F0"/>
    <w:rsid w:val="002F7699"/>
    <w:rsid w:val="00301B34"/>
    <w:rsid w:val="00303105"/>
    <w:rsid w:val="003033E4"/>
    <w:rsid w:val="00306882"/>
    <w:rsid w:val="00306964"/>
    <w:rsid w:val="003078F9"/>
    <w:rsid w:val="003214C8"/>
    <w:rsid w:val="003215A6"/>
    <w:rsid w:val="003222B8"/>
    <w:rsid w:val="0032469A"/>
    <w:rsid w:val="00326070"/>
    <w:rsid w:val="00330E45"/>
    <w:rsid w:val="00331185"/>
    <w:rsid w:val="00331273"/>
    <w:rsid w:val="003315E6"/>
    <w:rsid w:val="00333C1E"/>
    <w:rsid w:val="00347AEC"/>
    <w:rsid w:val="003507B5"/>
    <w:rsid w:val="003641E9"/>
    <w:rsid w:val="00365504"/>
    <w:rsid w:val="00365A57"/>
    <w:rsid w:val="0037337F"/>
    <w:rsid w:val="00380F21"/>
    <w:rsid w:val="003816BA"/>
    <w:rsid w:val="00383F9A"/>
    <w:rsid w:val="0038451C"/>
    <w:rsid w:val="00384E2E"/>
    <w:rsid w:val="0038570A"/>
    <w:rsid w:val="00386B21"/>
    <w:rsid w:val="0038727B"/>
    <w:rsid w:val="00391B9D"/>
    <w:rsid w:val="00391C79"/>
    <w:rsid w:val="003A3F8A"/>
    <w:rsid w:val="003A734B"/>
    <w:rsid w:val="003B4E68"/>
    <w:rsid w:val="003C1338"/>
    <w:rsid w:val="003C1EF2"/>
    <w:rsid w:val="003C546B"/>
    <w:rsid w:val="003C6A5E"/>
    <w:rsid w:val="003C6A7A"/>
    <w:rsid w:val="003C7BFF"/>
    <w:rsid w:val="003D25A5"/>
    <w:rsid w:val="003D35C6"/>
    <w:rsid w:val="003D3EF3"/>
    <w:rsid w:val="003D481E"/>
    <w:rsid w:val="003D49DC"/>
    <w:rsid w:val="003D5FC8"/>
    <w:rsid w:val="003D6FD6"/>
    <w:rsid w:val="003D7E34"/>
    <w:rsid w:val="003E0B14"/>
    <w:rsid w:val="003E22CB"/>
    <w:rsid w:val="003F0894"/>
    <w:rsid w:val="003F12F3"/>
    <w:rsid w:val="003F1349"/>
    <w:rsid w:val="003F3407"/>
    <w:rsid w:val="0040080E"/>
    <w:rsid w:val="004018F2"/>
    <w:rsid w:val="00402172"/>
    <w:rsid w:val="00402900"/>
    <w:rsid w:val="004030FE"/>
    <w:rsid w:val="004044A7"/>
    <w:rsid w:val="00404FAA"/>
    <w:rsid w:val="00406C6B"/>
    <w:rsid w:val="00412770"/>
    <w:rsid w:val="0041636C"/>
    <w:rsid w:val="00420F95"/>
    <w:rsid w:val="004219FB"/>
    <w:rsid w:val="00422A20"/>
    <w:rsid w:val="0042573B"/>
    <w:rsid w:val="004266A3"/>
    <w:rsid w:val="0043289B"/>
    <w:rsid w:val="0043317C"/>
    <w:rsid w:val="00434342"/>
    <w:rsid w:val="00435AA4"/>
    <w:rsid w:val="004363E1"/>
    <w:rsid w:val="004476ED"/>
    <w:rsid w:val="00447C70"/>
    <w:rsid w:val="004510AB"/>
    <w:rsid w:val="0045114C"/>
    <w:rsid w:val="00455B75"/>
    <w:rsid w:val="00463039"/>
    <w:rsid w:val="00464C67"/>
    <w:rsid w:val="0046544B"/>
    <w:rsid w:val="004660DB"/>
    <w:rsid w:val="004662AC"/>
    <w:rsid w:val="004667B1"/>
    <w:rsid w:val="00472478"/>
    <w:rsid w:val="00473297"/>
    <w:rsid w:val="00475F8D"/>
    <w:rsid w:val="00481E87"/>
    <w:rsid w:val="00483A39"/>
    <w:rsid w:val="0048631E"/>
    <w:rsid w:val="004870B1"/>
    <w:rsid w:val="0049020D"/>
    <w:rsid w:val="00490349"/>
    <w:rsid w:val="00490634"/>
    <w:rsid w:val="0049169D"/>
    <w:rsid w:val="0049584D"/>
    <w:rsid w:val="004A0FCF"/>
    <w:rsid w:val="004B165F"/>
    <w:rsid w:val="004B2E33"/>
    <w:rsid w:val="004B473F"/>
    <w:rsid w:val="004B49D6"/>
    <w:rsid w:val="004C2434"/>
    <w:rsid w:val="004C53BD"/>
    <w:rsid w:val="004C568E"/>
    <w:rsid w:val="004C5BB6"/>
    <w:rsid w:val="004C7F05"/>
    <w:rsid w:val="004D2F2A"/>
    <w:rsid w:val="004E0E7B"/>
    <w:rsid w:val="004E11D4"/>
    <w:rsid w:val="004E2DD8"/>
    <w:rsid w:val="004E607D"/>
    <w:rsid w:val="004F075E"/>
    <w:rsid w:val="004F24A6"/>
    <w:rsid w:val="004F32F5"/>
    <w:rsid w:val="004F42DC"/>
    <w:rsid w:val="004F4E46"/>
    <w:rsid w:val="004F58B4"/>
    <w:rsid w:val="004F59A0"/>
    <w:rsid w:val="004F5CB8"/>
    <w:rsid w:val="004F7046"/>
    <w:rsid w:val="004F7CBD"/>
    <w:rsid w:val="00500559"/>
    <w:rsid w:val="0050270C"/>
    <w:rsid w:val="005054B6"/>
    <w:rsid w:val="00505B5F"/>
    <w:rsid w:val="00510146"/>
    <w:rsid w:val="00511FB9"/>
    <w:rsid w:val="00513D90"/>
    <w:rsid w:val="00515EFC"/>
    <w:rsid w:val="00516C96"/>
    <w:rsid w:val="00524025"/>
    <w:rsid w:val="00525946"/>
    <w:rsid w:val="00526F9E"/>
    <w:rsid w:val="00530426"/>
    <w:rsid w:val="00532560"/>
    <w:rsid w:val="00536B0F"/>
    <w:rsid w:val="00536F44"/>
    <w:rsid w:val="005407DF"/>
    <w:rsid w:val="00541022"/>
    <w:rsid w:val="00541282"/>
    <w:rsid w:val="00543391"/>
    <w:rsid w:val="005454C0"/>
    <w:rsid w:val="00545E18"/>
    <w:rsid w:val="00551062"/>
    <w:rsid w:val="00551151"/>
    <w:rsid w:val="00552114"/>
    <w:rsid w:val="005525C6"/>
    <w:rsid w:val="005541D4"/>
    <w:rsid w:val="00555AD3"/>
    <w:rsid w:val="00557019"/>
    <w:rsid w:val="005601D2"/>
    <w:rsid w:val="00560A60"/>
    <w:rsid w:val="00566925"/>
    <w:rsid w:val="0057031E"/>
    <w:rsid w:val="00570505"/>
    <w:rsid w:val="00576A90"/>
    <w:rsid w:val="00580409"/>
    <w:rsid w:val="005815DA"/>
    <w:rsid w:val="005818BA"/>
    <w:rsid w:val="00581F3F"/>
    <w:rsid w:val="00582207"/>
    <w:rsid w:val="0059026A"/>
    <w:rsid w:val="00593EB4"/>
    <w:rsid w:val="00595D93"/>
    <w:rsid w:val="005968BC"/>
    <w:rsid w:val="005A24E6"/>
    <w:rsid w:val="005A3B8B"/>
    <w:rsid w:val="005A4519"/>
    <w:rsid w:val="005A66DC"/>
    <w:rsid w:val="005A678C"/>
    <w:rsid w:val="005A6BDC"/>
    <w:rsid w:val="005B5DA2"/>
    <w:rsid w:val="005B6530"/>
    <w:rsid w:val="005B7402"/>
    <w:rsid w:val="005B7EB3"/>
    <w:rsid w:val="005C02FC"/>
    <w:rsid w:val="005C16CB"/>
    <w:rsid w:val="005C451C"/>
    <w:rsid w:val="005C5C80"/>
    <w:rsid w:val="005C60CA"/>
    <w:rsid w:val="005C6722"/>
    <w:rsid w:val="005C73C5"/>
    <w:rsid w:val="005D0290"/>
    <w:rsid w:val="005D586F"/>
    <w:rsid w:val="005D6D83"/>
    <w:rsid w:val="005E3270"/>
    <w:rsid w:val="005E760B"/>
    <w:rsid w:val="005F33A4"/>
    <w:rsid w:val="005F3FDE"/>
    <w:rsid w:val="005F464A"/>
    <w:rsid w:val="005F48D9"/>
    <w:rsid w:val="005F563E"/>
    <w:rsid w:val="005F65B2"/>
    <w:rsid w:val="0060326B"/>
    <w:rsid w:val="006059CF"/>
    <w:rsid w:val="00610F76"/>
    <w:rsid w:val="0061312F"/>
    <w:rsid w:val="006135DC"/>
    <w:rsid w:val="00613F92"/>
    <w:rsid w:val="00620E08"/>
    <w:rsid w:val="006212C5"/>
    <w:rsid w:val="006237DE"/>
    <w:rsid w:val="006250A3"/>
    <w:rsid w:val="00635819"/>
    <w:rsid w:val="00640CDE"/>
    <w:rsid w:val="00645D3D"/>
    <w:rsid w:val="00650F31"/>
    <w:rsid w:val="006570A8"/>
    <w:rsid w:val="00660E0D"/>
    <w:rsid w:val="0066166A"/>
    <w:rsid w:val="00661C91"/>
    <w:rsid w:val="006647B9"/>
    <w:rsid w:val="00667336"/>
    <w:rsid w:val="0067295F"/>
    <w:rsid w:val="00672A29"/>
    <w:rsid w:val="00673D8A"/>
    <w:rsid w:val="006744A4"/>
    <w:rsid w:val="00676684"/>
    <w:rsid w:val="00676F4F"/>
    <w:rsid w:val="00680097"/>
    <w:rsid w:val="0068779B"/>
    <w:rsid w:val="00690403"/>
    <w:rsid w:val="0069249B"/>
    <w:rsid w:val="00694353"/>
    <w:rsid w:val="00694D60"/>
    <w:rsid w:val="00695514"/>
    <w:rsid w:val="006A37F5"/>
    <w:rsid w:val="006A4FCF"/>
    <w:rsid w:val="006A5533"/>
    <w:rsid w:val="006A64E7"/>
    <w:rsid w:val="006A7962"/>
    <w:rsid w:val="006A7FEE"/>
    <w:rsid w:val="006B3263"/>
    <w:rsid w:val="006B410B"/>
    <w:rsid w:val="006B417B"/>
    <w:rsid w:val="006B4B9B"/>
    <w:rsid w:val="006C0A24"/>
    <w:rsid w:val="006C10C7"/>
    <w:rsid w:val="006C2DA0"/>
    <w:rsid w:val="006C3247"/>
    <w:rsid w:val="006C4FB6"/>
    <w:rsid w:val="006C7AE5"/>
    <w:rsid w:val="006D0996"/>
    <w:rsid w:val="006D4A35"/>
    <w:rsid w:val="006E07C2"/>
    <w:rsid w:val="006E22F5"/>
    <w:rsid w:val="006E308D"/>
    <w:rsid w:val="006E6779"/>
    <w:rsid w:val="006E7F72"/>
    <w:rsid w:val="006F0254"/>
    <w:rsid w:val="006F5A07"/>
    <w:rsid w:val="006F7F26"/>
    <w:rsid w:val="0070099A"/>
    <w:rsid w:val="00700D23"/>
    <w:rsid w:val="00701BF4"/>
    <w:rsid w:val="0070740A"/>
    <w:rsid w:val="00715043"/>
    <w:rsid w:val="00717A21"/>
    <w:rsid w:val="00717B12"/>
    <w:rsid w:val="00720113"/>
    <w:rsid w:val="007257F6"/>
    <w:rsid w:val="00725C31"/>
    <w:rsid w:val="00727D25"/>
    <w:rsid w:val="00733B4E"/>
    <w:rsid w:val="00734D04"/>
    <w:rsid w:val="00736413"/>
    <w:rsid w:val="007376F2"/>
    <w:rsid w:val="007413D0"/>
    <w:rsid w:val="00741EE0"/>
    <w:rsid w:val="00743A48"/>
    <w:rsid w:val="00744D53"/>
    <w:rsid w:val="00746F16"/>
    <w:rsid w:val="00751840"/>
    <w:rsid w:val="00754A41"/>
    <w:rsid w:val="00764F9F"/>
    <w:rsid w:val="0077463E"/>
    <w:rsid w:val="007748DB"/>
    <w:rsid w:val="007748EF"/>
    <w:rsid w:val="00774D7A"/>
    <w:rsid w:val="00776BFF"/>
    <w:rsid w:val="0078006C"/>
    <w:rsid w:val="007801EF"/>
    <w:rsid w:val="007827AE"/>
    <w:rsid w:val="00783261"/>
    <w:rsid w:val="0078597D"/>
    <w:rsid w:val="00785F71"/>
    <w:rsid w:val="00787FC9"/>
    <w:rsid w:val="00791013"/>
    <w:rsid w:val="007915C5"/>
    <w:rsid w:val="00791B87"/>
    <w:rsid w:val="0079378B"/>
    <w:rsid w:val="007937BA"/>
    <w:rsid w:val="007944DB"/>
    <w:rsid w:val="00795814"/>
    <w:rsid w:val="007967EF"/>
    <w:rsid w:val="00797D71"/>
    <w:rsid w:val="007A2628"/>
    <w:rsid w:val="007A3A92"/>
    <w:rsid w:val="007A670D"/>
    <w:rsid w:val="007A6AA9"/>
    <w:rsid w:val="007A7A49"/>
    <w:rsid w:val="007B246E"/>
    <w:rsid w:val="007B3DF0"/>
    <w:rsid w:val="007B56FF"/>
    <w:rsid w:val="007B5B06"/>
    <w:rsid w:val="007C3A72"/>
    <w:rsid w:val="007C41D5"/>
    <w:rsid w:val="007C4822"/>
    <w:rsid w:val="007C54E0"/>
    <w:rsid w:val="007D0823"/>
    <w:rsid w:val="007D5421"/>
    <w:rsid w:val="007D6657"/>
    <w:rsid w:val="007E029D"/>
    <w:rsid w:val="007E1950"/>
    <w:rsid w:val="007E38D5"/>
    <w:rsid w:val="007F10FE"/>
    <w:rsid w:val="007F18B3"/>
    <w:rsid w:val="007F209F"/>
    <w:rsid w:val="007F3817"/>
    <w:rsid w:val="007F405F"/>
    <w:rsid w:val="007F798E"/>
    <w:rsid w:val="008020AA"/>
    <w:rsid w:val="00804C55"/>
    <w:rsid w:val="00805BA5"/>
    <w:rsid w:val="00806549"/>
    <w:rsid w:val="0081056B"/>
    <w:rsid w:val="00810C53"/>
    <w:rsid w:val="00812720"/>
    <w:rsid w:val="00813F64"/>
    <w:rsid w:val="008154A0"/>
    <w:rsid w:val="00815687"/>
    <w:rsid w:val="00817626"/>
    <w:rsid w:val="008179E6"/>
    <w:rsid w:val="008224FC"/>
    <w:rsid w:val="00822662"/>
    <w:rsid w:val="00822C68"/>
    <w:rsid w:val="00823782"/>
    <w:rsid w:val="008244FE"/>
    <w:rsid w:val="0083136E"/>
    <w:rsid w:val="00832CC7"/>
    <w:rsid w:val="00834E31"/>
    <w:rsid w:val="00836FF3"/>
    <w:rsid w:val="00837594"/>
    <w:rsid w:val="00845996"/>
    <w:rsid w:val="008519F6"/>
    <w:rsid w:val="0085255D"/>
    <w:rsid w:val="00853AC6"/>
    <w:rsid w:val="00855DF9"/>
    <w:rsid w:val="008573DE"/>
    <w:rsid w:val="008604D7"/>
    <w:rsid w:val="0086129E"/>
    <w:rsid w:val="00862BD9"/>
    <w:rsid w:val="00863100"/>
    <w:rsid w:val="008657B2"/>
    <w:rsid w:val="008758FB"/>
    <w:rsid w:val="00883FC3"/>
    <w:rsid w:val="00885DC0"/>
    <w:rsid w:val="00886A58"/>
    <w:rsid w:val="00894B55"/>
    <w:rsid w:val="008A27F0"/>
    <w:rsid w:val="008A4208"/>
    <w:rsid w:val="008A4608"/>
    <w:rsid w:val="008A68EF"/>
    <w:rsid w:val="008B0A8B"/>
    <w:rsid w:val="008B4178"/>
    <w:rsid w:val="008C0A0F"/>
    <w:rsid w:val="008C41BE"/>
    <w:rsid w:val="008C4F81"/>
    <w:rsid w:val="008C7F34"/>
    <w:rsid w:val="008D198E"/>
    <w:rsid w:val="008D66B1"/>
    <w:rsid w:val="008D7051"/>
    <w:rsid w:val="008E02DA"/>
    <w:rsid w:val="008E1FBA"/>
    <w:rsid w:val="008E2C98"/>
    <w:rsid w:val="008E34AD"/>
    <w:rsid w:val="008E446D"/>
    <w:rsid w:val="008E480E"/>
    <w:rsid w:val="008E49CF"/>
    <w:rsid w:val="008F0E11"/>
    <w:rsid w:val="008F3094"/>
    <w:rsid w:val="008F38CB"/>
    <w:rsid w:val="008F5BFE"/>
    <w:rsid w:val="00900D72"/>
    <w:rsid w:val="00900F60"/>
    <w:rsid w:val="009066C8"/>
    <w:rsid w:val="00906D7C"/>
    <w:rsid w:val="0091034D"/>
    <w:rsid w:val="00910C99"/>
    <w:rsid w:val="00914E7A"/>
    <w:rsid w:val="0092038A"/>
    <w:rsid w:val="00924423"/>
    <w:rsid w:val="0092588C"/>
    <w:rsid w:val="00930840"/>
    <w:rsid w:val="00931886"/>
    <w:rsid w:val="00931FA8"/>
    <w:rsid w:val="00933226"/>
    <w:rsid w:val="009338BB"/>
    <w:rsid w:val="00933AA9"/>
    <w:rsid w:val="009356BC"/>
    <w:rsid w:val="0094054E"/>
    <w:rsid w:val="00941BBD"/>
    <w:rsid w:val="009421EC"/>
    <w:rsid w:val="009426ED"/>
    <w:rsid w:val="00942BBC"/>
    <w:rsid w:val="009440B1"/>
    <w:rsid w:val="00946188"/>
    <w:rsid w:val="00947E74"/>
    <w:rsid w:val="00954F56"/>
    <w:rsid w:val="00955C97"/>
    <w:rsid w:val="0096221A"/>
    <w:rsid w:val="009633E2"/>
    <w:rsid w:val="00966337"/>
    <w:rsid w:val="0097034E"/>
    <w:rsid w:val="009810B0"/>
    <w:rsid w:val="0098138D"/>
    <w:rsid w:val="009822E6"/>
    <w:rsid w:val="00985603"/>
    <w:rsid w:val="00985739"/>
    <w:rsid w:val="00987A5A"/>
    <w:rsid w:val="00994BED"/>
    <w:rsid w:val="00997D8A"/>
    <w:rsid w:val="009A3203"/>
    <w:rsid w:val="009A72CC"/>
    <w:rsid w:val="009A74F5"/>
    <w:rsid w:val="009A7CC0"/>
    <w:rsid w:val="009B01A4"/>
    <w:rsid w:val="009B2688"/>
    <w:rsid w:val="009B7094"/>
    <w:rsid w:val="009C21A8"/>
    <w:rsid w:val="009C31BA"/>
    <w:rsid w:val="009C7E20"/>
    <w:rsid w:val="009D2D56"/>
    <w:rsid w:val="009D3C7B"/>
    <w:rsid w:val="009D3F2E"/>
    <w:rsid w:val="009D4B4B"/>
    <w:rsid w:val="009D4CD1"/>
    <w:rsid w:val="009D52C1"/>
    <w:rsid w:val="009E183E"/>
    <w:rsid w:val="009E2198"/>
    <w:rsid w:val="009E670B"/>
    <w:rsid w:val="009E6F0B"/>
    <w:rsid w:val="009F22F5"/>
    <w:rsid w:val="009F26A6"/>
    <w:rsid w:val="009F2FA4"/>
    <w:rsid w:val="009F3C54"/>
    <w:rsid w:val="009F425E"/>
    <w:rsid w:val="009F53C3"/>
    <w:rsid w:val="009F6607"/>
    <w:rsid w:val="009F6B88"/>
    <w:rsid w:val="00A044AE"/>
    <w:rsid w:val="00A045DA"/>
    <w:rsid w:val="00A05158"/>
    <w:rsid w:val="00A1366C"/>
    <w:rsid w:val="00A13782"/>
    <w:rsid w:val="00A178F5"/>
    <w:rsid w:val="00A20453"/>
    <w:rsid w:val="00A2149B"/>
    <w:rsid w:val="00A22928"/>
    <w:rsid w:val="00A22995"/>
    <w:rsid w:val="00A22B8A"/>
    <w:rsid w:val="00A2364B"/>
    <w:rsid w:val="00A27EB4"/>
    <w:rsid w:val="00A330E8"/>
    <w:rsid w:val="00A35D3A"/>
    <w:rsid w:val="00A36629"/>
    <w:rsid w:val="00A52E21"/>
    <w:rsid w:val="00A53712"/>
    <w:rsid w:val="00A551BE"/>
    <w:rsid w:val="00A5767F"/>
    <w:rsid w:val="00A576EC"/>
    <w:rsid w:val="00A623CA"/>
    <w:rsid w:val="00A62509"/>
    <w:rsid w:val="00A63EAA"/>
    <w:rsid w:val="00A65B7B"/>
    <w:rsid w:val="00A66706"/>
    <w:rsid w:val="00A673FD"/>
    <w:rsid w:val="00A67AA3"/>
    <w:rsid w:val="00A70DBF"/>
    <w:rsid w:val="00A71FD6"/>
    <w:rsid w:val="00A77A27"/>
    <w:rsid w:val="00A77DB0"/>
    <w:rsid w:val="00A80238"/>
    <w:rsid w:val="00A8220B"/>
    <w:rsid w:val="00A839DE"/>
    <w:rsid w:val="00A84EDF"/>
    <w:rsid w:val="00A87462"/>
    <w:rsid w:val="00A87944"/>
    <w:rsid w:val="00A92170"/>
    <w:rsid w:val="00A928B9"/>
    <w:rsid w:val="00A92B33"/>
    <w:rsid w:val="00A94356"/>
    <w:rsid w:val="00A9506B"/>
    <w:rsid w:val="00A965A8"/>
    <w:rsid w:val="00AA462C"/>
    <w:rsid w:val="00AA724A"/>
    <w:rsid w:val="00AB3C63"/>
    <w:rsid w:val="00AB426C"/>
    <w:rsid w:val="00AB6D15"/>
    <w:rsid w:val="00AB7366"/>
    <w:rsid w:val="00AC36C5"/>
    <w:rsid w:val="00AC3993"/>
    <w:rsid w:val="00AC4B34"/>
    <w:rsid w:val="00AC67A7"/>
    <w:rsid w:val="00AD16B8"/>
    <w:rsid w:val="00AD1925"/>
    <w:rsid w:val="00AD319A"/>
    <w:rsid w:val="00AD5DF5"/>
    <w:rsid w:val="00AD6CBC"/>
    <w:rsid w:val="00AE081B"/>
    <w:rsid w:val="00AE0D37"/>
    <w:rsid w:val="00AE1E41"/>
    <w:rsid w:val="00AE2D46"/>
    <w:rsid w:val="00AE74C8"/>
    <w:rsid w:val="00AF04E7"/>
    <w:rsid w:val="00AF06CE"/>
    <w:rsid w:val="00AF0C8E"/>
    <w:rsid w:val="00AF4FEA"/>
    <w:rsid w:val="00AF552D"/>
    <w:rsid w:val="00AF619B"/>
    <w:rsid w:val="00AF76FB"/>
    <w:rsid w:val="00B021A4"/>
    <w:rsid w:val="00B05C48"/>
    <w:rsid w:val="00B10DA6"/>
    <w:rsid w:val="00B119F8"/>
    <w:rsid w:val="00B13C62"/>
    <w:rsid w:val="00B15789"/>
    <w:rsid w:val="00B15B02"/>
    <w:rsid w:val="00B16759"/>
    <w:rsid w:val="00B173E4"/>
    <w:rsid w:val="00B2139D"/>
    <w:rsid w:val="00B25820"/>
    <w:rsid w:val="00B2641A"/>
    <w:rsid w:val="00B317F9"/>
    <w:rsid w:val="00B32BA8"/>
    <w:rsid w:val="00B3503F"/>
    <w:rsid w:val="00B35510"/>
    <w:rsid w:val="00B4117C"/>
    <w:rsid w:val="00B42C0B"/>
    <w:rsid w:val="00B43D8C"/>
    <w:rsid w:val="00B446A4"/>
    <w:rsid w:val="00B447A6"/>
    <w:rsid w:val="00B44F6F"/>
    <w:rsid w:val="00B4654C"/>
    <w:rsid w:val="00B50AC3"/>
    <w:rsid w:val="00B5103F"/>
    <w:rsid w:val="00B67B37"/>
    <w:rsid w:val="00B67DA7"/>
    <w:rsid w:val="00B707C5"/>
    <w:rsid w:val="00B70872"/>
    <w:rsid w:val="00B710F6"/>
    <w:rsid w:val="00B71B42"/>
    <w:rsid w:val="00B74154"/>
    <w:rsid w:val="00B757F3"/>
    <w:rsid w:val="00B77A30"/>
    <w:rsid w:val="00B80FCB"/>
    <w:rsid w:val="00B81822"/>
    <w:rsid w:val="00B81AC8"/>
    <w:rsid w:val="00B82081"/>
    <w:rsid w:val="00B90288"/>
    <w:rsid w:val="00B90D20"/>
    <w:rsid w:val="00B9101D"/>
    <w:rsid w:val="00B917EE"/>
    <w:rsid w:val="00B9208B"/>
    <w:rsid w:val="00B9603F"/>
    <w:rsid w:val="00BA0D8E"/>
    <w:rsid w:val="00BA1D16"/>
    <w:rsid w:val="00BA314A"/>
    <w:rsid w:val="00BA4948"/>
    <w:rsid w:val="00BA6E55"/>
    <w:rsid w:val="00BB1703"/>
    <w:rsid w:val="00BB281E"/>
    <w:rsid w:val="00BD0C24"/>
    <w:rsid w:val="00BD16FB"/>
    <w:rsid w:val="00BD3980"/>
    <w:rsid w:val="00BD431F"/>
    <w:rsid w:val="00BE1751"/>
    <w:rsid w:val="00BE356C"/>
    <w:rsid w:val="00BF0115"/>
    <w:rsid w:val="00BF0738"/>
    <w:rsid w:val="00BF0CBE"/>
    <w:rsid w:val="00BF2E78"/>
    <w:rsid w:val="00BF38B7"/>
    <w:rsid w:val="00BF5980"/>
    <w:rsid w:val="00BF6265"/>
    <w:rsid w:val="00BF76BE"/>
    <w:rsid w:val="00C01C94"/>
    <w:rsid w:val="00C05B0C"/>
    <w:rsid w:val="00C07E6F"/>
    <w:rsid w:val="00C12155"/>
    <w:rsid w:val="00C13339"/>
    <w:rsid w:val="00C13986"/>
    <w:rsid w:val="00C14369"/>
    <w:rsid w:val="00C14A04"/>
    <w:rsid w:val="00C16193"/>
    <w:rsid w:val="00C164B7"/>
    <w:rsid w:val="00C2552A"/>
    <w:rsid w:val="00C278CD"/>
    <w:rsid w:val="00C311E1"/>
    <w:rsid w:val="00C31474"/>
    <w:rsid w:val="00C334A0"/>
    <w:rsid w:val="00C3621D"/>
    <w:rsid w:val="00C37306"/>
    <w:rsid w:val="00C4049B"/>
    <w:rsid w:val="00C4147B"/>
    <w:rsid w:val="00C41621"/>
    <w:rsid w:val="00C4218D"/>
    <w:rsid w:val="00C42F00"/>
    <w:rsid w:val="00C46B71"/>
    <w:rsid w:val="00C46C80"/>
    <w:rsid w:val="00C562FC"/>
    <w:rsid w:val="00C57A62"/>
    <w:rsid w:val="00C57CDE"/>
    <w:rsid w:val="00C60E2E"/>
    <w:rsid w:val="00C61E26"/>
    <w:rsid w:val="00C630E6"/>
    <w:rsid w:val="00C64EAA"/>
    <w:rsid w:val="00C6793F"/>
    <w:rsid w:val="00C71569"/>
    <w:rsid w:val="00C7250E"/>
    <w:rsid w:val="00C75158"/>
    <w:rsid w:val="00C761C5"/>
    <w:rsid w:val="00C76A75"/>
    <w:rsid w:val="00C772A2"/>
    <w:rsid w:val="00C80735"/>
    <w:rsid w:val="00C807ED"/>
    <w:rsid w:val="00C8283B"/>
    <w:rsid w:val="00C85492"/>
    <w:rsid w:val="00C86B8F"/>
    <w:rsid w:val="00C91B8C"/>
    <w:rsid w:val="00C92FD8"/>
    <w:rsid w:val="00C94B1C"/>
    <w:rsid w:val="00C96D3E"/>
    <w:rsid w:val="00C97BA0"/>
    <w:rsid w:val="00CA05E3"/>
    <w:rsid w:val="00CA1358"/>
    <w:rsid w:val="00CA1D02"/>
    <w:rsid w:val="00CA2473"/>
    <w:rsid w:val="00CA3B4E"/>
    <w:rsid w:val="00CA4533"/>
    <w:rsid w:val="00CA4AFC"/>
    <w:rsid w:val="00CB21FF"/>
    <w:rsid w:val="00CB41EC"/>
    <w:rsid w:val="00CC104D"/>
    <w:rsid w:val="00CC22EE"/>
    <w:rsid w:val="00CC277A"/>
    <w:rsid w:val="00CC4E51"/>
    <w:rsid w:val="00CC5FBB"/>
    <w:rsid w:val="00CC7B94"/>
    <w:rsid w:val="00CD0B39"/>
    <w:rsid w:val="00CD0E10"/>
    <w:rsid w:val="00CD1A78"/>
    <w:rsid w:val="00CD31E2"/>
    <w:rsid w:val="00CD4176"/>
    <w:rsid w:val="00CD4AEA"/>
    <w:rsid w:val="00CD4CB4"/>
    <w:rsid w:val="00CD65CA"/>
    <w:rsid w:val="00CE4E55"/>
    <w:rsid w:val="00CE4EEE"/>
    <w:rsid w:val="00CE51DC"/>
    <w:rsid w:val="00CE5F9F"/>
    <w:rsid w:val="00CF425C"/>
    <w:rsid w:val="00CF61F4"/>
    <w:rsid w:val="00D0007D"/>
    <w:rsid w:val="00D018EB"/>
    <w:rsid w:val="00D025DC"/>
    <w:rsid w:val="00D04528"/>
    <w:rsid w:val="00D06142"/>
    <w:rsid w:val="00D0709F"/>
    <w:rsid w:val="00D11978"/>
    <w:rsid w:val="00D1325A"/>
    <w:rsid w:val="00D139FD"/>
    <w:rsid w:val="00D144A1"/>
    <w:rsid w:val="00D1540E"/>
    <w:rsid w:val="00D15412"/>
    <w:rsid w:val="00D165AB"/>
    <w:rsid w:val="00D21F4F"/>
    <w:rsid w:val="00D2690A"/>
    <w:rsid w:val="00D32063"/>
    <w:rsid w:val="00D40690"/>
    <w:rsid w:val="00D42895"/>
    <w:rsid w:val="00D43F64"/>
    <w:rsid w:val="00D442E7"/>
    <w:rsid w:val="00D4587F"/>
    <w:rsid w:val="00D460BB"/>
    <w:rsid w:val="00D463C0"/>
    <w:rsid w:val="00D53AE1"/>
    <w:rsid w:val="00D54E8F"/>
    <w:rsid w:val="00D5515F"/>
    <w:rsid w:val="00D552B8"/>
    <w:rsid w:val="00D55894"/>
    <w:rsid w:val="00D5709F"/>
    <w:rsid w:val="00D60492"/>
    <w:rsid w:val="00D60FB1"/>
    <w:rsid w:val="00D61493"/>
    <w:rsid w:val="00D73713"/>
    <w:rsid w:val="00D754E0"/>
    <w:rsid w:val="00D756EC"/>
    <w:rsid w:val="00D7575A"/>
    <w:rsid w:val="00D76EEE"/>
    <w:rsid w:val="00D804E4"/>
    <w:rsid w:val="00D8108B"/>
    <w:rsid w:val="00D81E69"/>
    <w:rsid w:val="00D878E4"/>
    <w:rsid w:val="00D933B0"/>
    <w:rsid w:val="00D934A9"/>
    <w:rsid w:val="00DA7973"/>
    <w:rsid w:val="00DB1252"/>
    <w:rsid w:val="00DB2519"/>
    <w:rsid w:val="00DB5E31"/>
    <w:rsid w:val="00DB6232"/>
    <w:rsid w:val="00DB64C8"/>
    <w:rsid w:val="00DB7D39"/>
    <w:rsid w:val="00DC1413"/>
    <w:rsid w:val="00DC2903"/>
    <w:rsid w:val="00DC294C"/>
    <w:rsid w:val="00DC446D"/>
    <w:rsid w:val="00DC7FF1"/>
    <w:rsid w:val="00DD0DD3"/>
    <w:rsid w:val="00DD2D37"/>
    <w:rsid w:val="00DD3FE4"/>
    <w:rsid w:val="00DD4FEA"/>
    <w:rsid w:val="00DD5531"/>
    <w:rsid w:val="00DD5916"/>
    <w:rsid w:val="00DF23F0"/>
    <w:rsid w:val="00DF62F9"/>
    <w:rsid w:val="00E01556"/>
    <w:rsid w:val="00E05067"/>
    <w:rsid w:val="00E05396"/>
    <w:rsid w:val="00E140ED"/>
    <w:rsid w:val="00E200A1"/>
    <w:rsid w:val="00E201C1"/>
    <w:rsid w:val="00E20F34"/>
    <w:rsid w:val="00E229F2"/>
    <w:rsid w:val="00E22DC9"/>
    <w:rsid w:val="00E3096F"/>
    <w:rsid w:val="00E30C21"/>
    <w:rsid w:val="00E32CB6"/>
    <w:rsid w:val="00E33BCF"/>
    <w:rsid w:val="00E3482F"/>
    <w:rsid w:val="00E34DEC"/>
    <w:rsid w:val="00E34FD8"/>
    <w:rsid w:val="00E365DC"/>
    <w:rsid w:val="00E40237"/>
    <w:rsid w:val="00E41612"/>
    <w:rsid w:val="00E43781"/>
    <w:rsid w:val="00E441AE"/>
    <w:rsid w:val="00E479FD"/>
    <w:rsid w:val="00E47F03"/>
    <w:rsid w:val="00E50192"/>
    <w:rsid w:val="00E51583"/>
    <w:rsid w:val="00E52644"/>
    <w:rsid w:val="00E55CF4"/>
    <w:rsid w:val="00E5738B"/>
    <w:rsid w:val="00E677C5"/>
    <w:rsid w:val="00E73756"/>
    <w:rsid w:val="00E73999"/>
    <w:rsid w:val="00E73ADE"/>
    <w:rsid w:val="00E762C7"/>
    <w:rsid w:val="00E80446"/>
    <w:rsid w:val="00E82A17"/>
    <w:rsid w:val="00E836B7"/>
    <w:rsid w:val="00E83B20"/>
    <w:rsid w:val="00E85342"/>
    <w:rsid w:val="00E85A7D"/>
    <w:rsid w:val="00E91028"/>
    <w:rsid w:val="00E910C5"/>
    <w:rsid w:val="00E94818"/>
    <w:rsid w:val="00EA01B3"/>
    <w:rsid w:val="00EA0568"/>
    <w:rsid w:val="00EA1B33"/>
    <w:rsid w:val="00EA30DA"/>
    <w:rsid w:val="00EB39E9"/>
    <w:rsid w:val="00EB77C4"/>
    <w:rsid w:val="00EC09B9"/>
    <w:rsid w:val="00EC197B"/>
    <w:rsid w:val="00EC1C5A"/>
    <w:rsid w:val="00EC345F"/>
    <w:rsid w:val="00EC380F"/>
    <w:rsid w:val="00EC3A54"/>
    <w:rsid w:val="00EC73EB"/>
    <w:rsid w:val="00ED27C5"/>
    <w:rsid w:val="00ED49AF"/>
    <w:rsid w:val="00ED4A66"/>
    <w:rsid w:val="00ED50C0"/>
    <w:rsid w:val="00EE1CAB"/>
    <w:rsid w:val="00EE21EF"/>
    <w:rsid w:val="00EE2806"/>
    <w:rsid w:val="00EE5046"/>
    <w:rsid w:val="00EF033E"/>
    <w:rsid w:val="00EF375B"/>
    <w:rsid w:val="00EF48E7"/>
    <w:rsid w:val="00EF4C17"/>
    <w:rsid w:val="00EF5A2C"/>
    <w:rsid w:val="00F002E8"/>
    <w:rsid w:val="00F024A0"/>
    <w:rsid w:val="00F03460"/>
    <w:rsid w:val="00F11003"/>
    <w:rsid w:val="00F1131C"/>
    <w:rsid w:val="00F13F9F"/>
    <w:rsid w:val="00F20AB6"/>
    <w:rsid w:val="00F21604"/>
    <w:rsid w:val="00F22247"/>
    <w:rsid w:val="00F24815"/>
    <w:rsid w:val="00F25177"/>
    <w:rsid w:val="00F256C3"/>
    <w:rsid w:val="00F26CEE"/>
    <w:rsid w:val="00F33CC2"/>
    <w:rsid w:val="00F3518D"/>
    <w:rsid w:val="00F368CB"/>
    <w:rsid w:val="00F42F65"/>
    <w:rsid w:val="00F455F7"/>
    <w:rsid w:val="00F45A61"/>
    <w:rsid w:val="00F51382"/>
    <w:rsid w:val="00F516CC"/>
    <w:rsid w:val="00F535A2"/>
    <w:rsid w:val="00F5566E"/>
    <w:rsid w:val="00F604C8"/>
    <w:rsid w:val="00F6370E"/>
    <w:rsid w:val="00F63722"/>
    <w:rsid w:val="00F63BEF"/>
    <w:rsid w:val="00F64571"/>
    <w:rsid w:val="00F666B4"/>
    <w:rsid w:val="00F670FF"/>
    <w:rsid w:val="00F67FE5"/>
    <w:rsid w:val="00F705ED"/>
    <w:rsid w:val="00F7250F"/>
    <w:rsid w:val="00F75301"/>
    <w:rsid w:val="00F75AC7"/>
    <w:rsid w:val="00F75EF5"/>
    <w:rsid w:val="00F77AED"/>
    <w:rsid w:val="00F825D5"/>
    <w:rsid w:val="00F83FF1"/>
    <w:rsid w:val="00F85532"/>
    <w:rsid w:val="00F90A33"/>
    <w:rsid w:val="00F916DE"/>
    <w:rsid w:val="00F9232D"/>
    <w:rsid w:val="00F92A43"/>
    <w:rsid w:val="00F9365C"/>
    <w:rsid w:val="00F942FF"/>
    <w:rsid w:val="00F95A70"/>
    <w:rsid w:val="00F97C4F"/>
    <w:rsid w:val="00FA2A79"/>
    <w:rsid w:val="00FA4825"/>
    <w:rsid w:val="00FA5731"/>
    <w:rsid w:val="00FA6FB9"/>
    <w:rsid w:val="00FA7F0B"/>
    <w:rsid w:val="00FB1E60"/>
    <w:rsid w:val="00FB3DB6"/>
    <w:rsid w:val="00FB6DA4"/>
    <w:rsid w:val="00FB7632"/>
    <w:rsid w:val="00FC01A6"/>
    <w:rsid w:val="00FC15BE"/>
    <w:rsid w:val="00FC1CDE"/>
    <w:rsid w:val="00FC7BB8"/>
    <w:rsid w:val="00FD11F2"/>
    <w:rsid w:val="00FD1D26"/>
    <w:rsid w:val="00FD3BAB"/>
    <w:rsid w:val="00FD3FF4"/>
    <w:rsid w:val="00FD4120"/>
    <w:rsid w:val="00FE109B"/>
    <w:rsid w:val="00FE1139"/>
    <w:rsid w:val="00FE133D"/>
    <w:rsid w:val="00FE178F"/>
    <w:rsid w:val="00FE2405"/>
    <w:rsid w:val="00FE44B3"/>
    <w:rsid w:val="00FE71FE"/>
    <w:rsid w:val="00FF0D1C"/>
    <w:rsid w:val="00FF27C1"/>
    <w:rsid w:val="00FF30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8EF69CE"/>
  <w15:chartTrackingRefBased/>
  <w15:docId w15:val="{B1E7AB60-B755-424A-B4F3-0FDEFF354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List Bullet"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682D"/>
    <w:pPr>
      <w:autoSpaceDE w:val="0"/>
      <w:autoSpaceDN w:val="0"/>
      <w:adjustRightInd w:val="0"/>
    </w:pPr>
    <w:rPr>
      <w:sz w:val="24"/>
    </w:rPr>
  </w:style>
  <w:style w:type="paragraph" w:styleId="Ttulo1">
    <w:name w:val="heading 1"/>
    <w:basedOn w:val="Normal"/>
    <w:next w:val="Normal"/>
    <w:autoRedefine/>
    <w:qFormat/>
    <w:pPr>
      <w:keepNext/>
      <w:numPr>
        <w:numId w:val="1"/>
      </w:numPr>
      <w:spacing w:before="240" w:after="60"/>
      <w:outlineLvl w:val="0"/>
    </w:pPr>
    <w:rPr>
      <w:kern w:val="28"/>
      <w:u w:val="single"/>
    </w:rPr>
  </w:style>
  <w:style w:type="paragraph" w:styleId="Ttulo2">
    <w:name w:val="heading 2"/>
    <w:basedOn w:val="Normal"/>
    <w:next w:val="Normal"/>
    <w:autoRedefine/>
    <w:qFormat/>
    <w:pPr>
      <w:keepNext/>
      <w:spacing w:before="240" w:after="60"/>
      <w:jc w:val="both"/>
      <w:outlineLvl w:val="1"/>
    </w:pPr>
  </w:style>
  <w:style w:type="paragraph" w:styleId="Ttulo3">
    <w:name w:val="heading 3"/>
    <w:aliases w:val="ot"/>
    <w:basedOn w:val="Normal"/>
    <w:next w:val="Normal"/>
    <w:autoRedefine/>
    <w:qFormat/>
    <w:rsid w:val="00C37306"/>
    <w:pPr>
      <w:spacing w:line="360" w:lineRule="auto"/>
      <w:jc w:val="both"/>
      <w:outlineLvl w:val="2"/>
    </w:pPr>
    <w:rPr>
      <w:rFonts w:ascii="Verdana" w:eastAsia="Arial Unicode MS" w:hAnsi="Verdana" w:cs="Tahoma"/>
      <w:b/>
      <w:color w:val="000000"/>
      <w:szCs w:val="24"/>
    </w:rPr>
  </w:style>
  <w:style w:type="paragraph" w:styleId="Ttulo4">
    <w:name w:val="heading 4"/>
    <w:basedOn w:val="Normal"/>
    <w:next w:val="Normal"/>
    <w:autoRedefine/>
    <w:qFormat/>
    <w:pPr>
      <w:keepNext/>
      <w:spacing w:before="240" w:after="60" w:line="360" w:lineRule="auto"/>
      <w:outlineLvl w:val="3"/>
    </w:pPr>
    <w:rPr>
      <w:rFonts w:ascii="Trebuchet MS" w:hAnsi="Trebuchet MS"/>
      <w:b/>
      <w:sz w:val="22"/>
      <w:szCs w:val="22"/>
    </w:rPr>
  </w:style>
  <w:style w:type="paragraph" w:styleId="Ttulo5">
    <w:name w:val="heading 5"/>
    <w:basedOn w:val="Normal"/>
    <w:next w:val="Normal"/>
    <w:qFormat/>
    <w:pPr>
      <w:widowControl w:val="0"/>
      <w:numPr>
        <w:ilvl w:val="4"/>
        <w:numId w:val="1"/>
      </w:numPr>
      <w:spacing w:before="240" w:after="60"/>
      <w:jc w:val="both"/>
      <w:outlineLvl w:val="4"/>
    </w:pPr>
    <w:rPr>
      <w:lang w:val="en-US"/>
    </w:rPr>
  </w:style>
  <w:style w:type="paragraph" w:styleId="Ttulo6">
    <w:name w:val="heading 6"/>
    <w:basedOn w:val="Normal"/>
    <w:next w:val="Normal"/>
    <w:qFormat/>
    <w:pPr>
      <w:keepNext/>
      <w:jc w:val="right"/>
      <w:outlineLvl w:val="5"/>
    </w:pPr>
    <w:rPr>
      <w:i/>
    </w:rPr>
  </w:style>
  <w:style w:type="paragraph" w:styleId="Ttulo7">
    <w:name w:val="heading 7"/>
    <w:basedOn w:val="Corpodetexto"/>
    <w:next w:val="Corpodetexto"/>
    <w:qFormat/>
    <w:pPr>
      <w:widowControl/>
      <w:spacing w:after="240"/>
      <w:ind w:left="720" w:hanging="720"/>
      <w:outlineLvl w:val="6"/>
    </w:pPr>
  </w:style>
  <w:style w:type="paragraph" w:styleId="Ttulo8">
    <w:name w:val="heading 8"/>
    <w:basedOn w:val="Corpodetexto"/>
    <w:next w:val="Corpodetexto"/>
    <w:qFormat/>
    <w:pPr>
      <w:widowControl/>
      <w:spacing w:after="240"/>
      <w:ind w:left="720" w:hanging="720"/>
      <w:outlineLvl w:val="7"/>
    </w:pPr>
  </w:style>
  <w:style w:type="paragraph" w:styleId="Ttulo9">
    <w:name w:val="heading 9"/>
    <w:basedOn w:val="Corpodetexto"/>
    <w:next w:val="Corpodetexto"/>
    <w:qFormat/>
    <w:pPr>
      <w:widowControl/>
      <w:spacing w:after="240"/>
      <w:ind w:left="720" w:hanging="72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styleId="Recuodecorpodetexto">
    <w:name w:val="Body Text Indent"/>
    <w:basedOn w:val="Normal"/>
    <w:pPr>
      <w:suppressAutoHyphens/>
      <w:ind w:firstLine="360"/>
      <w:jc w:val="both"/>
    </w:pPr>
    <w:rPr>
      <w:lang w:val="en-US"/>
    </w:rPr>
  </w:style>
  <w:style w:type="paragraph" w:styleId="Corpodetexto">
    <w:name w:val="Body Text"/>
    <w:basedOn w:val="Normal"/>
    <w:link w:val="CorpodetextoChar"/>
    <w:pPr>
      <w:widowControl w:val="0"/>
      <w:jc w:val="both"/>
    </w:pPr>
    <w:rPr>
      <w:lang w:val="en-US"/>
    </w:rPr>
  </w:style>
  <w:style w:type="paragraph" w:styleId="Cabealho">
    <w:name w:val="header"/>
    <w:basedOn w:val="Normal"/>
    <w:pPr>
      <w:widowControl w:val="0"/>
      <w:tabs>
        <w:tab w:val="center" w:pos="4419"/>
        <w:tab w:val="right" w:pos="8838"/>
      </w:tabs>
    </w:pPr>
    <w:rPr>
      <w:lang w:val="en-US"/>
    </w:rPr>
  </w:style>
  <w:style w:type="character" w:styleId="Nmerodepgina">
    <w:name w:val="page number"/>
    <w:rPr>
      <w:rFonts w:cs="Times New Roman"/>
      <w:spacing w:val="0"/>
      <w:sz w:val="20"/>
    </w:rPr>
  </w:style>
  <w:style w:type="paragraph" w:styleId="Rodap">
    <w:name w:val="footer"/>
    <w:basedOn w:val="Normal"/>
    <w:link w:val="RodapChar"/>
    <w:uiPriority w:val="99"/>
    <w:pPr>
      <w:widowControl w:val="0"/>
      <w:tabs>
        <w:tab w:val="center" w:pos="4419"/>
        <w:tab w:val="right" w:pos="8838"/>
      </w:tabs>
    </w:pPr>
    <w:rPr>
      <w:lang w:val="en-US"/>
    </w:rPr>
  </w:style>
  <w:style w:type="paragraph" w:styleId="Recuodecorpodetexto2">
    <w:name w:val="Body Text Indent 2"/>
    <w:basedOn w:val="Normal"/>
    <w:pPr>
      <w:ind w:left="709" w:hanging="709"/>
      <w:jc w:val="both"/>
    </w:pPr>
    <w:rPr>
      <w:lang w:val="en-US"/>
    </w:rPr>
  </w:style>
  <w:style w:type="paragraph" w:customStyle="1" w:styleId="legenda">
    <w:name w:val="legenda"/>
    <w:basedOn w:val="Normal"/>
    <w:pPr>
      <w:widowControl w:val="0"/>
    </w:pPr>
    <w:rPr>
      <w:lang w:val="en-US"/>
    </w:rPr>
  </w:style>
  <w:style w:type="paragraph" w:styleId="Textodenotaderodap">
    <w:name w:val="footnote text"/>
    <w:basedOn w:val="Normal"/>
    <w:rPr>
      <w:sz w:val="20"/>
    </w:rPr>
  </w:style>
  <w:style w:type="character" w:styleId="Refdenotaderodap">
    <w:name w:val="footnote reference"/>
    <w:rPr>
      <w:rFonts w:cs="Times New Roman"/>
      <w:spacing w:val="0"/>
      <w:vertAlign w:val="superscript"/>
    </w:rPr>
  </w:style>
  <w:style w:type="paragraph" w:styleId="Recuodecorpodetexto3">
    <w:name w:val="Body Text Indent 3"/>
    <w:basedOn w:val="Normal"/>
    <w:pPr>
      <w:ind w:left="709" w:hanging="709"/>
    </w:pPr>
  </w:style>
  <w:style w:type="paragraph" w:styleId="Corpodetexto2">
    <w:name w:val="Body Text 2"/>
    <w:basedOn w:val="Normal"/>
    <w:pPr>
      <w:spacing w:after="200" w:line="288" w:lineRule="auto"/>
      <w:ind w:left="1417"/>
      <w:jc w:val="both"/>
    </w:pPr>
    <w:rPr>
      <w:rFonts w:ascii="CG Times" w:hAnsi="CG Times"/>
      <w:sz w:val="22"/>
      <w:lang w:val="en-US"/>
    </w:rPr>
  </w:style>
  <w:style w:type="paragraph" w:styleId="MapadoDocumento">
    <w:name w:val="Document Map"/>
    <w:basedOn w:val="Normal"/>
    <w:pPr>
      <w:shd w:val="clear" w:color="auto" w:fill="000080"/>
    </w:pPr>
    <w:rPr>
      <w:rFonts w:ascii="Tahoma" w:hAnsi="Tahoma"/>
    </w:rPr>
  </w:style>
  <w:style w:type="paragraph" w:customStyle="1" w:styleId="p0">
    <w:name w:val="p0"/>
    <w:basedOn w:val="Normal"/>
    <w:pPr>
      <w:spacing w:line="240" w:lineRule="atLeast"/>
      <w:jc w:val="both"/>
    </w:pPr>
    <w:rPr>
      <w:rFonts w:ascii="Times" w:hAnsi="Times" w:cs="Times"/>
      <w:szCs w:val="24"/>
    </w:rPr>
  </w:style>
  <w:style w:type="paragraph" w:styleId="Corpodetexto3">
    <w:name w:val="Body Text 3"/>
    <w:basedOn w:val="Normal"/>
    <w:pPr>
      <w:jc w:val="both"/>
    </w:pPr>
    <w:rPr>
      <w:szCs w:val="24"/>
    </w:rPr>
  </w:style>
  <w:style w:type="paragraph" w:customStyle="1" w:styleId="InitialCodes">
    <w:name w:val="InitialCodes"/>
    <w:pPr>
      <w:tabs>
        <w:tab w:val="left" w:pos="-720"/>
      </w:tabs>
      <w:suppressAutoHyphens/>
      <w:autoSpaceDE w:val="0"/>
      <w:autoSpaceDN w:val="0"/>
      <w:adjustRightInd w:val="0"/>
    </w:pPr>
    <w:rPr>
      <w:rFonts w:ascii="Courier" w:hAnsi="Courier"/>
      <w:sz w:val="24"/>
      <w:lang w:val="en-US"/>
    </w:rPr>
  </w:style>
  <w:style w:type="paragraph" w:customStyle="1" w:styleId="Normala">
    <w:name w:val="Normal(a)"/>
    <w:basedOn w:val="Normal"/>
    <w:pPr>
      <w:suppressAutoHyphens/>
      <w:spacing w:before="240"/>
      <w:ind w:firstLine="1440"/>
      <w:jc w:val="both"/>
    </w:pPr>
    <w:rPr>
      <w:lang w:val="en-US"/>
    </w:rPr>
  </w:style>
  <w:style w:type="paragraph" w:customStyle="1" w:styleId="dx-TitleC">
    <w:name w:val="dx-Title C"/>
    <w:aliases w:val="t10"/>
    <w:basedOn w:val="Normal"/>
    <w:pPr>
      <w:spacing w:after="240"/>
      <w:jc w:val="center"/>
    </w:pPr>
    <w:rPr>
      <w:lang w:val="en-US"/>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rPr>
  </w:style>
  <w:style w:type="paragraph" w:customStyle="1" w:styleId="BodyText21">
    <w:name w:val="Body Text 21"/>
    <w:basedOn w:val="Normal"/>
    <w:pPr>
      <w:jc w:val="both"/>
    </w:pPr>
  </w:style>
  <w:style w:type="paragraph" w:customStyle="1" w:styleId="BodyTextIndent21">
    <w:name w:val="Body Text Indent 21"/>
    <w:basedOn w:val="Normal"/>
    <w:pPr>
      <w:suppressAutoHyphens/>
      <w:ind w:firstLine="709"/>
      <w:jc w:val="both"/>
    </w:pPr>
    <w:rPr>
      <w:lang w:val="en-US"/>
    </w:rPr>
  </w:style>
  <w:style w:type="paragraph" w:styleId="Recuonormal">
    <w:name w:val="Normal Indent"/>
    <w:basedOn w:val="Normal"/>
    <w:pPr>
      <w:ind w:left="708"/>
    </w:pPr>
    <w:rPr>
      <w:rFonts w:ascii="Tms Rmn" w:hAnsi="Tms Rmn"/>
      <w:sz w:val="20"/>
      <w:lang w:val="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lang w:val="en-US"/>
    </w:rPr>
  </w:style>
  <w:style w:type="paragraph" w:styleId="Commarcadores">
    <w:name w:val="List Bullet"/>
    <w:basedOn w:val="Normal"/>
    <w:uiPriority w:val="99"/>
    <w:pPr>
      <w:tabs>
        <w:tab w:val="num" w:pos="360"/>
      </w:tabs>
      <w:ind w:left="360" w:hanging="360"/>
    </w:pPr>
    <w:rPr>
      <w:sz w:val="20"/>
    </w:rPr>
  </w:style>
  <w:style w:type="paragraph" w:customStyle="1" w:styleId="CharCharCharCharCharCharCharChar1Char">
    <w:name w:val="Char Char Char Char Char Char Char Char1 Char"/>
    <w:basedOn w:val="Normal"/>
    <w:pPr>
      <w:spacing w:after="160" w:line="240" w:lineRule="exact"/>
    </w:pPr>
    <w:rPr>
      <w:rFonts w:ascii="Verdana" w:hAnsi="Verdana"/>
      <w:sz w:val="20"/>
      <w:lang w:val="en-US"/>
    </w:rPr>
  </w:style>
  <w:style w:type="paragraph" w:customStyle="1" w:styleId="Level1">
    <w:name w:val="Level 1"/>
    <w:basedOn w:val="Normal"/>
    <w:next w:val="Normal"/>
    <w:pPr>
      <w:keepNext/>
      <w:numPr>
        <w:numId w:val="2"/>
      </w:numPr>
      <w:spacing w:before="280" w:after="140" w:line="290" w:lineRule="auto"/>
      <w:jc w:val="both"/>
      <w:outlineLvl w:val="0"/>
    </w:pPr>
    <w:rPr>
      <w:rFonts w:ascii="Arial" w:hAnsi="Arial"/>
      <w:b/>
      <w:kern w:val="20"/>
      <w:sz w:val="22"/>
      <w:szCs w:val="32"/>
    </w:rPr>
  </w:style>
  <w:style w:type="paragraph" w:customStyle="1" w:styleId="Level2">
    <w:name w:val="Level 2"/>
    <w:basedOn w:val="Normal"/>
    <w:pPr>
      <w:numPr>
        <w:ilvl w:val="1"/>
        <w:numId w:val="2"/>
      </w:numPr>
      <w:spacing w:after="140" w:line="290" w:lineRule="auto"/>
      <w:jc w:val="both"/>
    </w:pPr>
    <w:rPr>
      <w:rFonts w:ascii="Arial" w:hAnsi="Arial"/>
      <w:kern w:val="20"/>
      <w:sz w:val="20"/>
      <w:szCs w:val="28"/>
    </w:rPr>
  </w:style>
  <w:style w:type="paragraph" w:customStyle="1" w:styleId="Level3">
    <w:name w:val="Level 3"/>
    <w:basedOn w:val="Normal"/>
    <w:pPr>
      <w:numPr>
        <w:ilvl w:val="2"/>
        <w:numId w:val="2"/>
      </w:numPr>
      <w:spacing w:after="140" w:line="290" w:lineRule="auto"/>
      <w:jc w:val="both"/>
    </w:pPr>
    <w:rPr>
      <w:rFonts w:ascii="Arial" w:hAnsi="Arial"/>
      <w:kern w:val="20"/>
      <w:sz w:val="20"/>
      <w:szCs w:val="28"/>
    </w:rPr>
  </w:style>
  <w:style w:type="paragraph" w:customStyle="1" w:styleId="Level5">
    <w:name w:val="Level 5"/>
    <w:basedOn w:val="Normal"/>
    <w:pPr>
      <w:numPr>
        <w:ilvl w:val="3"/>
        <w:numId w:val="2"/>
      </w:numPr>
      <w:spacing w:after="140" w:line="290" w:lineRule="auto"/>
      <w:jc w:val="both"/>
    </w:pPr>
    <w:rPr>
      <w:rFonts w:ascii="Arial" w:hAnsi="Arial"/>
      <w:kern w:val="20"/>
      <w:sz w:val="20"/>
      <w:szCs w:val="24"/>
    </w:rPr>
  </w:style>
  <w:style w:type="paragraph" w:styleId="Remetente">
    <w:name w:val="envelope return"/>
    <w:basedOn w:val="Normal"/>
    <w:rPr>
      <w:rFonts w:cs="Courier New"/>
      <w:lang w:val="en-US"/>
    </w:rPr>
  </w:style>
  <w:style w:type="character" w:styleId="Hyperlink">
    <w:name w:val="Hyperlink"/>
    <w:rPr>
      <w:rFonts w:cs="Times New Roman"/>
      <w:color w:val="0000FF"/>
      <w:spacing w:val="0"/>
      <w:u w:val="single"/>
    </w:rPr>
  </w:style>
  <w:style w:type="paragraph" w:styleId="PargrafodaLista">
    <w:name w:val="List Paragraph"/>
    <w:aliases w:val="Bullets 1,Capítulo,Itemização,Vitor Título,Vitor T’tulo,Nível 1,Normal numerado,Meu,Vitor T,List Paragraph_0,????,????1,?????1,Bullet List,Bulletr List Paragraph,FooterText,List Paragraph11,Lists,Paragraphe de liste1,Párrafo de lista1"/>
    <w:basedOn w:val="Normal"/>
    <w:link w:val="PargrafodaListaChar"/>
    <w:uiPriority w:val="34"/>
    <w:qFormat/>
    <w:pPr>
      <w:ind w:left="708"/>
    </w:pPr>
  </w:style>
  <w:style w:type="paragraph" w:customStyle="1" w:styleId="Legal2L1">
    <w:name w:val="Legal2_L1"/>
    <w:basedOn w:val="Normal"/>
    <w:next w:val="Normal"/>
    <w:pPr>
      <w:spacing w:after="240"/>
      <w:jc w:val="both"/>
      <w:outlineLvl w:val="0"/>
    </w:pPr>
    <w:rPr>
      <w:lang w:val="en-US"/>
    </w:rPr>
  </w:style>
  <w:style w:type="paragraph" w:styleId="Textodebalo">
    <w:name w:val="Balloon Text"/>
    <w:basedOn w:val="Normal"/>
    <w:rPr>
      <w:rFonts w:ascii="Tahoma" w:hAnsi="Tahoma" w:cs="Tahoma"/>
      <w:sz w:val="16"/>
      <w:szCs w:val="16"/>
    </w:rPr>
  </w:style>
  <w:style w:type="paragraph" w:customStyle="1" w:styleId="DeltaViewTableHeading">
    <w:name w:val="DeltaView Table Heading"/>
    <w:basedOn w:val="Normal"/>
    <w:pPr>
      <w:spacing w:after="120"/>
    </w:pPr>
    <w:rPr>
      <w:rFonts w:ascii="Arial" w:hAnsi="Arial"/>
      <w:b/>
      <w:szCs w:val="24"/>
      <w:lang w:val="en-US"/>
    </w:rPr>
  </w:style>
  <w:style w:type="paragraph" w:customStyle="1" w:styleId="DeltaViewTableBody">
    <w:name w:val="DeltaView Table Body"/>
    <w:basedOn w:val="Normal"/>
    <w:rPr>
      <w:rFonts w:ascii="Arial" w:hAnsi="Arial"/>
      <w:szCs w:val="24"/>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sz w:val="24"/>
      <w:szCs w:val="24"/>
      <w:lang w:val="en-GB"/>
    </w:rPr>
  </w:style>
  <w:style w:type="character" w:styleId="Refdecomentrio">
    <w:name w:val="annotation reference"/>
    <w:uiPriority w:val="99"/>
    <w:rPr>
      <w:spacing w:val="0"/>
      <w:sz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uiPriority w:val="99"/>
    <w:rPr>
      <w:sz w:val="20"/>
      <w:szCs w:val="24"/>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2">
    <w:name w:val="Body 2"/>
    <w:basedOn w:val="Normal"/>
    <w:rsid w:val="00CD7AA8"/>
    <w:pPr>
      <w:spacing w:after="140" w:line="290" w:lineRule="auto"/>
      <w:ind w:left="1247"/>
      <w:jc w:val="both"/>
    </w:pPr>
    <w:rPr>
      <w:rFonts w:ascii="Arial" w:hAnsi="Arial"/>
      <w:kern w:val="20"/>
      <w:sz w:val="20"/>
      <w:szCs w:val="24"/>
      <w:lang w:val="en-GB"/>
    </w:rPr>
  </w:style>
  <w:style w:type="paragraph" w:customStyle="1" w:styleId="PargrafodaLista1">
    <w:name w:val="Parágrafo da Lista1"/>
    <w:basedOn w:val="Normal"/>
    <w:qFormat/>
    <w:rsid w:val="00513D90"/>
    <w:pPr>
      <w:widowControl w:val="0"/>
      <w:spacing w:line="360" w:lineRule="atLeast"/>
      <w:ind w:left="720"/>
      <w:jc w:val="both"/>
      <w:textAlignment w:val="baseline"/>
    </w:pPr>
    <w:rPr>
      <w:szCs w:val="24"/>
    </w:rPr>
  </w:style>
  <w:style w:type="character" w:customStyle="1" w:styleId="Textodocorpo2Semitlico">
    <w:name w:val="Texto do corpo (2) + Sem itálico"/>
    <w:rsid w:val="004C568E"/>
    <w:rPr>
      <w:rFonts w:ascii="Times New Roman" w:eastAsia="Times New Roman" w:hAnsi="Times New Roman" w:cs="Times New Roman"/>
      <w:b w:val="0"/>
      <w:bCs w:val="0"/>
      <w:i/>
      <w:iCs/>
      <w:smallCaps w:val="0"/>
      <w:strike w:val="0"/>
      <w:spacing w:val="0"/>
      <w:sz w:val="23"/>
      <w:szCs w:val="23"/>
    </w:rPr>
  </w:style>
  <w:style w:type="paragraph" w:customStyle="1" w:styleId="NormalJustified">
    <w:name w:val="Normal (Justified)"/>
    <w:basedOn w:val="Normal"/>
    <w:rsid w:val="00994BED"/>
    <w:pPr>
      <w:autoSpaceDE/>
      <w:autoSpaceDN/>
      <w:adjustRightInd/>
      <w:jc w:val="both"/>
    </w:pPr>
    <w:rPr>
      <w:kern w:val="28"/>
    </w:rPr>
  </w:style>
  <w:style w:type="character" w:customStyle="1" w:styleId="RodapChar">
    <w:name w:val="Rodapé Char"/>
    <w:basedOn w:val="Fontepargpadro"/>
    <w:link w:val="Rodap"/>
    <w:uiPriority w:val="99"/>
    <w:rsid w:val="00A623CA"/>
    <w:rPr>
      <w:sz w:val="24"/>
      <w:lang w:val="en-US"/>
    </w:rPr>
  </w:style>
  <w:style w:type="paragraph" w:customStyle="1" w:styleId="Default">
    <w:name w:val="Default"/>
    <w:rsid w:val="00515EFC"/>
    <w:pPr>
      <w:autoSpaceDE w:val="0"/>
      <w:autoSpaceDN w:val="0"/>
      <w:adjustRightInd w:val="0"/>
    </w:pPr>
    <w:rPr>
      <w:rFonts w:eastAsia="Arial Unicode MS"/>
      <w:color w:val="000000"/>
      <w:sz w:val="24"/>
      <w:szCs w:val="24"/>
    </w:rPr>
  </w:style>
  <w:style w:type="paragraph" w:styleId="NormalWeb">
    <w:name w:val="Normal (Web)"/>
    <w:basedOn w:val="Normal"/>
    <w:uiPriority w:val="99"/>
    <w:unhideWhenUsed/>
    <w:rsid w:val="00805BA5"/>
    <w:pPr>
      <w:autoSpaceDE/>
      <w:autoSpaceDN/>
      <w:adjustRightInd/>
      <w:spacing w:before="100" w:beforeAutospacing="1" w:after="100" w:afterAutospacing="1"/>
    </w:pPr>
    <w:rPr>
      <w:szCs w:val="24"/>
    </w:rPr>
  </w:style>
  <w:style w:type="paragraph" w:styleId="Assuntodocomentrio">
    <w:name w:val="annotation subject"/>
    <w:basedOn w:val="Textodecomentrio"/>
    <w:next w:val="Textodecomentrio"/>
    <w:link w:val="AssuntodocomentrioChar"/>
    <w:rsid w:val="000C5DAE"/>
    <w:rPr>
      <w:b/>
      <w:bCs/>
      <w:szCs w:val="20"/>
      <w:lang w:val="pt-BR"/>
    </w:rPr>
  </w:style>
  <w:style w:type="character" w:customStyle="1" w:styleId="TextodecomentrioChar">
    <w:name w:val="Texto de comentário Char"/>
    <w:basedOn w:val="Fontepargpadro"/>
    <w:link w:val="Textodecomentrio"/>
    <w:uiPriority w:val="99"/>
    <w:rsid w:val="000C5DAE"/>
    <w:rPr>
      <w:szCs w:val="24"/>
      <w:lang w:val="en-US"/>
    </w:rPr>
  </w:style>
  <w:style w:type="character" w:customStyle="1" w:styleId="AssuntodocomentrioChar">
    <w:name w:val="Assunto do comentário Char"/>
    <w:basedOn w:val="TextodecomentrioChar"/>
    <w:link w:val="Assuntodocomentrio"/>
    <w:rsid w:val="000C5DAE"/>
    <w:rPr>
      <w:b/>
      <w:bCs/>
      <w:szCs w:val="24"/>
      <w:lang w:val="en-US"/>
    </w:rPr>
  </w:style>
  <w:style w:type="character" w:customStyle="1" w:styleId="CorpodetextoChar">
    <w:name w:val="Corpo de texto Char"/>
    <w:basedOn w:val="Fontepargpadro"/>
    <w:link w:val="Corpodetexto"/>
    <w:rsid w:val="00D8108B"/>
    <w:rPr>
      <w:sz w:val="24"/>
      <w:lang w:val="en-US"/>
    </w:rPr>
  </w:style>
  <w:style w:type="character" w:styleId="MenoPendente">
    <w:name w:val="Unresolved Mention"/>
    <w:basedOn w:val="Fontepargpadro"/>
    <w:uiPriority w:val="99"/>
    <w:semiHidden/>
    <w:unhideWhenUsed/>
    <w:rsid w:val="00F83FF1"/>
    <w:rPr>
      <w:color w:val="808080"/>
      <w:shd w:val="clear" w:color="auto" w:fill="E6E6E6"/>
    </w:rPr>
  </w:style>
  <w:style w:type="character" w:customStyle="1" w:styleId="PargrafodaListaChar">
    <w:name w:val="Parágrafo da Lista Char"/>
    <w:aliases w:val="Bullets 1 Char,Capítulo Char,Itemização Char,Vitor Título Char,Vitor T’tulo Char,Nível 1 Char,Normal numerado Char,Meu Char,Vitor T Char,List Paragraph_0 Char,???? Char,????1 Char,?????1 Char,Bullet List Char,FooterText Char"/>
    <w:link w:val="PargrafodaLista"/>
    <w:uiPriority w:val="1"/>
    <w:qFormat/>
    <w:locked/>
    <w:rsid w:val="001B7484"/>
    <w:rPr>
      <w:sz w:val="24"/>
    </w:rPr>
  </w:style>
  <w:style w:type="paragraph" w:styleId="Reviso">
    <w:name w:val="Revision"/>
    <w:hidden/>
    <w:uiPriority w:val="99"/>
    <w:semiHidden/>
    <w:rsid w:val="000E5DB0"/>
    <w:rPr>
      <w:sz w:val="24"/>
    </w:rPr>
  </w:style>
  <w:style w:type="paragraph" w:customStyle="1" w:styleId="titulo1">
    <w:name w:val="titulo 1"/>
    <w:basedOn w:val="Normal"/>
    <w:next w:val="Normal"/>
    <w:qFormat/>
    <w:rsid w:val="003D6FD6"/>
    <w:pPr>
      <w:keepNext/>
      <w:numPr>
        <w:numId w:val="28"/>
      </w:numPr>
      <w:spacing w:before="360" w:after="360" w:line="280" w:lineRule="atLeast"/>
      <w:ind w:right="335"/>
      <w:jc w:val="center"/>
    </w:pPr>
    <w:rPr>
      <w:rFonts w:ascii="Lucida Sans" w:hAnsi="Lucida Sans"/>
      <w:b/>
      <w:caps/>
      <w:szCs w:val="22"/>
    </w:rPr>
  </w:style>
  <w:style w:type="paragraph" w:customStyle="1" w:styleId="titulo3">
    <w:name w:val="titulo 3"/>
    <w:basedOn w:val="Normal"/>
    <w:link w:val="titulo3Char"/>
    <w:qFormat/>
    <w:rsid w:val="003D6FD6"/>
    <w:pPr>
      <w:keepNext/>
      <w:numPr>
        <w:ilvl w:val="2"/>
        <w:numId w:val="28"/>
      </w:numPr>
      <w:spacing w:before="120" w:after="240" w:line="280" w:lineRule="atLeast"/>
      <w:jc w:val="both"/>
    </w:pPr>
    <w:rPr>
      <w:rFonts w:ascii="Lucida Bright" w:hAnsi="Lucida Bright"/>
      <w:sz w:val="22"/>
      <w:szCs w:val="22"/>
    </w:rPr>
  </w:style>
  <w:style w:type="paragraph" w:customStyle="1" w:styleId="titulo4">
    <w:name w:val="titulo 4"/>
    <w:basedOn w:val="Normal"/>
    <w:qFormat/>
    <w:rsid w:val="003D6FD6"/>
    <w:pPr>
      <w:keepNext/>
      <w:numPr>
        <w:ilvl w:val="3"/>
        <w:numId w:val="28"/>
      </w:numPr>
      <w:spacing w:before="120" w:after="240" w:line="280" w:lineRule="atLeast"/>
      <w:jc w:val="both"/>
    </w:pPr>
    <w:rPr>
      <w:rFonts w:ascii="Lucida Bright" w:hAnsi="Lucida Bright"/>
      <w:sz w:val="22"/>
      <w:szCs w:val="22"/>
    </w:rPr>
  </w:style>
  <w:style w:type="character" w:customStyle="1" w:styleId="titulo3Char">
    <w:name w:val="titulo 3 Char"/>
    <w:link w:val="titulo3"/>
    <w:rsid w:val="003D6FD6"/>
    <w:rPr>
      <w:rFonts w:ascii="Lucida Bright" w:hAnsi="Lucida Bright"/>
      <w:sz w:val="22"/>
      <w:szCs w:val="22"/>
    </w:rPr>
  </w:style>
  <w:style w:type="paragraph" w:customStyle="1" w:styleId="titulo5">
    <w:name w:val="titulo 5"/>
    <w:basedOn w:val="Normal"/>
    <w:qFormat/>
    <w:rsid w:val="003D6FD6"/>
    <w:pPr>
      <w:keepNext/>
      <w:numPr>
        <w:ilvl w:val="4"/>
        <w:numId w:val="28"/>
      </w:numPr>
      <w:spacing w:line="280" w:lineRule="atLeast"/>
      <w:jc w:val="both"/>
    </w:pPr>
    <w:rPr>
      <w:rFonts w:ascii="Lucida Bright" w:hAnsi="Lucida Brigh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3454">
      <w:bodyDiv w:val="1"/>
      <w:marLeft w:val="0"/>
      <w:marRight w:val="0"/>
      <w:marTop w:val="0"/>
      <w:marBottom w:val="0"/>
      <w:divBdr>
        <w:top w:val="none" w:sz="0" w:space="0" w:color="auto"/>
        <w:left w:val="none" w:sz="0" w:space="0" w:color="auto"/>
        <w:bottom w:val="none" w:sz="0" w:space="0" w:color="auto"/>
        <w:right w:val="none" w:sz="0" w:space="0" w:color="auto"/>
      </w:divBdr>
    </w:div>
    <w:div w:id="116459968">
      <w:bodyDiv w:val="1"/>
      <w:marLeft w:val="0"/>
      <w:marRight w:val="0"/>
      <w:marTop w:val="0"/>
      <w:marBottom w:val="0"/>
      <w:divBdr>
        <w:top w:val="none" w:sz="0" w:space="0" w:color="auto"/>
        <w:left w:val="none" w:sz="0" w:space="0" w:color="auto"/>
        <w:bottom w:val="none" w:sz="0" w:space="0" w:color="auto"/>
        <w:right w:val="none" w:sz="0" w:space="0" w:color="auto"/>
      </w:divBdr>
    </w:div>
    <w:div w:id="152452941">
      <w:bodyDiv w:val="1"/>
      <w:marLeft w:val="0"/>
      <w:marRight w:val="0"/>
      <w:marTop w:val="0"/>
      <w:marBottom w:val="0"/>
      <w:divBdr>
        <w:top w:val="none" w:sz="0" w:space="0" w:color="auto"/>
        <w:left w:val="none" w:sz="0" w:space="0" w:color="auto"/>
        <w:bottom w:val="none" w:sz="0" w:space="0" w:color="auto"/>
        <w:right w:val="none" w:sz="0" w:space="0" w:color="auto"/>
      </w:divBdr>
    </w:div>
    <w:div w:id="191577395">
      <w:bodyDiv w:val="1"/>
      <w:marLeft w:val="0"/>
      <w:marRight w:val="0"/>
      <w:marTop w:val="0"/>
      <w:marBottom w:val="0"/>
      <w:divBdr>
        <w:top w:val="none" w:sz="0" w:space="0" w:color="auto"/>
        <w:left w:val="none" w:sz="0" w:space="0" w:color="auto"/>
        <w:bottom w:val="none" w:sz="0" w:space="0" w:color="auto"/>
        <w:right w:val="none" w:sz="0" w:space="0" w:color="auto"/>
      </w:divBdr>
    </w:div>
    <w:div w:id="292831785">
      <w:bodyDiv w:val="1"/>
      <w:marLeft w:val="0"/>
      <w:marRight w:val="0"/>
      <w:marTop w:val="0"/>
      <w:marBottom w:val="0"/>
      <w:divBdr>
        <w:top w:val="none" w:sz="0" w:space="0" w:color="auto"/>
        <w:left w:val="none" w:sz="0" w:space="0" w:color="auto"/>
        <w:bottom w:val="none" w:sz="0" w:space="0" w:color="auto"/>
        <w:right w:val="none" w:sz="0" w:space="0" w:color="auto"/>
      </w:divBdr>
    </w:div>
    <w:div w:id="429202858">
      <w:bodyDiv w:val="1"/>
      <w:marLeft w:val="0"/>
      <w:marRight w:val="0"/>
      <w:marTop w:val="0"/>
      <w:marBottom w:val="0"/>
      <w:divBdr>
        <w:top w:val="none" w:sz="0" w:space="0" w:color="auto"/>
        <w:left w:val="none" w:sz="0" w:space="0" w:color="auto"/>
        <w:bottom w:val="none" w:sz="0" w:space="0" w:color="auto"/>
        <w:right w:val="none" w:sz="0" w:space="0" w:color="auto"/>
      </w:divBdr>
    </w:div>
    <w:div w:id="542248950">
      <w:bodyDiv w:val="1"/>
      <w:marLeft w:val="0"/>
      <w:marRight w:val="0"/>
      <w:marTop w:val="0"/>
      <w:marBottom w:val="0"/>
      <w:divBdr>
        <w:top w:val="none" w:sz="0" w:space="0" w:color="auto"/>
        <w:left w:val="none" w:sz="0" w:space="0" w:color="auto"/>
        <w:bottom w:val="none" w:sz="0" w:space="0" w:color="auto"/>
        <w:right w:val="none" w:sz="0" w:space="0" w:color="auto"/>
      </w:divBdr>
    </w:div>
    <w:div w:id="604074819">
      <w:bodyDiv w:val="1"/>
      <w:marLeft w:val="0"/>
      <w:marRight w:val="0"/>
      <w:marTop w:val="0"/>
      <w:marBottom w:val="0"/>
      <w:divBdr>
        <w:top w:val="none" w:sz="0" w:space="0" w:color="auto"/>
        <w:left w:val="none" w:sz="0" w:space="0" w:color="auto"/>
        <w:bottom w:val="none" w:sz="0" w:space="0" w:color="auto"/>
        <w:right w:val="none" w:sz="0" w:space="0" w:color="auto"/>
      </w:divBdr>
    </w:div>
    <w:div w:id="738018361">
      <w:bodyDiv w:val="1"/>
      <w:marLeft w:val="0"/>
      <w:marRight w:val="0"/>
      <w:marTop w:val="0"/>
      <w:marBottom w:val="0"/>
      <w:divBdr>
        <w:top w:val="none" w:sz="0" w:space="0" w:color="auto"/>
        <w:left w:val="none" w:sz="0" w:space="0" w:color="auto"/>
        <w:bottom w:val="none" w:sz="0" w:space="0" w:color="auto"/>
        <w:right w:val="none" w:sz="0" w:space="0" w:color="auto"/>
      </w:divBdr>
    </w:div>
    <w:div w:id="941228972">
      <w:bodyDiv w:val="1"/>
      <w:marLeft w:val="0"/>
      <w:marRight w:val="0"/>
      <w:marTop w:val="0"/>
      <w:marBottom w:val="0"/>
      <w:divBdr>
        <w:top w:val="none" w:sz="0" w:space="0" w:color="auto"/>
        <w:left w:val="none" w:sz="0" w:space="0" w:color="auto"/>
        <w:bottom w:val="none" w:sz="0" w:space="0" w:color="auto"/>
        <w:right w:val="none" w:sz="0" w:space="0" w:color="auto"/>
      </w:divBdr>
    </w:div>
    <w:div w:id="1086145645">
      <w:bodyDiv w:val="1"/>
      <w:marLeft w:val="0"/>
      <w:marRight w:val="0"/>
      <w:marTop w:val="0"/>
      <w:marBottom w:val="0"/>
      <w:divBdr>
        <w:top w:val="none" w:sz="0" w:space="0" w:color="auto"/>
        <w:left w:val="none" w:sz="0" w:space="0" w:color="auto"/>
        <w:bottom w:val="none" w:sz="0" w:space="0" w:color="auto"/>
        <w:right w:val="none" w:sz="0" w:space="0" w:color="auto"/>
      </w:divBdr>
    </w:div>
    <w:div w:id="1106196602">
      <w:bodyDiv w:val="1"/>
      <w:marLeft w:val="0"/>
      <w:marRight w:val="0"/>
      <w:marTop w:val="0"/>
      <w:marBottom w:val="0"/>
      <w:divBdr>
        <w:top w:val="none" w:sz="0" w:space="0" w:color="auto"/>
        <w:left w:val="none" w:sz="0" w:space="0" w:color="auto"/>
        <w:bottom w:val="none" w:sz="0" w:space="0" w:color="auto"/>
        <w:right w:val="none" w:sz="0" w:space="0" w:color="auto"/>
      </w:divBdr>
      <w:divsChild>
        <w:div w:id="739984901">
          <w:marLeft w:val="0"/>
          <w:marRight w:val="0"/>
          <w:marTop w:val="0"/>
          <w:marBottom w:val="0"/>
          <w:divBdr>
            <w:top w:val="none" w:sz="0" w:space="0" w:color="auto"/>
            <w:left w:val="none" w:sz="0" w:space="0" w:color="auto"/>
            <w:bottom w:val="none" w:sz="0" w:space="0" w:color="auto"/>
            <w:right w:val="none" w:sz="0" w:space="0" w:color="auto"/>
          </w:divBdr>
          <w:divsChild>
            <w:div w:id="117696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44150">
      <w:bodyDiv w:val="1"/>
      <w:marLeft w:val="0"/>
      <w:marRight w:val="0"/>
      <w:marTop w:val="0"/>
      <w:marBottom w:val="0"/>
      <w:divBdr>
        <w:top w:val="none" w:sz="0" w:space="0" w:color="auto"/>
        <w:left w:val="none" w:sz="0" w:space="0" w:color="auto"/>
        <w:bottom w:val="none" w:sz="0" w:space="0" w:color="auto"/>
        <w:right w:val="none" w:sz="0" w:space="0" w:color="auto"/>
      </w:divBdr>
    </w:div>
    <w:div w:id="1356344490">
      <w:bodyDiv w:val="1"/>
      <w:marLeft w:val="0"/>
      <w:marRight w:val="0"/>
      <w:marTop w:val="0"/>
      <w:marBottom w:val="0"/>
      <w:divBdr>
        <w:top w:val="none" w:sz="0" w:space="0" w:color="auto"/>
        <w:left w:val="none" w:sz="0" w:space="0" w:color="auto"/>
        <w:bottom w:val="none" w:sz="0" w:space="0" w:color="auto"/>
        <w:right w:val="none" w:sz="0" w:space="0" w:color="auto"/>
      </w:divBdr>
    </w:div>
    <w:div w:id="1664042250">
      <w:bodyDiv w:val="1"/>
      <w:marLeft w:val="0"/>
      <w:marRight w:val="0"/>
      <w:marTop w:val="0"/>
      <w:marBottom w:val="0"/>
      <w:divBdr>
        <w:top w:val="none" w:sz="0" w:space="0" w:color="auto"/>
        <w:left w:val="none" w:sz="0" w:space="0" w:color="auto"/>
        <w:bottom w:val="none" w:sz="0" w:space="0" w:color="auto"/>
        <w:right w:val="none" w:sz="0" w:space="0" w:color="auto"/>
      </w:divBdr>
    </w:div>
    <w:div w:id="1681732610">
      <w:bodyDiv w:val="1"/>
      <w:marLeft w:val="0"/>
      <w:marRight w:val="0"/>
      <w:marTop w:val="0"/>
      <w:marBottom w:val="0"/>
      <w:divBdr>
        <w:top w:val="none" w:sz="0" w:space="0" w:color="auto"/>
        <w:left w:val="none" w:sz="0" w:space="0" w:color="auto"/>
        <w:bottom w:val="none" w:sz="0" w:space="0" w:color="auto"/>
        <w:right w:val="none" w:sz="0" w:space="0" w:color="auto"/>
      </w:divBdr>
    </w:div>
    <w:div w:id="1803037138">
      <w:bodyDiv w:val="1"/>
      <w:marLeft w:val="0"/>
      <w:marRight w:val="0"/>
      <w:marTop w:val="0"/>
      <w:marBottom w:val="0"/>
      <w:divBdr>
        <w:top w:val="none" w:sz="0" w:space="0" w:color="auto"/>
        <w:left w:val="none" w:sz="0" w:space="0" w:color="auto"/>
        <w:bottom w:val="none" w:sz="0" w:space="0" w:color="auto"/>
        <w:right w:val="none" w:sz="0" w:space="0" w:color="auto"/>
      </w:divBdr>
    </w:div>
    <w:div w:id="1968923803">
      <w:bodyDiv w:val="1"/>
      <w:marLeft w:val="0"/>
      <w:marRight w:val="0"/>
      <w:marTop w:val="0"/>
      <w:marBottom w:val="0"/>
      <w:divBdr>
        <w:top w:val="none" w:sz="0" w:space="0" w:color="auto"/>
        <w:left w:val="none" w:sz="0" w:space="0" w:color="auto"/>
        <w:bottom w:val="none" w:sz="0" w:space="0" w:color="auto"/>
        <w:right w:val="none" w:sz="0" w:space="0" w:color="auto"/>
      </w:divBdr>
    </w:div>
    <w:div w:id="2017228859">
      <w:bodyDiv w:val="1"/>
      <w:marLeft w:val="0"/>
      <w:marRight w:val="0"/>
      <w:marTop w:val="0"/>
      <w:marBottom w:val="0"/>
      <w:divBdr>
        <w:top w:val="none" w:sz="0" w:space="0" w:color="auto"/>
        <w:left w:val="none" w:sz="0" w:space="0" w:color="auto"/>
        <w:bottom w:val="none" w:sz="0" w:space="0" w:color="auto"/>
        <w:right w:val="none" w:sz="0" w:space="0" w:color="auto"/>
      </w:divBdr>
    </w:div>
    <w:div w:id="202042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D9054B5EFC5E94E9620356AA95B3796" ma:contentTypeVersion="14" ma:contentTypeDescription="Crie um novo documento." ma:contentTypeScope="" ma:versionID="6b66ab1d5fae393efa15f6a0711e078a">
  <xsd:schema xmlns:xsd="http://www.w3.org/2001/XMLSchema" xmlns:xs="http://www.w3.org/2001/XMLSchema" xmlns:p="http://schemas.microsoft.com/office/2006/metadata/properties" xmlns:ns2="f12dc581-487f-49b7-9990-855115e15d08" xmlns:ns3="765fd443-5df4-4590-a779-3bed573741a7" targetNamespace="http://schemas.microsoft.com/office/2006/metadata/properties" ma:root="true" ma:fieldsID="996dc19e3edd6e797a6e354ff04550ca" ns2:_="" ns3:_="">
    <xsd:import namespace="f12dc581-487f-49b7-9990-855115e15d08"/>
    <xsd:import namespace="765fd443-5df4-4590-a779-3bed573741a7"/>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c581-487f-49b7-9990-855115e15d08"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LastSharedByTime" ma:index="10" nillable="true" ma:displayName="Último Compartilhamento Por Tempo" ma:internalName="LastSharedByTime" ma:readOnly="true">
      <xsd:simpleType>
        <xsd:restriction base="dms:DateTime"/>
      </xsd:simpleType>
    </xsd:element>
    <xsd:element name="LastSharedByUser" ma:index="11" nillable="true" ma:displayName="Último Compartilhamento Por Usuário"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5fd443-5df4-4590-a779-3bed573741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38F380-9C9C-4D18-8023-9C2557E09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c581-487f-49b7-9990-855115e15d08"/>
    <ds:schemaRef ds:uri="765fd443-5df4-4590-a779-3bed57374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409860-E0C5-48F6-ADC5-75AE6211D0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D05F75-7BE9-4194-BDEE-D0603E7BFDB4}">
  <ds:schemaRefs>
    <ds:schemaRef ds:uri="http://schemas.openxmlformats.org/officeDocument/2006/bibliography"/>
  </ds:schemaRefs>
</ds:datastoreItem>
</file>

<file path=customXml/itemProps4.xml><?xml version="1.0" encoding="utf-8"?>
<ds:datastoreItem xmlns:ds="http://schemas.openxmlformats.org/officeDocument/2006/customXml" ds:itemID="{C43380D7-074C-493A-B955-E24653BB57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1563</Words>
  <Characters>9049</Characters>
  <Application>Microsoft Office Word</Application>
  <DocSecurity>0</DocSecurity>
  <Lines>75</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em Garantia 12.05.05  (00050755.DOC;1)</vt:lpstr>
      <vt:lpstr>Contrato de Cessão Fiduciária em Garantia 12.05.05  (00050755.DOC;1)</vt:lpstr>
    </vt:vector>
  </TitlesOfParts>
  <Company>SCBF</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em Garantia 12.05.05  (00050755.DOC;1)</dc:title>
  <dc:subject/>
  <dc:creator>Costa Rangel Advogados</dc:creator>
  <cp:keywords/>
  <dc:description/>
  <cp:lastModifiedBy>Rinaldo Rabello</cp:lastModifiedBy>
  <cp:revision>2</cp:revision>
  <cp:lastPrinted>2017-06-21T04:02:00Z</cp:lastPrinted>
  <dcterms:created xsi:type="dcterms:W3CDTF">2022-04-13T21:36:00Z</dcterms:created>
  <dcterms:modified xsi:type="dcterms:W3CDTF">2022-04-13T21:36:00Z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 </vt:lpwstr>
  </property>
  <property fmtid="{D5CDD505-2E9C-101B-9397-08002B2CF9AE}" pid="3" name="ContentTypeId">
    <vt:lpwstr>0x0101005D9054B5EFC5E94E9620356AA95B3796</vt:lpwstr>
  </property>
</Properties>
</file>