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2B5D848C" w:rsidR="00895E0A" w:rsidRPr="00B253DB" w:rsidRDefault="00412A38"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895E0A" w:rsidRPr="00895E0A">
        <w:rPr>
          <w:rStyle w:val="DeltaViewInsertion"/>
          <w:rFonts w:ascii="Verdana" w:hAnsi="Verdana"/>
          <w:b/>
          <w:smallCaps/>
          <w:color w:val="000000" w:themeColor="text1"/>
          <w:u w:val="none"/>
        </w:rPr>
        <w:t>DA ESPÉCIE 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060B3DB7" w:rsidR="00895E0A" w:rsidRPr="00B253DB" w:rsidRDefault="00833A7F" w:rsidP="00833A7F">
      <w:pPr>
        <w:widowControl w:val="0"/>
        <w:spacing w:line="280" w:lineRule="exact"/>
        <w:jc w:val="center"/>
        <w:rPr>
          <w:rFonts w:ascii="Verdana" w:hAnsi="Verdana"/>
        </w:rPr>
      </w:pPr>
      <w:r>
        <w:rPr>
          <w:rFonts w:ascii="Verdana" w:hAnsi="Verdana"/>
        </w:rPr>
        <w:t>[●]</w:t>
      </w:r>
      <w:r w:rsidR="00895E0A" w:rsidRPr="00B253DB">
        <w:rPr>
          <w:rFonts w:ascii="Verdana" w:hAnsi="Verdana"/>
        </w:rPr>
        <w:t xml:space="preserve"> de </w:t>
      </w:r>
      <w:r>
        <w:rPr>
          <w:rFonts w:ascii="Verdana" w:hAnsi="Verdana"/>
        </w:rPr>
        <w:t>agosto 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2AE12648"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DA ESPÉCIE </w:t>
      </w:r>
      <w:r w:rsidR="00895E0A" w:rsidRPr="00B253DB">
        <w:rPr>
          <w:rFonts w:ascii="Verdana" w:hAnsi="Verdana"/>
          <w:b/>
          <w:color w:val="000000" w:themeColor="text1"/>
        </w:rPr>
        <w:t>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7A83A12F"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3804A3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4E70D4">
        <w:rPr>
          <w:rFonts w:ascii="Verdana" w:hAnsi="Verdana"/>
        </w:rPr>
        <w:t>protocolada</w:t>
      </w:r>
      <w:r w:rsidRPr="00B253DB">
        <w:rPr>
          <w:rFonts w:ascii="Verdana" w:hAnsi="Verdana"/>
        </w:rPr>
        <w:t xml:space="preserve"> na JUCESP em </w:t>
      </w:r>
      <w:r w:rsidR="004E70D4">
        <w:rPr>
          <w:rFonts w:ascii="Verdana" w:hAnsi="Verdana"/>
        </w:rPr>
        <w:t xml:space="preserve">16 </w:t>
      </w:r>
      <w:r w:rsidRPr="00B253DB">
        <w:rPr>
          <w:rFonts w:ascii="Verdana" w:hAnsi="Verdana"/>
        </w:rPr>
        <w:t xml:space="preserve">de dezembro de 2019, sob o nº </w:t>
      </w:r>
      <w:r w:rsidR="004E70D4">
        <w:rPr>
          <w:rFonts w:ascii="Verdana" w:hAnsi="Verdana"/>
        </w:rPr>
        <w:t>2.312.611/19-3</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611E163A" w14:textId="4A32086E" w:rsidR="00D83588" w:rsidRDefault="00895E0A" w:rsidP="00895E0A">
      <w:pPr>
        <w:pStyle w:val="ListParagraph"/>
        <w:widowControl w:val="0"/>
        <w:spacing w:line="280" w:lineRule="exact"/>
        <w:ind w:left="0"/>
        <w:jc w:val="both"/>
        <w:rPr>
          <w:rFonts w:ascii="Verdana" w:hAnsi="Verdana"/>
        </w:rPr>
      </w:pPr>
      <w:r w:rsidRPr="00D83588">
        <w:rPr>
          <w:rFonts w:ascii="Verdana" w:hAnsi="Verdana"/>
        </w:rPr>
        <w:t>(iii)</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Primeiro Aditamento à Escritura de Emissão em </w:t>
      </w:r>
      <w:r w:rsidR="00E325C8">
        <w:rPr>
          <w:rFonts w:ascii="Verdana" w:hAnsi="Verdana"/>
        </w:rPr>
        <w:t>virtude</w:t>
      </w:r>
      <w:r w:rsidRPr="00D83588">
        <w:rPr>
          <w:rFonts w:ascii="Verdana" w:hAnsi="Verdana"/>
        </w:rPr>
        <w:t xml:space="preserve"> da realização do Procedimento de </w:t>
      </w:r>
      <w:r w:rsidRPr="00D83588">
        <w:rPr>
          <w:rFonts w:ascii="Verdana" w:hAnsi="Verdana"/>
          <w:i/>
          <w:color w:val="000000" w:themeColor="text1"/>
        </w:rPr>
        <w:t>Fixing</w:t>
      </w:r>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r w:rsidR="00E25E75">
        <w:rPr>
          <w:rFonts w:ascii="Verdana" w:hAnsi="Verdana"/>
        </w:rPr>
        <w:t xml:space="preserve"> e</w:t>
      </w:r>
    </w:p>
    <w:p w14:paraId="105372C1" w14:textId="77777777" w:rsidR="00E25E75" w:rsidRDefault="00E25E75" w:rsidP="00895E0A">
      <w:pPr>
        <w:pStyle w:val="ListParagraph"/>
        <w:widowControl w:val="0"/>
        <w:spacing w:line="280" w:lineRule="exact"/>
        <w:ind w:left="0"/>
        <w:jc w:val="both"/>
        <w:rPr>
          <w:rFonts w:ascii="Verdana" w:hAnsi="Verdana"/>
        </w:rPr>
      </w:pPr>
    </w:p>
    <w:p w14:paraId="6C660BC2" w14:textId="64C87F1D" w:rsidR="00E25E75" w:rsidRPr="00206B8C" w:rsidRDefault="00E25E75" w:rsidP="00895E0A">
      <w:pPr>
        <w:pStyle w:val="ListParagraph"/>
        <w:widowControl w:val="0"/>
        <w:spacing w:line="280" w:lineRule="exact"/>
        <w:ind w:left="0"/>
        <w:jc w:val="both"/>
        <w:rPr>
          <w:rFonts w:ascii="Verdana" w:hAnsi="Verdana"/>
        </w:rPr>
      </w:pPr>
      <w:r>
        <w:rPr>
          <w:rFonts w:ascii="Verdana" w:hAnsi="Verdana"/>
        </w:rPr>
        <w:t>(iv)</w:t>
      </w:r>
      <w:r>
        <w:rPr>
          <w:rFonts w:ascii="Verdana" w:hAnsi="Verdana"/>
        </w:rPr>
        <w:tab/>
      </w:r>
      <w:r w:rsidRPr="00B253DB">
        <w:rPr>
          <w:rFonts w:ascii="Verdana" w:hAnsi="Verdana"/>
        </w:rPr>
        <w:t xml:space="preserve">as Partes resolvem celebrar o presente </w:t>
      </w:r>
      <w:r>
        <w:rPr>
          <w:rFonts w:ascii="Verdana" w:hAnsi="Verdana"/>
        </w:rPr>
        <w:t xml:space="preserve">Segundo </w:t>
      </w:r>
      <w:r w:rsidRPr="00B253DB">
        <w:rPr>
          <w:rFonts w:ascii="Verdana" w:hAnsi="Verdana"/>
        </w:rPr>
        <w:t>Aditamento à Escritura de Emissão para convolar as Debênture</w:t>
      </w:r>
      <w:r w:rsidR="002843B0">
        <w:rPr>
          <w:rFonts w:ascii="Verdana" w:hAnsi="Verdana"/>
        </w:rPr>
        <w:t>s em espécie</w:t>
      </w:r>
      <w:r w:rsidRPr="00B253DB">
        <w:rPr>
          <w:rFonts w:ascii="Verdana" w:hAnsi="Verdana"/>
        </w:rPr>
        <w:t xml:space="preserve"> com garantia real,</w:t>
      </w:r>
      <w:r w:rsidR="0083324B">
        <w:rPr>
          <w:rFonts w:ascii="Verdana" w:hAnsi="Verdana"/>
        </w:rPr>
        <w:t xml:space="preserve"> bem como para retificar a qualificação do Escriturador e Banco Liquidante,</w:t>
      </w:r>
      <w:r w:rsidRPr="00B253DB">
        <w:rPr>
          <w:rFonts w:ascii="Verdana" w:hAnsi="Verdana"/>
        </w:rPr>
        <w:t xml:space="preserve"> sem necessidade de realização de Assembleia Geral de Debenturistas ou aprovação societária pela Emissora e/ou pela</w:t>
      </w:r>
      <w:r w:rsidR="002843B0">
        <w:rPr>
          <w:rFonts w:ascii="Verdana" w:hAnsi="Verdana"/>
        </w:rPr>
        <w:t>s</w:t>
      </w:r>
      <w:r w:rsidRPr="00B253DB">
        <w:rPr>
          <w:rFonts w:ascii="Verdana" w:hAnsi="Verdana"/>
        </w:rPr>
        <w:t xml:space="preserve"> Fiadora</w:t>
      </w:r>
      <w:r w:rsidR="002843B0">
        <w:rPr>
          <w:rFonts w:ascii="Verdana" w:hAnsi="Verdana"/>
        </w:rPr>
        <w:t>s</w:t>
      </w:r>
      <w:r w:rsidRPr="00B253DB">
        <w:rPr>
          <w:rFonts w:ascii="Verdana" w:hAnsi="Verdana"/>
        </w:rPr>
        <w:t xml:space="preserve"> (“</w:t>
      </w:r>
      <w:r>
        <w:rPr>
          <w:rFonts w:ascii="Verdana" w:hAnsi="Verdana" w:hint="eastAsia"/>
          <w:u w:val="single"/>
        </w:rPr>
        <w:t>Segundo</w:t>
      </w:r>
      <w:r>
        <w:rPr>
          <w:rFonts w:ascii="Verdana" w:hAnsi="Verdana"/>
          <w:u w:val="single"/>
        </w:rPr>
        <w:t xml:space="preserve"> </w:t>
      </w:r>
      <w:r w:rsidRPr="00B253DB">
        <w:rPr>
          <w:rFonts w:ascii="Verdana" w:hAnsi="Verdana"/>
          <w:u w:val="single"/>
        </w:rPr>
        <w:t>Aditamento à Escritura de Emissão</w:t>
      </w:r>
      <w:r w:rsidRPr="00B253DB">
        <w:rPr>
          <w:rFonts w:ascii="Verdana" w:hAnsi="Verdana"/>
        </w:rPr>
        <w:t>”).</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59AC55D9"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da Espécie </w:t>
      </w:r>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46FB604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sidR="00D83588">
        <w:rPr>
          <w:rFonts w:ascii="Verdana" w:hAnsi="Verdana"/>
          <w:color w:val="000000" w:themeColor="text1"/>
        </w:rPr>
        <w:t>Segundo</w:t>
      </w:r>
      <w:r w:rsidRPr="00B253DB">
        <w:rPr>
          <w:rFonts w:ascii="Verdana" w:hAnsi="Verdana" w:hint="eastAsia"/>
        </w:rPr>
        <w:t xml:space="preserve"> Aditamento à Escritura de Emissão, conforme previsto na cláusula </w:t>
      </w:r>
      <w:r w:rsidRPr="006E4FA7">
        <w:rPr>
          <w:rFonts w:ascii="Verdana" w:hAnsi="Verdana" w:hint="eastAsia"/>
        </w:rPr>
        <w:t>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41B00423"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w:t>
      </w:r>
      <w:bookmarkStart w:id="0" w:name="_GoBack"/>
      <w:bookmarkEnd w:id="0"/>
      <w:r w:rsidRPr="00B253DB">
        <w:rPr>
          <w:rFonts w:ascii="Verdana" w:hAnsi="Verdana"/>
          <w:color w:val="000000" w:themeColor="text1"/>
        </w:rPr>
        <w: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7B6F622C" w14:textId="77777777" w:rsidR="00E25E75" w:rsidRPr="00C34D06" w:rsidRDefault="00895E0A" w:rsidP="00895E0A">
      <w:pPr>
        <w:pStyle w:val="ListParagraph"/>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p>
    <w:p w14:paraId="10068ACC" w14:textId="77777777" w:rsidR="00C34D06" w:rsidRDefault="00C34D06" w:rsidP="00480127">
      <w:pPr>
        <w:pStyle w:val="ListParagraph"/>
        <w:widowControl w:val="0"/>
        <w:spacing w:line="280" w:lineRule="exact"/>
        <w:ind w:left="0"/>
        <w:jc w:val="both"/>
        <w:rPr>
          <w:rFonts w:ascii="Verdana" w:hAnsi="Verdana"/>
          <w:b/>
          <w:color w:val="000000" w:themeColor="text1"/>
        </w:rPr>
      </w:pPr>
    </w:p>
    <w:p w14:paraId="136225B2" w14:textId="0CEF30FD" w:rsidR="00480127" w:rsidRPr="00C34D06" w:rsidRDefault="00480127" w:rsidP="00480127">
      <w:pPr>
        <w:pStyle w:val="ListParagraph"/>
        <w:widowControl w:val="0"/>
        <w:spacing w:line="280" w:lineRule="exact"/>
        <w:ind w:left="0"/>
        <w:jc w:val="both"/>
        <w:rPr>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As Partes resolvem alterar 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Pr="00C34D06">
        <w:rPr>
          <w:rFonts w:ascii="Verdana" w:hAnsi="Verdana"/>
          <w:color w:val="000000" w:themeColor="text1"/>
        </w:rPr>
        <w:t xml:space="preserve"> </w:t>
      </w:r>
      <w:r w:rsidR="00C34D06">
        <w:rPr>
          <w:rFonts w:ascii="Verdana" w:hAnsi="Verdana"/>
          <w:color w:val="000000" w:themeColor="text1"/>
        </w:rPr>
        <w:t xml:space="preserve">4.6.1, 4.6.2 e </w:t>
      </w:r>
      <w:r w:rsidRPr="00C34D06">
        <w:rPr>
          <w:rFonts w:ascii="Verdana" w:hAnsi="Verdana"/>
          <w:color w:val="000000" w:themeColor="text1"/>
        </w:rPr>
        <w:t>5.1.7 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3AFDE53A" w14:textId="77777777" w:rsidR="00480127" w:rsidRPr="00C34D06" w:rsidRDefault="00480127" w:rsidP="00480127">
      <w:pPr>
        <w:pStyle w:val="ListParagraph"/>
        <w:widowControl w:val="0"/>
        <w:spacing w:line="280" w:lineRule="exact"/>
        <w:ind w:left="0"/>
        <w:jc w:val="both"/>
        <w:rPr>
          <w:rFonts w:ascii="Verdana" w:hAnsi="Verdana"/>
          <w:color w:val="000000" w:themeColor="text1"/>
        </w:rPr>
      </w:pPr>
    </w:p>
    <w:p w14:paraId="44C65D55" w14:textId="50CB0E8A" w:rsidR="00C34D06" w:rsidRPr="00C34D06" w:rsidRDefault="00480127" w:rsidP="00C34D06">
      <w:pPr>
        <w:pStyle w:val="ListParagraph"/>
        <w:ind w:left="0"/>
        <w:rPr>
          <w:rFonts w:ascii="Verdana" w:hAnsi="Verdana"/>
          <w:i/>
          <w:color w:val="000000" w:themeColor="text1"/>
        </w:rPr>
      </w:pPr>
      <w:r w:rsidRPr="00C34D06">
        <w:rPr>
          <w:rFonts w:ascii="Verdana" w:hAnsi="Verdana"/>
          <w:i/>
          <w:color w:val="000000" w:themeColor="text1"/>
        </w:rPr>
        <w:t>“</w:t>
      </w:r>
      <w:r w:rsidR="00C34D06" w:rsidRPr="00C34D06">
        <w:rPr>
          <w:rFonts w:ascii="Verdana" w:hAnsi="Verdana"/>
          <w:i/>
          <w:color w:val="000000" w:themeColor="text1"/>
        </w:rPr>
        <w:t>4.6.1.</w:t>
      </w:r>
      <w:r w:rsidR="00C34D06" w:rsidRPr="00C34D06">
        <w:rPr>
          <w:rFonts w:ascii="Verdana" w:hAnsi="Verdana"/>
          <w:i/>
          <w:color w:val="000000" w:themeColor="text1"/>
        </w:rPr>
        <w:tab/>
      </w:r>
      <w:r w:rsidR="00C34D06" w:rsidRPr="00C34D06">
        <w:rPr>
          <w:rFonts w:ascii="Verdana" w:hAnsi="Verdana"/>
          <w:i/>
          <w:color w:val="000000" w:themeColor="text1"/>
        </w:rPr>
        <w:tab/>
        <w:t xml:space="preserve">O Banco Liquidante da presente Emissão será o </w:t>
      </w:r>
      <w:r w:rsidR="00C34D06">
        <w:rPr>
          <w:rFonts w:ascii="Verdana" w:hAnsi="Verdana"/>
          <w:i/>
          <w:color w:val="000000" w:themeColor="text1"/>
        </w:rPr>
        <w:t>Itaú Unibanco S.A.</w:t>
      </w:r>
      <w:r w:rsidR="00C222CE">
        <w:rPr>
          <w:rFonts w:ascii="Verdana" w:hAnsi="Verdana"/>
          <w:i/>
          <w:color w:val="000000" w:themeColor="text1"/>
        </w:rPr>
        <w:t xml:space="preserve">, </w:t>
      </w:r>
      <w:r w:rsidR="00C222CE" w:rsidRPr="00C222CE">
        <w:rPr>
          <w:rFonts w:ascii="Verdana" w:hAnsi="Verdana"/>
          <w:i/>
          <w:color w:val="000000" w:themeColor="text1"/>
        </w:rPr>
        <w:t xml:space="preserve">instituição financeira com endereço na Cidade de São Paulo, Estado de São Paulo, na </w:t>
      </w:r>
      <w:r w:rsidR="00EF1198">
        <w:rPr>
          <w:rFonts w:ascii="Verdana" w:hAnsi="Verdana"/>
          <w:i/>
          <w:color w:val="000000" w:themeColor="text1"/>
        </w:rPr>
        <w:t>Praça Alfredo Egydio de Souza Aranha</w:t>
      </w:r>
      <w:r w:rsidR="00EF1198" w:rsidRPr="00C65C54">
        <w:rPr>
          <w:rFonts w:ascii="Verdana" w:hAnsi="Verdana"/>
          <w:i/>
          <w:color w:val="000000" w:themeColor="text1"/>
        </w:rPr>
        <w:t xml:space="preserve">, nº </w:t>
      </w:r>
      <w:r w:rsidR="00EF1198">
        <w:rPr>
          <w:rFonts w:ascii="Verdana" w:hAnsi="Verdana"/>
          <w:i/>
          <w:color w:val="000000" w:themeColor="text1"/>
        </w:rPr>
        <w:t>100</w:t>
      </w:r>
      <w:r w:rsidR="00EF1198" w:rsidRPr="00C65C54">
        <w:rPr>
          <w:rFonts w:ascii="Verdana" w:hAnsi="Verdana"/>
          <w:i/>
          <w:color w:val="000000" w:themeColor="text1"/>
        </w:rPr>
        <w:t xml:space="preserve">, </w:t>
      </w:r>
      <w:r w:rsidR="00EF1198">
        <w:rPr>
          <w:rFonts w:ascii="Verdana" w:hAnsi="Verdana"/>
          <w:i/>
          <w:color w:val="000000" w:themeColor="text1"/>
        </w:rPr>
        <w:t>Torre Olavo Setubal, Parque Jabaquara</w:t>
      </w:r>
      <w:r w:rsidR="00C222CE" w:rsidRPr="00C222CE">
        <w:rPr>
          <w:rFonts w:ascii="Verdana" w:hAnsi="Verdana"/>
          <w:i/>
          <w:color w:val="000000" w:themeColor="text1"/>
        </w:rPr>
        <w:t>, inscrita no CNPJ/ME sob o n.º 60.701.190/0001-04</w:t>
      </w:r>
      <w:r w:rsidR="00A35303">
        <w:rPr>
          <w:rFonts w:ascii="Verdana" w:hAnsi="Verdana"/>
          <w:i/>
          <w:color w:val="000000" w:themeColor="text1"/>
        </w:rPr>
        <w:t>.</w:t>
      </w:r>
    </w:p>
    <w:p w14:paraId="08F76A49" w14:textId="77777777" w:rsidR="00C34D06" w:rsidRPr="00C34D06" w:rsidRDefault="00C34D06" w:rsidP="00C34D06">
      <w:pPr>
        <w:pStyle w:val="ListParagraph"/>
        <w:ind w:left="0"/>
        <w:rPr>
          <w:rFonts w:ascii="Verdana" w:hAnsi="Verdana"/>
          <w:i/>
          <w:color w:val="000000" w:themeColor="text1"/>
        </w:rPr>
      </w:pPr>
    </w:p>
    <w:p w14:paraId="16B53549" w14:textId="754B0A8C" w:rsidR="00C34D06" w:rsidRPr="00C34D06" w:rsidRDefault="00C34D06" w:rsidP="00C65C54">
      <w:pPr>
        <w:pStyle w:val="ListParagraph"/>
        <w:ind w:left="0"/>
        <w:jc w:val="both"/>
        <w:rPr>
          <w:rFonts w:ascii="Verdana" w:hAnsi="Verdana"/>
          <w:i/>
          <w:color w:val="000000" w:themeColor="text1"/>
        </w:rPr>
      </w:pPr>
      <w:r w:rsidRPr="00C34D06">
        <w:rPr>
          <w:rFonts w:ascii="Verdana" w:hAnsi="Verdana"/>
          <w:i/>
          <w:color w:val="000000" w:themeColor="text1"/>
        </w:rPr>
        <w:t>4.6.2.</w:t>
      </w:r>
      <w:r w:rsidRPr="00C34D06">
        <w:rPr>
          <w:rFonts w:ascii="Verdana" w:hAnsi="Verdana"/>
          <w:i/>
          <w:color w:val="000000" w:themeColor="text1"/>
        </w:rPr>
        <w:tab/>
      </w:r>
      <w:r w:rsidRPr="00C34D06">
        <w:rPr>
          <w:rFonts w:ascii="Verdana" w:hAnsi="Verdana"/>
          <w:i/>
          <w:color w:val="000000" w:themeColor="text1"/>
        </w:rPr>
        <w:tab/>
        <w:t xml:space="preserve">A instituição prestadora de serviços de escrituração das Debêntures será o </w:t>
      </w:r>
      <w:r>
        <w:rPr>
          <w:rFonts w:ascii="Verdana" w:hAnsi="Verdana"/>
          <w:i/>
          <w:color w:val="000000" w:themeColor="text1"/>
        </w:rPr>
        <w:t>Itaú Corretora de Valores S.A.</w:t>
      </w:r>
      <w:r w:rsidRPr="00C34D06">
        <w:rPr>
          <w:rFonts w:ascii="Verdana" w:hAnsi="Verdana"/>
          <w:i/>
          <w:color w:val="000000" w:themeColor="text1"/>
        </w:rPr>
        <w:t xml:space="preserve">, </w:t>
      </w:r>
      <w:r w:rsidR="00C65C54"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sidR="00C65C54">
        <w:rPr>
          <w:rFonts w:ascii="Verdana" w:hAnsi="Verdana"/>
          <w:i/>
          <w:color w:val="000000" w:themeColor="text1"/>
        </w:rPr>
        <w:t xml:space="preserve"> parte, </w:t>
      </w:r>
      <w:r w:rsidR="00C65C54" w:rsidRPr="00C65C54">
        <w:rPr>
          <w:rFonts w:ascii="Verdana" w:hAnsi="Verdana"/>
          <w:i/>
          <w:color w:val="000000" w:themeColor="text1"/>
        </w:rPr>
        <w:t>inscrita no CNPJ/M</w:t>
      </w:r>
      <w:r w:rsidR="00C65C54">
        <w:rPr>
          <w:rFonts w:ascii="Verdana" w:hAnsi="Verdana"/>
          <w:i/>
          <w:color w:val="000000" w:themeColor="text1"/>
        </w:rPr>
        <w:t>E</w:t>
      </w:r>
      <w:r w:rsidR="00C65C54" w:rsidRPr="00C65C54">
        <w:rPr>
          <w:rFonts w:ascii="Verdana" w:hAnsi="Verdana"/>
          <w:i/>
          <w:color w:val="000000" w:themeColor="text1"/>
        </w:rPr>
        <w:t xml:space="preserve"> sob o nº 61.194.353/0001-64</w:t>
      </w:r>
      <w:r w:rsidRPr="00C34D06">
        <w:rPr>
          <w:rFonts w:ascii="Verdana" w:hAnsi="Verdana"/>
          <w:i/>
          <w:color w:val="000000" w:themeColor="text1"/>
        </w:rPr>
        <w:t>.</w:t>
      </w:r>
    </w:p>
    <w:p w14:paraId="4F37036B" w14:textId="77777777" w:rsidR="00C34D06" w:rsidRDefault="00C34D06" w:rsidP="00480127">
      <w:pPr>
        <w:pStyle w:val="ListParagraph"/>
        <w:widowControl w:val="0"/>
        <w:spacing w:line="280" w:lineRule="exact"/>
        <w:ind w:left="0"/>
        <w:jc w:val="both"/>
        <w:rPr>
          <w:rFonts w:ascii="Verdana" w:hAnsi="Verdana"/>
          <w:i/>
          <w:color w:val="000000" w:themeColor="text1"/>
        </w:rPr>
      </w:pPr>
    </w:p>
    <w:p w14:paraId="255BD664" w14:textId="0C8B11D7" w:rsidR="00480127" w:rsidRPr="00C34D06" w:rsidRDefault="00480127" w:rsidP="00480127">
      <w:pPr>
        <w:pStyle w:val="ListParagraph"/>
        <w:widowControl w:val="0"/>
        <w:spacing w:line="280" w:lineRule="exact"/>
        <w:ind w:left="0"/>
        <w:jc w:val="both"/>
        <w:rPr>
          <w:rFonts w:ascii="Verdana" w:hAnsi="Verdana"/>
          <w:i/>
          <w:color w:val="000000" w:themeColor="text1"/>
        </w:rPr>
      </w:pPr>
      <w:r w:rsidRPr="00C34D06">
        <w:rPr>
          <w:rFonts w:ascii="Verdana" w:hAnsi="Verdana"/>
          <w:i/>
          <w:color w:val="000000" w:themeColor="text1"/>
        </w:rPr>
        <w:t>5.1.7.</w:t>
      </w:r>
      <w:r w:rsidRPr="00C34D06">
        <w:rPr>
          <w:rFonts w:ascii="Verdana" w:hAnsi="Verdana"/>
          <w:i/>
          <w:color w:val="000000" w:themeColor="text1"/>
        </w:rPr>
        <w:tab/>
        <w:t>As Debêntures serão da espécie com garantia real, nos termos do artigo 58 da Lei das Sociedades por Ações.”</w:t>
      </w:r>
    </w:p>
    <w:p w14:paraId="30A33A26" w14:textId="77777777" w:rsidR="00480127" w:rsidRPr="00C34D06" w:rsidRDefault="00480127" w:rsidP="00480127">
      <w:pPr>
        <w:pStyle w:val="ListParagraph"/>
        <w:widowControl w:val="0"/>
        <w:spacing w:line="280" w:lineRule="exact"/>
        <w:ind w:left="0"/>
        <w:jc w:val="both"/>
        <w:rPr>
          <w:rFonts w:ascii="Verdana" w:hAnsi="Verdana"/>
          <w:b/>
          <w:i/>
          <w:color w:val="000000" w:themeColor="text1"/>
        </w:rPr>
      </w:pPr>
    </w:p>
    <w:p w14:paraId="5C952646" w14:textId="3F6213ED" w:rsidR="00480127" w:rsidRDefault="00480127" w:rsidP="00480127">
      <w:pPr>
        <w:pStyle w:val="ListParagraph"/>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00FA8F7D" w14:textId="77777777" w:rsidR="00480127" w:rsidRPr="00B253DB" w:rsidRDefault="00480127" w:rsidP="00480127">
      <w:pPr>
        <w:pStyle w:val="ListParagraph"/>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FC593C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626D1830"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0C7B5815"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28D6E0CC"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65772">
        <w:rPr>
          <w:rFonts w:ascii="Verdana" w:hAnsi="Verdana"/>
          <w:color w:val="000000" w:themeColor="text1"/>
          <w:w w:val="0"/>
        </w:rPr>
        <w:t xml:space="preserve">[●] </w:t>
      </w:r>
      <w:r>
        <w:rPr>
          <w:rFonts w:ascii="Verdana" w:hAnsi="Verdana"/>
          <w:color w:val="000000" w:themeColor="text1"/>
          <w:w w:val="0"/>
        </w:rPr>
        <w:t xml:space="preserve">de </w:t>
      </w:r>
      <w:r w:rsidR="00565772">
        <w:rPr>
          <w:rFonts w:ascii="Verdana" w:hAnsi="Verdana"/>
          <w:color w:val="000000" w:themeColor="text1"/>
          <w:w w:val="0"/>
        </w:rPr>
        <w:t>agosto 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3185C50D"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7B6AB95D"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2199A14F"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3214AA7E"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6D7254F8"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7"/>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FBF6" w14:textId="77777777" w:rsidR="00932B50" w:rsidRDefault="00932B50" w:rsidP="00D10F20">
      <w:r>
        <w:separator/>
      </w:r>
    </w:p>
  </w:endnote>
  <w:endnote w:type="continuationSeparator" w:id="0">
    <w:p w14:paraId="6130FF05" w14:textId="77777777" w:rsidR="00932B50" w:rsidRDefault="00932B5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DAE0" w14:textId="77777777" w:rsidR="00932B50" w:rsidRDefault="00932B50" w:rsidP="00D10F20">
      <w:r>
        <w:separator/>
      </w:r>
    </w:p>
  </w:footnote>
  <w:footnote w:type="continuationSeparator" w:id="0">
    <w:p w14:paraId="591034A4" w14:textId="77777777" w:rsidR="00932B50" w:rsidRDefault="00932B50"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27CA5"/>
    <w:rsid w:val="00035FB4"/>
    <w:rsid w:val="000408B3"/>
    <w:rsid w:val="000410D3"/>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06B8C"/>
    <w:rsid w:val="00224016"/>
    <w:rsid w:val="00230431"/>
    <w:rsid w:val="002306F9"/>
    <w:rsid w:val="002344AE"/>
    <w:rsid w:val="002453A1"/>
    <w:rsid w:val="00263EA8"/>
    <w:rsid w:val="00264BA7"/>
    <w:rsid w:val="00281790"/>
    <w:rsid w:val="002843B0"/>
    <w:rsid w:val="002A4C78"/>
    <w:rsid w:val="002B4168"/>
    <w:rsid w:val="002C1FDA"/>
    <w:rsid w:val="002C6A3A"/>
    <w:rsid w:val="002D3BAC"/>
    <w:rsid w:val="002D42BF"/>
    <w:rsid w:val="002D5361"/>
    <w:rsid w:val="00314929"/>
    <w:rsid w:val="00317AA4"/>
    <w:rsid w:val="00322857"/>
    <w:rsid w:val="003234A6"/>
    <w:rsid w:val="00325136"/>
    <w:rsid w:val="00340E6C"/>
    <w:rsid w:val="0034556B"/>
    <w:rsid w:val="0034760D"/>
    <w:rsid w:val="00356BED"/>
    <w:rsid w:val="0036352D"/>
    <w:rsid w:val="00363AB0"/>
    <w:rsid w:val="00371FDD"/>
    <w:rsid w:val="00374BCF"/>
    <w:rsid w:val="00376834"/>
    <w:rsid w:val="00395292"/>
    <w:rsid w:val="00397049"/>
    <w:rsid w:val="003C19EE"/>
    <w:rsid w:val="003D5ED5"/>
    <w:rsid w:val="003F19C6"/>
    <w:rsid w:val="00403C8F"/>
    <w:rsid w:val="004049DC"/>
    <w:rsid w:val="00412A38"/>
    <w:rsid w:val="00417073"/>
    <w:rsid w:val="0042478C"/>
    <w:rsid w:val="004273BB"/>
    <w:rsid w:val="00436FF1"/>
    <w:rsid w:val="004476CF"/>
    <w:rsid w:val="004508D7"/>
    <w:rsid w:val="0045464C"/>
    <w:rsid w:val="0045498A"/>
    <w:rsid w:val="00455F4A"/>
    <w:rsid w:val="00456F3F"/>
    <w:rsid w:val="00473DD7"/>
    <w:rsid w:val="004740A4"/>
    <w:rsid w:val="004766B9"/>
    <w:rsid w:val="00480127"/>
    <w:rsid w:val="004925C2"/>
    <w:rsid w:val="00492DB7"/>
    <w:rsid w:val="00493702"/>
    <w:rsid w:val="004A1CC5"/>
    <w:rsid w:val="004C0BF6"/>
    <w:rsid w:val="004D0EDA"/>
    <w:rsid w:val="004E057A"/>
    <w:rsid w:val="004E6C8B"/>
    <w:rsid w:val="004E70D4"/>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772"/>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4FA7"/>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75B6E"/>
    <w:rsid w:val="00780D56"/>
    <w:rsid w:val="007851AC"/>
    <w:rsid w:val="00794185"/>
    <w:rsid w:val="00795134"/>
    <w:rsid w:val="007A363E"/>
    <w:rsid w:val="007F3823"/>
    <w:rsid w:val="007F4B74"/>
    <w:rsid w:val="007F6AA8"/>
    <w:rsid w:val="00801278"/>
    <w:rsid w:val="00801717"/>
    <w:rsid w:val="00817585"/>
    <w:rsid w:val="00817A8F"/>
    <w:rsid w:val="0082268D"/>
    <w:rsid w:val="00831ED6"/>
    <w:rsid w:val="0083324B"/>
    <w:rsid w:val="00833A7F"/>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045"/>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83588"/>
    <w:rsid w:val="00D93463"/>
    <w:rsid w:val="00D942A1"/>
    <w:rsid w:val="00D9529C"/>
    <w:rsid w:val="00DA24DF"/>
    <w:rsid w:val="00DB7430"/>
    <w:rsid w:val="00DC14F2"/>
    <w:rsid w:val="00DC3F99"/>
    <w:rsid w:val="00DD3414"/>
    <w:rsid w:val="00DE04C7"/>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15314"/>
    <w:rsid w:val="00F177A6"/>
    <w:rsid w:val="00F20F6F"/>
    <w:rsid w:val="00F31C1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1772</Words>
  <Characters>10394</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12142</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36</cp:revision>
  <dcterms:created xsi:type="dcterms:W3CDTF">2019-12-20T20:55:00Z</dcterms:created>
  <dcterms:modified xsi:type="dcterms:W3CDTF">2020-08-12T00:09:00Z</dcterms:modified>
</cp:coreProperties>
</file>