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27C34D92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C94D6F">
        <w:rPr>
          <w:rFonts w:asciiTheme="minorHAnsi" w:hAnsiTheme="minorHAnsi" w:cstheme="minorHAnsi"/>
          <w:b/>
          <w:szCs w:val="24"/>
        </w:rPr>
        <w:t>REALIZADA EM 09 DE OUTUBRO DE 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6635CD4F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AF69B6">
        <w:rPr>
          <w:rFonts w:asciiTheme="minorHAnsi" w:hAnsiTheme="minorHAnsi" w:cstheme="minorHAnsi"/>
          <w:szCs w:val="24"/>
        </w:rPr>
        <w:t xml:space="preserve">em </w:t>
      </w:r>
      <w:r w:rsidR="00C94D6F">
        <w:rPr>
          <w:rFonts w:asciiTheme="minorHAnsi" w:hAnsiTheme="minorHAnsi" w:cstheme="minorHAnsi"/>
          <w:szCs w:val="24"/>
        </w:rPr>
        <w:t>09 de outubro de</w:t>
      </w:r>
      <w:r w:rsidR="00AF69B6">
        <w:rPr>
          <w:rFonts w:asciiTheme="minorHAnsi" w:hAnsiTheme="minorHAnsi" w:cstheme="minorHAnsi"/>
          <w:szCs w:val="24"/>
        </w:rPr>
        <w:t xml:space="preserve"> 2020</w:t>
      </w:r>
      <w:r w:rsidR="00864470" w:rsidRPr="005C4D8E">
        <w:rPr>
          <w:rFonts w:asciiTheme="minorHAnsi" w:hAnsiTheme="minorHAnsi" w:cstheme="minorHAnsi"/>
          <w:szCs w:val="24"/>
        </w:rPr>
        <w:t xml:space="preserve">, às </w:t>
      </w:r>
      <w:r w:rsidR="00864470">
        <w:rPr>
          <w:rFonts w:asciiTheme="minorHAnsi" w:hAnsiTheme="minorHAnsi" w:cstheme="minorHAnsi"/>
          <w:szCs w:val="24"/>
        </w:rPr>
        <w:t>1</w:t>
      </w:r>
      <w:r w:rsidR="00A35356">
        <w:rPr>
          <w:rFonts w:asciiTheme="minorHAnsi" w:hAnsiTheme="minorHAnsi" w:cstheme="minorHAnsi"/>
          <w:szCs w:val="24"/>
        </w:rPr>
        <w:t>4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</w:t>
      </w:r>
      <w:proofErr w:type="spellStart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iii</w:t>
      </w:r>
      <w:proofErr w:type="spellEnd"/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3072A179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>Dispensada a convocação</w:t>
      </w:r>
      <w:r w:rsidR="00F148A0">
        <w:rPr>
          <w:rFonts w:asciiTheme="minorHAnsi" w:hAnsiTheme="minorHAnsi" w:cstheme="minorHAnsi"/>
          <w:szCs w:val="24"/>
        </w:rPr>
        <w:t>, em virtude da presença do</w:t>
      </w:r>
      <w:r w:rsidR="00C2001E">
        <w:rPr>
          <w:rFonts w:asciiTheme="minorHAnsi" w:hAnsiTheme="minorHAnsi" w:cstheme="minorHAnsi"/>
          <w:szCs w:val="24"/>
        </w:rPr>
        <w:t xml:space="preserve">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lastRenderedPageBreak/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2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2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FE4DADF" w14:textId="7EA9A2B5" w:rsidR="00F148A0" w:rsidRPr="00007DAB" w:rsidRDefault="001C37B8" w:rsidP="003A3F61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907B66" w:rsidRPr="005C4D8E">
        <w:rPr>
          <w:rFonts w:asciiTheme="minorHAnsi" w:hAnsiTheme="minorHAnsi" w:cstheme="minorHAnsi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Cs w:val="24"/>
        </w:rPr>
        <w:t>Considerando que</w:t>
      </w:r>
      <w:r w:rsidR="00007DAB">
        <w:rPr>
          <w:rFonts w:asciiTheme="minorHAnsi" w:hAnsiTheme="minorHAnsi" w:cstheme="minorHAnsi"/>
          <w:szCs w:val="24"/>
        </w:rPr>
        <w:t xml:space="preserve"> e</w:t>
      </w:r>
      <w:r w:rsidR="00F148A0" w:rsidRPr="00007DAB">
        <w:rPr>
          <w:rFonts w:asciiTheme="minorHAnsi" w:hAnsiTheme="minorHAnsi" w:cstheme="minorHAnsi"/>
          <w:szCs w:val="24"/>
        </w:rPr>
        <w:t>m 29 de setembro de 2020 a Companhia efetuou o pagamento do saldo de juros em aberto devido no âmbito da Terceira Emissão</w:t>
      </w:r>
      <w:r w:rsidR="00AF69B6" w:rsidRPr="00007DAB">
        <w:rPr>
          <w:rFonts w:asciiTheme="minorHAnsi" w:hAnsiTheme="minorHAnsi" w:cstheme="minorHAnsi"/>
          <w:szCs w:val="24"/>
        </w:rPr>
        <w:t>;</w:t>
      </w: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1BC329B8" w:rsidR="00F53DE7" w:rsidRPr="005C4D8E" w:rsidRDefault="00007DAB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Compareceu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9A4B3D4" w14:textId="347EC491" w:rsidR="004E25FC" w:rsidRDefault="004E25FC" w:rsidP="00007DAB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</w:t>
      </w:r>
      <w:r w:rsidR="00F22C59">
        <w:rPr>
          <w:rFonts w:ascii="Verdana" w:hAnsi="Verdana" w:cs="Arial"/>
        </w:rPr>
        <w:t xml:space="preserve">a não realização dos Eventos de Pagamento de Amortização e Juros agendados para o dia 15 de outubro de 2020 relativos à </w:t>
      </w:r>
      <w:r w:rsidR="000854ED">
        <w:rPr>
          <w:rFonts w:ascii="Verdana" w:hAnsi="Verdana"/>
        </w:rPr>
        <w:t>T</w:t>
      </w:r>
      <w:r w:rsidR="00F22C59">
        <w:rPr>
          <w:rFonts w:ascii="Verdana" w:hAnsi="Verdana"/>
        </w:rPr>
        <w:t xml:space="preserve">erceira </w:t>
      </w:r>
      <w:r w:rsidR="000854ED">
        <w:rPr>
          <w:rFonts w:ascii="Verdana" w:hAnsi="Verdana"/>
        </w:rPr>
        <w:t>Emissão</w:t>
      </w:r>
      <w:r w:rsidR="00F22C59">
        <w:rPr>
          <w:rFonts w:ascii="Verdana" w:hAnsi="Verdana"/>
        </w:rPr>
        <w:t>.</w:t>
      </w: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2D0A35A6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9B6">
        <w:rPr>
          <w:rFonts w:asciiTheme="minorHAnsi" w:hAnsiTheme="minorHAnsi" w:cstheme="minorHAnsi"/>
          <w:color w:val="000000"/>
          <w:szCs w:val="24"/>
        </w:rPr>
        <w:t>o Debenturista deliberou e aprovou, sem quaisquer restrições, o quanto segue:</w:t>
      </w: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7E47C451" w:rsidR="00F07D04" w:rsidRDefault="00CB7F6F" w:rsidP="00F16F4D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3A3F61">
        <w:rPr>
          <w:rFonts w:asciiTheme="minorHAnsi" w:hAnsiTheme="minorHAnsi" w:cstheme="minorHAnsi"/>
          <w:b/>
          <w:szCs w:val="24"/>
          <w:lang w:eastAsia="ar-SA"/>
        </w:rPr>
        <w:t xml:space="preserve"> </w:t>
      </w:r>
      <w:r w:rsidR="003A3F61">
        <w:rPr>
          <w:rFonts w:asciiTheme="minorHAnsi" w:hAnsiTheme="minorHAnsi" w:cstheme="minorHAnsi"/>
          <w:szCs w:val="24"/>
        </w:rPr>
        <w:t xml:space="preserve">Autorizar </w:t>
      </w:r>
      <w:r w:rsidR="00800E90" w:rsidRPr="000854ED">
        <w:rPr>
          <w:rFonts w:asciiTheme="minorHAnsi" w:hAnsiTheme="minorHAnsi" w:cstheme="minorHAnsi"/>
          <w:szCs w:val="24"/>
        </w:rPr>
        <w:t>a não realização dos Eventos de Pagamento de Amortização e Juros agendados para o dia 15 de outubro de 2020 relativos à</w:t>
      </w:r>
      <w:r w:rsidR="00800E90">
        <w:rPr>
          <w:rFonts w:ascii="Verdana" w:hAnsi="Verdana" w:cs="Arial"/>
        </w:rPr>
        <w:t xml:space="preserve"> </w:t>
      </w:r>
      <w:bookmarkStart w:id="3" w:name="_GoBack"/>
      <w:bookmarkEnd w:id="3"/>
      <w:r w:rsidR="003A3F61">
        <w:rPr>
          <w:rFonts w:asciiTheme="minorHAnsi" w:hAnsiTheme="minorHAnsi" w:cstheme="minorHAnsi"/>
          <w:szCs w:val="24"/>
        </w:rPr>
        <w:t>Terceira Emissão</w:t>
      </w:r>
      <w:r w:rsidR="00F07D04">
        <w:rPr>
          <w:rFonts w:asciiTheme="minorHAnsi" w:hAnsiTheme="minorHAnsi" w:cstheme="minorHAnsi"/>
          <w:szCs w:val="24"/>
        </w:rPr>
        <w:t>.</w:t>
      </w: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44F409A8" w:rsidR="00E336FF" w:rsidRDefault="005C4D8E" w:rsidP="003A3F61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F69B6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45051B33" w:rsidR="00F97AA7" w:rsidRPr="005C4D8E" w:rsidRDefault="00C92DF6" w:rsidP="003A3F61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F69B6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="003A3F6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00E90">
        <w:rPr>
          <w:rFonts w:asciiTheme="minorHAnsi" w:hAnsiTheme="minorHAnsi" w:cstheme="minorHAnsi"/>
          <w:bCs/>
          <w:szCs w:val="24"/>
          <w:lang w:eastAsia="ar-SA"/>
        </w:rPr>
        <w:t>Exceto pelo expressamente deliberado nessa AGD, a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</w:t>
      </w:r>
      <w:r w:rsidR="00800E90">
        <w:rPr>
          <w:rFonts w:asciiTheme="minorHAnsi" w:hAnsiTheme="minorHAnsi" w:cstheme="minorHAnsi"/>
          <w:bCs/>
          <w:szCs w:val="24"/>
          <w:lang w:eastAsia="ar-SA"/>
        </w:rPr>
        <w:t xml:space="preserve">,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(conforme definido na Escritura de Emissão) e/ou documentos correlatos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;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ou (</w:t>
      </w:r>
      <w:proofErr w:type="spellStart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ii</w:t>
      </w:r>
      <w:proofErr w:type="spellEnd"/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Nada mais havendo a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>tratar, tendo sido lavrada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 a presente ata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, a qual, depois de 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lida e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>aprovada</w:t>
      </w:r>
      <w:r w:rsidR="001C785A" w:rsidRPr="003A3F61">
        <w:rPr>
          <w:rFonts w:asciiTheme="minorHAnsi" w:hAnsiTheme="minorHAnsi" w:cstheme="minorHAnsi"/>
          <w:bCs/>
          <w:szCs w:val="24"/>
          <w:lang w:eastAsia="ar-SA"/>
        </w:rPr>
        <w:t xml:space="preserve">, foi assinada 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pelos presentes. Autorizada a lavratura da </w:t>
      </w:r>
      <w:r w:rsidR="00756C5C" w:rsidRPr="003A3F61">
        <w:rPr>
          <w:rFonts w:asciiTheme="minorHAnsi" w:hAnsiTheme="minorHAnsi" w:cstheme="minorHAnsi"/>
          <w:bCs/>
          <w:szCs w:val="24"/>
          <w:lang w:eastAsia="ar-SA"/>
        </w:rPr>
        <w:t>presente</w:t>
      </w:r>
      <w:r w:rsidR="003C3D31" w:rsidRPr="003A3F61">
        <w:rPr>
          <w:rFonts w:asciiTheme="minorHAnsi" w:hAnsiTheme="minorHAnsi" w:cstheme="minorHAnsi"/>
          <w:bCs/>
          <w:szCs w:val="24"/>
          <w:lang w:eastAsia="ar-SA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42A2BB77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3A3F61">
        <w:rPr>
          <w:rFonts w:asciiTheme="minorHAnsi" w:hAnsiTheme="minorHAnsi" w:cstheme="minorHAnsi"/>
          <w:szCs w:val="24"/>
        </w:rPr>
        <w:t>09</w:t>
      </w:r>
      <w:r w:rsidR="00AF69B6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3A3F61">
        <w:rPr>
          <w:rFonts w:asciiTheme="minorHAnsi" w:hAnsiTheme="minorHAnsi" w:cstheme="minorHAnsi"/>
          <w:szCs w:val="24"/>
        </w:rPr>
        <w:t>outubro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79E12128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4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103EFB">
        <w:rPr>
          <w:rFonts w:asciiTheme="minorHAnsi" w:hAnsiTheme="minorHAnsi" w:cstheme="minorHAnsi"/>
          <w:b/>
          <w:szCs w:val="24"/>
        </w:rPr>
        <w:t>REALIZADA EM 09 DE OUTUBRO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4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73B87371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103EFB">
        <w:rPr>
          <w:rFonts w:asciiTheme="minorHAnsi" w:hAnsiTheme="minorHAnsi" w:cstheme="minorHAnsi"/>
          <w:b/>
          <w:szCs w:val="24"/>
        </w:rPr>
        <w:t>REALIZADA EM 09 DE OUTUBRO DE 202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0631B3B6" w:rsidR="00103EFB" w:rsidRDefault="00103EFB">
      <w:pPr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2DFA1439" w14:textId="576D8B5B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103EFB">
        <w:rPr>
          <w:rFonts w:asciiTheme="minorHAnsi" w:hAnsiTheme="minorHAnsi" w:cstheme="minorHAnsi"/>
          <w:b/>
          <w:szCs w:val="24"/>
        </w:rPr>
        <w:t>REALIZADA EM 09 DE OUTUBRO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951F" w14:textId="77777777" w:rsidR="008757C8" w:rsidRDefault="008757C8" w:rsidP="00C92DF6">
      <w:pPr>
        <w:spacing w:line="240" w:lineRule="auto"/>
      </w:pPr>
      <w:r>
        <w:separator/>
      </w:r>
    </w:p>
  </w:endnote>
  <w:endnote w:type="continuationSeparator" w:id="0">
    <w:p w14:paraId="36B3C99D" w14:textId="77777777" w:rsidR="008757C8" w:rsidRDefault="008757C8" w:rsidP="00C92DF6">
      <w:pPr>
        <w:spacing w:line="240" w:lineRule="auto"/>
      </w:pPr>
      <w:r>
        <w:continuationSeparator/>
      </w:r>
    </w:p>
  </w:endnote>
  <w:endnote w:type="continuationNotice" w:id="1">
    <w:p w14:paraId="7F75DF1C" w14:textId="77777777" w:rsidR="008757C8" w:rsidRDefault="008757C8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0854ED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C1A9" w14:textId="77777777" w:rsidR="008757C8" w:rsidRDefault="008757C8" w:rsidP="00C92DF6">
      <w:pPr>
        <w:spacing w:line="240" w:lineRule="auto"/>
      </w:pPr>
      <w:r>
        <w:separator/>
      </w:r>
    </w:p>
  </w:footnote>
  <w:footnote w:type="continuationSeparator" w:id="0">
    <w:p w14:paraId="3937CB73" w14:textId="77777777" w:rsidR="008757C8" w:rsidRDefault="008757C8" w:rsidP="00C92DF6">
      <w:pPr>
        <w:spacing w:line="240" w:lineRule="auto"/>
      </w:pPr>
      <w:r>
        <w:continuationSeparator/>
      </w:r>
    </w:p>
  </w:footnote>
  <w:footnote w:type="continuationNotice" w:id="1">
    <w:p w14:paraId="7B73AA62" w14:textId="77777777" w:rsidR="008757C8" w:rsidRDefault="008757C8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07DAB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4ED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3EFB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3F61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11D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0E90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57C8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356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9B6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4D6F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48A0"/>
    <w:rsid w:val="00F165EB"/>
    <w:rsid w:val="00F16F4D"/>
    <w:rsid w:val="00F16F89"/>
    <w:rsid w:val="00F17C35"/>
    <w:rsid w:val="00F22C59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0CCF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DB9FE255-A25E-4128-9284-EE96F65A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Mariana Rosa</cp:lastModifiedBy>
  <cp:revision>2</cp:revision>
  <cp:lastPrinted>2018-11-30T00:17:00Z</cp:lastPrinted>
  <dcterms:created xsi:type="dcterms:W3CDTF">2020-10-01T19:21:00Z</dcterms:created>
  <dcterms:modified xsi:type="dcterms:W3CDTF">2020-10-01T19:21:00Z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