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B13" w14:textId="64A9F67C" w:rsidR="006F7C83" w:rsidRPr="006F7C83" w:rsidRDefault="00DE7F4A" w:rsidP="006F7C83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IP SUL CONCESSIONÁRIA DE ILUMINAÇÃO PÚBLICA S.A.</w:t>
      </w:r>
    </w:p>
    <w:p w14:paraId="73A463BA" w14:textId="4C7B2E76" w:rsidR="006F7C83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 xml:space="preserve">CNPJ/ME nº </w:t>
      </w:r>
      <w:r w:rsidR="00DE7F4A" w:rsidRPr="00DE7F4A">
        <w:rPr>
          <w:rFonts w:asciiTheme="minorHAnsi" w:hAnsiTheme="minorHAnsi" w:cstheme="minorHAnsi"/>
          <w:sz w:val="22"/>
          <w:szCs w:val="22"/>
        </w:rPr>
        <w:t>º 37.070.559/0001-06</w:t>
      </w:r>
    </w:p>
    <w:p w14:paraId="408ADE18" w14:textId="574DD627" w:rsidR="007E0D4F" w:rsidRPr="006F7C83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F7C83">
        <w:rPr>
          <w:rFonts w:asciiTheme="minorHAnsi" w:hAnsiTheme="minorHAnsi" w:cstheme="minorHAnsi"/>
          <w:sz w:val="22"/>
          <w:szCs w:val="22"/>
        </w:rPr>
        <w:t>NIRE</w:t>
      </w:r>
      <w:r w:rsidRPr="006F7C83">
        <w:rPr>
          <w:rFonts w:asciiTheme="minorHAnsi" w:hAnsiTheme="minorHAnsi" w:cstheme="minorHAnsi"/>
          <w:color w:val="3C4043"/>
          <w:sz w:val="22"/>
          <w:szCs w:val="22"/>
          <w:shd w:val="clear" w:color="auto" w:fill="FFFFFF"/>
        </w:rPr>
        <w:t xml:space="preserve"> </w:t>
      </w:r>
      <w:r w:rsidR="00DE7F4A" w:rsidRPr="00DE7F4A">
        <w:rPr>
          <w:rFonts w:asciiTheme="minorHAnsi" w:hAnsiTheme="minorHAnsi" w:cstheme="minorHAnsi"/>
          <w:sz w:val="22"/>
          <w:szCs w:val="22"/>
        </w:rPr>
        <w:t>43.300.064.743</w:t>
      </w:r>
    </w:p>
    <w:p w14:paraId="783C3178" w14:textId="77777777" w:rsidR="006F7C83" w:rsidRPr="002C4125" w:rsidRDefault="006F7C83" w:rsidP="006F7C83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E124C65" w14:textId="77777777" w:rsidR="00DE7F4A" w:rsidRPr="00DE7F4A" w:rsidRDefault="007E0D4F" w:rsidP="00DE7F4A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DE7F4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ª (PRIMEIRA) </w:t>
      </w:r>
      <w:r w:rsidR="00DE7F4A" w:rsidRPr="00DE7F4A">
        <w:rPr>
          <w:rFonts w:asciiTheme="minorHAnsi" w:hAnsiTheme="minorHAnsi" w:cstheme="minorHAnsi"/>
          <w:b/>
          <w:bCs/>
          <w:sz w:val="22"/>
          <w:szCs w:val="22"/>
        </w:rPr>
        <w:t>EMISSÃO DE DEBÊNTURES</w:t>
      </w:r>
    </w:p>
    <w:p w14:paraId="2F09A50B" w14:textId="77777777" w:rsidR="00DE7F4A" w:rsidRPr="00DE7F4A" w:rsidRDefault="00DE7F4A" w:rsidP="00DE7F4A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E7F4A">
        <w:rPr>
          <w:rFonts w:asciiTheme="minorHAnsi" w:hAnsiTheme="minorHAnsi" w:cstheme="minorHAnsi"/>
          <w:b/>
          <w:bCs/>
          <w:sz w:val="22"/>
          <w:szCs w:val="22"/>
        </w:rPr>
        <w:t>SIMPLES, NÃO CONVERSÍVEIS EM AÇÕES, DA ESPÉCIE COM GARANTIA REAL, EM SÉRIE</w:t>
      </w:r>
    </w:p>
    <w:p w14:paraId="49963EBD" w14:textId="659D31DE" w:rsidR="00D25567" w:rsidRPr="002C4125" w:rsidRDefault="00DE7F4A" w:rsidP="00DE7F4A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E7F4A">
        <w:rPr>
          <w:rFonts w:asciiTheme="minorHAnsi" w:hAnsiTheme="minorHAnsi" w:cstheme="minorHAnsi"/>
          <w:b/>
          <w:bCs/>
          <w:sz w:val="22"/>
          <w:szCs w:val="22"/>
        </w:rPr>
        <w:t>ÚNICA, PARA DISTRIBUIÇÃO PÚBLICA, COM ESFORÇOS RESTRITOS, DA IP SUL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7F4A">
        <w:rPr>
          <w:rFonts w:asciiTheme="minorHAnsi" w:hAnsiTheme="minorHAnsi" w:cstheme="minorHAnsi"/>
          <w:b/>
          <w:bCs/>
          <w:sz w:val="22"/>
          <w:szCs w:val="22"/>
        </w:rPr>
        <w:t>CONCESSIONÁRIA DE ILUMINAÇÃO PÚBLICA S.A</w:t>
      </w:r>
      <w:r w:rsidR="007E0D4F"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E0D4F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6E1E87">
        <w:rPr>
          <w:rFonts w:asciiTheme="minorHAnsi" w:hAnsiTheme="minorHAnsi" w:cstheme="minorHAnsi"/>
          <w:b/>
          <w:bCs/>
          <w:sz w:val="22"/>
          <w:szCs w:val="22"/>
        </w:rPr>
        <w:t>27 DE ABRIL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0D4F"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1BDF6F03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E1E87">
        <w:rPr>
          <w:rFonts w:asciiTheme="minorHAnsi" w:hAnsiTheme="minorHAnsi" w:cstheme="minorHAnsi"/>
          <w:sz w:val="22"/>
          <w:szCs w:val="22"/>
        </w:rPr>
        <w:t xml:space="preserve">27 de abril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E7F4A">
        <w:rPr>
          <w:rFonts w:asciiTheme="minorHAnsi" w:hAnsiTheme="minorHAnsi" w:cstheme="minorHAnsi"/>
          <w:b/>
          <w:bCs/>
          <w:sz w:val="22"/>
          <w:szCs w:val="22"/>
        </w:rPr>
        <w:t xml:space="preserve">IP SUL CONCESSIONÁRIA DE ILUMINAÇÃO PÚBLICA S.A,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sociedade por ações </w:t>
      </w:r>
      <w:r w:rsidR="00DE7F4A">
        <w:rPr>
          <w:rFonts w:asciiTheme="minorHAnsi" w:hAnsiTheme="minorHAnsi" w:cstheme="minorHAnsi"/>
          <w:sz w:val="22"/>
          <w:szCs w:val="22"/>
        </w:rPr>
        <w:t xml:space="preserve">de capital fechado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com sede na cidade de </w:t>
      </w:r>
      <w:r w:rsidR="00DE7F4A">
        <w:rPr>
          <w:rFonts w:asciiTheme="minorHAnsi" w:hAnsiTheme="minorHAnsi" w:cstheme="minorHAnsi"/>
          <w:sz w:val="22"/>
          <w:szCs w:val="22"/>
        </w:rPr>
        <w:t>Porto Alegre, Estado do Rio Grande do Sul, na Rua Doutor João Inácio, nº 1130, CEP 90230-181, Navegantes,</w:t>
      </w:r>
      <w:r w:rsidR="006F7C83">
        <w:rPr>
          <w:rFonts w:asciiTheme="minorHAnsi" w:hAnsiTheme="minorHAnsi" w:cstheme="minorHAnsi"/>
          <w:sz w:val="22"/>
          <w:szCs w:val="22"/>
        </w:rPr>
        <w:t xml:space="preserve"> inscrita no CNPJ sob o nº </w:t>
      </w:r>
      <w:r w:rsidR="00DE7F4A" w:rsidRPr="00DE7F4A">
        <w:rPr>
          <w:rFonts w:asciiTheme="minorHAnsi" w:hAnsiTheme="minorHAnsi" w:cstheme="minorHAnsi"/>
          <w:sz w:val="22"/>
          <w:szCs w:val="22"/>
        </w:rPr>
        <w:t>37.070.559/0001-06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  <w:r w:rsidR="006F7C83">
        <w:rPr>
          <w:rFonts w:asciiTheme="minorHAnsi" w:hAnsiTheme="minorHAnsi" w:cstheme="minorHAnsi"/>
          <w:sz w:val="22"/>
          <w:szCs w:val="22"/>
        </w:rPr>
        <w:t xml:space="preserve"> A presente Assembleia Geral de Debenturistas (“</w:t>
      </w:r>
      <w:r w:rsidR="006F7C83" w:rsidRPr="00ED5733">
        <w:rPr>
          <w:rFonts w:asciiTheme="minorHAnsi" w:hAnsiTheme="minorHAnsi" w:cstheme="minorHAnsi"/>
          <w:sz w:val="22"/>
          <w:szCs w:val="22"/>
          <w:u w:val="single"/>
        </w:rPr>
        <w:t>Assembleia</w:t>
      </w:r>
      <w:r w:rsidR="006F7C83">
        <w:rPr>
          <w:rFonts w:asciiTheme="minorHAnsi" w:hAnsiTheme="minorHAnsi" w:cstheme="minorHAnsi"/>
          <w:sz w:val="22"/>
          <w:szCs w:val="22"/>
        </w:rPr>
        <w:t xml:space="preserve">”) foi realizada com a dispensa de videoconferência em razão da presença dos </w:t>
      </w:r>
      <w:r w:rsidR="00ED5733">
        <w:rPr>
          <w:rFonts w:asciiTheme="minorHAnsi" w:hAnsiTheme="minorHAnsi" w:cstheme="minorHAnsi"/>
          <w:sz w:val="22"/>
          <w:szCs w:val="22"/>
        </w:rPr>
        <w:t xml:space="preserve">titulares das Debêntures representando </w:t>
      </w:r>
      <w:r w:rsidR="006F7C83">
        <w:rPr>
          <w:rFonts w:asciiTheme="minorHAnsi" w:hAnsiTheme="minorHAnsi" w:cstheme="minorHAnsi"/>
          <w:sz w:val="22"/>
          <w:szCs w:val="22"/>
        </w:rPr>
        <w:t xml:space="preserve">a totalidade das Debêntures em </w:t>
      </w:r>
      <w:r w:rsidR="00ED5733">
        <w:rPr>
          <w:rFonts w:asciiTheme="minorHAnsi" w:hAnsiTheme="minorHAnsi" w:cstheme="minorHAnsi"/>
          <w:sz w:val="22"/>
          <w:szCs w:val="22"/>
        </w:rPr>
        <w:t>C</w:t>
      </w:r>
      <w:r w:rsidR="006F7C83">
        <w:rPr>
          <w:rFonts w:asciiTheme="minorHAnsi" w:hAnsiTheme="minorHAnsi" w:cstheme="minorHAnsi"/>
          <w:sz w:val="22"/>
          <w:szCs w:val="22"/>
        </w:rPr>
        <w:t>irculação.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26E7D354" w:rsidR="00D25567" w:rsidRPr="00DE7F4A" w:rsidRDefault="001917AC" w:rsidP="00DE7F4A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da </w:t>
      </w:r>
      <w:r w:rsidR="00DE7F4A">
        <w:rPr>
          <w:rFonts w:asciiTheme="minorHAnsi" w:hAnsiTheme="minorHAnsi" w:cstheme="minorHAnsi"/>
          <w:sz w:val="22"/>
          <w:szCs w:val="22"/>
        </w:rPr>
        <w:t>1</w:t>
      </w:r>
      <w:r w:rsidR="006C4204" w:rsidRPr="002C4125">
        <w:rPr>
          <w:rFonts w:asciiTheme="minorHAnsi" w:hAnsiTheme="minorHAnsi" w:cstheme="minorHAnsi"/>
          <w:sz w:val="22"/>
          <w:szCs w:val="22"/>
        </w:rPr>
        <w:t>ª (</w:t>
      </w:r>
      <w:r w:rsidR="00DE7F4A">
        <w:rPr>
          <w:rFonts w:asciiTheme="minorHAnsi" w:hAnsiTheme="minorHAnsi" w:cstheme="minorHAnsi"/>
          <w:sz w:val="22"/>
          <w:szCs w:val="22"/>
        </w:rPr>
        <w:t>Primeira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DE7F4A">
        <w:rPr>
          <w:rFonts w:asciiTheme="minorHAnsi" w:hAnsiTheme="minorHAnsi" w:cstheme="minorHAnsi"/>
          <w:sz w:val="22"/>
          <w:szCs w:val="22"/>
        </w:rPr>
        <w:t>Com Garantia Real,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D5733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6C4204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DE7F4A">
        <w:rPr>
          <w:rFonts w:asciiTheme="minorHAnsi" w:hAnsiTheme="minorHAnsi" w:cstheme="minorHAnsi"/>
          <w:sz w:val="22"/>
          <w:szCs w:val="22"/>
        </w:rPr>
        <w:t>ública</w:t>
      </w:r>
      <w:r w:rsidR="006C4204" w:rsidRPr="00DE7F4A">
        <w:rPr>
          <w:rFonts w:asciiTheme="minorHAnsi" w:hAnsiTheme="minorHAnsi" w:cstheme="minorHAnsi"/>
          <w:sz w:val="22"/>
          <w:szCs w:val="22"/>
        </w:rPr>
        <w:t xml:space="preserve">, </w:t>
      </w:r>
      <w:r w:rsidR="00DE7F4A">
        <w:rPr>
          <w:rFonts w:asciiTheme="minorHAnsi" w:hAnsiTheme="minorHAnsi" w:cstheme="minorHAnsi"/>
          <w:sz w:val="22"/>
          <w:szCs w:val="22"/>
        </w:rPr>
        <w:t xml:space="preserve">Com Esforços Restritos, </w:t>
      </w:r>
      <w:r w:rsidR="006C4204" w:rsidRPr="00DE7F4A">
        <w:rPr>
          <w:rFonts w:asciiTheme="minorHAnsi" w:hAnsiTheme="minorHAnsi" w:cstheme="minorHAnsi"/>
          <w:sz w:val="22"/>
          <w:szCs w:val="22"/>
        </w:rPr>
        <w:t>da Companhia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DE7F4A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DE7F4A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DE7F4A">
        <w:rPr>
          <w:rFonts w:asciiTheme="minorHAnsi" w:hAnsiTheme="minorHAnsi" w:cstheme="minorHAnsi"/>
          <w:sz w:val="22"/>
          <w:szCs w:val="22"/>
        </w:rPr>
        <w:t>”, “</w:t>
      </w:r>
      <w:r w:rsidR="00BC1BD0" w:rsidRPr="00DE7F4A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DE7F4A">
        <w:rPr>
          <w:rFonts w:asciiTheme="minorHAnsi" w:hAnsiTheme="minorHAnsi" w:cstheme="minorHAnsi"/>
          <w:sz w:val="22"/>
          <w:szCs w:val="22"/>
        </w:rPr>
        <w:t>” e “</w:t>
      </w:r>
      <w:r w:rsidR="00BC1BD0" w:rsidRPr="00DE7F4A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DE7F4A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DE7F4A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DE7F4A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DE7F4A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DE7F4A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DE7F4A">
        <w:rPr>
          <w:rFonts w:asciiTheme="minorHAnsi" w:hAnsiTheme="minorHAnsi" w:cstheme="minorHAnsi"/>
          <w:sz w:val="22"/>
          <w:szCs w:val="22"/>
        </w:rPr>
        <w:t xml:space="preserve">8.2 </w:t>
      </w:r>
      <w:r w:rsidR="00BC1BD0" w:rsidRPr="00DE7F4A">
        <w:rPr>
          <w:rFonts w:asciiTheme="minorHAnsi" w:hAnsiTheme="minorHAnsi" w:cstheme="minorHAnsi"/>
          <w:sz w:val="22"/>
          <w:szCs w:val="22"/>
        </w:rPr>
        <w:t>do “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INSTRUMENTO PARTICULAR DE ESCRITURA DA </w:t>
      </w:r>
      <w:r w:rsidR="00DE7F4A">
        <w:rPr>
          <w:rFonts w:asciiTheme="minorHAnsi" w:hAnsiTheme="minorHAnsi" w:cstheme="minorHAnsi"/>
          <w:i/>
          <w:iCs/>
          <w:sz w:val="22"/>
          <w:szCs w:val="22"/>
        </w:rPr>
        <w:t>PRIMEIRA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 EMISSÃO DE DEBÊNTURES SIMPLES, NÃO CONVERSÍVEIS EM AÇÕES, DA ESPÉCIE </w:t>
      </w:r>
      <w:r w:rsidR="00DE7F4A">
        <w:rPr>
          <w:rFonts w:asciiTheme="minorHAnsi" w:hAnsiTheme="minorHAnsi" w:cstheme="minorHAnsi"/>
          <w:i/>
          <w:iCs/>
          <w:sz w:val="22"/>
          <w:szCs w:val="22"/>
        </w:rPr>
        <w:t>COM GARANTIA REAL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ED5733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EM SÉRIE ÚNICA, 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>PARA DISTRIBUIÇÃO</w:t>
      </w:r>
      <w:r w:rsidR="00DE7F4A">
        <w:rPr>
          <w:rFonts w:asciiTheme="minorHAnsi" w:hAnsiTheme="minorHAnsi" w:cstheme="minorHAnsi"/>
          <w:i/>
          <w:iCs/>
          <w:sz w:val="22"/>
          <w:szCs w:val="22"/>
        </w:rPr>
        <w:t xml:space="preserve"> PÚBLICA, COM ESFORÇOS RESTRITOS, DA IP SUL CONCESSIONÁRIA DE ILUMINAÇÃO PÚBLICA</w:t>
      </w:r>
      <w:r w:rsidR="00ED5733" w:rsidRPr="00DE7F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73CE8" w:rsidRPr="00DE7F4A">
        <w:rPr>
          <w:rFonts w:asciiTheme="minorHAnsi" w:hAnsiTheme="minorHAnsi" w:cstheme="minorHAnsi"/>
          <w:i/>
          <w:iCs/>
          <w:sz w:val="22"/>
          <w:szCs w:val="22"/>
        </w:rPr>
        <w:t>S.A.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DE7F4A">
        <w:rPr>
          <w:rFonts w:asciiTheme="minorHAnsi" w:hAnsiTheme="minorHAnsi" w:cstheme="minorHAnsi"/>
          <w:sz w:val="22"/>
          <w:szCs w:val="22"/>
        </w:rPr>
        <w:t>27 de janeiro de 2022</w:t>
      </w:r>
      <w:r w:rsidR="00BC1BD0" w:rsidRPr="00DE7F4A">
        <w:rPr>
          <w:rFonts w:asciiTheme="minorHAnsi" w:hAnsiTheme="minorHAnsi" w:cstheme="minorHAnsi"/>
          <w:sz w:val="22"/>
          <w:szCs w:val="22"/>
        </w:rPr>
        <w:t xml:space="preserve"> (</w:t>
      </w:r>
      <w:r w:rsidR="006C4204" w:rsidRPr="00DE7F4A">
        <w:rPr>
          <w:rFonts w:asciiTheme="minorHAnsi" w:hAnsiTheme="minorHAnsi" w:cstheme="minorHAnsi"/>
          <w:sz w:val="22"/>
          <w:szCs w:val="22"/>
        </w:rPr>
        <w:t xml:space="preserve">conforme aditado de tempos em tempos, </w:t>
      </w:r>
      <w:r w:rsidR="00BC1BD0" w:rsidRPr="00DE7F4A">
        <w:rPr>
          <w:rFonts w:asciiTheme="minorHAnsi" w:hAnsiTheme="minorHAnsi" w:cstheme="minorHAnsi"/>
          <w:sz w:val="22"/>
          <w:szCs w:val="22"/>
        </w:rPr>
        <w:t>“</w:t>
      </w:r>
      <w:r w:rsidR="00BC1BD0" w:rsidRPr="00DE7F4A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DE7F4A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DE7F4A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26A314BC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>os Debenturistas</w:t>
      </w:r>
      <w:r w:rsidR="005D7A30">
        <w:rPr>
          <w:rFonts w:asciiTheme="minorHAnsi" w:hAnsiTheme="minorHAnsi" w:cstheme="minorHAnsi"/>
          <w:sz w:val="22"/>
          <w:szCs w:val="22"/>
        </w:rPr>
        <w:t>,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5D7A30">
        <w:rPr>
          <w:rFonts w:asciiTheme="minorHAnsi" w:hAnsiTheme="minorHAnsi" w:cstheme="minorHAnsi"/>
          <w:sz w:val="22"/>
          <w:szCs w:val="22"/>
        </w:rPr>
        <w:t xml:space="preserve"> (conforme definido na Escritura de Emissão)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</w:t>
      </w:r>
      <w:r w:rsidR="005D7A3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2905B732" w:rsidR="00D25567" w:rsidRPr="006E1E87" w:rsidRDefault="00F148A8" w:rsidP="006E1E87">
      <w:pPr>
        <w:pStyle w:val="PargrafodaLista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5D7A30">
        <w:rPr>
          <w:rFonts w:asciiTheme="minorHAnsi" w:hAnsiTheme="minorHAnsi" w:cstheme="minorHAnsi"/>
          <w:sz w:val="22"/>
          <w:szCs w:val="22"/>
        </w:rPr>
        <w:t>[=]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5D7A30">
        <w:rPr>
          <w:rFonts w:asciiTheme="minorHAnsi" w:hAnsiTheme="minorHAnsi" w:cstheme="minorHAnsi"/>
          <w:sz w:val="22"/>
          <w:szCs w:val="22"/>
        </w:rPr>
        <w:t>[=]</w:t>
      </w:r>
      <w:r w:rsidR="006E1E87">
        <w:rPr>
          <w:rFonts w:asciiTheme="minorHAnsi" w:hAnsiTheme="minorHAnsi" w:cstheme="minorHAnsi"/>
          <w:sz w:val="22"/>
          <w:szCs w:val="22"/>
        </w:rPr>
        <w:t xml:space="preserve"> </w:t>
      </w:r>
      <w:r w:rsidR="006E1E8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6E1E87" w:rsidRPr="006E1E87">
        <w:rPr>
          <w:rFonts w:asciiTheme="minorHAnsi" w:hAnsiTheme="minorHAnsi" w:cstheme="minorHAnsi"/>
          <w:sz w:val="22"/>
          <w:szCs w:val="22"/>
          <w:highlight w:val="yellow"/>
        </w:rPr>
        <w:t>A presidência e secretaria das Assembleias Gerais de Debenturistas caberão aos</w:t>
      </w:r>
      <w:r w:rsidR="006E1E87" w:rsidRPr="006E1E87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6E1E87" w:rsidRPr="006E1E87">
        <w:rPr>
          <w:rFonts w:asciiTheme="minorHAnsi" w:hAnsiTheme="minorHAnsi" w:cstheme="minorHAnsi"/>
          <w:sz w:val="22"/>
          <w:szCs w:val="22"/>
          <w:highlight w:val="yellow"/>
        </w:rPr>
        <w:t>representantes eleitos por Debenturistas presentes ou àqueles que forem designados pela CVM.</w:t>
      </w:r>
      <w:r w:rsidR="006E1E87">
        <w:rPr>
          <w:rFonts w:asciiTheme="minorHAnsi" w:hAnsiTheme="minorHAnsi" w:cstheme="minorHAnsi"/>
          <w:sz w:val="22"/>
          <w:szCs w:val="22"/>
        </w:rPr>
        <w:t>]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5F4BCB" w14:textId="0CBF985F" w:rsidR="001A021E" w:rsidRDefault="00411C87" w:rsidP="001A021E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16708D">
        <w:rPr>
          <w:rFonts w:asciiTheme="minorHAnsi" w:hAnsiTheme="minorHAnsi" w:cstheme="minorHAnsi"/>
          <w:sz w:val="22"/>
          <w:szCs w:val="22"/>
        </w:rPr>
        <w:t xml:space="preserve"> </w:t>
      </w:r>
      <w:r w:rsidR="00317F50" w:rsidRPr="00317F50">
        <w:rPr>
          <w:rFonts w:asciiTheme="minorHAnsi" w:hAnsiTheme="minorHAnsi" w:cstheme="minorHAnsi"/>
          <w:sz w:val="22"/>
          <w:szCs w:val="22"/>
        </w:rPr>
        <w:t xml:space="preserve">não </w:t>
      </w:r>
      <w:r w:rsidR="000606C6">
        <w:rPr>
          <w:rFonts w:asciiTheme="minorHAnsi" w:hAnsiTheme="minorHAnsi" w:cstheme="minorHAnsi"/>
          <w:sz w:val="22"/>
          <w:szCs w:val="22"/>
        </w:rPr>
        <w:t>declaração do vencimento antecipado das Debêntures em razão d</w:t>
      </w:r>
      <w:r w:rsidR="0016708D">
        <w:rPr>
          <w:rFonts w:asciiTheme="minorHAnsi" w:hAnsiTheme="minorHAnsi" w:cstheme="minorHAnsi"/>
          <w:sz w:val="22"/>
          <w:szCs w:val="22"/>
        </w:rPr>
        <w:t>a caracterização d</w:t>
      </w:r>
      <w:r w:rsidR="005D7A30">
        <w:rPr>
          <w:rFonts w:asciiTheme="minorHAnsi" w:hAnsiTheme="minorHAnsi" w:cstheme="minorHAnsi"/>
          <w:sz w:val="22"/>
          <w:szCs w:val="22"/>
        </w:rPr>
        <w:t xml:space="preserve">o </w:t>
      </w:r>
      <w:r w:rsidR="0016708D">
        <w:rPr>
          <w:rFonts w:asciiTheme="minorHAnsi" w:hAnsiTheme="minorHAnsi" w:cstheme="minorHAnsi"/>
          <w:sz w:val="22"/>
          <w:szCs w:val="22"/>
        </w:rPr>
        <w:t>Evento de</w:t>
      </w:r>
      <w:r w:rsidR="00DE7F4A">
        <w:rPr>
          <w:rFonts w:asciiTheme="minorHAnsi" w:hAnsiTheme="minorHAnsi" w:cstheme="minorHAnsi"/>
          <w:sz w:val="22"/>
          <w:szCs w:val="22"/>
        </w:rPr>
        <w:t xml:space="preserve"> Vencimento Antecipado Não-Automático</w:t>
      </w:r>
      <w:r w:rsidR="0016708D">
        <w:rPr>
          <w:rFonts w:asciiTheme="minorHAnsi" w:hAnsiTheme="minorHAnsi" w:cstheme="minorHAnsi"/>
          <w:sz w:val="22"/>
          <w:szCs w:val="22"/>
        </w:rPr>
        <w:t xml:space="preserve"> previsto na Cláusula 5.1.2, alínea “</w:t>
      </w:r>
      <w:r w:rsidR="00322DF9">
        <w:rPr>
          <w:rFonts w:asciiTheme="minorHAnsi" w:hAnsiTheme="minorHAnsi" w:cstheme="minorHAnsi"/>
          <w:sz w:val="22"/>
          <w:szCs w:val="22"/>
        </w:rPr>
        <w:t>aa</w:t>
      </w:r>
      <w:r w:rsidR="0016708D">
        <w:rPr>
          <w:rFonts w:asciiTheme="minorHAnsi" w:hAnsiTheme="minorHAnsi" w:cstheme="minorHAnsi"/>
          <w:sz w:val="22"/>
          <w:szCs w:val="22"/>
        </w:rPr>
        <w:t xml:space="preserve">”, da Escritura de Emissão, </w:t>
      </w:r>
      <w:r w:rsidR="001A021E" w:rsidRPr="001A021E">
        <w:rPr>
          <w:rFonts w:asciiTheme="minorHAnsi" w:hAnsiTheme="minorHAnsi" w:cstheme="minorHAnsi"/>
          <w:sz w:val="22"/>
          <w:szCs w:val="22"/>
        </w:rPr>
        <w:t>pelo não atingimento pela Emissora do índice de cobertura do serviço da dívida (“ICSD”) mínimo de 1,30 (um</w:t>
      </w:r>
      <w:r w:rsidR="001A021E" w:rsidRPr="001A021E">
        <w:rPr>
          <w:rFonts w:asciiTheme="minorHAnsi" w:hAnsiTheme="minorHAnsi" w:cstheme="minorHAnsi"/>
          <w:sz w:val="22"/>
          <w:szCs w:val="22"/>
        </w:rPr>
        <w:t xml:space="preserve"> </w:t>
      </w:r>
      <w:r w:rsidR="001A021E" w:rsidRPr="001A021E">
        <w:rPr>
          <w:rFonts w:asciiTheme="minorHAnsi" w:hAnsiTheme="minorHAnsi" w:cstheme="minorHAnsi"/>
          <w:sz w:val="22"/>
          <w:szCs w:val="22"/>
        </w:rPr>
        <w:t>inteiro e trinta centésimos) relativo ao exercício social encerrado em 31 de dezembro de</w:t>
      </w:r>
      <w:r w:rsidR="001A021E" w:rsidRPr="001A021E">
        <w:rPr>
          <w:rFonts w:asciiTheme="minorHAnsi" w:hAnsiTheme="minorHAnsi" w:cstheme="minorHAnsi"/>
          <w:sz w:val="22"/>
          <w:szCs w:val="22"/>
        </w:rPr>
        <w:t xml:space="preserve"> </w:t>
      </w:r>
      <w:r w:rsidR="001A021E" w:rsidRPr="001A021E">
        <w:rPr>
          <w:rFonts w:asciiTheme="minorHAnsi" w:hAnsiTheme="minorHAnsi" w:cstheme="minorHAnsi"/>
          <w:sz w:val="22"/>
          <w:szCs w:val="22"/>
        </w:rPr>
        <w:t xml:space="preserve">2022; </w:t>
      </w:r>
    </w:p>
    <w:p w14:paraId="53159B2F" w14:textId="77777777" w:rsidR="001A021E" w:rsidRDefault="001A021E" w:rsidP="001A021E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4EE0D0B3" w14:textId="51C85ED2" w:rsidR="00FD04AC" w:rsidRPr="001A021E" w:rsidRDefault="001A021E" w:rsidP="001A021E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021E">
        <w:rPr>
          <w:rFonts w:asciiTheme="minorHAnsi" w:hAnsiTheme="minorHAnsi" w:cstheme="minorHAnsi"/>
          <w:sz w:val="22"/>
          <w:szCs w:val="22"/>
        </w:rPr>
        <w:t>Concessão de waiver</w:t>
      </w:r>
      <w:r w:rsidRPr="001A021E">
        <w:rPr>
          <w:rFonts w:asciiTheme="minorHAnsi" w:hAnsiTheme="minorHAnsi" w:cstheme="minorHAnsi"/>
          <w:sz w:val="22"/>
          <w:szCs w:val="22"/>
        </w:rPr>
        <w:t xml:space="preserve"> </w:t>
      </w:r>
      <w:r w:rsidRPr="001A021E">
        <w:rPr>
          <w:rFonts w:asciiTheme="minorHAnsi" w:hAnsiTheme="minorHAnsi" w:cstheme="minorHAnsi"/>
          <w:sz w:val="22"/>
          <w:szCs w:val="22"/>
        </w:rPr>
        <w:t>para a não observância do ICSD mínimo de 1,30 (um inteiro e trinta centésimos) a serem apurados trimestralmente 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021E"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284C657" w14:textId="73829413" w:rsidR="00A52527" w:rsidRPr="00322DF9" w:rsidRDefault="00A52527" w:rsidP="00322D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ED1A4" w14:textId="18703E71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831D14" w14:textId="77777777" w:rsidR="00FD04AC" w:rsidRPr="002C4125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ABERTURA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84DC5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F84DC5" w:rsidRPr="002C4125">
        <w:rPr>
          <w:rFonts w:asciiTheme="minorHAnsi" w:hAnsiTheme="minorHAnsi" w:cstheme="minorHAnsi"/>
          <w:sz w:val="22"/>
          <w:szCs w:val="22"/>
        </w:rPr>
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da</w:t>
      </w:r>
      <w:r w:rsidR="00F84DC5" w:rsidRPr="002C4125">
        <w:rPr>
          <w:rFonts w:asciiTheme="minorHAnsi" w:hAnsiTheme="minorHAnsi" w:cstheme="minorHAnsi"/>
          <w:sz w:val="22"/>
          <w:szCs w:val="22"/>
        </w:rPr>
        <w:t xml:space="preserve"> CVM nº 94, de 20 de maio de 2022 – Pronunciamento Técnico CPC 05, ao artigo 115 § 1º da Lei </w:t>
      </w:r>
      <w:r w:rsidR="004E7FEC" w:rsidRPr="002C4125">
        <w:rPr>
          <w:rFonts w:asciiTheme="minorHAnsi" w:hAnsiTheme="minorHAnsi" w:cstheme="minorHAnsi"/>
          <w:sz w:val="22"/>
          <w:szCs w:val="22"/>
        </w:rPr>
        <w:t>das S.A.</w:t>
      </w:r>
      <w:r w:rsidR="00F84DC5" w:rsidRPr="002C4125">
        <w:rPr>
          <w:rFonts w:asciiTheme="minorHAnsi" w:hAnsiTheme="minorHAnsi" w:cstheme="minorHAnsi"/>
          <w:sz w:val="22"/>
          <w:szCs w:val="22"/>
        </w:rPr>
        <w:t>, e outras hipóteses previstas em lei, conforme aplicável, sendo informado pela Emissora e pelos Debenturistas que tais hipóteses inexistem.</w:t>
      </w:r>
      <w:r w:rsidR="00B7283F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5086A" w14:textId="77777777" w:rsidR="00FD04AC" w:rsidRPr="002C4125" w:rsidRDefault="00FD04AC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81038" w14:textId="0158FA96" w:rsidR="00D25567" w:rsidRPr="002C4125" w:rsidRDefault="00BC1BD0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Após a devida eleição</w:t>
      </w:r>
      <w:r w:rsidR="00FD04AC" w:rsidRPr="002C4125">
        <w:rPr>
          <w:rFonts w:asciiTheme="minorHAnsi" w:hAnsiTheme="minorHAnsi" w:cstheme="minorHAnsi"/>
          <w:sz w:val="22"/>
          <w:szCs w:val="22"/>
        </w:rPr>
        <w:t xml:space="preserve"> da Mesa Diretora</w:t>
      </w:r>
      <w:r w:rsidRPr="002C4125">
        <w:rPr>
          <w:rFonts w:asciiTheme="minorHAnsi" w:hAnsiTheme="minorHAnsi" w:cstheme="minorHAnsi"/>
          <w:sz w:val="22"/>
          <w:szCs w:val="22"/>
        </w:rPr>
        <w:t>, foram abertos os trabalhos, tendo sido verificado pelo Secretário os pressupostos de quórum e convocação, bem como o instrumento de mandato do representante do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 xml:space="preserve"> presente</w:t>
      </w:r>
      <w:r w:rsidR="007D77C8" w:rsidRPr="002C4125">
        <w:rPr>
          <w:rFonts w:asciiTheme="minorHAnsi" w:hAnsiTheme="minorHAnsi" w:cstheme="minorHAnsi"/>
          <w:sz w:val="22"/>
          <w:szCs w:val="22"/>
        </w:rPr>
        <w:t>s</w:t>
      </w:r>
      <w:r w:rsidRPr="002C4125">
        <w:rPr>
          <w:rFonts w:asciiTheme="minorHAnsi" w:hAnsiTheme="minorHAnsi" w:cstheme="minorHAnsi"/>
          <w:sz w:val="22"/>
          <w:szCs w:val="22"/>
        </w:rPr>
        <w:t>, declarando o Presidente instalada a presente Assembleia. Em seguida, foi realizada a leitura da Ordem do Dia.</w:t>
      </w:r>
    </w:p>
    <w:p w14:paraId="4AD31FF1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E446ADC" w14:textId="42C86A21" w:rsidR="00D25567" w:rsidRDefault="00F00F78" w:rsidP="00040D9F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22DF9">
        <w:rPr>
          <w:rFonts w:asciiTheme="minorHAnsi" w:hAnsiTheme="minorHAnsi" w:cstheme="minorHAnsi"/>
          <w:b/>
          <w:bCs/>
          <w:sz w:val="22"/>
          <w:szCs w:val="22"/>
        </w:rPr>
        <w:t>DELIBERAÇÃO</w:t>
      </w:r>
      <w:r w:rsidRPr="00322DF9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322DF9">
        <w:rPr>
          <w:rFonts w:asciiTheme="minorHAnsi" w:hAnsiTheme="minorHAnsi" w:cstheme="minorHAnsi"/>
          <w:sz w:val="22"/>
          <w:szCs w:val="22"/>
        </w:rPr>
        <w:t xml:space="preserve"> </w:t>
      </w:r>
      <w:r w:rsidR="007D77C8" w:rsidRPr="00322DF9">
        <w:rPr>
          <w:rFonts w:asciiTheme="minorHAnsi" w:hAnsiTheme="minorHAnsi" w:cstheme="minorHAnsi"/>
          <w:sz w:val="22"/>
          <w:szCs w:val="22"/>
        </w:rPr>
        <w:t>A</w:t>
      </w:r>
      <w:r w:rsidR="00BC1BD0" w:rsidRPr="00322DF9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="007D77C8" w:rsidRPr="00322DF9">
        <w:rPr>
          <w:rFonts w:asciiTheme="minorHAnsi" w:hAnsiTheme="minorHAnsi" w:cstheme="minorHAnsi"/>
          <w:sz w:val="22"/>
          <w:szCs w:val="22"/>
        </w:rPr>
        <w:t>s</w:t>
      </w:r>
      <w:r w:rsidR="00BC1BD0" w:rsidRPr="00322DF9">
        <w:rPr>
          <w:rFonts w:asciiTheme="minorHAnsi" w:hAnsiTheme="minorHAnsi" w:cstheme="minorHAnsi"/>
          <w:sz w:val="22"/>
          <w:szCs w:val="22"/>
        </w:rPr>
        <w:t xml:space="preserve"> Debenturista</w:t>
      </w:r>
      <w:r w:rsidR="007D77C8" w:rsidRPr="00322DF9">
        <w:rPr>
          <w:rFonts w:asciiTheme="minorHAnsi" w:hAnsiTheme="minorHAnsi" w:cstheme="minorHAnsi"/>
          <w:sz w:val="22"/>
          <w:szCs w:val="22"/>
        </w:rPr>
        <w:t>s</w:t>
      </w:r>
      <w:r w:rsidR="00BC1BD0" w:rsidRPr="00322DF9">
        <w:rPr>
          <w:rFonts w:asciiTheme="minorHAnsi" w:hAnsiTheme="minorHAnsi" w:cstheme="minorHAnsi"/>
          <w:sz w:val="22"/>
          <w:szCs w:val="22"/>
        </w:rPr>
        <w:t xml:space="preserve">, por unanimidade de votos e sem quaisquer restrições, </w:t>
      </w:r>
      <w:r w:rsidR="00411C87" w:rsidRPr="00322DF9">
        <w:rPr>
          <w:rFonts w:asciiTheme="minorHAnsi" w:hAnsiTheme="minorHAnsi" w:cstheme="minorHAnsi"/>
          <w:sz w:val="22"/>
          <w:szCs w:val="22"/>
        </w:rPr>
        <w:t>[</w:t>
      </w:r>
      <w:r w:rsidR="00FD04AC" w:rsidRPr="00322DF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aprovaram</w:t>
      </w:r>
      <w:r w:rsidR="00411C87" w:rsidRPr="00322DF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/reprovaram</w:t>
      </w:r>
      <w:r w:rsidR="00411C87" w:rsidRPr="00322DF9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302A39" w:rsidRPr="00322DF9">
        <w:rPr>
          <w:rFonts w:asciiTheme="minorHAnsi" w:hAnsiTheme="minorHAnsi" w:cstheme="minorHAnsi"/>
          <w:b/>
          <w:bCs/>
          <w:sz w:val="22"/>
          <w:szCs w:val="22"/>
        </w:rPr>
        <w:t xml:space="preserve"> a totalidade das matérias constantes da Ordem do Dia</w:t>
      </w:r>
      <w:r w:rsidR="00322DF9">
        <w:rPr>
          <w:rFonts w:asciiTheme="minorHAnsi" w:hAnsiTheme="minorHAnsi" w:cstheme="minorHAnsi"/>
          <w:sz w:val="22"/>
          <w:szCs w:val="22"/>
        </w:rPr>
        <w:t>.</w:t>
      </w:r>
    </w:p>
    <w:p w14:paraId="1D9C48BC" w14:textId="77777777" w:rsidR="00322DF9" w:rsidRPr="00322DF9" w:rsidRDefault="00322DF9" w:rsidP="00322DF9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6A9F7A0" w14:textId="13C6E3D4" w:rsidR="00D138CF" w:rsidRPr="002C4125" w:rsidRDefault="00D138CF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</w:p>
    <w:p w14:paraId="0974FF21" w14:textId="77777777" w:rsidR="008D5723" w:rsidRPr="002C4125" w:rsidRDefault="008D5723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</w:t>
      </w: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Fiduciário de quaisquer responsabilidades e prejuízos em relação às deliberações e autorizações 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02CD1536" w14:textId="77777777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37949" w14:textId="7E3FA635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O Agente Fiduciário informa</w:t>
      </w:r>
      <w:r w:rsidR="00DA6065" w:rsidRPr="002C4125">
        <w:rPr>
          <w:rFonts w:asciiTheme="minorHAnsi" w:hAnsiTheme="minorHAnsi" w:cstheme="minorHAnsi"/>
          <w:sz w:val="22"/>
          <w:szCs w:val="22"/>
        </w:rPr>
        <w:t>, ainda,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que não é responsável por verificar se o gestor e/ou procurador dos Debenturistas ao tomar decisões no âmbito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ssembleia, age de acordo com as instruções de seu investidor final, observando seu regulamento ou contrato de gestão, conforme aplicável.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2C9EFE6A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411C87">
        <w:rPr>
          <w:rFonts w:asciiTheme="minorHAnsi" w:eastAsia="Times New Roman" w:hAnsiTheme="minorHAnsi" w:cstheme="minorHAnsi"/>
          <w:lang w:val="pt-BR" w:eastAsia="pt-BR"/>
        </w:rPr>
        <w:t xml:space="preserve"> 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00F0262B" w:rsidR="00D25567" w:rsidRPr="002C4125" w:rsidRDefault="00B57664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São </w:t>
      </w:r>
      <w:r w:rsidR="00411C87">
        <w:rPr>
          <w:rFonts w:asciiTheme="minorHAnsi" w:hAnsiTheme="minorHAnsi" w:cstheme="minorHAnsi"/>
          <w:sz w:val="22"/>
          <w:szCs w:val="22"/>
        </w:rPr>
        <w:t>Paulo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6E1E87">
        <w:rPr>
          <w:rFonts w:asciiTheme="minorHAnsi" w:hAnsiTheme="minorHAnsi" w:cstheme="minorHAnsi"/>
          <w:sz w:val="22"/>
          <w:szCs w:val="22"/>
        </w:rPr>
        <w:t>27 de abril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58A57DE0" w14:textId="77777777" w:rsidR="00817369" w:rsidRDefault="00817369" w:rsidP="00817369">
            <w:pPr>
              <w:pStyle w:val="Default"/>
            </w:pPr>
          </w:p>
          <w:p w14:paraId="5FDAD9D5" w14:textId="60A1B4FD" w:rsidR="00817369" w:rsidRPr="002E3C48" w:rsidRDefault="006E1E87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Presidente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2A532DFD" w14:textId="7B6D5EA7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793E3674" w14:textId="77777777" w:rsidR="00B95C91" w:rsidRDefault="00B95C91" w:rsidP="00B95C91">
            <w:pPr>
              <w:pStyle w:val="Default"/>
            </w:pPr>
          </w:p>
          <w:p w14:paraId="62BC0463" w14:textId="4305DAA8" w:rsidR="00B95C91" w:rsidRPr="002E3C48" w:rsidRDefault="006E1E87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3FC11EAF" w14:textId="3E4B64F2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  <w:r w:rsidR="00411C8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[=]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7E8EBF2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(Página de assinaturas 1/2 da</w:t>
      </w:r>
      <w:r w:rsidR="002C4125"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322DF9">
        <w:rPr>
          <w:rFonts w:asciiTheme="minorHAnsi" w:hAnsiTheme="minorHAnsi" w:cstheme="minorHAnsi"/>
          <w:sz w:val="22"/>
          <w:szCs w:val="22"/>
        </w:rPr>
        <w:t>1</w:t>
      </w:r>
      <w:r w:rsidR="00411C87" w:rsidRPr="002C4125">
        <w:rPr>
          <w:rFonts w:asciiTheme="minorHAnsi" w:hAnsiTheme="minorHAnsi" w:cstheme="minorHAnsi"/>
          <w:sz w:val="22"/>
          <w:szCs w:val="22"/>
        </w:rPr>
        <w:t>ª (</w:t>
      </w:r>
      <w:r w:rsidR="00322DF9">
        <w:rPr>
          <w:rFonts w:asciiTheme="minorHAnsi" w:hAnsiTheme="minorHAnsi" w:cstheme="minorHAnsi"/>
          <w:sz w:val="22"/>
          <w:szCs w:val="22"/>
        </w:rPr>
        <w:t>Primeira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322DF9">
        <w:rPr>
          <w:rFonts w:asciiTheme="minorHAnsi" w:hAnsiTheme="minorHAnsi" w:cstheme="minorHAnsi"/>
          <w:sz w:val="22"/>
          <w:szCs w:val="22"/>
        </w:rPr>
        <w:t>Com Garantia Real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411C87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411C87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322DF9">
        <w:rPr>
          <w:rFonts w:asciiTheme="minorHAnsi" w:hAnsiTheme="minorHAnsi" w:cstheme="minorHAnsi"/>
          <w:sz w:val="22"/>
          <w:szCs w:val="22"/>
        </w:rPr>
        <w:t>ública</w:t>
      </w:r>
      <w:r w:rsidR="00411C87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>com Esforços Restritos da IP Sul Concessionária de Iluminação Pública S.A.</w:t>
      </w:r>
      <w:r w:rsidR="002C4125">
        <w:rPr>
          <w:rFonts w:asciiTheme="minorHAnsi" w:hAnsiTheme="minorHAnsi" w:cstheme="minorHAnsi"/>
          <w:sz w:val="22"/>
          <w:szCs w:val="22"/>
        </w:rPr>
        <w:t xml:space="preserve"> realizada em </w:t>
      </w:r>
      <w:r w:rsidR="006E1E87">
        <w:rPr>
          <w:rFonts w:asciiTheme="minorHAnsi" w:hAnsiTheme="minorHAnsi" w:cstheme="minorHAnsi"/>
          <w:sz w:val="22"/>
          <w:szCs w:val="22"/>
        </w:rPr>
        <w:t>27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6E1E87">
        <w:rPr>
          <w:rFonts w:asciiTheme="minorHAnsi" w:hAnsiTheme="minorHAnsi" w:cstheme="minorHAnsi"/>
          <w:sz w:val="22"/>
          <w:szCs w:val="22"/>
        </w:rPr>
        <w:t>abril</w:t>
      </w:r>
      <w:r w:rsidR="002C4125">
        <w:rPr>
          <w:rFonts w:asciiTheme="minorHAnsi" w:hAnsiTheme="minorHAnsi" w:cstheme="minorHAnsi"/>
          <w:sz w:val="22"/>
          <w:szCs w:val="22"/>
        </w:rPr>
        <w:t xml:space="preserve"> de 2023)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0EDBF60" w14:textId="7FBA1F62" w:rsidR="00D25567" w:rsidRDefault="00322DF9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322DF9">
        <w:rPr>
          <w:rFonts w:asciiTheme="minorHAnsi" w:hAnsiTheme="minorHAnsi" w:cstheme="minorHAnsi"/>
          <w:b/>
          <w:bCs/>
          <w:sz w:val="22"/>
          <w:szCs w:val="22"/>
        </w:rPr>
        <w:t>IP SUL CONCESSIONÁRIA DE ILUMINAÇÃO PÚBLICA S.A</w:t>
      </w: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493C2709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  <w:p w14:paraId="5BEA1DA9" w14:textId="0D8A131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sz w:val="22"/>
                <w:szCs w:val="22"/>
              </w:rPr>
              <w:t>[=]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6EE2FE10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411C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[=]</w:t>
            </w:r>
          </w:p>
          <w:p w14:paraId="0C3390DE" w14:textId="388A85B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36E1888A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4CB0056C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411C87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[=]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9E2080A" w14:textId="4817EF05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9396802" w14:textId="77777777" w:rsidR="007B068C" w:rsidRDefault="007B068C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27301F2" w14:textId="1762B379" w:rsidR="00322DF9" w:rsidRPr="007B068C" w:rsidRDefault="00322DF9" w:rsidP="00322DF9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CC26517" w14:textId="38ACDB67" w:rsidR="007B068C" w:rsidRPr="007B068C" w:rsidRDefault="00BC1BD0" w:rsidP="007B068C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1EB21662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 xml:space="preserve">/2 </w:t>
      </w:r>
      <w:r w:rsidR="00322DF9" w:rsidRPr="002C4125">
        <w:rPr>
          <w:rFonts w:asciiTheme="minorHAnsi" w:hAnsiTheme="minorHAnsi" w:cstheme="minorHAnsi"/>
          <w:sz w:val="22"/>
          <w:szCs w:val="22"/>
        </w:rPr>
        <w:t>da</w:t>
      </w:r>
      <w:r w:rsidR="00322DF9">
        <w:rPr>
          <w:rFonts w:asciiTheme="minorHAnsi" w:hAnsiTheme="minorHAnsi" w:cstheme="minorHAnsi"/>
          <w:sz w:val="22"/>
          <w:szCs w:val="22"/>
        </w:rPr>
        <w:t xml:space="preserve"> Ata da Assembleia Geral de Debenturistas da 1</w:t>
      </w:r>
      <w:r w:rsidR="00322DF9" w:rsidRPr="002C4125">
        <w:rPr>
          <w:rFonts w:asciiTheme="minorHAnsi" w:hAnsiTheme="minorHAnsi" w:cstheme="minorHAnsi"/>
          <w:sz w:val="22"/>
          <w:szCs w:val="22"/>
        </w:rPr>
        <w:t>ª (</w:t>
      </w:r>
      <w:r w:rsidR="00322DF9">
        <w:rPr>
          <w:rFonts w:asciiTheme="minorHAnsi" w:hAnsiTheme="minorHAnsi" w:cstheme="minorHAnsi"/>
          <w:sz w:val="22"/>
          <w:szCs w:val="22"/>
        </w:rPr>
        <w:t>Primeira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322DF9">
        <w:rPr>
          <w:rFonts w:asciiTheme="minorHAnsi" w:hAnsiTheme="minorHAnsi" w:cstheme="minorHAnsi"/>
          <w:sz w:val="22"/>
          <w:szCs w:val="22"/>
        </w:rPr>
        <w:t>Com Garantia Real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322DF9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322DF9">
        <w:rPr>
          <w:rFonts w:asciiTheme="minorHAnsi" w:hAnsiTheme="minorHAnsi" w:cstheme="minorHAnsi"/>
          <w:sz w:val="22"/>
          <w:szCs w:val="22"/>
        </w:rPr>
        <w:t>ública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 xml:space="preserve">com Esforços Restritos da IP Sul Concessionária de Iluminação Pública S.A. realizada em </w:t>
      </w:r>
      <w:r w:rsidR="00D31559">
        <w:rPr>
          <w:rFonts w:asciiTheme="minorHAnsi" w:hAnsiTheme="minorHAnsi" w:cstheme="minorHAnsi"/>
          <w:sz w:val="22"/>
          <w:szCs w:val="22"/>
        </w:rPr>
        <w:t>27 de abril de 2023</w:t>
      </w:r>
      <w:r w:rsidR="00322DF9">
        <w:rPr>
          <w:rFonts w:asciiTheme="minorHAnsi" w:hAnsiTheme="minorHAnsi" w:cstheme="minorHAnsi"/>
          <w:sz w:val="22"/>
          <w:szCs w:val="22"/>
        </w:rPr>
        <w:t>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230C38E0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</w:t>
            </w:r>
            <w:r w:rsidR="00411C87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z</w:t>
            </w:r>
            <w:r w:rsidR="00D146BC" w:rsidRPr="00A62863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A6286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1B9FD0C2" w14:textId="77777777" w:rsidR="005C51EF" w:rsidRPr="002C4125" w:rsidRDefault="005C51EF" w:rsidP="002C4125">
      <w:pPr>
        <w:pStyle w:val="Default"/>
        <w:spacing w:line="276" w:lineRule="auto"/>
        <w:ind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0A71C406" w14:textId="77777777" w:rsidR="005C51EF" w:rsidRPr="002C4125" w:rsidRDefault="005C51EF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843F26" w14:textId="3BEE0C40" w:rsidR="00D25567" w:rsidRPr="002C4125" w:rsidRDefault="00BC1BD0" w:rsidP="002C4125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(Lista de Presença dos Debenturistas na</w:t>
      </w:r>
      <w:r w:rsidR="00322DF9">
        <w:rPr>
          <w:rFonts w:asciiTheme="minorHAnsi" w:hAnsiTheme="minorHAnsi" w:cstheme="minorHAnsi"/>
          <w:sz w:val="22"/>
          <w:szCs w:val="22"/>
        </w:rPr>
        <w:t>Assembleia Geral de Debenturistas da 1</w:t>
      </w:r>
      <w:r w:rsidR="00322DF9" w:rsidRPr="002C4125">
        <w:rPr>
          <w:rFonts w:asciiTheme="minorHAnsi" w:hAnsiTheme="minorHAnsi" w:cstheme="minorHAnsi"/>
          <w:sz w:val="22"/>
          <w:szCs w:val="22"/>
        </w:rPr>
        <w:t>ª (</w:t>
      </w:r>
      <w:r w:rsidR="00322DF9">
        <w:rPr>
          <w:rFonts w:asciiTheme="minorHAnsi" w:hAnsiTheme="minorHAnsi" w:cstheme="minorHAnsi"/>
          <w:sz w:val="22"/>
          <w:szCs w:val="22"/>
        </w:rPr>
        <w:t>Primeira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) Emissão de Debêntures Simples, Não Conversíveis em Ações, da Espécie </w:t>
      </w:r>
      <w:r w:rsidR="00322DF9">
        <w:rPr>
          <w:rFonts w:asciiTheme="minorHAnsi" w:hAnsiTheme="minorHAnsi" w:cstheme="minorHAnsi"/>
          <w:sz w:val="22"/>
          <w:szCs w:val="22"/>
        </w:rPr>
        <w:t>Com Garantia Real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 xml:space="preserve">em Série Única, </w:t>
      </w:r>
      <w:r w:rsidR="00322DF9" w:rsidRPr="002C4125">
        <w:rPr>
          <w:rFonts w:asciiTheme="minorHAnsi" w:hAnsiTheme="minorHAnsi" w:cstheme="minorHAnsi"/>
          <w:sz w:val="22"/>
          <w:szCs w:val="22"/>
        </w:rPr>
        <w:t>para Distribuição P</w:t>
      </w:r>
      <w:r w:rsidR="00322DF9">
        <w:rPr>
          <w:rFonts w:asciiTheme="minorHAnsi" w:hAnsiTheme="minorHAnsi" w:cstheme="minorHAnsi"/>
          <w:sz w:val="22"/>
          <w:szCs w:val="22"/>
        </w:rPr>
        <w:t>ública</w:t>
      </w:r>
      <w:r w:rsidR="00322DF9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322DF9">
        <w:rPr>
          <w:rFonts w:asciiTheme="minorHAnsi" w:hAnsiTheme="minorHAnsi" w:cstheme="minorHAnsi"/>
          <w:sz w:val="22"/>
          <w:szCs w:val="22"/>
        </w:rPr>
        <w:t xml:space="preserve">com Esforços Restritos da IP Sul Concessionária de Iluminação Pública S.A. realizada em </w:t>
      </w:r>
      <w:r w:rsidR="00D31559">
        <w:rPr>
          <w:rFonts w:asciiTheme="minorHAnsi" w:hAnsiTheme="minorHAnsi" w:cstheme="minorHAnsi"/>
          <w:sz w:val="22"/>
          <w:szCs w:val="22"/>
        </w:rPr>
        <w:t>27 de abril de 2023</w:t>
      </w:r>
      <w:r w:rsidRPr="002C4125">
        <w:rPr>
          <w:rFonts w:asciiTheme="minorHAnsi" w:hAnsiTheme="minorHAnsi" w:cstheme="minorHAnsi"/>
          <w:sz w:val="22"/>
          <w:szCs w:val="22"/>
        </w:rPr>
        <w:t>)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172"/>
        <w:gridCol w:w="2082"/>
        <w:gridCol w:w="980"/>
      </w:tblGrid>
      <w:tr w:rsidR="00D25567" w:rsidRPr="002C4125" w14:paraId="70356835" w14:textId="77777777" w:rsidTr="00817369">
        <w:tc>
          <w:tcPr>
            <w:tcW w:w="1833" w:type="dxa"/>
            <w:shd w:val="clear" w:color="auto" w:fill="auto"/>
          </w:tcPr>
          <w:p w14:paraId="7ACB4263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Debenturista</w:t>
            </w:r>
          </w:p>
        </w:tc>
        <w:tc>
          <w:tcPr>
            <w:tcW w:w="4172" w:type="dxa"/>
            <w:shd w:val="clear" w:color="auto" w:fill="auto"/>
          </w:tcPr>
          <w:p w14:paraId="62BEC214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2082" w:type="dxa"/>
            <w:shd w:val="clear" w:color="auto" w:fill="auto"/>
          </w:tcPr>
          <w:p w14:paraId="4B286BAE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Debêntures Subscritas e Integralizadas</w:t>
            </w:r>
          </w:p>
        </w:tc>
        <w:tc>
          <w:tcPr>
            <w:tcW w:w="980" w:type="dxa"/>
            <w:shd w:val="clear" w:color="auto" w:fill="auto"/>
          </w:tcPr>
          <w:p w14:paraId="68B7DA0F" w14:textId="77777777" w:rsidR="00D25567" w:rsidRPr="002C4125" w:rsidRDefault="00BC1BD0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B57664" w:rsidRPr="002C4125" w14:paraId="5B787524" w14:textId="77777777" w:rsidTr="00817369">
        <w:tc>
          <w:tcPr>
            <w:tcW w:w="1833" w:type="dxa"/>
            <w:shd w:val="clear" w:color="auto" w:fill="auto"/>
            <w:vAlign w:val="center"/>
          </w:tcPr>
          <w:p w14:paraId="5BF40A04" w14:textId="6C9D45CE" w:rsidR="00B57664" w:rsidRPr="002C4125" w:rsidRDefault="00B57664" w:rsidP="00322DF9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2" w:type="dxa"/>
            <w:shd w:val="clear" w:color="auto" w:fill="auto"/>
            <w:vAlign w:val="center"/>
          </w:tcPr>
          <w:p w14:paraId="0E633980" w14:textId="77777777" w:rsidR="00AE3D68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__________________________</w:t>
            </w:r>
          </w:p>
          <w:p w14:paraId="7D4D0D21" w14:textId="339E01AA" w:rsidR="002C6A6B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[Representante</w:t>
            </w:r>
            <w:r w:rsidR="007B06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Legal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]</w:t>
            </w:r>
          </w:p>
          <w:p w14:paraId="3C3111FF" w14:textId="6CEE0B48" w:rsidR="002C6A6B" w:rsidRPr="002E3C48" w:rsidRDefault="002C6A6B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[Procurador]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18C359C" w14:textId="5DE9C7A7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AF17092" w14:textId="59E9157A" w:rsidR="00B57664" w:rsidRPr="002C4125" w:rsidRDefault="00B57664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7369" w:rsidRPr="002C4125" w14:paraId="40317E09" w14:textId="77777777" w:rsidTr="00817369">
        <w:tc>
          <w:tcPr>
            <w:tcW w:w="1833" w:type="dxa"/>
            <w:shd w:val="clear" w:color="auto" w:fill="auto"/>
          </w:tcPr>
          <w:p w14:paraId="39C69F50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172" w:type="dxa"/>
            <w:shd w:val="clear" w:color="auto" w:fill="auto"/>
          </w:tcPr>
          <w:p w14:paraId="13DA9D34" w14:textId="77777777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4CD7EE6" w14:textId="32AEC0B9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A8A2170" w14:textId="6F33D63C" w:rsidR="00817369" w:rsidRPr="002C4125" w:rsidRDefault="00817369" w:rsidP="0081736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60518A6" w14:textId="2AA3753C" w:rsidR="005C51EF" w:rsidRPr="002C4125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sectPr w:rsidR="005C51EF" w:rsidRPr="002C4125" w:rsidSect="005D7271">
      <w:headerReference w:type="first" r:id="rId9"/>
      <w:footerReference w:type="first" r:id="rId10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55EC" w14:textId="77777777" w:rsidR="00BC1848" w:rsidRDefault="00BC1848">
      <w:r>
        <w:separator/>
      </w:r>
    </w:p>
  </w:endnote>
  <w:endnote w:type="continuationSeparator" w:id="0">
    <w:p w14:paraId="75759354" w14:textId="77777777" w:rsidR="00BC1848" w:rsidRDefault="00BC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368C" w14:textId="77777777" w:rsidR="00BC1848" w:rsidRDefault="00BC1848">
      <w:r>
        <w:separator/>
      </w:r>
    </w:p>
  </w:footnote>
  <w:footnote w:type="continuationSeparator" w:id="0">
    <w:p w14:paraId="1B3CE008" w14:textId="77777777" w:rsidR="00BC1848" w:rsidRDefault="00BC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8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0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1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2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3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4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4"/>
  </w:num>
  <w:num w:numId="3" w16cid:durableId="1113134840">
    <w:abstractNumId w:val="27"/>
  </w:num>
  <w:num w:numId="4" w16cid:durableId="176310177">
    <w:abstractNumId w:val="34"/>
  </w:num>
  <w:num w:numId="5" w16cid:durableId="1446541566">
    <w:abstractNumId w:val="20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8"/>
  </w:num>
  <w:num w:numId="9" w16cid:durableId="196042843">
    <w:abstractNumId w:val="17"/>
  </w:num>
  <w:num w:numId="10" w16cid:durableId="197816844">
    <w:abstractNumId w:val="4"/>
  </w:num>
  <w:num w:numId="11" w16cid:durableId="1766463997">
    <w:abstractNumId w:val="33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0"/>
  </w:num>
  <w:num w:numId="15" w16cid:durableId="1857763706">
    <w:abstractNumId w:val="31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19"/>
  </w:num>
  <w:num w:numId="20" w16cid:durableId="1590844282">
    <w:abstractNumId w:val="14"/>
  </w:num>
  <w:num w:numId="21" w16cid:durableId="2123651698">
    <w:abstractNumId w:val="22"/>
  </w:num>
  <w:num w:numId="22" w16cid:durableId="2078087451">
    <w:abstractNumId w:val="25"/>
  </w:num>
  <w:num w:numId="23" w16cid:durableId="406270019">
    <w:abstractNumId w:val="29"/>
  </w:num>
  <w:num w:numId="24" w16cid:durableId="2136898943">
    <w:abstractNumId w:val="26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3"/>
  </w:num>
  <w:num w:numId="28" w16cid:durableId="916742203">
    <w:abstractNumId w:val="9"/>
  </w:num>
  <w:num w:numId="29" w16cid:durableId="1512643466">
    <w:abstractNumId w:val="28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2"/>
  </w:num>
  <w:num w:numId="35" w16cid:durableId="1662582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30A4F"/>
    <w:rsid w:val="0003794F"/>
    <w:rsid w:val="00041148"/>
    <w:rsid w:val="00046412"/>
    <w:rsid w:val="000606C6"/>
    <w:rsid w:val="000668D7"/>
    <w:rsid w:val="0007173E"/>
    <w:rsid w:val="0008094F"/>
    <w:rsid w:val="00092001"/>
    <w:rsid w:val="000947EF"/>
    <w:rsid w:val="00096218"/>
    <w:rsid w:val="000A1045"/>
    <w:rsid w:val="000C3F5A"/>
    <w:rsid w:val="000C5EAE"/>
    <w:rsid w:val="000F3197"/>
    <w:rsid w:val="000F5853"/>
    <w:rsid w:val="000F7698"/>
    <w:rsid w:val="00103F11"/>
    <w:rsid w:val="00105F85"/>
    <w:rsid w:val="0014638A"/>
    <w:rsid w:val="00152F83"/>
    <w:rsid w:val="0016708D"/>
    <w:rsid w:val="00171CA3"/>
    <w:rsid w:val="00187207"/>
    <w:rsid w:val="001917AC"/>
    <w:rsid w:val="001A021E"/>
    <w:rsid w:val="001A79D4"/>
    <w:rsid w:val="001B2EE5"/>
    <w:rsid w:val="001B5FC6"/>
    <w:rsid w:val="001C7F3E"/>
    <w:rsid w:val="001D6754"/>
    <w:rsid w:val="001D679E"/>
    <w:rsid w:val="001E7BFD"/>
    <w:rsid w:val="001F7CCC"/>
    <w:rsid w:val="00206999"/>
    <w:rsid w:val="00222E0F"/>
    <w:rsid w:val="002238B1"/>
    <w:rsid w:val="00233615"/>
    <w:rsid w:val="002431E8"/>
    <w:rsid w:val="00245285"/>
    <w:rsid w:val="00257F10"/>
    <w:rsid w:val="002617BF"/>
    <w:rsid w:val="00267764"/>
    <w:rsid w:val="0027734B"/>
    <w:rsid w:val="002867BD"/>
    <w:rsid w:val="00290E91"/>
    <w:rsid w:val="0029373F"/>
    <w:rsid w:val="002A35A2"/>
    <w:rsid w:val="002B1243"/>
    <w:rsid w:val="002B557E"/>
    <w:rsid w:val="002B6704"/>
    <w:rsid w:val="002C2D4C"/>
    <w:rsid w:val="002C4125"/>
    <w:rsid w:val="002C6A6B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2DF9"/>
    <w:rsid w:val="003275B9"/>
    <w:rsid w:val="00366B32"/>
    <w:rsid w:val="003760B5"/>
    <w:rsid w:val="00376C70"/>
    <w:rsid w:val="00380F11"/>
    <w:rsid w:val="003A2641"/>
    <w:rsid w:val="003B7CF3"/>
    <w:rsid w:val="003C5A99"/>
    <w:rsid w:val="003D4618"/>
    <w:rsid w:val="003F51FC"/>
    <w:rsid w:val="00402072"/>
    <w:rsid w:val="00411C87"/>
    <w:rsid w:val="00416380"/>
    <w:rsid w:val="0043571E"/>
    <w:rsid w:val="00437789"/>
    <w:rsid w:val="00461A2F"/>
    <w:rsid w:val="004653EF"/>
    <w:rsid w:val="00473CE8"/>
    <w:rsid w:val="00476468"/>
    <w:rsid w:val="00492B25"/>
    <w:rsid w:val="004C2592"/>
    <w:rsid w:val="004D6090"/>
    <w:rsid w:val="004E7AB5"/>
    <w:rsid w:val="004E7FEC"/>
    <w:rsid w:val="004F22D4"/>
    <w:rsid w:val="00504565"/>
    <w:rsid w:val="00521402"/>
    <w:rsid w:val="00531140"/>
    <w:rsid w:val="00542137"/>
    <w:rsid w:val="00552338"/>
    <w:rsid w:val="0055685E"/>
    <w:rsid w:val="00560965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D7A30"/>
    <w:rsid w:val="005E5789"/>
    <w:rsid w:val="005F029A"/>
    <w:rsid w:val="006156E8"/>
    <w:rsid w:val="006157E3"/>
    <w:rsid w:val="006471B6"/>
    <w:rsid w:val="0066124D"/>
    <w:rsid w:val="006B4785"/>
    <w:rsid w:val="006C0BC1"/>
    <w:rsid w:val="006C2764"/>
    <w:rsid w:val="006C2B25"/>
    <w:rsid w:val="006C4204"/>
    <w:rsid w:val="006E1E87"/>
    <w:rsid w:val="006F5949"/>
    <w:rsid w:val="006F7C83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068C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45F8B"/>
    <w:rsid w:val="008517B2"/>
    <w:rsid w:val="00872D07"/>
    <w:rsid w:val="0087307C"/>
    <w:rsid w:val="00881863"/>
    <w:rsid w:val="008925CF"/>
    <w:rsid w:val="008B35A5"/>
    <w:rsid w:val="008B61F6"/>
    <w:rsid w:val="008C0A92"/>
    <w:rsid w:val="008D0088"/>
    <w:rsid w:val="008D5723"/>
    <w:rsid w:val="009052DC"/>
    <w:rsid w:val="009152DC"/>
    <w:rsid w:val="009210B2"/>
    <w:rsid w:val="00927D76"/>
    <w:rsid w:val="009317F9"/>
    <w:rsid w:val="00952D62"/>
    <w:rsid w:val="00966A01"/>
    <w:rsid w:val="009916CE"/>
    <w:rsid w:val="009A5AD9"/>
    <w:rsid w:val="009E32AB"/>
    <w:rsid w:val="009E56FC"/>
    <w:rsid w:val="009E57D7"/>
    <w:rsid w:val="009F64E2"/>
    <w:rsid w:val="00A03FF2"/>
    <w:rsid w:val="00A04C7A"/>
    <w:rsid w:val="00A13021"/>
    <w:rsid w:val="00A15589"/>
    <w:rsid w:val="00A316DB"/>
    <w:rsid w:val="00A31D5F"/>
    <w:rsid w:val="00A32522"/>
    <w:rsid w:val="00A43670"/>
    <w:rsid w:val="00A52527"/>
    <w:rsid w:val="00A55935"/>
    <w:rsid w:val="00A61C75"/>
    <w:rsid w:val="00A62863"/>
    <w:rsid w:val="00A639FE"/>
    <w:rsid w:val="00A8046B"/>
    <w:rsid w:val="00AB1E94"/>
    <w:rsid w:val="00AC0B8E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848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D02437"/>
    <w:rsid w:val="00D03C77"/>
    <w:rsid w:val="00D040B0"/>
    <w:rsid w:val="00D07073"/>
    <w:rsid w:val="00D138CF"/>
    <w:rsid w:val="00D146BC"/>
    <w:rsid w:val="00D20251"/>
    <w:rsid w:val="00D25567"/>
    <w:rsid w:val="00D31559"/>
    <w:rsid w:val="00D517B7"/>
    <w:rsid w:val="00D52C7E"/>
    <w:rsid w:val="00D56469"/>
    <w:rsid w:val="00D71967"/>
    <w:rsid w:val="00D76FBC"/>
    <w:rsid w:val="00D80B9B"/>
    <w:rsid w:val="00D969CB"/>
    <w:rsid w:val="00DA6065"/>
    <w:rsid w:val="00DC291F"/>
    <w:rsid w:val="00DC473D"/>
    <w:rsid w:val="00DD30E0"/>
    <w:rsid w:val="00DE7F4A"/>
    <w:rsid w:val="00DF5D5D"/>
    <w:rsid w:val="00DF674B"/>
    <w:rsid w:val="00E20C34"/>
    <w:rsid w:val="00E24237"/>
    <w:rsid w:val="00E34567"/>
    <w:rsid w:val="00E47054"/>
    <w:rsid w:val="00E50402"/>
    <w:rsid w:val="00E52D62"/>
    <w:rsid w:val="00E57308"/>
    <w:rsid w:val="00E61E45"/>
    <w:rsid w:val="00E63CD1"/>
    <w:rsid w:val="00E90A4B"/>
    <w:rsid w:val="00EB282F"/>
    <w:rsid w:val="00EC022E"/>
    <w:rsid w:val="00EC2BE6"/>
    <w:rsid w:val="00EC5FEC"/>
    <w:rsid w:val="00EC6E7E"/>
    <w:rsid w:val="00ED5733"/>
    <w:rsid w:val="00EE13EA"/>
    <w:rsid w:val="00EE661F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85F43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1291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8247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Renato Penna Magoulas Bacha</cp:lastModifiedBy>
  <cp:revision>6</cp:revision>
  <cp:lastPrinted>2015-06-22T13:28:00Z</cp:lastPrinted>
  <dcterms:created xsi:type="dcterms:W3CDTF">2023-03-07T18:18:00Z</dcterms:created>
  <dcterms:modified xsi:type="dcterms:W3CDTF">2023-04-14T14:54:00Z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</Properties>
</file>