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A305" w14:textId="4F4666E4" w:rsidR="006579D9" w:rsidRPr="00E80808" w:rsidRDefault="006579D9" w:rsidP="006579D9">
      <w:pPr>
        <w:pStyle w:val="CesconCorpodeClusula"/>
        <w:widowControl w:val="0"/>
        <w:spacing w:line="320" w:lineRule="exact"/>
        <w:rPr>
          <w:rFonts w:ascii="Verdana" w:hAnsi="Verdana"/>
          <w:b/>
          <w:smallCaps/>
          <w:color w:val="000000" w:themeColor="text1"/>
          <w:sz w:val="20"/>
          <w:szCs w:val="20"/>
        </w:rPr>
      </w:pPr>
      <w:r>
        <w:rPr>
          <w:rFonts w:ascii="Verdana" w:hAnsi="Verdana"/>
          <w:b/>
          <w:smallCaps/>
          <w:color w:val="000000" w:themeColor="text1"/>
          <w:sz w:val="20"/>
          <w:szCs w:val="20"/>
        </w:rPr>
        <w:t>1</w:t>
      </w:r>
      <w:r w:rsidRPr="00E80808">
        <w:rPr>
          <w:rFonts w:ascii="Verdana" w:hAnsi="Verdana"/>
          <w:b/>
          <w:smallCaps/>
          <w:color w:val="000000" w:themeColor="text1"/>
          <w:sz w:val="20"/>
          <w:szCs w:val="20"/>
        </w:rPr>
        <w:t>º</w:t>
      </w:r>
      <w:r>
        <w:rPr>
          <w:rFonts w:ascii="Verdana" w:hAnsi="Verdana"/>
          <w:b/>
          <w:smallCaps/>
          <w:color w:val="000000" w:themeColor="text1"/>
          <w:sz w:val="20"/>
          <w:szCs w:val="20"/>
        </w:rPr>
        <w:t xml:space="preserve"> (PRIMEIRO)</w:t>
      </w:r>
      <w:r w:rsidRPr="00E80808">
        <w:rPr>
          <w:rFonts w:ascii="Verdana" w:hAnsi="Verdana"/>
          <w:b/>
          <w:smallCaps/>
          <w:color w:val="000000" w:themeColor="text1"/>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ITAPOÁ TERMINAIS PORTUÁRIOS S.A.</w:t>
      </w:r>
    </w:p>
    <w:p w14:paraId="2ED6E231" w14:textId="77777777" w:rsidR="006579D9" w:rsidRPr="00E80808" w:rsidRDefault="006579D9" w:rsidP="006579D9">
      <w:pPr>
        <w:widowControl w:val="0"/>
        <w:spacing w:line="320" w:lineRule="exact"/>
        <w:jc w:val="both"/>
        <w:rPr>
          <w:rFonts w:ascii="Verdana" w:hAnsi="Verdana"/>
          <w:sz w:val="20"/>
          <w:szCs w:val="20"/>
        </w:rPr>
      </w:pPr>
      <w:r w:rsidRPr="00E80808">
        <w:rPr>
          <w:rFonts w:ascii="Verdana" w:hAnsi="Verdana"/>
          <w:sz w:val="20"/>
          <w:szCs w:val="20"/>
        </w:rPr>
        <w:t>Pelo presente instrumento particular de escritura de emissão de debêntures,</w:t>
      </w:r>
    </w:p>
    <w:p w14:paraId="04B03085" w14:textId="77777777" w:rsidR="006579D9" w:rsidRPr="00E80808" w:rsidRDefault="006579D9" w:rsidP="006579D9">
      <w:pPr>
        <w:widowControl w:val="0"/>
        <w:spacing w:line="320" w:lineRule="exact"/>
        <w:jc w:val="both"/>
        <w:rPr>
          <w:rFonts w:ascii="Verdana" w:hAnsi="Verdana"/>
          <w:sz w:val="20"/>
          <w:szCs w:val="20"/>
        </w:rPr>
      </w:pPr>
    </w:p>
    <w:p w14:paraId="76421310" w14:textId="77777777" w:rsidR="006579D9" w:rsidRPr="00E80808" w:rsidRDefault="006579D9" w:rsidP="006579D9">
      <w:pPr>
        <w:pStyle w:val="Corpodetexto"/>
        <w:widowControl w:val="0"/>
        <w:spacing w:line="320" w:lineRule="exact"/>
        <w:jc w:val="both"/>
        <w:rPr>
          <w:rFonts w:ascii="Verdana" w:hAnsi="Verdana" w:cs="Arial"/>
          <w:sz w:val="20"/>
          <w:szCs w:val="20"/>
        </w:rPr>
      </w:pPr>
      <w:r w:rsidRPr="00E80808">
        <w:rPr>
          <w:rFonts w:ascii="Verdana" w:hAnsi="Verdana" w:cs="Verdana"/>
          <w:b/>
          <w:smallCaps/>
          <w:color w:val="000000" w:themeColor="text1"/>
          <w:sz w:val="20"/>
          <w:szCs w:val="20"/>
        </w:rPr>
        <w:t>ITAPOÁ TERMINAIS PORTUÁRIOS S.A</w:t>
      </w:r>
      <w:r w:rsidRPr="00E80808">
        <w:rPr>
          <w:rFonts w:ascii="Verdana" w:hAnsi="Verdana" w:cs="Arial"/>
          <w:b/>
          <w:sz w:val="20"/>
          <w:szCs w:val="20"/>
        </w:rPr>
        <w:t>.</w:t>
      </w:r>
      <w:r w:rsidRPr="00E80808">
        <w:rPr>
          <w:rFonts w:ascii="Verdana" w:hAnsi="Verdana"/>
          <w:sz w:val="20"/>
          <w:szCs w:val="20"/>
        </w:rPr>
        <w:t xml:space="preserve">, </w:t>
      </w:r>
      <w:r w:rsidRPr="00E80808">
        <w:rPr>
          <w:rFonts w:ascii="Verdana" w:hAnsi="Verdana" w:cs="Arial"/>
          <w:sz w:val="20"/>
          <w:szCs w:val="20"/>
        </w:rPr>
        <w:t>sociedade por ações sem registro de companhia aberta perante a Comissão de Valores Mobiliários (“</w:t>
      </w:r>
      <w:r w:rsidRPr="00E80808">
        <w:rPr>
          <w:rFonts w:ascii="Verdana" w:hAnsi="Verdana" w:cs="Arial"/>
          <w:sz w:val="20"/>
          <w:szCs w:val="20"/>
          <w:u w:val="single"/>
        </w:rPr>
        <w:t>CVM</w:t>
      </w:r>
      <w:r w:rsidRPr="00E80808">
        <w:rPr>
          <w:rFonts w:ascii="Verdana" w:hAnsi="Verdana" w:cs="Arial"/>
          <w:sz w:val="20"/>
          <w:szCs w:val="20"/>
        </w:rPr>
        <w:t xml:space="preserve">”), com sede na Cidade de </w:t>
      </w:r>
      <w:r w:rsidRPr="00E80808">
        <w:rPr>
          <w:rFonts w:ascii="Verdana" w:hAnsi="Verdana" w:cs="Arial"/>
          <w:noProof/>
          <w:sz w:val="20"/>
          <w:szCs w:val="20"/>
        </w:rPr>
        <w:t>Itapoá</w:t>
      </w:r>
      <w:r w:rsidRPr="00E80808">
        <w:rPr>
          <w:rFonts w:ascii="Verdana" w:hAnsi="Verdana" w:cs="Arial"/>
          <w:sz w:val="20"/>
          <w:szCs w:val="20"/>
        </w:rPr>
        <w:t>, Estado de Santa Catarina, na Avenida Beira Mar 05, nº 2.900, inscrita no Cadastro Nacional de Pessoa Jurídica do Ministério da Economia (“</w:t>
      </w:r>
      <w:r w:rsidRPr="00E80808">
        <w:rPr>
          <w:rFonts w:ascii="Verdana" w:hAnsi="Verdana" w:cs="Arial"/>
          <w:sz w:val="20"/>
          <w:szCs w:val="20"/>
          <w:u w:val="single"/>
        </w:rPr>
        <w:t>CNPJ/ME</w:t>
      </w:r>
      <w:r w:rsidRPr="00E80808">
        <w:rPr>
          <w:rFonts w:ascii="Verdana" w:hAnsi="Verdana" w:cs="Arial"/>
          <w:sz w:val="20"/>
          <w:szCs w:val="20"/>
        </w:rPr>
        <w:t>”) sob o nº </w:t>
      </w:r>
      <w:r w:rsidRPr="00E80808">
        <w:rPr>
          <w:rFonts w:ascii="Verdana" w:hAnsi="Verdana" w:cs="Arial"/>
          <w:noProof/>
          <w:sz w:val="20"/>
          <w:szCs w:val="20"/>
        </w:rPr>
        <w:t xml:space="preserve">01.317.277/0001-05, </w:t>
      </w:r>
      <w:r w:rsidRPr="00E80808">
        <w:rPr>
          <w:rFonts w:ascii="Verdana" w:hAnsi="Verdana" w:cs="Arial"/>
          <w:sz w:val="20"/>
          <w:szCs w:val="20"/>
        </w:rPr>
        <w:t>e na Junta Comercial do Estado de Santa Catarina (“</w:t>
      </w:r>
      <w:r w:rsidRPr="00E80808">
        <w:rPr>
          <w:rFonts w:ascii="Verdana" w:hAnsi="Verdana" w:cs="Arial"/>
          <w:sz w:val="20"/>
          <w:szCs w:val="20"/>
          <w:u w:val="single"/>
        </w:rPr>
        <w:t>JUCESC</w:t>
      </w:r>
      <w:r w:rsidRPr="00E80808">
        <w:rPr>
          <w:rFonts w:ascii="Verdana" w:hAnsi="Verdana" w:cs="Arial"/>
          <w:sz w:val="20"/>
          <w:szCs w:val="20"/>
        </w:rPr>
        <w:t xml:space="preserve">”) sob o NIRE nº 42.3.00024180, neste ato representada por </w:t>
      </w:r>
      <w:r w:rsidRPr="00E80808">
        <w:rPr>
          <w:rFonts w:ascii="Verdana" w:hAnsi="Verdana" w:cs="Tahoma"/>
          <w:sz w:val="20"/>
          <w:szCs w:val="20"/>
        </w:rPr>
        <w:t>seu(s) representante(s) legal(</w:t>
      </w:r>
      <w:proofErr w:type="spellStart"/>
      <w:r w:rsidRPr="00E80808">
        <w:rPr>
          <w:rFonts w:ascii="Verdana" w:hAnsi="Verdana" w:cs="Tahoma"/>
          <w:sz w:val="20"/>
          <w:szCs w:val="20"/>
        </w:rPr>
        <w:t>is</w:t>
      </w:r>
      <w:proofErr w:type="spellEnd"/>
      <w:r w:rsidRPr="00E80808">
        <w:rPr>
          <w:rFonts w:ascii="Verdana" w:hAnsi="Verdana" w:cs="Tahoma"/>
          <w:sz w:val="20"/>
          <w:szCs w:val="20"/>
        </w:rPr>
        <w:t>)</w:t>
      </w:r>
      <w:r w:rsidRPr="00E80808">
        <w:rPr>
          <w:rFonts w:ascii="Verdana" w:hAnsi="Verdana" w:cs="Arial"/>
          <w:sz w:val="20"/>
          <w:szCs w:val="20"/>
        </w:rPr>
        <w:t xml:space="preserve"> devidamente autorizado(s) e identificado(s) </w:t>
      </w:r>
      <w:r w:rsidRPr="00E80808">
        <w:rPr>
          <w:rFonts w:ascii="Verdana" w:hAnsi="Verdana" w:cs="Tahoma"/>
          <w:sz w:val="20"/>
          <w:szCs w:val="20"/>
        </w:rPr>
        <w:t>nas páginas de assinaturas do presente instrumento</w:t>
      </w:r>
      <w:r w:rsidRPr="00E80808">
        <w:rPr>
          <w:rFonts w:ascii="Verdana" w:hAnsi="Verdana" w:cs="Arial"/>
          <w:sz w:val="20"/>
          <w:szCs w:val="20"/>
        </w:rPr>
        <w:t xml:space="preserve"> (“</w:t>
      </w:r>
      <w:r w:rsidRPr="00E80808">
        <w:rPr>
          <w:rFonts w:ascii="Verdana" w:hAnsi="Verdana" w:cs="Arial"/>
          <w:sz w:val="20"/>
          <w:szCs w:val="20"/>
          <w:u w:val="single"/>
        </w:rPr>
        <w:t>Emissora</w:t>
      </w:r>
      <w:r w:rsidRPr="00E80808">
        <w:rPr>
          <w:rFonts w:ascii="Verdana" w:hAnsi="Verdana" w:cs="Arial"/>
          <w:sz w:val="20"/>
          <w:szCs w:val="20"/>
        </w:rPr>
        <w:t xml:space="preserve">”); </w:t>
      </w:r>
    </w:p>
    <w:p w14:paraId="5FE24838" w14:textId="77777777" w:rsidR="006579D9" w:rsidRPr="00E80808" w:rsidRDefault="006579D9" w:rsidP="006579D9">
      <w:pPr>
        <w:widowControl w:val="0"/>
        <w:spacing w:line="320" w:lineRule="exact"/>
        <w:jc w:val="both"/>
        <w:rPr>
          <w:rFonts w:ascii="Verdana" w:hAnsi="Verdana" w:cs="Arial"/>
          <w:b/>
          <w:sz w:val="20"/>
          <w:szCs w:val="20"/>
        </w:rPr>
      </w:pPr>
    </w:p>
    <w:p w14:paraId="06F96C7B" w14:textId="77777777" w:rsidR="006579D9" w:rsidRPr="00E80808" w:rsidRDefault="006579D9" w:rsidP="006579D9">
      <w:pPr>
        <w:widowControl w:val="0"/>
        <w:spacing w:line="320" w:lineRule="exact"/>
        <w:jc w:val="both"/>
        <w:rPr>
          <w:rFonts w:ascii="Verdana" w:hAnsi="Verdana" w:cs="Arial"/>
          <w:sz w:val="20"/>
          <w:szCs w:val="20"/>
        </w:rPr>
      </w:pPr>
      <w:r w:rsidRPr="00581C52">
        <w:rPr>
          <w:rFonts w:ascii="Verdana" w:hAnsi="Verdana" w:cs="Tahoma"/>
          <w:b/>
          <w:sz w:val="20"/>
          <w:szCs w:val="20"/>
        </w:rPr>
        <w:t>SIMPLIFIC PAVARINI DISTRIBUIDORA DE TÍTULOS E VALORES MOBILIÁRIOS LTDA.</w:t>
      </w:r>
      <w:r w:rsidRPr="00FA66CC">
        <w:rPr>
          <w:rFonts w:ascii="Verdana" w:hAnsi="Verdana" w:cs="Tahoma"/>
          <w:bCs/>
          <w:sz w:val="20"/>
          <w:szCs w:val="20"/>
        </w:rPr>
        <w:t>, instituição financeira autorizada a funcionar pelo Banco Central, atuando por sua filial na Cidade de São Paulo, Estado de São Paulo, na Rua Joaquim Floriano, 466, bloco B, sala 1401, Itaim Bibi, CEP 04534-002, inscrita no CNPJ sob o nº 15.227.994/0004-01</w:t>
      </w:r>
      <w:r w:rsidRPr="00E80808">
        <w:rPr>
          <w:rFonts w:ascii="Verdana" w:hAnsi="Verdana" w:cs="Tahoma"/>
          <w:sz w:val="20"/>
          <w:szCs w:val="20"/>
        </w:rPr>
        <w:t>, neste ato representada por seu representante legal devidamente autorizado e identificado nas páginas</w:t>
      </w:r>
      <w:r w:rsidRPr="00E80808">
        <w:rPr>
          <w:rFonts w:ascii="Verdana" w:hAnsi="Verdana" w:cs="Arial"/>
          <w:sz w:val="20"/>
          <w:szCs w:val="20"/>
        </w:rPr>
        <w:t xml:space="preserve"> de </w:t>
      </w:r>
      <w:r w:rsidRPr="00E80808">
        <w:rPr>
          <w:rFonts w:ascii="Verdana" w:hAnsi="Verdana" w:cs="Tahoma"/>
          <w:sz w:val="20"/>
          <w:szCs w:val="20"/>
        </w:rPr>
        <w:t>assinaturas do presente instrumento (“</w:t>
      </w:r>
      <w:r w:rsidRPr="00E80808">
        <w:rPr>
          <w:rFonts w:ascii="Verdana" w:hAnsi="Verdana" w:cs="Tahoma"/>
          <w:sz w:val="20"/>
          <w:szCs w:val="20"/>
          <w:u w:val="single"/>
        </w:rPr>
        <w:t>Agente Fiduciário</w:t>
      </w:r>
      <w:r w:rsidRPr="00E80808">
        <w:rPr>
          <w:rFonts w:ascii="Verdana" w:hAnsi="Verdana" w:cs="Tahoma"/>
          <w:sz w:val="20"/>
          <w:szCs w:val="20"/>
        </w:rPr>
        <w:t>”), representando a</w:t>
      </w:r>
      <w:r w:rsidRPr="00E80808">
        <w:rPr>
          <w:rFonts w:ascii="Verdana" w:hAnsi="Verdana" w:cs="Arial"/>
          <w:sz w:val="20"/>
          <w:szCs w:val="20"/>
        </w:rPr>
        <w:t xml:space="preserve"> comunhão dos </w:t>
      </w:r>
      <w:r w:rsidRPr="00E80808">
        <w:rPr>
          <w:rFonts w:ascii="Verdana" w:hAnsi="Verdana" w:cs="Tahoma"/>
          <w:sz w:val="20"/>
          <w:szCs w:val="20"/>
        </w:rPr>
        <w:t>titulares das debêntures desta emissão (“</w:t>
      </w:r>
      <w:r w:rsidRPr="00E80808">
        <w:rPr>
          <w:rFonts w:ascii="Verdana" w:hAnsi="Verdana"/>
          <w:sz w:val="20"/>
          <w:szCs w:val="20"/>
          <w:u w:val="single"/>
        </w:rPr>
        <w:t>Debenturistas</w:t>
      </w:r>
      <w:r w:rsidRPr="00E80808">
        <w:rPr>
          <w:rFonts w:ascii="Verdana" w:hAnsi="Verdana"/>
          <w:sz w:val="20"/>
          <w:szCs w:val="20"/>
        </w:rPr>
        <w:t>” e, individualmente, “</w:t>
      </w:r>
      <w:r w:rsidRPr="00E80808">
        <w:rPr>
          <w:rFonts w:ascii="Verdana" w:hAnsi="Verdana"/>
          <w:sz w:val="20"/>
          <w:szCs w:val="20"/>
          <w:u w:val="single"/>
        </w:rPr>
        <w:t>Debenturista</w:t>
      </w:r>
      <w:r w:rsidRPr="00E80808">
        <w:rPr>
          <w:rFonts w:ascii="Verdana" w:hAnsi="Verdana"/>
          <w:sz w:val="20"/>
          <w:szCs w:val="20"/>
        </w:rPr>
        <w:t>”)</w:t>
      </w:r>
      <w:r w:rsidRPr="00E80808">
        <w:rPr>
          <w:rFonts w:ascii="Verdana" w:hAnsi="Verdana" w:cs="Arial"/>
          <w:sz w:val="20"/>
          <w:szCs w:val="20"/>
        </w:rPr>
        <w:t>;</w:t>
      </w:r>
    </w:p>
    <w:p w14:paraId="29C35FE2" w14:textId="77777777" w:rsidR="006579D9" w:rsidRPr="00E80808" w:rsidRDefault="006579D9" w:rsidP="006579D9">
      <w:pPr>
        <w:widowControl w:val="0"/>
        <w:spacing w:line="320" w:lineRule="exact"/>
        <w:jc w:val="both"/>
        <w:rPr>
          <w:rFonts w:ascii="Verdana" w:hAnsi="Verdana"/>
          <w:b/>
          <w:sz w:val="20"/>
          <w:szCs w:val="20"/>
        </w:rPr>
      </w:pPr>
    </w:p>
    <w:p w14:paraId="47423997" w14:textId="77777777" w:rsidR="006579D9" w:rsidRPr="00E80808" w:rsidRDefault="006579D9" w:rsidP="006579D9">
      <w:pPr>
        <w:widowControl w:val="0"/>
        <w:spacing w:line="320" w:lineRule="exact"/>
        <w:jc w:val="both"/>
        <w:rPr>
          <w:rFonts w:ascii="Verdana" w:hAnsi="Verdana"/>
          <w:sz w:val="20"/>
          <w:szCs w:val="20"/>
        </w:rPr>
      </w:pPr>
      <w:r w:rsidRPr="00E80808">
        <w:rPr>
          <w:rFonts w:ascii="Verdana" w:hAnsi="Verdana"/>
          <w:sz w:val="20"/>
          <w:szCs w:val="20"/>
        </w:rPr>
        <w:t>sendo a Emissora e o Agente Fiduciário designados, em conjunto, como “</w:t>
      </w:r>
      <w:r w:rsidRPr="00E80808">
        <w:rPr>
          <w:rFonts w:ascii="Verdana" w:hAnsi="Verdana"/>
          <w:sz w:val="20"/>
          <w:szCs w:val="20"/>
          <w:u w:val="single"/>
        </w:rPr>
        <w:t>Partes</w:t>
      </w:r>
      <w:r w:rsidRPr="00E80808">
        <w:rPr>
          <w:rFonts w:ascii="Verdana" w:hAnsi="Verdana"/>
          <w:sz w:val="20"/>
          <w:szCs w:val="20"/>
        </w:rPr>
        <w:t>” e, individual e indistintamente, como “</w:t>
      </w:r>
      <w:r w:rsidRPr="00E80808">
        <w:rPr>
          <w:rFonts w:ascii="Verdana" w:hAnsi="Verdana"/>
          <w:sz w:val="20"/>
          <w:szCs w:val="20"/>
          <w:u w:val="single"/>
        </w:rPr>
        <w:t>Parte</w:t>
      </w:r>
      <w:r w:rsidRPr="00E80808">
        <w:rPr>
          <w:rFonts w:ascii="Verdana" w:hAnsi="Verdana"/>
          <w:sz w:val="20"/>
          <w:szCs w:val="20"/>
        </w:rPr>
        <w:t>”,</w:t>
      </w:r>
    </w:p>
    <w:p w14:paraId="52A8438D" w14:textId="77777777" w:rsidR="006579D9" w:rsidRPr="00E80808" w:rsidRDefault="006579D9" w:rsidP="006579D9">
      <w:pPr>
        <w:widowControl w:val="0"/>
        <w:spacing w:line="320" w:lineRule="exact"/>
        <w:jc w:val="both"/>
        <w:rPr>
          <w:rFonts w:ascii="Verdana" w:hAnsi="Verdana"/>
          <w:sz w:val="20"/>
          <w:szCs w:val="20"/>
        </w:rPr>
      </w:pPr>
    </w:p>
    <w:p w14:paraId="1C344F11" w14:textId="60393C74" w:rsidR="006579D9" w:rsidRPr="00E80808" w:rsidRDefault="006579D9" w:rsidP="006579D9">
      <w:pPr>
        <w:pStyle w:val="CesconCorpodeClusula"/>
        <w:widowControl w:val="0"/>
        <w:spacing w:line="320" w:lineRule="exact"/>
        <w:rPr>
          <w:rFonts w:ascii="Verdana" w:eastAsia="Arial Unicode MS" w:hAnsi="Verdana" w:cs="Arial"/>
          <w:sz w:val="20"/>
          <w:szCs w:val="20"/>
        </w:rPr>
      </w:pPr>
      <w:r w:rsidRPr="00E80808">
        <w:rPr>
          <w:rFonts w:ascii="Verdana" w:eastAsia="Arial Unicode MS" w:hAnsi="Verdana" w:cs="Arial"/>
          <w:sz w:val="20"/>
          <w:szCs w:val="20"/>
        </w:rPr>
        <w:t>vêm, por esta e na melhor forma de direito, firmar o presente “</w:t>
      </w:r>
      <w:r>
        <w:rPr>
          <w:rFonts w:ascii="Verdana" w:hAnsi="Verdana"/>
          <w:snapToGrid w:val="0"/>
          <w:w w:val="0"/>
          <w:sz w:val="20"/>
          <w:szCs w:val="20"/>
        </w:rPr>
        <w:t>1</w:t>
      </w:r>
      <w:r w:rsidRPr="00E80808">
        <w:rPr>
          <w:rFonts w:ascii="Verdana" w:eastAsia="Arial Unicode MS" w:hAnsi="Verdana" w:cs="Arial"/>
          <w:sz w:val="20"/>
          <w:szCs w:val="20"/>
        </w:rPr>
        <w:t>º</w:t>
      </w:r>
      <w:r>
        <w:rPr>
          <w:rFonts w:ascii="Verdana" w:eastAsia="Arial Unicode MS" w:hAnsi="Verdana" w:cs="Arial"/>
          <w:sz w:val="20"/>
          <w:szCs w:val="20"/>
        </w:rPr>
        <w:t xml:space="preserve"> (Primeiro)</w:t>
      </w:r>
      <w:r w:rsidRPr="00E80808">
        <w:rPr>
          <w:rFonts w:ascii="Verdana" w:eastAsia="Arial Unicode MS" w:hAnsi="Verdana" w:cs="Arial"/>
          <w:sz w:val="20"/>
          <w:szCs w:val="20"/>
        </w:rPr>
        <w:t xml:space="preserve"> Aditamento ao Instrumento Particular de Escritura da 4ª (Quarta) Emissão de Debêntures Simples, Não Conversíveis em Ações, da Espécie Quirografária, a ser Convolada na Espécie com Garantia Real, em Série Única, para Distribuição Pública com Esforços Restritos, da Itapoá Terminais Portuários S.A.” (“</w:t>
      </w:r>
      <w:r w:rsidRPr="00E80808">
        <w:rPr>
          <w:rFonts w:ascii="Verdana" w:eastAsia="Arial Unicode MS" w:hAnsi="Verdana" w:cs="Arial"/>
          <w:sz w:val="20"/>
          <w:szCs w:val="20"/>
          <w:u w:val="single"/>
        </w:rPr>
        <w:t>Aditamento</w:t>
      </w:r>
      <w:r w:rsidRPr="00E80808">
        <w:rPr>
          <w:rFonts w:ascii="Verdana" w:eastAsia="Arial Unicode MS" w:hAnsi="Verdana" w:cs="Arial"/>
          <w:sz w:val="20"/>
          <w:szCs w:val="20"/>
        </w:rPr>
        <w:t>”), mediante as cláusulas e condições a seguir.</w:t>
      </w:r>
    </w:p>
    <w:p w14:paraId="1DCA06A9" w14:textId="77777777" w:rsidR="006579D9" w:rsidRPr="00E80808" w:rsidRDefault="006579D9" w:rsidP="006579D9">
      <w:pPr>
        <w:widowControl w:val="0"/>
        <w:tabs>
          <w:tab w:val="left" w:pos="1080"/>
        </w:tabs>
        <w:spacing w:line="320" w:lineRule="exact"/>
        <w:jc w:val="both"/>
        <w:rPr>
          <w:rFonts w:ascii="Verdana" w:hAnsi="Verdana"/>
          <w:b/>
          <w:smallCaps/>
          <w:sz w:val="20"/>
          <w:szCs w:val="20"/>
          <w:u w:val="single"/>
        </w:rPr>
      </w:pPr>
      <w:proofErr w:type="spellStart"/>
      <w:r w:rsidRPr="00E80808">
        <w:rPr>
          <w:rFonts w:ascii="Verdana" w:hAnsi="Verdana"/>
          <w:b/>
          <w:smallCaps/>
          <w:sz w:val="20"/>
          <w:szCs w:val="20"/>
          <w:u w:val="single"/>
        </w:rPr>
        <w:t>considerandos</w:t>
      </w:r>
      <w:proofErr w:type="spellEnd"/>
    </w:p>
    <w:p w14:paraId="6A6E3FCF" w14:textId="77777777" w:rsidR="006579D9" w:rsidRPr="00E80808" w:rsidRDefault="006579D9" w:rsidP="006579D9">
      <w:pPr>
        <w:widowControl w:val="0"/>
        <w:tabs>
          <w:tab w:val="left" w:pos="1080"/>
        </w:tabs>
        <w:spacing w:line="320" w:lineRule="exact"/>
        <w:jc w:val="both"/>
        <w:rPr>
          <w:rFonts w:ascii="Verdana" w:hAnsi="Verdana"/>
          <w:b/>
          <w:sz w:val="20"/>
          <w:szCs w:val="20"/>
        </w:rPr>
      </w:pPr>
    </w:p>
    <w:p w14:paraId="2292CDCE" w14:textId="1614E6BF" w:rsidR="006579D9" w:rsidRPr="00E80808" w:rsidRDefault="006579D9" w:rsidP="006579D9">
      <w:pPr>
        <w:widowControl w:val="0"/>
        <w:tabs>
          <w:tab w:val="left" w:pos="1080"/>
        </w:tabs>
        <w:spacing w:line="320" w:lineRule="exact"/>
        <w:jc w:val="both"/>
        <w:rPr>
          <w:rFonts w:ascii="Verdana" w:hAnsi="Verdana"/>
          <w:sz w:val="20"/>
          <w:szCs w:val="20"/>
        </w:rPr>
      </w:pPr>
      <w:r w:rsidRPr="00E80808">
        <w:rPr>
          <w:rFonts w:ascii="Verdana" w:hAnsi="Verdana"/>
          <w:b/>
          <w:smallCaps/>
          <w:sz w:val="20"/>
          <w:szCs w:val="20"/>
        </w:rPr>
        <w:t>Considerando que</w:t>
      </w:r>
      <w:r w:rsidRPr="00E80808">
        <w:rPr>
          <w:rFonts w:ascii="Verdana" w:hAnsi="Verdana"/>
          <w:sz w:val="20"/>
          <w:szCs w:val="20"/>
        </w:rPr>
        <w:t xml:space="preserve"> as Partes firmaram em </w:t>
      </w:r>
      <w:r>
        <w:rPr>
          <w:rFonts w:ascii="Verdana" w:hAnsi="Verdana"/>
          <w:sz w:val="20"/>
          <w:szCs w:val="20"/>
        </w:rPr>
        <w:t>23 de novembro</w:t>
      </w:r>
      <w:r w:rsidRPr="00E80808">
        <w:rPr>
          <w:rFonts w:ascii="Verdana" w:hAnsi="Verdana"/>
          <w:sz w:val="20"/>
          <w:szCs w:val="20"/>
        </w:rPr>
        <w:t xml:space="preserve"> de 2021 o “</w:t>
      </w:r>
      <w:r w:rsidRPr="00E80808">
        <w:rPr>
          <w:rFonts w:ascii="Verdana" w:hAnsi="Verdana"/>
          <w:i/>
          <w:iCs/>
          <w:sz w:val="20"/>
          <w:szCs w:val="20"/>
        </w:rPr>
        <w:t>Instrumento Particular de Escritura da 4ª (Quarta) Emissão de Debêntures Simples, Não Conversíveis em Ações, da Espécie Quirografária, a ser Convolada na Espécie com Garantia Real, em Série Única, para Distribuição Pública com Esforços Restritos, da Itapoá Terminais Portuários S.A</w:t>
      </w:r>
      <w:r w:rsidRPr="00E80808">
        <w:rPr>
          <w:rFonts w:ascii="Verdana" w:hAnsi="Verdana"/>
          <w:sz w:val="20"/>
          <w:szCs w:val="20"/>
        </w:rPr>
        <w:t xml:space="preserve">.”, </w:t>
      </w:r>
      <w:r w:rsidRPr="00C75CFD">
        <w:rPr>
          <w:rFonts w:ascii="Verdana" w:hAnsi="Verdana"/>
          <w:sz w:val="20"/>
          <w:szCs w:val="20"/>
        </w:rPr>
        <w:t xml:space="preserve">devidamente arquivado na JUCESC </w:t>
      </w:r>
      <w:r w:rsidR="00C75CFD" w:rsidRPr="00C75CFD">
        <w:rPr>
          <w:rFonts w:ascii="Verdana" w:hAnsi="Verdana"/>
          <w:sz w:val="20"/>
          <w:szCs w:val="20"/>
        </w:rPr>
        <w:t xml:space="preserve">sob o nº ED005771000, em 30 de novembro de 2021 </w:t>
      </w:r>
      <w:r w:rsidRPr="00E80808">
        <w:rPr>
          <w:rFonts w:ascii="Verdana" w:hAnsi="Verdana"/>
          <w:sz w:val="20"/>
          <w:szCs w:val="20"/>
        </w:rPr>
        <w:t>(“</w:t>
      </w:r>
      <w:r w:rsidRPr="00E80808">
        <w:rPr>
          <w:rFonts w:ascii="Verdana" w:hAnsi="Verdana"/>
          <w:sz w:val="20"/>
          <w:szCs w:val="20"/>
          <w:u w:val="single"/>
        </w:rPr>
        <w:t>Debêntures</w:t>
      </w:r>
      <w:r w:rsidRPr="00E80808">
        <w:rPr>
          <w:rFonts w:ascii="Verdana" w:hAnsi="Verdana"/>
          <w:sz w:val="20"/>
          <w:szCs w:val="20"/>
        </w:rPr>
        <w:t>” e “</w:t>
      </w:r>
      <w:r w:rsidRPr="00E80808">
        <w:rPr>
          <w:rFonts w:ascii="Verdana" w:hAnsi="Verdana"/>
          <w:sz w:val="20"/>
          <w:szCs w:val="20"/>
          <w:u w:val="single"/>
        </w:rPr>
        <w:t>Escritura de Emissão</w:t>
      </w:r>
      <w:r w:rsidRPr="00E80808">
        <w:rPr>
          <w:rFonts w:ascii="Verdana" w:hAnsi="Verdana"/>
          <w:sz w:val="20"/>
          <w:szCs w:val="20"/>
        </w:rPr>
        <w:t>”, respectivamente);</w:t>
      </w:r>
    </w:p>
    <w:p w14:paraId="74EE16FF" w14:textId="77777777" w:rsidR="006579D9" w:rsidRPr="00E80808" w:rsidRDefault="006579D9" w:rsidP="006579D9">
      <w:pPr>
        <w:widowControl w:val="0"/>
        <w:tabs>
          <w:tab w:val="left" w:pos="1080"/>
        </w:tabs>
        <w:spacing w:line="320" w:lineRule="exact"/>
        <w:jc w:val="both"/>
        <w:rPr>
          <w:rFonts w:ascii="Verdana" w:hAnsi="Verdana"/>
          <w:sz w:val="20"/>
          <w:szCs w:val="20"/>
        </w:rPr>
      </w:pPr>
    </w:p>
    <w:p w14:paraId="6CF5398F" w14:textId="0C0B7B5A" w:rsidR="006579D9" w:rsidRPr="00E80808" w:rsidRDefault="006579D9" w:rsidP="006579D9">
      <w:pPr>
        <w:widowControl w:val="0"/>
        <w:tabs>
          <w:tab w:val="left" w:pos="1080"/>
        </w:tabs>
        <w:spacing w:line="320" w:lineRule="exact"/>
        <w:jc w:val="both"/>
        <w:rPr>
          <w:rFonts w:ascii="Verdana" w:hAnsi="Verdana"/>
          <w:b/>
          <w:sz w:val="20"/>
          <w:szCs w:val="20"/>
        </w:rPr>
      </w:pPr>
      <w:r w:rsidRPr="00E80808">
        <w:rPr>
          <w:rFonts w:ascii="Verdana" w:hAnsi="Verdana"/>
          <w:b/>
          <w:smallCaps/>
          <w:sz w:val="20"/>
          <w:szCs w:val="20"/>
        </w:rPr>
        <w:lastRenderedPageBreak/>
        <w:t>Considerando que</w:t>
      </w:r>
      <w:r w:rsidR="00400B18" w:rsidRPr="00000971">
        <w:rPr>
          <w:rFonts w:ascii="Verdana" w:hAnsi="Verdana" w:cs="Tahoma"/>
          <w:sz w:val="20"/>
          <w:szCs w:val="20"/>
        </w:rPr>
        <w:t xml:space="preserve"> </w:t>
      </w:r>
      <w:r w:rsidR="00400B18" w:rsidRPr="00C75CFD">
        <w:rPr>
          <w:rFonts w:ascii="Verdana" w:hAnsi="Verdana" w:cs="Tahoma"/>
          <w:sz w:val="20"/>
          <w:szCs w:val="20"/>
        </w:rPr>
        <w:t xml:space="preserve">foi realizado, em </w:t>
      </w:r>
      <w:r w:rsidR="00C75CFD" w:rsidRPr="00C75CFD">
        <w:rPr>
          <w:rFonts w:ascii="Verdana" w:hAnsi="Verdana" w:cs="Tahoma"/>
          <w:sz w:val="20"/>
          <w:szCs w:val="20"/>
        </w:rPr>
        <w:t>13 de dezembro</w:t>
      </w:r>
      <w:r w:rsidR="00400B18" w:rsidRPr="00C75CFD">
        <w:rPr>
          <w:rFonts w:ascii="Verdana" w:hAnsi="Verdana" w:cs="Tahoma"/>
          <w:sz w:val="20"/>
          <w:szCs w:val="20"/>
        </w:rPr>
        <w:t xml:space="preserve"> de 2021, o Procedimento</w:t>
      </w:r>
      <w:r w:rsidR="00400B18" w:rsidRPr="00000971">
        <w:rPr>
          <w:rFonts w:ascii="Verdana" w:hAnsi="Verdana" w:cs="Tahoma"/>
          <w:sz w:val="20"/>
          <w:szCs w:val="20"/>
        </w:rPr>
        <w:t xml:space="preserve"> de </w:t>
      </w:r>
      <w:proofErr w:type="spellStart"/>
      <w:r w:rsidR="00400B18" w:rsidRPr="00000971">
        <w:rPr>
          <w:rFonts w:ascii="Verdana" w:hAnsi="Verdana" w:cs="Tahoma"/>
          <w:i/>
          <w:iCs/>
          <w:sz w:val="20"/>
          <w:szCs w:val="20"/>
        </w:rPr>
        <w:t>Bookbuilding</w:t>
      </w:r>
      <w:proofErr w:type="spellEnd"/>
      <w:r w:rsidR="00400B18" w:rsidRPr="00000971">
        <w:rPr>
          <w:rFonts w:ascii="Verdana" w:hAnsi="Verdana" w:cs="Tahoma"/>
          <w:sz w:val="20"/>
          <w:szCs w:val="20"/>
        </w:rPr>
        <w:t xml:space="preserve">, no qual foram definidos os </w:t>
      </w:r>
      <w:r w:rsidR="00400B18" w:rsidRPr="00400B18">
        <w:rPr>
          <w:rFonts w:ascii="Verdana" w:hAnsi="Verdana" w:cs="Tahoma"/>
          <w:sz w:val="20"/>
          <w:szCs w:val="20"/>
        </w:rPr>
        <w:t>Juros Remuneratórios (conforme definido na Escritura de Emissão), estando as Partes a</w:t>
      </w:r>
      <w:r w:rsidR="00400B18" w:rsidRPr="00000971">
        <w:rPr>
          <w:rFonts w:ascii="Verdana" w:hAnsi="Verdana" w:cs="Tahoma"/>
          <w:sz w:val="20"/>
          <w:szCs w:val="20"/>
        </w:rPr>
        <w:t xml:space="preserve">utorizadas e obrigadas a celebrar aditamento à </w:t>
      </w:r>
      <w:r w:rsidR="00400B18" w:rsidRPr="00400B18">
        <w:rPr>
          <w:rFonts w:ascii="Verdana" w:hAnsi="Verdana" w:cs="Tahoma"/>
          <w:sz w:val="20"/>
          <w:szCs w:val="20"/>
        </w:rPr>
        <w:t xml:space="preserve">Escritura de Emissão, nos termos das Cláusulas </w:t>
      </w:r>
      <w:r w:rsidR="00400B18" w:rsidRPr="00400B18">
        <w:rPr>
          <w:rFonts w:ascii="Verdana" w:hAnsi="Verdana" w:cs="Tahoma"/>
          <w:sz w:val="20"/>
          <w:szCs w:val="20"/>
        </w:rPr>
        <w:t>3.6.3</w:t>
      </w:r>
      <w:r w:rsidR="00400B18" w:rsidRPr="00400B18">
        <w:rPr>
          <w:rFonts w:ascii="Verdana" w:hAnsi="Verdana" w:cs="Tahoma"/>
          <w:sz w:val="20"/>
          <w:szCs w:val="20"/>
        </w:rPr>
        <w:t xml:space="preserve"> da Escritura de Emissão, de forma a refletir o resultado do Procedimento de </w:t>
      </w:r>
      <w:proofErr w:type="spellStart"/>
      <w:r w:rsidR="00400B18" w:rsidRPr="00400B18">
        <w:rPr>
          <w:rFonts w:ascii="Verdana" w:hAnsi="Verdana" w:cs="Tahoma"/>
          <w:i/>
          <w:iCs/>
          <w:sz w:val="20"/>
          <w:szCs w:val="20"/>
        </w:rPr>
        <w:t>Bookbuilding</w:t>
      </w:r>
      <w:proofErr w:type="spellEnd"/>
      <w:r w:rsidR="00400B18" w:rsidRPr="00400B18">
        <w:rPr>
          <w:rFonts w:ascii="Verdana" w:hAnsi="Verdana" w:cs="Tahoma"/>
          <w:sz w:val="20"/>
          <w:szCs w:val="20"/>
        </w:rPr>
        <w:t>, sem necessidade</w:t>
      </w:r>
      <w:r w:rsidR="00400B18" w:rsidRPr="00000971">
        <w:rPr>
          <w:rFonts w:ascii="Verdana" w:hAnsi="Verdana" w:cs="Tahoma"/>
          <w:sz w:val="20"/>
          <w:szCs w:val="20"/>
        </w:rPr>
        <w:t xml:space="preserve"> de prévia aprovação de Assembleia Geral de Debenturistas e/ou qualquer outro ato societário da Emissora</w:t>
      </w:r>
      <w:r w:rsidRPr="00E80808">
        <w:rPr>
          <w:rFonts w:ascii="Verdana" w:hAnsi="Verdana"/>
          <w:sz w:val="20"/>
          <w:szCs w:val="20"/>
        </w:rPr>
        <w:t>.</w:t>
      </w:r>
    </w:p>
    <w:p w14:paraId="16AE05C8" w14:textId="77777777" w:rsidR="006579D9" w:rsidRPr="00E80808" w:rsidRDefault="006579D9" w:rsidP="006579D9">
      <w:pPr>
        <w:widowControl w:val="0"/>
        <w:tabs>
          <w:tab w:val="left" w:pos="1080"/>
        </w:tabs>
        <w:spacing w:line="320" w:lineRule="exact"/>
        <w:jc w:val="both"/>
        <w:rPr>
          <w:rFonts w:ascii="Verdana" w:hAnsi="Verdana"/>
          <w:b/>
          <w:sz w:val="20"/>
          <w:szCs w:val="20"/>
        </w:rPr>
      </w:pPr>
    </w:p>
    <w:p w14:paraId="2D20939D" w14:textId="77777777" w:rsidR="006579D9" w:rsidRPr="00E80808" w:rsidRDefault="006579D9" w:rsidP="006579D9">
      <w:pPr>
        <w:widowControl w:val="0"/>
        <w:spacing w:line="320" w:lineRule="exact"/>
        <w:jc w:val="both"/>
        <w:rPr>
          <w:rFonts w:ascii="Verdana" w:hAnsi="Verdana"/>
          <w:sz w:val="20"/>
          <w:szCs w:val="20"/>
        </w:rPr>
      </w:pPr>
      <w:r w:rsidRPr="00E80808">
        <w:rPr>
          <w:rFonts w:ascii="Verdana" w:hAnsi="Verdana"/>
          <w:b/>
          <w:smallCaps/>
          <w:sz w:val="20"/>
          <w:szCs w:val="20"/>
        </w:rPr>
        <w:t>Isto Posto</w:t>
      </w:r>
      <w:r w:rsidRPr="00E80808">
        <w:rPr>
          <w:rFonts w:ascii="Verdana" w:hAnsi="Verdana"/>
          <w:sz w:val="20"/>
          <w:szCs w:val="20"/>
        </w:rPr>
        <w:t>, resolvem as Partes celebrar este Aditamento de acordo com os seguintes termos e condições:</w:t>
      </w:r>
    </w:p>
    <w:p w14:paraId="55CBAC3A" w14:textId="77777777" w:rsidR="006579D9" w:rsidRPr="00E80808" w:rsidRDefault="006579D9" w:rsidP="006579D9">
      <w:pPr>
        <w:widowControl w:val="0"/>
        <w:tabs>
          <w:tab w:val="left" w:pos="1080"/>
        </w:tabs>
        <w:spacing w:line="320" w:lineRule="exact"/>
        <w:jc w:val="both"/>
        <w:rPr>
          <w:rFonts w:ascii="Verdana" w:hAnsi="Verdana"/>
          <w:sz w:val="20"/>
          <w:szCs w:val="20"/>
        </w:rPr>
      </w:pPr>
    </w:p>
    <w:p w14:paraId="019AFDC6" w14:textId="77777777" w:rsidR="006579D9" w:rsidRPr="00E80808" w:rsidRDefault="006579D9" w:rsidP="006579D9">
      <w:pPr>
        <w:pStyle w:val="CesconCorpodeClusula"/>
        <w:widowControl w:val="0"/>
        <w:spacing w:line="320" w:lineRule="exact"/>
        <w:rPr>
          <w:rFonts w:ascii="Verdana" w:hAnsi="Verdana"/>
          <w:sz w:val="20"/>
          <w:szCs w:val="20"/>
        </w:rPr>
      </w:pPr>
      <w:r w:rsidRPr="00E80808">
        <w:rPr>
          <w:rFonts w:ascii="Verdana" w:hAnsi="Verdana"/>
          <w:sz w:val="20"/>
          <w:szCs w:val="20"/>
        </w:rPr>
        <w:t>Os termos aqui iniciados em letra maiúscula, estejam no singular ou no plural, terão o significado a eles atribuído na Escritura de Emissão, ainda que posteriormente ao seu uso.</w:t>
      </w:r>
    </w:p>
    <w:p w14:paraId="32063A18" w14:textId="77777777" w:rsidR="006579D9" w:rsidRPr="00E80808" w:rsidRDefault="006579D9" w:rsidP="006579D9">
      <w:pPr>
        <w:widowControl w:val="0"/>
        <w:numPr>
          <w:ilvl w:val="0"/>
          <w:numId w:val="1"/>
        </w:numPr>
        <w:spacing w:line="320" w:lineRule="exact"/>
        <w:jc w:val="both"/>
        <w:rPr>
          <w:rFonts w:ascii="Verdana" w:hAnsi="Verdana"/>
          <w:b/>
          <w:smallCaps/>
          <w:sz w:val="20"/>
          <w:szCs w:val="20"/>
          <w:u w:val="single"/>
        </w:rPr>
      </w:pPr>
      <w:r w:rsidRPr="00E80808">
        <w:rPr>
          <w:rFonts w:ascii="Verdana" w:hAnsi="Verdana"/>
          <w:b/>
          <w:smallCaps/>
          <w:sz w:val="20"/>
          <w:szCs w:val="20"/>
          <w:u w:val="single"/>
        </w:rPr>
        <w:t>Autorização</w:t>
      </w:r>
    </w:p>
    <w:p w14:paraId="33EF8828" w14:textId="77777777" w:rsidR="006579D9" w:rsidRPr="00E80808" w:rsidRDefault="006579D9" w:rsidP="006579D9">
      <w:pPr>
        <w:widowControl w:val="0"/>
        <w:tabs>
          <w:tab w:val="left" w:pos="1080"/>
        </w:tabs>
        <w:spacing w:line="320" w:lineRule="exact"/>
        <w:jc w:val="both"/>
        <w:rPr>
          <w:rFonts w:ascii="Verdana" w:hAnsi="Verdana"/>
          <w:b/>
          <w:sz w:val="20"/>
          <w:szCs w:val="20"/>
        </w:rPr>
      </w:pPr>
    </w:p>
    <w:p w14:paraId="074738EB" w14:textId="172821D2" w:rsidR="006579D9" w:rsidRPr="00E80808" w:rsidRDefault="006579D9" w:rsidP="006579D9">
      <w:pPr>
        <w:widowControl w:val="0"/>
        <w:numPr>
          <w:ilvl w:val="1"/>
          <w:numId w:val="1"/>
        </w:numPr>
        <w:spacing w:line="320" w:lineRule="exact"/>
        <w:jc w:val="both"/>
        <w:rPr>
          <w:rFonts w:ascii="Verdana" w:hAnsi="Verdana"/>
          <w:sz w:val="20"/>
          <w:szCs w:val="20"/>
        </w:rPr>
      </w:pPr>
      <w:r w:rsidRPr="00E80808">
        <w:rPr>
          <w:rFonts w:ascii="Verdana" w:hAnsi="Verdana"/>
          <w:sz w:val="20"/>
          <w:szCs w:val="20"/>
        </w:rPr>
        <w:t xml:space="preserve">O presente </w:t>
      </w:r>
      <w:r w:rsidRPr="00400B18">
        <w:rPr>
          <w:rFonts w:ascii="Verdana" w:hAnsi="Verdana"/>
          <w:sz w:val="20"/>
          <w:szCs w:val="20"/>
        </w:rPr>
        <w:t xml:space="preserve">Aditamento é celebrado com base na Cláusula </w:t>
      </w:r>
      <w:r w:rsidR="00400B18" w:rsidRPr="00400B18">
        <w:rPr>
          <w:rFonts w:ascii="Verdana" w:hAnsi="Verdana"/>
          <w:sz w:val="20"/>
          <w:szCs w:val="20"/>
        </w:rPr>
        <w:t xml:space="preserve">3.6.3 </w:t>
      </w:r>
      <w:r w:rsidRPr="00400B18">
        <w:rPr>
          <w:rFonts w:ascii="Verdana" w:hAnsi="Verdana"/>
          <w:sz w:val="20"/>
          <w:szCs w:val="20"/>
        </w:rPr>
        <w:t>da Escritura de Emissão, não sendo necessária qualquer</w:t>
      </w:r>
      <w:r w:rsidRPr="00E80808">
        <w:rPr>
          <w:rFonts w:ascii="Verdana" w:hAnsi="Verdana"/>
          <w:sz w:val="20"/>
          <w:szCs w:val="20"/>
        </w:rPr>
        <w:t xml:space="preserve"> aprovação adicional para sua realização.</w:t>
      </w:r>
    </w:p>
    <w:p w14:paraId="525F4B0D" w14:textId="77777777" w:rsidR="006579D9" w:rsidRPr="00E80808" w:rsidRDefault="006579D9" w:rsidP="006579D9">
      <w:pPr>
        <w:widowControl w:val="0"/>
        <w:tabs>
          <w:tab w:val="left" w:pos="1080"/>
        </w:tabs>
        <w:spacing w:line="320" w:lineRule="exact"/>
        <w:jc w:val="both"/>
        <w:rPr>
          <w:rFonts w:ascii="Verdana" w:hAnsi="Verdana"/>
          <w:sz w:val="20"/>
          <w:szCs w:val="20"/>
        </w:rPr>
      </w:pPr>
    </w:p>
    <w:p w14:paraId="2CCF1258" w14:textId="77777777" w:rsidR="006579D9" w:rsidRPr="00E80808" w:rsidRDefault="006579D9" w:rsidP="006579D9">
      <w:pPr>
        <w:widowControl w:val="0"/>
        <w:numPr>
          <w:ilvl w:val="0"/>
          <w:numId w:val="1"/>
        </w:numPr>
        <w:spacing w:line="320" w:lineRule="exact"/>
        <w:jc w:val="both"/>
        <w:rPr>
          <w:rFonts w:ascii="Verdana" w:hAnsi="Verdana"/>
          <w:b/>
          <w:sz w:val="20"/>
          <w:szCs w:val="20"/>
        </w:rPr>
      </w:pPr>
      <w:r w:rsidRPr="00E80808">
        <w:rPr>
          <w:rFonts w:ascii="Verdana" w:hAnsi="Verdana"/>
          <w:b/>
          <w:smallCaps/>
          <w:sz w:val="20"/>
          <w:szCs w:val="20"/>
          <w:u w:val="single"/>
        </w:rPr>
        <w:t>Arquivamento do Aditamento</w:t>
      </w:r>
    </w:p>
    <w:p w14:paraId="1EFF893F" w14:textId="77777777" w:rsidR="006579D9" w:rsidRPr="00E80808" w:rsidRDefault="006579D9" w:rsidP="006579D9">
      <w:pPr>
        <w:widowControl w:val="0"/>
        <w:tabs>
          <w:tab w:val="left" w:pos="1080"/>
        </w:tabs>
        <w:spacing w:line="320" w:lineRule="exact"/>
        <w:jc w:val="both"/>
        <w:rPr>
          <w:rFonts w:ascii="Verdana" w:hAnsi="Verdana"/>
          <w:sz w:val="20"/>
          <w:szCs w:val="20"/>
        </w:rPr>
      </w:pPr>
    </w:p>
    <w:p w14:paraId="4C40F01B" w14:textId="77777777" w:rsidR="006579D9" w:rsidRPr="00E80808" w:rsidRDefault="006579D9" w:rsidP="006579D9">
      <w:pPr>
        <w:widowControl w:val="0"/>
        <w:numPr>
          <w:ilvl w:val="1"/>
          <w:numId w:val="1"/>
        </w:numPr>
        <w:spacing w:line="320" w:lineRule="exact"/>
        <w:jc w:val="both"/>
        <w:rPr>
          <w:rFonts w:ascii="Verdana" w:hAnsi="Verdana"/>
          <w:sz w:val="20"/>
          <w:szCs w:val="20"/>
        </w:rPr>
      </w:pPr>
      <w:r w:rsidRPr="00E80808">
        <w:rPr>
          <w:rFonts w:ascii="Verdana" w:hAnsi="Verdana"/>
          <w:sz w:val="20"/>
          <w:szCs w:val="20"/>
        </w:rPr>
        <w:t>Este Aditamento será arquivado na JUCESC, nos termos do artigo 62, §3º, da Lei das Sociedades por Ações.</w:t>
      </w:r>
    </w:p>
    <w:p w14:paraId="72481AD1" w14:textId="77777777" w:rsidR="006579D9" w:rsidRPr="00E80808" w:rsidRDefault="006579D9" w:rsidP="006579D9">
      <w:pPr>
        <w:widowControl w:val="0"/>
        <w:tabs>
          <w:tab w:val="left" w:pos="1080"/>
        </w:tabs>
        <w:spacing w:line="320" w:lineRule="exact"/>
        <w:jc w:val="both"/>
        <w:rPr>
          <w:rFonts w:ascii="Verdana" w:hAnsi="Verdana"/>
          <w:sz w:val="20"/>
          <w:szCs w:val="20"/>
        </w:rPr>
      </w:pPr>
    </w:p>
    <w:p w14:paraId="5339AA0D" w14:textId="77777777" w:rsidR="006579D9" w:rsidRPr="00E80808" w:rsidRDefault="006579D9" w:rsidP="006579D9">
      <w:pPr>
        <w:widowControl w:val="0"/>
        <w:numPr>
          <w:ilvl w:val="0"/>
          <w:numId w:val="1"/>
        </w:numPr>
        <w:spacing w:line="320" w:lineRule="exact"/>
        <w:jc w:val="both"/>
        <w:rPr>
          <w:rFonts w:ascii="Verdana" w:hAnsi="Verdana"/>
          <w:b/>
          <w:sz w:val="20"/>
          <w:szCs w:val="20"/>
        </w:rPr>
      </w:pPr>
      <w:r w:rsidRPr="00E80808">
        <w:rPr>
          <w:rFonts w:ascii="Verdana" w:hAnsi="Verdana"/>
          <w:b/>
          <w:smallCaps/>
          <w:sz w:val="20"/>
          <w:szCs w:val="20"/>
          <w:u w:val="single"/>
        </w:rPr>
        <w:t>Alterações</w:t>
      </w:r>
    </w:p>
    <w:p w14:paraId="53E1630A" w14:textId="77777777" w:rsidR="00400B18" w:rsidRPr="00000971" w:rsidRDefault="00400B18" w:rsidP="00400B18">
      <w:pPr>
        <w:spacing w:line="320" w:lineRule="exact"/>
        <w:jc w:val="both"/>
        <w:rPr>
          <w:rFonts w:ascii="Verdana" w:hAnsi="Verdana" w:cs="Tahoma"/>
          <w:sz w:val="20"/>
          <w:szCs w:val="20"/>
        </w:rPr>
      </w:pPr>
    </w:p>
    <w:p w14:paraId="08A15AF7" w14:textId="1B79901D" w:rsidR="00400B18" w:rsidRPr="00000971" w:rsidRDefault="00400B18" w:rsidP="00400B18">
      <w:pPr>
        <w:spacing w:line="320" w:lineRule="exact"/>
        <w:jc w:val="both"/>
        <w:rPr>
          <w:rFonts w:ascii="Verdana" w:eastAsia="Arial Unicode MS" w:hAnsi="Verdana" w:cs="Calibri"/>
          <w:bCs/>
          <w:sz w:val="20"/>
          <w:szCs w:val="20"/>
        </w:rPr>
      </w:pPr>
      <w:r>
        <w:rPr>
          <w:rFonts w:ascii="Verdana" w:hAnsi="Verdana" w:cs="Tahoma"/>
          <w:sz w:val="20"/>
          <w:szCs w:val="20"/>
        </w:rPr>
        <w:t>3</w:t>
      </w:r>
      <w:r w:rsidRPr="00000971">
        <w:rPr>
          <w:rFonts w:ascii="Verdana" w:hAnsi="Verdana" w:cs="Tahoma"/>
          <w:sz w:val="20"/>
          <w:szCs w:val="20"/>
        </w:rPr>
        <w:t>.1</w:t>
      </w:r>
      <w:r w:rsidRPr="00000971">
        <w:rPr>
          <w:rFonts w:ascii="Verdana" w:hAnsi="Verdana" w:cs="Tahoma"/>
          <w:sz w:val="20"/>
          <w:szCs w:val="20"/>
        </w:rPr>
        <w:tab/>
        <w:t xml:space="preserve">As Partes, por meio da celebração deste Aditamento, resolvem </w:t>
      </w:r>
      <w:r w:rsidRPr="00000971">
        <w:rPr>
          <w:rFonts w:ascii="Verdana" w:eastAsia="Arial Unicode MS" w:hAnsi="Verdana" w:cs="Calibri"/>
          <w:bCs/>
          <w:sz w:val="20"/>
          <w:szCs w:val="20"/>
        </w:rPr>
        <w:t>alter</w:t>
      </w:r>
      <w:r w:rsidRPr="00400B18">
        <w:rPr>
          <w:rFonts w:ascii="Verdana" w:eastAsia="Arial Unicode MS" w:hAnsi="Verdana" w:cs="Calibri"/>
          <w:bCs/>
          <w:sz w:val="20"/>
          <w:szCs w:val="20"/>
        </w:rPr>
        <w:t xml:space="preserve">ar as Cláusulas </w:t>
      </w:r>
      <w:r w:rsidRPr="00400B18">
        <w:rPr>
          <w:rFonts w:ascii="Verdana" w:eastAsia="Arial Unicode MS" w:hAnsi="Verdana" w:cs="Calibri"/>
          <w:bCs/>
          <w:sz w:val="20"/>
          <w:szCs w:val="20"/>
        </w:rPr>
        <w:t>4.2.2</w:t>
      </w:r>
      <w:r w:rsidRPr="00400B18">
        <w:rPr>
          <w:rFonts w:ascii="Verdana" w:eastAsia="Arial Unicode MS" w:hAnsi="Verdana" w:cs="Calibri"/>
          <w:bCs/>
          <w:sz w:val="20"/>
          <w:szCs w:val="20"/>
        </w:rPr>
        <w:t xml:space="preserve"> e </w:t>
      </w:r>
      <w:r w:rsidRPr="00400B18">
        <w:rPr>
          <w:rFonts w:ascii="Verdana" w:eastAsia="Arial Unicode MS" w:hAnsi="Verdana" w:cs="Calibri"/>
          <w:bCs/>
          <w:sz w:val="20"/>
          <w:szCs w:val="20"/>
        </w:rPr>
        <w:t>4.2.2.1</w:t>
      </w:r>
      <w:r w:rsidRPr="00400B18">
        <w:rPr>
          <w:rFonts w:ascii="Verdana" w:eastAsia="Arial Unicode MS" w:hAnsi="Verdana" w:cs="Calibri"/>
          <w:bCs/>
          <w:sz w:val="20"/>
          <w:szCs w:val="20"/>
        </w:rPr>
        <w:t xml:space="preserve"> da Escritura de Emissão a fim de refletir a taxa final aplicada aos Juros Remuneratórios após o Procedimento</w:t>
      </w:r>
      <w:r w:rsidRPr="00000971">
        <w:rPr>
          <w:rFonts w:ascii="Verdana" w:eastAsia="Arial Unicode MS" w:hAnsi="Verdana" w:cs="Calibri"/>
          <w:bCs/>
          <w:sz w:val="20"/>
          <w:szCs w:val="20"/>
        </w:rPr>
        <w:t xml:space="preserve"> de </w:t>
      </w:r>
      <w:proofErr w:type="spellStart"/>
      <w:r w:rsidRPr="00000971">
        <w:rPr>
          <w:rFonts w:ascii="Verdana" w:eastAsia="Arial Unicode MS" w:hAnsi="Verdana" w:cs="Calibri"/>
          <w:bCs/>
          <w:i/>
          <w:iCs/>
          <w:sz w:val="20"/>
          <w:szCs w:val="20"/>
        </w:rPr>
        <w:t>Bookbuilding</w:t>
      </w:r>
      <w:proofErr w:type="spellEnd"/>
      <w:r w:rsidRPr="00000971">
        <w:rPr>
          <w:rFonts w:ascii="Verdana" w:eastAsia="Arial Unicode MS" w:hAnsi="Verdana" w:cs="Calibri"/>
          <w:bCs/>
          <w:sz w:val="20"/>
          <w:szCs w:val="20"/>
        </w:rPr>
        <w:t>, passando as referidas Cláusulas a vigorar com as seguintes redações:</w:t>
      </w:r>
    </w:p>
    <w:p w14:paraId="312B7186" w14:textId="77777777" w:rsidR="00400B18" w:rsidRPr="00000971" w:rsidRDefault="00400B18" w:rsidP="00400B18">
      <w:pPr>
        <w:spacing w:line="320" w:lineRule="exact"/>
        <w:jc w:val="both"/>
        <w:rPr>
          <w:rFonts w:ascii="Verdana" w:eastAsia="Arial Unicode MS" w:hAnsi="Verdana" w:cs="Calibri"/>
          <w:bCs/>
          <w:sz w:val="20"/>
          <w:szCs w:val="20"/>
        </w:rPr>
      </w:pPr>
    </w:p>
    <w:p w14:paraId="6AAEF991" w14:textId="629FFE69" w:rsidR="00400B18" w:rsidRPr="00000971" w:rsidRDefault="00400B18" w:rsidP="00400B18">
      <w:pPr>
        <w:tabs>
          <w:tab w:val="num" w:pos="851"/>
        </w:tabs>
        <w:spacing w:line="300" w:lineRule="exact"/>
        <w:ind w:left="851"/>
        <w:jc w:val="both"/>
        <w:rPr>
          <w:rFonts w:ascii="Verdana" w:hAnsi="Verdana" w:cs="Calibri"/>
          <w:i/>
          <w:iCs/>
          <w:kern w:val="20"/>
          <w:sz w:val="20"/>
          <w:szCs w:val="20"/>
          <w:lang w:val="x-none" w:eastAsia="x-none"/>
        </w:rPr>
      </w:pPr>
      <w:r w:rsidRPr="00000971">
        <w:rPr>
          <w:rFonts w:ascii="Verdana" w:hAnsi="Verdana" w:cs="Calibri"/>
          <w:i/>
          <w:iCs/>
          <w:kern w:val="20"/>
          <w:sz w:val="20"/>
          <w:szCs w:val="20"/>
          <w:lang w:eastAsia="x-none"/>
        </w:rPr>
        <w:t>“</w:t>
      </w:r>
      <w:r>
        <w:rPr>
          <w:rFonts w:ascii="Verdana" w:hAnsi="Verdana" w:cs="Calibri"/>
          <w:i/>
          <w:iCs/>
          <w:kern w:val="20"/>
          <w:sz w:val="20"/>
          <w:szCs w:val="20"/>
          <w:lang w:eastAsia="x-none"/>
        </w:rPr>
        <w:t>4.2.2</w:t>
      </w:r>
      <w:r w:rsidRPr="00000971">
        <w:rPr>
          <w:rFonts w:ascii="Verdana" w:hAnsi="Verdana" w:cs="Calibri"/>
          <w:i/>
          <w:iCs/>
          <w:kern w:val="20"/>
          <w:sz w:val="20"/>
          <w:szCs w:val="20"/>
          <w:lang w:eastAsia="x-none"/>
        </w:rPr>
        <w:t xml:space="preserve">. Sobre o </w:t>
      </w:r>
      <w:r w:rsidRPr="00000971">
        <w:rPr>
          <w:rFonts w:ascii="Verdana" w:hAnsi="Verdana" w:cs="Calibri"/>
          <w:i/>
          <w:iCs/>
          <w:kern w:val="20"/>
          <w:sz w:val="20"/>
          <w:szCs w:val="20"/>
          <w:lang w:val="x-none" w:eastAsia="x-none"/>
        </w:rPr>
        <w:t xml:space="preserve">Valor Nominal </w:t>
      </w:r>
      <w:r w:rsidRPr="00000971">
        <w:rPr>
          <w:rFonts w:ascii="Verdana" w:hAnsi="Verdana" w:cs="Calibri"/>
          <w:i/>
          <w:iCs/>
          <w:kern w:val="20"/>
          <w:sz w:val="20"/>
          <w:szCs w:val="20"/>
          <w:lang w:eastAsia="x-none"/>
        </w:rPr>
        <w:t xml:space="preserve">Unitário Atualizado das Debêntures </w:t>
      </w:r>
      <w:r w:rsidRPr="00000971">
        <w:rPr>
          <w:rFonts w:ascii="Verdana" w:hAnsi="Verdana" w:cs="Calibri"/>
          <w:i/>
          <w:iCs/>
          <w:kern w:val="20"/>
          <w:sz w:val="20"/>
          <w:szCs w:val="20"/>
          <w:lang w:val="x-none" w:eastAsia="x-none"/>
        </w:rPr>
        <w:t>incidirão juros remuneratórios</w:t>
      </w:r>
      <w:r w:rsidRPr="00000971">
        <w:rPr>
          <w:rFonts w:ascii="Tahoma" w:hAnsi="Tahoma"/>
          <w:kern w:val="20"/>
          <w:sz w:val="20"/>
          <w:szCs w:val="28"/>
        </w:rPr>
        <w:t xml:space="preserve"> </w:t>
      </w:r>
      <w:r w:rsidRPr="00000971">
        <w:rPr>
          <w:rFonts w:ascii="Verdana" w:hAnsi="Verdana" w:cs="Calibri"/>
          <w:i/>
          <w:iCs/>
          <w:kern w:val="20"/>
          <w:sz w:val="20"/>
          <w:szCs w:val="20"/>
          <w:lang w:val="x-none" w:eastAsia="x-none"/>
        </w:rPr>
        <w:t xml:space="preserve">prefixados equivalentes </w:t>
      </w:r>
      <w:r w:rsidRPr="00C75CFD">
        <w:rPr>
          <w:rFonts w:ascii="Verdana" w:hAnsi="Verdana" w:cs="Calibri"/>
          <w:i/>
          <w:iCs/>
          <w:kern w:val="20"/>
          <w:sz w:val="20"/>
          <w:szCs w:val="20"/>
          <w:lang w:val="x-none" w:eastAsia="x-none"/>
        </w:rPr>
        <w:t xml:space="preserve">a </w:t>
      </w:r>
      <w:r w:rsidR="00C75CFD" w:rsidRPr="00C75CFD">
        <w:rPr>
          <w:rFonts w:ascii="Verdana" w:hAnsi="Verdana" w:cs="Calibri"/>
          <w:i/>
          <w:iCs/>
          <w:kern w:val="20"/>
          <w:sz w:val="20"/>
          <w:szCs w:val="20"/>
          <w:lang w:eastAsia="x-none"/>
        </w:rPr>
        <w:t>6</w:t>
      </w:r>
      <w:r w:rsidRPr="00C75CFD">
        <w:rPr>
          <w:rFonts w:ascii="Verdana" w:hAnsi="Verdana" w:cs="Calibri"/>
          <w:i/>
          <w:iCs/>
          <w:kern w:val="20"/>
          <w:sz w:val="20"/>
          <w:szCs w:val="20"/>
          <w:lang w:eastAsia="x-none"/>
        </w:rPr>
        <w:t>,</w:t>
      </w:r>
      <w:r w:rsidR="00C75CFD" w:rsidRPr="00C75CFD">
        <w:rPr>
          <w:rFonts w:ascii="Verdana" w:hAnsi="Verdana" w:cs="Calibri"/>
          <w:i/>
          <w:iCs/>
          <w:kern w:val="20"/>
          <w:sz w:val="20"/>
          <w:szCs w:val="20"/>
          <w:lang w:eastAsia="x-none"/>
        </w:rPr>
        <w:t>2878</w:t>
      </w:r>
      <w:r w:rsidRPr="00C75CFD">
        <w:rPr>
          <w:rFonts w:ascii="Verdana" w:hAnsi="Verdana" w:cs="Calibri"/>
          <w:i/>
          <w:iCs/>
          <w:kern w:val="20"/>
          <w:sz w:val="20"/>
          <w:szCs w:val="20"/>
          <w:lang w:val="x-none" w:eastAsia="x-none"/>
        </w:rPr>
        <w:t>% (</w:t>
      </w:r>
      <w:r w:rsidR="00C75CFD" w:rsidRPr="00C75CFD">
        <w:rPr>
          <w:rFonts w:ascii="Verdana" w:hAnsi="Verdana" w:cs="Calibri"/>
          <w:i/>
          <w:iCs/>
          <w:kern w:val="20"/>
          <w:sz w:val="20"/>
          <w:szCs w:val="20"/>
          <w:lang w:eastAsia="x-none"/>
        </w:rPr>
        <w:t>seis</w:t>
      </w:r>
      <w:r w:rsidRPr="00C75CFD">
        <w:rPr>
          <w:rFonts w:ascii="Verdana" w:hAnsi="Verdana" w:cs="Calibri"/>
          <w:i/>
          <w:iCs/>
          <w:kern w:val="20"/>
          <w:sz w:val="20"/>
          <w:szCs w:val="20"/>
          <w:lang w:eastAsia="x-none"/>
        </w:rPr>
        <w:t xml:space="preserve"> inteiros e </w:t>
      </w:r>
      <w:r w:rsidR="00C75CFD" w:rsidRPr="00C75CFD">
        <w:rPr>
          <w:rFonts w:ascii="Verdana" w:hAnsi="Verdana" w:cs="Calibri"/>
          <w:i/>
          <w:iCs/>
          <w:kern w:val="20"/>
          <w:sz w:val="20"/>
          <w:szCs w:val="20"/>
          <w:lang w:eastAsia="x-none"/>
        </w:rPr>
        <w:t>dois</w:t>
      </w:r>
      <w:r w:rsidRPr="00C75CFD">
        <w:rPr>
          <w:rFonts w:ascii="Verdana" w:hAnsi="Verdana" w:cs="Calibri"/>
          <w:i/>
          <w:iCs/>
          <w:kern w:val="20"/>
          <w:sz w:val="20"/>
          <w:szCs w:val="20"/>
          <w:lang w:eastAsia="x-none"/>
        </w:rPr>
        <w:t xml:space="preserve"> mil, </w:t>
      </w:r>
      <w:r w:rsidR="00C75CFD" w:rsidRPr="00C75CFD">
        <w:rPr>
          <w:rFonts w:ascii="Verdana" w:hAnsi="Verdana" w:cs="Calibri"/>
          <w:i/>
          <w:iCs/>
          <w:kern w:val="20"/>
          <w:sz w:val="20"/>
          <w:szCs w:val="20"/>
          <w:lang w:eastAsia="x-none"/>
        </w:rPr>
        <w:t>oitocentos</w:t>
      </w:r>
      <w:r w:rsidRPr="00C75CFD">
        <w:rPr>
          <w:rFonts w:ascii="Verdana" w:hAnsi="Verdana" w:cs="Calibri"/>
          <w:i/>
          <w:iCs/>
          <w:kern w:val="20"/>
          <w:sz w:val="20"/>
          <w:szCs w:val="20"/>
          <w:lang w:eastAsia="x-none"/>
        </w:rPr>
        <w:t xml:space="preserve"> e </w:t>
      </w:r>
      <w:r w:rsidR="00C75CFD" w:rsidRPr="00C75CFD">
        <w:rPr>
          <w:rFonts w:ascii="Verdana" w:hAnsi="Verdana" w:cs="Calibri"/>
          <w:i/>
          <w:iCs/>
          <w:kern w:val="20"/>
          <w:sz w:val="20"/>
          <w:szCs w:val="20"/>
          <w:lang w:eastAsia="x-none"/>
        </w:rPr>
        <w:t>setenta</w:t>
      </w:r>
      <w:r w:rsidRPr="00C75CFD">
        <w:rPr>
          <w:rFonts w:ascii="Verdana" w:hAnsi="Verdana" w:cs="Calibri"/>
          <w:i/>
          <w:iCs/>
          <w:kern w:val="20"/>
          <w:sz w:val="20"/>
          <w:szCs w:val="20"/>
          <w:lang w:eastAsia="x-none"/>
        </w:rPr>
        <w:t xml:space="preserve"> e oito décimos de milésimo por cento</w:t>
      </w:r>
      <w:r w:rsidRPr="00C75CFD">
        <w:rPr>
          <w:rFonts w:ascii="Verdana" w:hAnsi="Verdana" w:cs="Calibri"/>
          <w:i/>
          <w:iCs/>
          <w:kern w:val="20"/>
          <w:sz w:val="20"/>
          <w:szCs w:val="20"/>
          <w:lang w:val="x-none" w:eastAsia="x-none"/>
        </w:rPr>
        <w:t>)</w:t>
      </w:r>
      <w:r w:rsidRPr="00000971">
        <w:rPr>
          <w:rFonts w:ascii="Verdana" w:hAnsi="Verdana" w:cs="Calibri"/>
          <w:i/>
          <w:iCs/>
          <w:kern w:val="20"/>
          <w:sz w:val="20"/>
          <w:szCs w:val="20"/>
          <w:lang w:val="x-none" w:eastAsia="x-none"/>
        </w:rPr>
        <w:t xml:space="preserve"> ao ano, base 252 (duzentos e cinquenta e dois) Dias Úteis (</w:t>
      </w:r>
      <w:r w:rsidRPr="00000971">
        <w:rPr>
          <w:rFonts w:ascii="Verdana" w:hAnsi="Verdana" w:cs="Calibri"/>
          <w:i/>
          <w:iCs/>
          <w:kern w:val="20"/>
          <w:sz w:val="20"/>
          <w:szCs w:val="20"/>
          <w:lang w:eastAsia="x-none"/>
        </w:rPr>
        <w:t>"</w:t>
      </w:r>
      <w:r w:rsidRPr="00000971">
        <w:rPr>
          <w:rFonts w:ascii="Verdana" w:hAnsi="Verdana" w:cs="Calibri"/>
          <w:b/>
          <w:bCs/>
          <w:i/>
          <w:iCs/>
          <w:kern w:val="20"/>
          <w:sz w:val="20"/>
          <w:szCs w:val="20"/>
        </w:rPr>
        <w:t>Juros Remuneratórios</w:t>
      </w:r>
      <w:r w:rsidRPr="00000971">
        <w:rPr>
          <w:rFonts w:ascii="Verdana" w:hAnsi="Verdana" w:cs="Calibri"/>
          <w:i/>
          <w:iCs/>
          <w:kern w:val="20"/>
          <w:sz w:val="20"/>
          <w:szCs w:val="20"/>
          <w:lang w:eastAsia="x-none"/>
        </w:rPr>
        <w:t>").</w:t>
      </w:r>
    </w:p>
    <w:p w14:paraId="55A9325A" w14:textId="77777777" w:rsidR="00400B18" w:rsidRPr="00000971" w:rsidRDefault="00400B18" w:rsidP="00400B18">
      <w:pPr>
        <w:spacing w:line="300" w:lineRule="exact"/>
        <w:ind w:left="641"/>
        <w:jc w:val="both"/>
        <w:rPr>
          <w:rFonts w:ascii="Verdana" w:hAnsi="Verdana"/>
          <w:kern w:val="20"/>
          <w:sz w:val="20"/>
          <w:szCs w:val="20"/>
        </w:rPr>
      </w:pPr>
    </w:p>
    <w:p w14:paraId="56FD7824" w14:textId="276D50A6" w:rsidR="00400B18" w:rsidRPr="00000971" w:rsidRDefault="00C75CFD" w:rsidP="00400B18">
      <w:pPr>
        <w:spacing w:line="300" w:lineRule="exact"/>
        <w:ind w:left="851"/>
        <w:jc w:val="both"/>
        <w:rPr>
          <w:rFonts w:ascii="Verdana" w:hAnsi="Verdana"/>
          <w:i/>
          <w:iCs/>
          <w:kern w:val="20"/>
          <w:sz w:val="20"/>
          <w:szCs w:val="20"/>
        </w:rPr>
      </w:pPr>
      <w:r w:rsidRPr="00C75CFD">
        <w:rPr>
          <w:rFonts w:ascii="Verdana" w:hAnsi="Verdana" w:cs="Calibri"/>
          <w:i/>
          <w:iCs/>
          <w:kern w:val="20"/>
          <w:sz w:val="20"/>
          <w:szCs w:val="20"/>
        </w:rPr>
        <w:t>4.2.2.1</w:t>
      </w:r>
      <w:r w:rsidR="00400B18" w:rsidRPr="00000971">
        <w:rPr>
          <w:rFonts w:ascii="Verdana" w:hAnsi="Verdana" w:cs="Calibri"/>
          <w:i/>
          <w:iCs/>
          <w:kern w:val="20"/>
          <w:sz w:val="20"/>
          <w:szCs w:val="20"/>
        </w:rPr>
        <w:t xml:space="preserve">. </w:t>
      </w:r>
      <w:r w:rsidRPr="00C75CFD">
        <w:rPr>
          <w:rFonts w:ascii="Verdana" w:hAnsi="Verdana" w:cs="Calibri"/>
          <w:i/>
          <w:iCs/>
          <w:kern w:val="20"/>
          <w:sz w:val="20"/>
          <w:szCs w:val="20"/>
        </w:rPr>
        <w:t xml:space="preserve">Os Juros Remuneratórios serão calculados de forma exponencial e cumulativa pro rata </w:t>
      </w:r>
      <w:proofErr w:type="spellStart"/>
      <w:r w:rsidRPr="00C75CFD">
        <w:rPr>
          <w:rFonts w:ascii="Verdana" w:hAnsi="Verdana" w:cs="Calibri"/>
          <w:i/>
          <w:iCs/>
          <w:kern w:val="20"/>
          <w:sz w:val="20"/>
          <w:szCs w:val="20"/>
        </w:rPr>
        <w:t>temporis</w:t>
      </w:r>
      <w:proofErr w:type="spellEnd"/>
      <w:r w:rsidRPr="00C75CFD">
        <w:rPr>
          <w:rFonts w:ascii="Verdana" w:hAnsi="Verdana" w:cs="Calibri"/>
          <w:i/>
          <w:iCs/>
          <w:kern w:val="20"/>
          <w:sz w:val="20"/>
          <w:szCs w:val="20"/>
        </w:rPr>
        <w:t>, por Dias Úteis decorridos, com base em um ano de 252 (duzentos e cinquenta e dois) Dias Úteis, incidentes sobre o Valor Nominal Unitário Atualizado, desde a Data da Primeira Integralização das Debêntures, ou da data de pagamento dos Juros Remuneratórios imediatamente anterior e pagos ao final de cada Período de Capitalização (conforme abaixo definido), calculado de acordo com a seguinte fórmula</w:t>
      </w:r>
      <w:r w:rsidR="00400B18" w:rsidRPr="00000971">
        <w:rPr>
          <w:rFonts w:ascii="Verdana" w:hAnsi="Verdana" w:cs="Calibri"/>
          <w:i/>
          <w:iCs/>
          <w:kern w:val="20"/>
          <w:sz w:val="20"/>
          <w:szCs w:val="20"/>
        </w:rPr>
        <w:t>:</w:t>
      </w:r>
    </w:p>
    <w:p w14:paraId="54F6E7ED" w14:textId="77777777" w:rsidR="00400B18" w:rsidRPr="00000971" w:rsidRDefault="00400B18" w:rsidP="00400B18">
      <w:pPr>
        <w:spacing w:line="300" w:lineRule="exact"/>
        <w:ind w:left="851"/>
        <w:jc w:val="both"/>
        <w:rPr>
          <w:rFonts w:ascii="Verdana" w:hAnsi="Verdana" w:cs="Calibri"/>
          <w:i/>
          <w:iCs/>
          <w:sz w:val="20"/>
          <w:szCs w:val="20"/>
        </w:rPr>
      </w:pPr>
    </w:p>
    <w:p w14:paraId="1F2C49B0" w14:textId="6DB82513" w:rsidR="00400B18" w:rsidRPr="00C75CFD" w:rsidRDefault="00400B18" w:rsidP="00400B18">
      <w:pPr>
        <w:spacing w:line="300" w:lineRule="exact"/>
        <w:ind w:left="851"/>
        <w:jc w:val="center"/>
        <w:rPr>
          <w:rFonts w:ascii="Verdana" w:hAnsi="Verdana" w:cs="Calibri"/>
          <w:i/>
          <w:iCs/>
          <w:color w:val="000000"/>
          <w:sz w:val="20"/>
          <w:szCs w:val="20"/>
          <w:lang w:val="en-US"/>
        </w:rPr>
      </w:pPr>
      <w:r w:rsidRPr="00C75CFD">
        <w:rPr>
          <w:rFonts w:ascii="Verdana" w:hAnsi="Verdana" w:cs="Calibri"/>
          <w:i/>
          <w:iCs/>
          <w:sz w:val="20"/>
          <w:szCs w:val="20"/>
          <w:lang w:val="en-US"/>
        </w:rPr>
        <w:lastRenderedPageBreak/>
        <w:t xml:space="preserve">J = </w:t>
      </w:r>
      <w:proofErr w:type="spellStart"/>
      <w:r w:rsidRPr="00C75CFD">
        <w:rPr>
          <w:rFonts w:ascii="Verdana" w:hAnsi="Verdana" w:cs="Calibri"/>
          <w:i/>
          <w:iCs/>
          <w:sz w:val="20"/>
          <w:szCs w:val="20"/>
          <w:lang w:val="en-US"/>
        </w:rPr>
        <w:t>VNa</w:t>
      </w:r>
      <w:proofErr w:type="spellEnd"/>
      <w:r w:rsidRPr="00C75CFD">
        <w:rPr>
          <w:rFonts w:ascii="Verdana" w:hAnsi="Verdana" w:cs="Calibri"/>
          <w:i/>
          <w:iCs/>
          <w:sz w:val="20"/>
          <w:szCs w:val="20"/>
          <w:lang w:val="en-US"/>
        </w:rPr>
        <w:t xml:space="preserve"> x </w:t>
      </w:r>
      <w:r w:rsidR="00C75CFD" w:rsidRPr="00C75CFD">
        <w:rPr>
          <w:rFonts w:ascii="Verdana" w:hAnsi="Verdana" w:cs="Calibri"/>
          <w:i/>
          <w:iCs/>
          <w:sz w:val="20"/>
          <w:szCs w:val="20"/>
          <w:lang w:val="en-US"/>
        </w:rPr>
        <w:t>(</w:t>
      </w:r>
      <w:proofErr w:type="spellStart"/>
      <w:r w:rsidR="00C75CFD" w:rsidRPr="00C75CFD">
        <w:rPr>
          <w:rFonts w:ascii="Verdana" w:hAnsi="Verdana" w:cs="Calibri"/>
          <w:i/>
          <w:iCs/>
          <w:sz w:val="20"/>
          <w:szCs w:val="20"/>
          <w:lang w:val="en-US"/>
        </w:rPr>
        <w:t>Fator</w:t>
      </w:r>
      <w:proofErr w:type="spellEnd"/>
      <w:r w:rsidR="00C75CFD" w:rsidRPr="00C75CFD">
        <w:rPr>
          <w:rFonts w:ascii="Verdana" w:hAnsi="Verdana" w:cs="Calibri"/>
          <w:i/>
          <w:iCs/>
          <w:sz w:val="20"/>
          <w:szCs w:val="20"/>
          <w:lang w:val="en-US"/>
        </w:rPr>
        <w:t xml:space="preserve"> Spread – 1)</w:t>
      </w:r>
    </w:p>
    <w:p w14:paraId="0113AF92" w14:textId="77777777" w:rsidR="00400B18" w:rsidRPr="00C75CFD" w:rsidRDefault="00400B18" w:rsidP="00400B18">
      <w:pPr>
        <w:spacing w:line="300" w:lineRule="exact"/>
        <w:ind w:left="851"/>
        <w:jc w:val="both"/>
        <w:rPr>
          <w:rFonts w:ascii="Verdana" w:hAnsi="Verdana" w:cs="Calibri"/>
          <w:i/>
          <w:iCs/>
          <w:sz w:val="20"/>
          <w:szCs w:val="20"/>
          <w:lang w:val="en-US"/>
        </w:rPr>
      </w:pPr>
    </w:p>
    <w:p w14:paraId="6B432437" w14:textId="7482EC6C" w:rsidR="00400B18" w:rsidRPr="00000971" w:rsidRDefault="00C75CFD" w:rsidP="00400B18">
      <w:pPr>
        <w:spacing w:line="300" w:lineRule="exact"/>
        <w:ind w:left="851"/>
        <w:jc w:val="both"/>
        <w:rPr>
          <w:rFonts w:ascii="Verdana" w:hAnsi="Verdana" w:cs="Calibri"/>
          <w:i/>
          <w:iCs/>
          <w:sz w:val="20"/>
          <w:szCs w:val="20"/>
        </w:rPr>
      </w:pPr>
      <w:r>
        <w:rPr>
          <w:rFonts w:ascii="Verdana" w:hAnsi="Verdana" w:cs="Calibri"/>
          <w:i/>
          <w:iCs/>
          <w:sz w:val="20"/>
          <w:szCs w:val="20"/>
        </w:rPr>
        <w:t>Onde</w:t>
      </w:r>
      <w:r w:rsidR="00400B18" w:rsidRPr="00000971">
        <w:rPr>
          <w:rFonts w:ascii="Verdana" w:hAnsi="Verdana" w:cs="Calibri"/>
          <w:i/>
          <w:iCs/>
          <w:sz w:val="20"/>
          <w:szCs w:val="20"/>
        </w:rPr>
        <w:t>:</w:t>
      </w:r>
    </w:p>
    <w:p w14:paraId="09D14A52" w14:textId="77777777" w:rsidR="00400B18" w:rsidRPr="00000971" w:rsidRDefault="00400B18" w:rsidP="00400B18">
      <w:pPr>
        <w:spacing w:line="300" w:lineRule="exact"/>
        <w:ind w:left="851"/>
        <w:jc w:val="both"/>
        <w:rPr>
          <w:rFonts w:ascii="Verdana" w:hAnsi="Verdana" w:cs="Calibri"/>
          <w:i/>
          <w:iCs/>
          <w:sz w:val="20"/>
          <w:szCs w:val="20"/>
        </w:rPr>
      </w:pPr>
    </w:p>
    <w:p w14:paraId="3D1CDFDD" w14:textId="77777777" w:rsidR="00400B18" w:rsidRPr="00000971" w:rsidRDefault="00400B18" w:rsidP="00400B18">
      <w:pPr>
        <w:spacing w:line="300" w:lineRule="exact"/>
        <w:ind w:left="851"/>
        <w:jc w:val="both"/>
        <w:rPr>
          <w:rFonts w:ascii="Verdana" w:hAnsi="Verdana" w:cs="Calibri"/>
          <w:i/>
          <w:iCs/>
          <w:sz w:val="20"/>
          <w:szCs w:val="20"/>
        </w:rPr>
      </w:pPr>
      <w:r w:rsidRPr="00000971">
        <w:rPr>
          <w:rFonts w:ascii="Verdana" w:hAnsi="Verdana" w:cs="Calibri"/>
          <w:i/>
          <w:iCs/>
          <w:sz w:val="20"/>
          <w:szCs w:val="20"/>
        </w:rPr>
        <w:t>J = valor unitário dos Juros Remuneratórios, calculado com 8 (oito) casas decimais, sem arredondamento;</w:t>
      </w:r>
    </w:p>
    <w:p w14:paraId="17C50458" w14:textId="77777777" w:rsidR="00400B18" w:rsidRPr="00000971" w:rsidRDefault="00400B18" w:rsidP="00400B18">
      <w:pPr>
        <w:spacing w:line="300" w:lineRule="exact"/>
        <w:ind w:left="851"/>
        <w:jc w:val="both"/>
        <w:rPr>
          <w:rFonts w:ascii="Verdana" w:hAnsi="Verdana" w:cs="Calibri"/>
          <w:i/>
          <w:iCs/>
          <w:sz w:val="20"/>
          <w:szCs w:val="20"/>
        </w:rPr>
      </w:pPr>
    </w:p>
    <w:p w14:paraId="7C445C63" w14:textId="77777777" w:rsidR="00400B18" w:rsidRPr="00C75CFD" w:rsidRDefault="00400B18" w:rsidP="00400B18">
      <w:pPr>
        <w:spacing w:line="300" w:lineRule="exact"/>
        <w:ind w:left="851"/>
        <w:jc w:val="both"/>
        <w:rPr>
          <w:rFonts w:ascii="Verdana" w:hAnsi="Verdana" w:cs="Calibri"/>
          <w:i/>
          <w:iCs/>
          <w:sz w:val="20"/>
          <w:szCs w:val="20"/>
        </w:rPr>
      </w:pPr>
      <w:proofErr w:type="spellStart"/>
      <w:r w:rsidRPr="00000971">
        <w:rPr>
          <w:rFonts w:ascii="Verdana" w:hAnsi="Verdana" w:cs="Calibri"/>
          <w:i/>
          <w:iCs/>
          <w:sz w:val="20"/>
          <w:szCs w:val="20"/>
        </w:rPr>
        <w:t>VNa</w:t>
      </w:r>
      <w:proofErr w:type="spellEnd"/>
      <w:r w:rsidRPr="00000971">
        <w:rPr>
          <w:rFonts w:ascii="Verdana" w:hAnsi="Verdana" w:cs="Calibri"/>
          <w:i/>
          <w:iCs/>
          <w:sz w:val="20"/>
          <w:szCs w:val="20"/>
        </w:rPr>
        <w:t xml:space="preserve"> = Valor Nominal Unitário Atualizado, calculado com 8 (oito) casas decimais, sem </w:t>
      </w:r>
      <w:r w:rsidRPr="00C75CFD">
        <w:rPr>
          <w:rFonts w:ascii="Verdana" w:hAnsi="Verdana" w:cs="Calibri"/>
          <w:i/>
          <w:iCs/>
          <w:sz w:val="20"/>
          <w:szCs w:val="20"/>
        </w:rPr>
        <w:t>arredondamento;</w:t>
      </w:r>
    </w:p>
    <w:p w14:paraId="6599398C" w14:textId="77777777" w:rsidR="00400B18" w:rsidRPr="00C75CFD" w:rsidRDefault="00400B18" w:rsidP="00400B18">
      <w:pPr>
        <w:spacing w:line="300" w:lineRule="exact"/>
        <w:ind w:left="851"/>
        <w:jc w:val="both"/>
        <w:rPr>
          <w:rFonts w:ascii="Verdana" w:hAnsi="Verdana" w:cs="Calibri"/>
          <w:i/>
          <w:iCs/>
          <w:sz w:val="20"/>
          <w:szCs w:val="20"/>
        </w:rPr>
      </w:pPr>
    </w:p>
    <w:p w14:paraId="4241AC2A" w14:textId="7B838A09" w:rsidR="00400B18" w:rsidRPr="00C75CFD" w:rsidRDefault="00400B18" w:rsidP="00400B18">
      <w:pPr>
        <w:spacing w:line="300" w:lineRule="exact"/>
        <w:ind w:left="851"/>
        <w:jc w:val="both"/>
        <w:rPr>
          <w:rFonts w:ascii="Verdana" w:hAnsi="Verdana" w:cs="Calibri"/>
          <w:i/>
          <w:iCs/>
          <w:sz w:val="20"/>
          <w:szCs w:val="20"/>
        </w:rPr>
      </w:pPr>
      <w:r w:rsidRPr="00C75CFD">
        <w:rPr>
          <w:rFonts w:ascii="Verdana" w:hAnsi="Verdana" w:cs="Calibri"/>
          <w:i/>
          <w:iCs/>
          <w:sz w:val="20"/>
          <w:szCs w:val="20"/>
        </w:rPr>
        <w:t>Fator</w:t>
      </w:r>
      <w:r w:rsidR="00C75CFD" w:rsidRPr="00C75CFD">
        <w:rPr>
          <w:rFonts w:ascii="Verdana" w:hAnsi="Verdana" w:cs="Calibri"/>
          <w:i/>
          <w:iCs/>
          <w:sz w:val="20"/>
          <w:szCs w:val="20"/>
        </w:rPr>
        <w:t xml:space="preserve"> Spread</w:t>
      </w:r>
      <w:r w:rsidRPr="00C75CFD">
        <w:rPr>
          <w:rFonts w:ascii="Verdana" w:hAnsi="Verdana" w:cs="Calibri"/>
          <w:i/>
          <w:iCs/>
          <w:sz w:val="20"/>
          <w:szCs w:val="20"/>
        </w:rPr>
        <w:t xml:space="preserve"> = fator de </w:t>
      </w:r>
      <w:r w:rsidR="00C75CFD" w:rsidRPr="00C75CFD">
        <w:rPr>
          <w:rFonts w:ascii="Verdana" w:hAnsi="Verdana" w:cs="Calibri"/>
          <w:i/>
          <w:iCs/>
          <w:sz w:val="20"/>
          <w:szCs w:val="20"/>
        </w:rPr>
        <w:t>spread fixo</w:t>
      </w:r>
      <w:r w:rsidRPr="00C75CFD">
        <w:rPr>
          <w:rFonts w:ascii="Verdana" w:hAnsi="Verdana" w:cs="Calibri"/>
          <w:i/>
          <w:iCs/>
          <w:sz w:val="20"/>
          <w:szCs w:val="20"/>
        </w:rPr>
        <w:t xml:space="preserve"> calculado com 9 (nove) casas decimais, com arredondamento, apurado da seguinte forma:</w:t>
      </w:r>
    </w:p>
    <w:p w14:paraId="6C76AE35" w14:textId="616A98A7" w:rsidR="00400B18" w:rsidRPr="00C75CFD" w:rsidRDefault="00C75CFD" w:rsidP="00400B18">
      <w:pPr>
        <w:spacing w:line="300" w:lineRule="exact"/>
        <w:ind w:left="851"/>
        <w:jc w:val="both"/>
        <w:rPr>
          <w:rFonts w:ascii="Verdana" w:hAnsi="Verdana"/>
          <w:i/>
          <w:iCs/>
          <w:noProof/>
          <w:sz w:val="20"/>
          <w:szCs w:val="20"/>
        </w:rPr>
      </w:pPr>
      <w:r w:rsidRPr="00C75CFD">
        <w:rPr>
          <w:noProof/>
        </w:rPr>
        <w:drawing>
          <wp:anchor distT="0" distB="0" distL="114300" distR="114300" simplePos="0" relativeHeight="251658240" behindDoc="0" locked="0" layoutInCell="1" allowOverlap="1" wp14:anchorId="5B6D3E29" wp14:editId="627A4E30">
            <wp:simplePos x="0" y="0"/>
            <wp:positionH relativeFrom="column">
              <wp:posOffset>2225076</wp:posOffset>
            </wp:positionH>
            <wp:positionV relativeFrom="paragraph">
              <wp:posOffset>53340</wp:posOffset>
            </wp:positionV>
            <wp:extent cx="20764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76450" cy="666750"/>
                    </a:xfrm>
                    <a:prstGeom prst="rect">
                      <a:avLst/>
                    </a:prstGeom>
                  </pic:spPr>
                </pic:pic>
              </a:graphicData>
            </a:graphic>
          </wp:anchor>
        </w:drawing>
      </w:r>
    </w:p>
    <w:p w14:paraId="4FD2BA03" w14:textId="77777777" w:rsidR="00C75CFD" w:rsidRPr="00C75CFD" w:rsidRDefault="00C75CFD" w:rsidP="00400B18">
      <w:pPr>
        <w:spacing w:line="300" w:lineRule="exact"/>
        <w:ind w:left="851"/>
        <w:jc w:val="both"/>
        <w:rPr>
          <w:rFonts w:ascii="Verdana" w:hAnsi="Verdana"/>
          <w:i/>
          <w:iCs/>
          <w:noProof/>
          <w:sz w:val="20"/>
          <w:szCs w:val="20"/>
        </w:rPr>
      </w:pPr>
    </w:p>
    <w:p w14:paraId="6EF917C9" w14:textId="77777777" w:rsidR="00C75CFD" w:rsidRPr="00C75CFD" w:rsidRDefault="00C75CFD" w:rsidP="00400B18">
      <w:pPr>
        <w:spacing w:line="300" w:lineRule="exact"/>
        <w:ind w:left="851"/>
        <w:jc w:val="both"/>
        <w:rPr>
          <w:rFonts w:ascii="Verdana" w:hAnsi="Verdana"/>
          <w:i/>
          <w:iCs/>
          <w:noProof/>
          <w:sz w:val="20"/>
          <w:szCs w:val="20"/>
        </w:rPr>
      </w:pPr>
    </w:p>
    <w:p w14:paraId="4072C322" w14:textId="4C6BDF84" w:rsidR="00C75CFD" w:rsidRPr="00C75CFD" w:rsidRDefault="00C75CFD" w:rsidP="00C75CFD">
      <w:pPr>
        <w:spacing w:line="300" w:lineRule="exact"/>
        <w:ind w:left="851"/>
        <w:jc w:val="both"/>
        <w:rPr>
          <w:rFonts w:ascii="Verdana" w:hAnsi="Verdana"/>
          <w:i/>
          <w:iCs/>
          <w:noProof/>
          <w:sz w:val="20"/>
          <w:szCs w:val="20"/>
        </w:rPr>
      </w:pPr>
    </w:p>
    <w:p w14:paraId="20061720" w14:textId="5377770C" w:rsidR="00400B18" w:rsidRPr="00C75CFD" w:rsidRDefault="00C75CFD" w:rsidP="00C75CFD">
      <w:pPr>
        <w:spacing w:line="300" w:lineRule="exact"/>
        <w:ind w:left="851"/>
        <w:jc w:val="both"/>
        <w:rPr>
          <w:rFonts w:ascii="Verdana" w:hAnsi="Verdana" w:cs="Calibri"/>
          <w:i/>
          <w:iCs/>
          <w:sz w:val="20"/>
          <w:szCs w:val="20"/>
        </w:rPr>
      </w:pPr>
      <w:r w:rsidRPr="00C75CFD">
        <w:rPr>
          <w:rFonts w:ascii="Verdana" w:hAnsi="Verdana" w:cs="Calibri"/>
          <w:i/>
          <w:iCs/>
          <w:sz w:val="20"/>
          <w:szCs w:val="20"/>
        </w:rPr>
        <w:t>Onde:</w:t>
      </w:r>
    </w:p>
    <w:p w14:paraId="24B1E172" w14:textId="77777777" w:rsidR="00400B18" w:rsidRPr="00C75CFD" w:rsidRDefault="00400B18" w:rsidP="00400B18">
      <w:pPr>
        <w:spacing w:line="300" w:lineRule="exact"/>
        <w:ind w:left="851"/>
        <w:jc w:val="both"/>
        <w:rPr>
          <w:rFonts w:ascii="Verdana" w:hAnsi="Verdana"/>
          <w:i/>
          <w:iCs/>
          <w:sz w:val="20"/>
          <w:szCs w:val="20"/>
        </w:rPr>
      </w:pPr>
    </w:p>
    <w:p w14:paraId="57229C71" w14:textId="277639D2" w:rsidR="00400B18" w:rsidRPr="00C75CFD" w:rsidRDefault="00C75CFD" w:rsidP="00400B18">
      <w:pPr>
        <w:spacing w:line="300" w:lineRule="exact"/>
        <w:ind w:left="851"/>
        <w:jc w:val="both"/>
        <w:rPr>
          <w:rFonts w:ascii="Verdana" w:hAnsi="Verdana" w:cs="Calibri"/>
          <w:i/>
          <w:iCs/>
          <w:sz w:val="20"/>
          <w:szCs w:val="20"/>
        </w:rPr>
      </w:pPr>
      <w:r w:rsidRPr="00C75CFD">
        <w:rPr>
          <w:rFonts w:ascii="Verdana" w:hAnsi="Verdana" w:cs="Calibri"/>
          <w:i/>
          <w:iCs/>
          <w:sz w:val="20"/>
          <w:szCs w:val="20"/>
        </w:rPr>
        <w:t>spread</w:t>
      </w:r>
      <w:r w:rsidR="00400B18" w:rsidRPr="00C75CFD">
        <w:rPr>
          <w:rFonts w:ascii="Verdana" w:hAnsi="Verdana" w:cs="Calibri"/>
          <w:i/>
          <w:iCs/>
          <w:sz w:val="20"/>
          <w:szCs w:val="20"/>
        </w:rPr>
        <w:t xml:space="preserve"> = </w:t>
      </w:r>
      <w:r w:rsidRPr="00C75CFD">
        <w:rPr>
          <w:rFonts w:ascii="Verdana" w:hAnsi="Verdana" w:cs="Calibri"/>
          <w:i/>
          <w:iCs/>
          <w:kern w:val="20"/>
          <w:sz w:val="20"/>
          <w:szCs w:val="20"/>
          <w:lang w:eastAsia="x-none"/>
        </w:rPr>
        <w:t>6,2878</w:t>
      </w:r>
      <w:r w:rsidR="00400B18" w:rsidRPr="00C75CFD">
        <w:rPr>
          <w:rFonts w:ascii="Verdana" w:hAnsi="Verdana" w:cs="Calibri"/>
          <w:i/>
          <w:iCs/>
          <w:sz w:val="20"/>
          <w:szCs w:val="20"/>
        </w:rPr>
        <w:t>; e</w:t>
      </w:r>
    </w:p>
    <w:p w14:paraId="65D88692" w14:textId="77777777" w:rsidR="00400B18" w:rsidRPr="00C75CFD" w:rsidRDefault="00400B18" w:rsidP="00400B18">
      <w:pPr>
        <w:spacing w:line="300" w:lineRule="exact"/>
        <w:ind w:left="851"/>
        <w:jc w:val="both"/>
        <w:rPr>
          <w:rFonts w:ascii="Verdana" w:hAnsi="Verdana" w:cs="Calibri"/>
          <w:i/>
          <w:iCs/>
          <w:sz w:val="20"/>
          <w:szCs w:val="20"/>
        </w:rPr>
      </w:pPr>
    </w:p>
    <w:p w14:paraId="02C91115" w14:textId="77777777" w:rsidR="00C75CFD" w:rsidRPr="00C75CFD" w:rsidRDefault="00C75CFD" w:rsidP="00400B18">
      <w:pPr>
        <w:spacing w:line="300" w:lineRule="exact"/>
        <w:ind w:left="851"/>
        <w:jc w:val="both"/>
        <w:rPr>
          <w:rFonts w:ascii="Verdana" w:hAnsi="Verdana" w:cs="Calibri"/>
          <w:i/>
          <w:iCs/>
          <w:sz w:val="20"/>
          <w:szCs w:val="20"/>
        </w:rPr>
      </w:pPr>
      <w:r w:rsidRPr="00C75CFD">
        <w:rPr>
          <w:rFonts w:ascii="Verdana" w:hAnsi="Verdana" w:cs="Calibri"/>
          <w:i/>
          <w:iCs/>
          <w:sz w:val="20"/>
          <w:szCs w:val="20"/>
        </w:rPr>
        <w:t xml:space="preserve">n = número de Dias Úteis entre a data do próximo Período de Capitalização das Debêntures e a data do evento anterior, sendo “n” um número inteiro. </w:t>
      </w:r>
    </w:p>
    <w:p w14:paraId="1B9C1E2A" w14:textId="77777777" w:rsidR="00C75CFD" w:rsidRPr="00C75CFD" w:rsidRDefault="00C75CFD" w:rsidP="00400B18">
      <w:pPr>
        <w:spacing w:line="300" w:lineRule="exact"/>
        <w:ind w:left="851"/>
        <w:jc w:val="both"/>
        <w:rPr>
          <w:rFonts w:ascii="Verdana" w:hAnsi="Verdana" w:cs="Calibri"/>
          <w:i/>
          <w:iCs/>
          <w:sz w:val="20"/>
          <w:szCs w:val="20"/>
        </w:rPr>
      </w:pPr>
    </w:p>
    <w:p w14:paraId="177F2F50" w14:textId="77777777" w:rsidR="00C75CFD" w:rsidRDefault="00C75CFD" w:rsidP="00400B18">
      <w:pPr>
        <w:spacing w:line="300" w:lineRule="exact"/>
        <w:ind w:left="851"/>
        <w:jc w:val="both"/>
        <w:rPr>
          <w:rFonts w:ascii="Verdana" w:hAnsi="Verdana" w:cs="Calibri"/>
          <w:i/>
          <w:iCs/>
          <w:sz w:val="20"/>
          <w:szCs w:val="20"/>
        </w:rPr>
      </w:pPr>
      <w:r w:rsidRPr="00C75CFD">
        <w:rPr>
          <w:rFonts w:ascii="Verdana" w:hAnsi="Verdana" w:cs="Calibri"/>
          <w:i/>
          <w:iCs/>
          <w:sz w:val="20"/>
          <w:szCs w:val="20"/>
        </w:rPr>
        <w:t xml:space="preserve">DT = número de Dias Úteis entre o último e o próximo Período de Capitalização das Debêntures, sendo “DT” um número inteiro. </w:t>
      </w:r>
    </w:p>
    <w:p w14:paraId="07ED899E" w14:textId="77777777" w:rsidR="00C75CFD" w:rsidRDefault="00C75CFD" w:rsidP="00400B18">
      <w:pPr>
        <w:spacing w:line="300" w:lineRule="exact"/>
        <w:ind w:left="851"/>
        <w:jc w:val="both"/>
        <w:rPr>
          <w:rFonts w:ascii="Verdana" w:hAnsi="Verdana" w:cs="Calibri"/>
          <w:i/>
          <w:iCs/>
          <w:sz w:val="20"/>
          <w:szCs w:val="20"/>
        </w:rPr>
      </w:pPr>
    </w:p>
    <w:p w14:paraId="3EAF81FB" w14:textId="6654B3E2" w:rsidR="00400B18" w:rsidRPr="00000971" w:rsidRDefault="00C75CFD" w:rsidP="00400B18">
      <w:pPr>
        <w:spacing w:line="300" w:lineRule="exact"/>
        <w:ind w:left="851"/>
        <w:jc w:val="both"/>
        <w:rPr>
          <w:rFonts w:ascii="Verdana" w:hAnsi="Verdana" w:cs="Calibri"/>
          <w:i/>
          <w:iCs/>
          <w:sz w:val="20"/>
          <w:szCs w:val="20"/>
        </w:rPr>
      </w:pPr>
      <w:r w:rsidRPr="00C75CFD">
        <w:rPr>
          <w:rFonts w:ascii="Verdana" w:hAnsi="Verdana" w:cs="Calibri"/>
          <w:i/>
          <w:iCs/>
          <w:sz w:val="20"/>
          <w:szCs w:val="20"/>
        </w:rPr>
        <w:t>DP = número de Dias Úteis entre o último Período de Capitalização das Debêntures e a data atual, sendo “DP” um número inteiro</w:t>
      </w:r>
      <w:r w:rsidR="00400B18" w:rsidRPr="00000971">
        <w:rPr>
          <w:rFonts w:ascii="Verdana" w:hAnsi="Verdana" w:cs="Calibri"/>
          <w:i/>
          <w:iCs/>
          <w:sz w:val="20"/>
          <w:szCs w:val="20"/>
        </w:rPr>
        <w:t>.”</w:t>
      </w:r>
    </w:p>
    <w:p w14:paraId="00FF93E9" w14:textId="77777777" w:rsidR="00400B18" w:rsidRPr="00000971" w:rsidRDefault="00400B18" w:rsidP="00400B18">
      <w:pPr>
        <w:spacing w:line="320" w:lineRule="exact"/>
        <w:jc w:val="both"/>
        <w:rPr>
          <w:rFonts w:ascii="Verdana" w:eastAsia="Arial Unicode MS" w:hAnsi="Verdana" w:cs="Calibri"/>
          <w:bCs/>
          <w:sz w:val="20"/>
          <w:szCs w:val="20"/>
        </w:rPr>
      </w:pPr>
    </w:p>
    <w:p w14:paraId="65280CB2" w14:textId="77777777" w:rsidR="006579D9" w:rsidRPr="00E80808" w:rsidRDefault="006579D9" w:rsidP="006579D9">
      <w:pPr>
        <w:widowControl w:val="0"/>
        <w:numPr>
          <w:ilvl w:val="0"/>
          <w:numId w:val="1"/>
        </w:numPr>
        <w:spacing w:line="320" w:lineRule="exact"/>
        <w:jc w:val="both"/>
        <w:rPr>
          <w:rFonts w:ascii="Verdana" w:hAnsi="Verdana"/>
          <w:b/>
          <w:bCs/>
          <w:iCs/>
          <w:sz w:val="20"/>
          <w:szCs w:val="20"/>
        </w:rPr>
      </w:pPr>
      <w:r w:rsidRPr="00E80808">
        <w:rPr>
          <w:rFonts w:ascii="Verdana" w:hAnsi="Verdana"/>
          <w:b/>
          <w:bCs/>
          <w:iCs/>
          <w:smallCaps/>
          <w:sz w:val="20"/>
          <w:szCs w:val="20"/>
          <w:u w:val="single"/>
        </w:rPr>
        <w:t>Disposições Gerais</w:t>
      </w:r>
    </w:p>
    <w:p w14:paraId="4C7C01E6" w14:textId="77777777" w:rsidR="006579D9" w:rsidRPr="00E80808" w:rsidRDefault="006579D9" w:rsidP="006579D9">
      <w:pPr>
        <w:widowControl w:val="0"/>
        <w:tabs>
          <w:tab w:val="left" w:pos="1080"/>
        </w:tabs>
        <w:spacing w:line="320" w:lineRule="exact"/>
        <w:jc w:val="both"/>
        <w:rPr>
          <w:rFonts w:ascii="Verdana" w:eastAsia="Arial Unicode MS" w:hAnsi="Verdana"/>
          <w:w w:val="0"/>
          <w:sz w:val="20"/>
          <w:szCs w:val="20"/>
        </w:rPr>
      </w:pPr>
    </w:p>
    <w:p w14:paraId="4C61AA59" w14:textId="77777777" w:rsidR="006579D9" w:rsidRPr="00E80808" w:rsidRDefault="006579D9" w:rsidP="006579D9">
      <w:pPr>
        <w:widowControl w:val="0"/>
        <w:numPr>
          <w:ilvl w:val="1"/>
          <w:numId w:val="1"/>
        </w:numPr>
        <w:spacing w:line="320" w:lineRule="exact"/>
        <w:jc w:val="both"/>
        <w:rPr>
          <w:rFonts w:ascii="Verdana" w:eastAsia="Arial Unicode MS" w:hAnsi="Verdana"/>
          <w:w w:val="0"/>
          <w:sz w:val="20"/>
          <w:szCs w:val="20"/>
        </w:rPr>
      </w:pPr>
      <w:r w:rsidRPr="00E80808">
        <w:rPr>
          <w:rFonts w:ascii="Verdana" w:hAnsi="Verdana"/>
          <w:sz w:val="20"/>
          <w:szCs w:val="20"/>
        </w:rPr>
        <w:t>As obrigações assumidas neste Aditamento têm caráter irrevogável e irretratável, obrigando as partes e seus sucessores, a qualquer título, ao seu integral cumprimento.</w:t>
      </w:r>
    </w:p>
    <w:p w14:paraId="59D0F158"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3FC7B514" w14:textId="16366D43" w:rsidR="006579D9" w:rsidRPr="00E80808" w:rsidRDefault="00400B18" w:rsidP="006579D9">
      <w:pPr>
        <w:widowControl w:val="0"/>
        <w:numPr>
          <w:ilvl w:val="1"/>
          <w:numId w:val="1"/>
        </w:numPr>
        <w:spacing w:line="320" w:lineRule="exact"/>
        <w:jc w:val="both"/>
        <w:rPr>
          <w:rFonts w:ascii="Verdana" w:eastAsia="Arial Unicode MS" w:hAnsi="Verdana"/>
          <w:w w:val="0"/>
          <w:sz w:val="20"/>
          <w:szCs w:val="20"/>
        </w:rPr>
      </w:pPr>
      <w:r w:rsidRPr="00000971">
        <w:rPr>
          <w:rFonts w:ascii="Verdana" w:hAnsi="Verdana" w:cs="Tahoma"/>
          <w:sz w:val="20"/>
          <w:szCs w:val="20"/>
        </w:rPr>
        <w:t>As alterações à Escritura de Emissão pactuadas no presente Aditamento não implicam novação tampouco renúncia pelas Partes de qualquer de seus direitos e obrigações previstos na Escritura de Emissão, que ficam expressamente ratificados e confirmados, permanecendo em vigor e plenamente aplicáveis todas os demais termos e condições não expressamente alteradas pelo presente Aditamento</w:t>
      </w:r>
      <w:r w:rsidR="006579D9" w:rsidRPr="00E80808">
        <w:rPr>
          <w:rFonts w:ascii="Verdana" w:eastAsia="Arial Unicode MS" w:hAnsi="Verdana"/>
          <w:w w:val="0"/>
          <w:sz w:val="20"/>
          <w:szCs w:val="20"/>
        </w:rPr>
        <w:t>.</w:t>
      </w:r>
    </w:p>
    <w:p w14:paraId="6B7AA09F"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5A70E43A" w14:textId="77777777" w:rsidR="006579D9" w:rsidRPr="00E80808" w:rsidRDefault="006579D9" w:rsidP="006579D9">
      <w:pPr>
        <w:widowControl w:val="0"/>
        <w:numPr>
          <w:ilvl w:val="1"/>
          <w:numId w:val="1"/>
        </w:numPr>
        <w:spacing w:line="320" w:lineRule="exact"/>
        <w:jc w:val="both"/>
        <w:rPr>
          <w:rFonts w:ascii="Verdana" w:hAnsi="Verdana"/>
          <w:sz w:val="20"/>
          <w:szCs w:val="20"/>
        </w:rPr>
      </w:pPr>
      <w:r w:rsidRPr="00E80808">
        <w:rPr>
          <w:rFonts w:ascii="Verdana" w:hAnsi="Verdana"/>
          <w:sz w:val="20"/>
          <w:szCs w:val="20"/>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w:t>
      </w:r>
      <w:r w:rsidRPr="00E80808">
        <w:rPr>
          <w:rFonts w:ascii="Verdana" w:hAnsi="Verdana"/>
          <w:sz w:val="20"/>
          <w:szCs w:val="20"/>
        </w:rPr>
        <w:lastRenderedPageBreak/>
        <w:t>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37F077A3"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1F2A77A4" w14:textId="77777777" w:rsidR="006579D9" w:rsidRPr="00E80808" w:rsidRDefault="006579D9" w:rsidP="006579D9">
      <w:pPr>
        <w:widowControl w:val="0"/>
        <w:numPr>
          <w:ilvl w:val="1"/>
          <w:numId w:val="1"/>
        </w:numPr>
        <w:spacing w:line="320" w:lineRule="exact"/>
        <w:jc w:val="both"/>
        <w:rPr>
          <w:rFonts w:ascii="Verdana" w:hAnsi="Verdana"/>
          <w:sz w:val="20"/>
          <w:szCs w:val="20"/>
        </w:rPr>
      </w:pPr>
      <w:r w:rsidRPr="00E80808">
        <w:rPr>
          <w:rFonts w:ascii="Verdana" w:hAnsi="Verdana"/>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B3C96BC"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1E6F8111" w14:textId="77777777" w:rsidR="006579D9" w:rsidRPr="00E80808" w:rsidRDefault="006579D9" w:rsidP="006579D9">
      <w:pPr>
        <w:widowControl w:val="0"/>
        <w:numPr>
          <w:ilvl w:val="1"/>
          <w:numId w:val="1"/>
        </w:numPr>
        <w:spacing w:line="320" w:lineRule="exact"/>
        <w:jc w:val="both"/>
        <w:rPr>
          <w:rFonts w:ascii="Verdana" w:hAnsi="Verdana"/>
          <w:sz w:val="20"/>
          <w:szCs w:val="20"/>
        </w:rPr>
      </w:pPr>
      <w:r w:rsidRPr="00E80808">
        <w:rPr>
          <w:rFonts w:ascii="Verdana" w:hAnsi="Verdana"/>
          <w:sz w:val="20"/>
          <w:szCs w:val="20"/>
        </w:rPr>
        <w:t>As partes reconhecem este Aditamento e as Debêntures como títulos executivos extrajudiciais nos termos do artigo 784, incisos I e III do Código de Processo Civil.</w:t>
      </w:r>
    </w:p>
    <w:p w14:paraId="36B729B1"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hAnsi="Verdana"/>
          <w:sz w:val="20"/>
          <w:szCs w:val="20"/>
        </w:rPr>
      </w:pPr>
    </w:p>
    <w:p w14:paraId="2BC72DD7" w14:textId="77777777" w:rsidR="006579D9" w:rsidRPr="00E80808" w:rsidRDefault="006579D9" w:rsidP="006579D9">
      <w:pPr>
        <w:widowControl w:val="0"/>
        <w:numPr>
          <w:ilvl w:val="1"/>
          <w:numId w:val="1"/>
        </w:numPr>
        <w:spacing w:line="320" w:lineRule="exact"/>
        <w:jc w:val="both"/>
        <w:rPr>
          <w:rFonts w:ascii="Verdana" w:eastAsia="Arial Unicode MS" w:hAnsi="Verdana"/>
          <w:w w:val="0"/>
          <w:sz w:val="20"/>
          <w:szCs w:val="20"/>
        </w:rPr>
      </w:pPr>
      <w:r w:rsidRPr="00E80808">
        <w:rPr>
          <w:rFonts w:ascii="Verdana" w:hAnsi="Verdana"/>
          <w:sz w:val="20"/>
          <w:szCs w:val="20"/>
        </w:rPr>
        <w:t xml:space="preserve">Para os fins deste Aditamento, as Partes poderão, a seu critério exclusivo, requerer a execução específica das obrigações aqui assumidas, nos termos dos </w:t>
      </w:r>
      <w:r w:rsidRPr="00E80808">
        <w:rPr>
          <w:rFonts w:ascii="Verdana" w:hAnsi="Verdana"/>
          <w:spacing w:val="-3"/>
          <w:sz w:val="20"/>
          <w:szCs w:val="20"/>
        </w:rPr>
        <w:t>artigos 815 e seguintes do Código de Processo Civil</w:t>
      </w:r>
      <w:r w:rsidRPr="00E80808">
        <w:rPr>
          <w:rFonts w:ascii="Verdana" w:hAnsi="Verdana"/>
          <w:sz w:val="20"/>
          <w:szCs w:val="20"/>
        </w:rPr>
        <w:t>, sem prejuízo do direito de declarar o vencimento antecipado das Debêntures nos termos da Escritura de Emissão.</w:t>
      </w:r>
    </w:p>
    <w:p w14:paraId="13364FF9" w14:textId="77777777" w:rsidR="006579D9" w:rsidRPr="00E80808" w:rsidRDefault="006579D9" w:rsidP="006579D9">
      <w:pPr>
        <w:widowControl w:val="0"/>
        <w:shd w:val="clear" w:color="auto" w:fill="FFFFFF"/>
        <w:tabs>
          <w:tab w:val="left" w:pos="708"/>
          <w:tab w:val="left" w:pos="1080"/>
          <w:tab w:val="left" w:pos="1440"/>
          <w:tab w:val="left" w:pos="2880"/>
          <w:tab w:val="left" w:pos="4320"/>
        </w:tabs>
        <w:spacing w:line="320" w:lineRule="exact"/>
        <w:jc w:val="both"/>
        <w:rPr>
          <w:rFonts w:ascii="Verdana" w:eastAsia="Arial Unicode MS" w:hAnsi="Verdana"/>
          <w:w w:val="0"/>
          <w:sz w:val="20"/>
          <w:szCs w:val="20"/>
        </w:rPr>
      </w:pPr>
    </w:p>
    <w:p w14:paraId="25A6C625" w14:textId="77777777" w:rsidR="006579D9" w:rsidRPr="00E80808" w:rsidRDefault="006579D9" w:rsidP="006579D9">
      <w:pPr>
        <w:widowControl w:val="0"/>
        <w:numPr>
          <w:ilvl w:val="1"/>
          <w:numId w:val="1"/>
        </w:numPr>
        <w:spacing w:line="320" w:lineRule="exact"/>
        <w:jc w:val="both"/>
        <w:rPr>
          <w:rFonts w:ascii="Verdana" w:eastAsia="Arial Unicode MS" w:hAnsi="Verdana"/>
          <w:w w:val="0"/>
          <w:sz w:val="20"/>
          <w:szCs w:val="20"/>
        </w:rPr>
      </w:pPr>
      <w:r w:rsidRPr="00E80808">
        <w:rPr>
          <w:rFonts w:ascii="Verdana" w:hAnsi="Verdana"/>
          <w:sz w:val="20"/>
          <w:szCs w:val="20"/>
        </w:rPr>
        <w:t>Fica eleito o foro da Cidade de São Paulo, Estado de São Paulo, para dirimir quaisquer dúvidas ou controvérsias oriundas deste Aditamento, com renúncia a qualquer outro, por mais privilegiado que seja</w:t>
      </w:r>
      <w:r w:rsidRPr="00E80808">
        <w:rPr>
          <w:rFonts w:ascii="Verdana" w:eastAsia="Arial Unicode MS" w:hAnsi="Verdana"/>
          <w:w w:val="0"/>
          <w:sz w:val="20"/>
          <w:szCs w:val="20"/>
        </w:rPr>
        <w:t>.</w:t>
      </w:r>
    </w:p>
    <w:p w14:paraId="0A0C463F" w14:textId="77777777" w:rsidR="006579D9" w:rsidRPr="00E80808" w:rsidRDefault="006579D9" w:rsidP="006579D9">
      <w:pPr>
        <w:widowControl w:val="0"/>
        <w:spacing w:line="320" w:lineRule="exact"/>
        <w:jc w:val="both"/>
        <w:rPr>
          <w:rFonts w:ascii="Verdana" w:eastAsia="Arial Unicode MS" w:hAnsi="Verdana"/>
          <w:w w:val="0"/>
          <w:sz w:val="20"/>
          <w:szCs w:val="20"/>
        </w:rPr>
      </w:pPr>
    </w:p>
    <w:p w14:paraId="13EF9955" w14:textId="77777777" w:rsidR="006579D9" w:rsidRPr="00E80808" w:rsidRDefault="006579D9" w:rsidP="006579D9">
      <w:pPr>
        <w:widowControl w:val="0"/>
        <w:numPr>
          <w:ilvl w:val="1"/>
          <w:numId w:val="1"/>
        </w:numPr>
        <w:spacing w:line="320" w:lineRule="exact"/>
        <w:jc w:val="both"/>
        <w:rPr>
          <w:rFonts w:ascii="Verdana" w:eastAsia="Arial Unicode MS" w:hAnsi="Verdana"/>
          <w:w w:val="0"/>
          <w:sz w:val="20"/>
          <w:szCs w:val="20"/>
        </w:rPr>
      </w:pPr>
      <w:r w:rsidRPr="00E80808">
        <w:rPr>
          <w:rFonts w:ascii="Verdana" w:eastAsia="Arial Unicode MS" w:hAnsi="Verdana"/>
          <w:sz w:val="20"/>
          <w:szCs w:val="20"/>
        </w:rPr>
        <w:t xml:space="preserve">As Partes envolvidas no presente Aditamento afirmam e declaram que esse poderá ser </w:t>
      </w:r>
      <w:r w:rsidRPr="00E80808">
        <w:rPr>
          <w:rFonts w:ascii="Verdana" w:eastAsia="Arial Unicode MS" w:hAnsi="Verdana" w:cs="Arial"/>
          <w:sz w:val="20"/>
          <w:szCs w:val="20"/>
        </w:rPr>
        <w:t>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r w:rsidRPr="00E80808">
        <w:rPr>
          <w:rFonts w:ascii="Verdana" w:eastAsia="Arial Unicode MS" w:hAnsi="Verdana"/>
          <w:sz w:val="20"/>
          <w:szCs w:val="20"/>
        </w:rPr>
        <w:t>.</w:t>
      </w:r>
    </w:p>
    <w:p w14:paraId="69DA1F6D" w14:textId="77777777" w:rsidR="006579D9" w:rsidRPr="00E80808" w:rsidRDefault="006579D9" w:rsidP="006579D9">
      <w:pPr>
        <w:widowControl w:val="0"/>
        <w:tabs>
          <w:tab w:val="left" w:pos="720"/>
          <w:tab w:val="left" w:pos="1080"/>
        </w:tabs>
        <w:spacing w:line="320" w:lineRule="exact"/>
        <w:jc w:val="both"/>
        <w:rPr>
          <w:rFonts w:ascii="Verdana" w:eastAsia="Arial Unicode MS" w:hAnsi="Verdana"/>
          <w:snapToGrid w:val="0"/>
          <w:w w:val="0"/>
          <w:sz w:val="20"/>
          <w:szCs w:val="20"/>
        </w:rPr>
      </w:pPr>
    </w:p>
    <w:p w14:paraId="6FF498B9" w14:textId="77777777" w:rsidR="006579D9" w:rsidRPr="00E80808" w:rsidRDefault="006579D9" w:rsidP="006579D9">
      <w:pPr>
        <w:widowControl w:val="0"/>
        <w:tabs>
          <w:tab w:val="left" w:pos="720"/>
          <w:tab w:val="left" w:pos="1080"/>
        </w:tabs>
        <w:spacing w:line="320" w:lineRule="exact"/>
        <w:jc w:val="both"/>
        <w:rPr>
          <w:rFonts w:ascii="Verdana" w:eastAsia="Arial Unicode MS" w:hAnsi="Verdana"/>
          <w:snapToGrid w:val="0"/>
          <w:w w:val="0"/>
          <w:sz w:val="20"/>
          <w:szCs w:val="20"/>
        </w:rPr>
      </w:pPr>
    </w:p>
    <w:p w14:paraId="1593E247" w14:textId="10C2F023" w:rsidR="006579D9" w:rsidRPr="00E80808" w:rsidRDefault="006579D9" w:rsidP="006579D9">
      <w:pPr>
        <w:widowControl w:val="0"/>
        <w:tabs>
          <w:tab w:val="left" w:pos="720"/>
          <w:tab w:val="left" w:pos="1080"/>
        </w:tabs>
        <w:spacing w:line="320" w:lineRule="exact"/>
        <w:jc w:val="center"/>
        <w:rPr>
          <w:rFonts w:ascii="Verdana" w:hAnsi="Verdana"/>
          <w:snapToGrid w:val="0"/>
          <w:w w:val="0"/>
          <w:sz w:val="20"/>
          <w:szCs w:val="20"/>
        </w:rPr>
      </w:pPr>
      <w:r w:rsidRPr="00E80808">
        <w:rPr>
          <w:rFonts w:ascii="Verdana" w:eastAsia="Arial Unicode MS" w:hAnsi="Verdana"/>
          <w:snapToGrid w:val="0"/>
          <w:w w:val="0"/>
          <w:sz w:val="20"/>
          <w:szCs w:val="20"/>
        </w:rPr>
        <w:t xml:space="preserve">São Paulo, </w:t>
      </w:r>
      <w:r w:rsidR="00400B18">
        <w:rPr>
          <w:rFonts w:ascii="Verdana" w:hAnsi="Verdana"/>
          <w:snapToGrid w:val="0"/>
          <w:w w:val="0"/>
          <w:sz w:val="20"/>
          <w:szCs w:val="20"/>
        </w:rPr>
        <w:t>13 de dezembro de 2021.</w:t>
      </w:r>
    </w:p>
    <w:p w14:paraId="655C7503" w14:textId="77777777" w:rsidR="006579D9" w:rsidRPr="00E80808" w:rsidRDefault="006579D9" w:rsidP="006579D9">
      <w:pPr>
        <w:widowControl w:val="0"/>
        <w:tabs>
          <w:tab w:val="left" w:pos="7020"/>
        </w:tabs>
        <w:spacing w:line="320" w:lineRule="exact"/>
        <w:jc w:val="both"/>
        <w:rPr>
          <w:rFonts w:ascii="Verdana" w:eastAsia="Arial Unicode MS" w:hAnsi="Verdana"/>
          <w:i/>
          <w:sz w:val="20"/>
          <w:szCs w:val="20"/>
        </w:rPr>
      </w:pPr>
    </w:p>
    <w:p w14:paraId="2701EF46" w14:textId="77777777" w:rsidR="006579D9" w:rsidRPr="00E80808" w:rsidRDefault="006579D9" w:rsidP="00400B18">
      <w:pPr>
        <w:widowControl w:val="0"/>
        <w:tabs>
          <w:tab w:val="left" w:pos="1080"/>
        </w:tabs>
        <w:spacing w:line="320" w:lineRule="exact"/>
        <w:jc w:val="center"/>
        <w:rPr>
          <w:rFonts w:ascii="Verdana" w:eastAsia="Arial Unicode MS" w:hAnsi="Verdana"/>
          <w:i/>
          <w:sz w:val="20"/>
          <w:szCs w:val="20"/>
        </w:rPr>
      </w:pPr>
      <w:r w:rsidRPr="00E80808">
        <w:rPr>
          <w:rFonts w:ascii="Verdana" w:eastAsia="Arial Unicode MS" w:hAnsi="Verdana"/>
          <w:i/>
          <w:sz w:val="20"/>
          <w:szCs w:val="20"/>
        </w:rPr>
        <w:t>(Restante da página intencionalmente deixado em branco. Seguem as páginas de assinatura.)</w:t>
      </w:r>
    </w:p>
    <w:p w14:paraId="1FA37D98" w14:textId="289D2525" w:rsidR="00C75CFD" w:rsidRDefault="00C75CFD">
      <w:r>
        <w:br w:type="page"/>
      </w:r>
    </w:p>
    <w:p w14:paraId="6463A47E" w14:textId="5E302ACE" w:rsidR="00C75CFD" w:rsidRPr="00EB63D0" w:rsidRDefault="00C75CFD" w:rsidP="00C75CFD">
      <w:pPr>
        <w:spacing w:line="320" w:lineRule="exact"/>
        <w:jc w:val="both"/>
        <w:rPr>
          <w:rFonts w:ascii="Verdana" w:eastAsia="Arial Unicode MS" w:hAnsi="Verdana" w:cs="Arial"/>
          <w:i/>
          <w:sz w:val="20"/>
          <w:szCs w:val="20"/>
        </w:rPr>
      </w:pPr>
      <w:bookmarkStart w:id="0" w:name="_Hlk41234396"/>
      <w:r w:rsidRPr="00EB63D0">
        <w:rPr>
          <w:rFonts w:ascii="Verdana" w:eastAsia="Arial Unicode MS" w:hAnsi="Verdana" w:cs="Arial"/>
          <w:i/>
          <w:sz w:val="20"/>
          <w:szCs w:val="20"/>
        </w:rPr>
        <w:lastRenderedPageBreak/>
        <w:t xml:space="preserve">(Página de Assinaturas 1/2 do </w:t>
      </w:r>
      <w:r w:rsidRPr="00EB63D0">
        <w:rPr>
          <w:rFonts w:ascii="Verdana" w:hAnsi="Verdana" w:cs="Arial"/>
          <w:i/>
          <w:sz w:val="20"/>
          <w:szCs w:val="20"/>
        </w:rPr>
        <w:t>“</w:t>
      </w:r>
      <w:r w:rsidR="00155FE3" w:rsidRPr="00155FE3">
        <w:rPr>
          <w:rFonts w:ascii="Verdana" w:hAnsi="Verdana" w:cs="Arial"/>
          <w:i/>
          <w:sz w:val="20"/>
          <w:szCs w:val="20"/>
        </w:rPr>
        <w:t>1º (Primeiro) Aditamento ao Instrumento Particular de Escritura da 4ª (Quarta) Emissão de Debêntures Simples, Não Conversíveis em Ações, da Espécie Quirografária, a ser Convolada na Espécie com Garantia Real, em Série Única, para Distribuição Pública com Esforços Restritos,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2FE8DB80" w14:textId="77777777" w:rsidR="00C75CFD" w:rsidRDefault="00C75CFD" w:rsidP="00C75CFD">
      <w:pPr>
        <w:spacing w:line="320" w:lineRule="exact"/>
        <w:jc w:val="center"/>
        <w:rPr>
          <w:rFonts w:ascii="Verdana" w:hAnsi="Verdana"/>
          <w:b/>
          <w:bCs/>
          <w:sz w:val="20"/>
          <w:szCs w:val="20"/>
        </w:rPr>
      </w:pPr>
    </w:p>
    <w:p w14:paraId="234D37D5" w14:textId="77777777" w:rsidR="00C75CFD" w:rsidRDefault="00C75CFD" w:rsidP="00C75CFD">
      <w:pPr>
        <w:spacing w:line="320" w:lineRule="exact"/>
        <w:jc w:val="center"/>
        <w:rPr>
          <w:rFonts w:ascii="Verdana" w:hAnsi="Verdana"/>
          <w:b/>
          <w:bCs/>
          <w:sz w:val="20"/>
          <w:szCs w:val="20"/>
        </w:rPr>
      </w:pPr>
    </w:p>
    <w:p w14:paraId="2BEAD730" w14:textId="13399671" w:rsidR="00C75CFD" w:rsidRPr="00EB63D0" w:rsidRDefault="00C75CFD" w:rsidP="00C75CFD">
      <w:pPr>
        <w:spacing w:line="320" w:lineRule="exact"/>
        <w:jc w:val="center"/>
        <w:rPr>
          <w:rFonts w:ascii="Verdana" w:eastAsia="Arial Unicode MS" w:hAnsi="Verdana" w:cs="Arial"/>
          <w:b/>
          <w:sz w:val="20"/>
          <w:szCs w:val="20"/>
        </w:rPr>
      </w:pPr>
      <w:r w:rsidRPr="00EB63D0">
        <w:rPr>
          <w:rFonts w:ascii="Verdana" w:hAnsi="Verdana"/>
          <w:b/>
          <w:bCs/>
          <w:sz w:val="20"/>
          <w:szCs w:val="20"/>
        </w:rPr>
        <w:t>ITAPOÁ TERMINAIS PORTUÁRIOS S.A.</w:t>
      </w:r>
      <w:bookmarkEnd w:id="0"/>
    </w:p>
    <w:p w14:paraId="6B4E0E39" w14:textId="77777777" w:rsidR="00C75CFD" w:rsidRPr="00EB63D0" w:rsidRDefault="00C75CFD" w:rsidP="00C75CFD">
      <w:pPr>
        <w:spacing w:line="320" w:lineRule="exact"/>
        <w:jc w:val="both"/>
        <w:rPr>
          <w:rFonts w:ascii="Verdana" w:eastAsia="Arial Unicode MS" w:hAnsi="Verdana" w:cs="Arial"/>
          <w:sz w:val="20"/>
          <w:szCs w:val="20"/>
        </w:rPr>
      </w:pPr>
    </w:p>
    <w:p w14:paraId="2C848CFB" w14:textId="77777777" w:rsidR="00C75CFD" w:rsidRPr="00EB63D0" w:rsidRDefault="00C75CFD" w:rsidP="00C75CFD">
      <w:pPr>
        <w:spacing w:line="320" w:lineRule="exact"/>
        <w:jc w:val="both"/>
        <w:rPr>
          <w:rFonts w:ascii="Verdana" w:eastAsia="Arial Unicode MS" w:hAnsi="Verdana" w:cs="Arial"/>
          <w:sz w:val="20"/>
          <w:szCs w:val="20"/>
        </w:rPr>
      </w:pPr>
    </w:p>
    <w:p w14:paraId="74213ECA" w14:textId="77777777" w:rsidR="00C75CFD" w:rsidRPr="00EB63D0" w:rsidRDefault="00C75CFD" w:rsidP="00C75CFD">
      <w:pPr>
        <w:spacing w:line="320" w:lineRule="exact"/>
        <w:jc w:val="both"/>
        <w:rPr>
          <w:rFonts w:ascii="Verdana" w:eastAsia="Arial Unicode MS" w:hAnsi="Verdana" w:cs="Arial"/>
          <w:sz w:val="20"/>
          <w:szCs w:val="20"/>
        </w:rPr>
      </w:pPr>
    </w:p>
    <w:tbl>
      <w:tblPr>
        <w:tblW w:w="8931" w:type="dxa"/>
        <w:jc w:val="center"/>
        <w:tblLayout w:type="fixed"/>
        <w:tblCellMar>
          <w:left w:w="70" w:type="dxa"/>
          <w:right w:w="70" w:type="dxa"/>
        </w:tblCellMar>
        <w:tblLook w:val="0000" w:firstRow="0" w:lastRow="0" w:firstColumn="0" w:lastColumn="0" w:noHBand="0" w:noVBand="0"/>
      </w:tblPr>
      <w:tblGrid>
        <w:gridCol w:w="4536"/>
        <w:gridCol w:w="4395"/>
      </w:tblGrid>
      <w:tr w:rsidR="00C75CFD" w:rsidRPr="00E80808" w14:paraId="5F25F3F8" w14:textId="77777777" w:rsidTr="001A3C5F">
        <w:trPr>
          <w:jc w:val="center"/>
        </w:trPr>
        <w:tc>
          <w:tcPr>
            <w:tcW w:w="4536" w:type="dxa"/>
            <w:tcBorders>
              <w:top w:val="nil"/>
              <w:left w:val="nil"/>
              <w:bottom w:val="nil"/>
              <w:right w:val="nil"/>
            </w:tcBorders>
          </w:tcPr>
          <w:p w14:paraId="3A72C1C5" w14:textId="77777777" w:rsidR="00C75CFD" w:rsidRPr="00EB63D0" w:rsidRDefault="00C75CFD" w:rsidP="001A3C5F">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395" w:type="dxa"/>
            <w:tcBorders>
              <w:top w:val="nil"/>
              <w:left w:val="nil"/>
              <w:bottom w:val="nil"/>
              <w:right w:val="nil"/>
            </w:tcBorders>
          </w:tcPr>
          <w:p w14:paraId="5F807C1B" w14:textId="77777777" w:rsidR="00C75CFD" w:rsidRPr="00EB63D0" w:rsidRDefault="00C75CFD" w:rsidP="001A3C5F">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C75CFD" w:rsidRPr="00E80808" w14:paraId="30C45A21" w14:textId="77777777" w:rsidTr="001A3C5F">
        <w:trPr>
          <w:jc w:val="center"/>
        </w:trPr>
        <w:tc>
          <w:tcPr>
            <w:tcW w:w="4536" w:type="dxa"/>
            <w:tcBorders>
              <w:top w:val="nil"/>
              <w:left w:val="nil"/>
              <w:bottom w:val="nil"/>
              <w:right w:val="nil"/>
            </w:tcBorders>
          </w:tcPr>
          <w:p w14:paraId="4E0D5AF8" w14:textId="77777777" w:rsidR="00C75CFD" w:rsidRPr="006B1E27" w:rsidRDefault="00C75CFD" w:rsidP="001A3C5F">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r w:rsidRPr="006B1E27">
              <w:rPr>
                <w:rFonts w:ascii="Verdana" w:hAnsi="Verdana"/>
                <w:sz w:val="20"/>
                <w:szCs w:val="20"/>
              </w:rPr>
              <w:t xml:space="preserve">Cássio José </w:t>
            </w:r>
            <w:proofErr w:type="spellStart"/>
            <w:r w:rsidRPr="006B1E27">
              <w:rPr>
                <w:rFonts w:ascii="Verdana" w:hAnsi="Verdana"/>
                <w:sz w:val="20"/>
                <w:szCs w:val="20"/>
              </w:rPr>
              <w:t>Schreiner</w:t>
            </w:r>
            <w:proofErr w:type="spellEnd"/>
          </w:p>
        </w:tc>
        <w:tc>
          <w:tcPr>
            <w:tcW w:w="4395" w:type="dxa"/>
            <w:tcBorders>
              <w:top w:val="nil"/>
              <w:left w:val="nil"/>
              <w:bottom w:val="nil"/>
              <w:right w:val="nil"/>
            </w:tcBorders>
          </w:tcPr>
          <w:p w14:paraId="7167A8D1" w14:textId="77777777" w:rsidR="00C75CFD" w:rsidRPr="006B1E27" w:rsidRDefault="00C75CFD" w:rsidP="001A3C5F">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proofErr w:type="spellStart"/>
            <w:r w:rsidRPr="006B1E27">
              <w:rPr>
                <w:rFonts w:ascii="Verdana" w:hAnsi="Verdana"/>
                <w:sz w:val="20"/>
                <w:szCs w:val="20"/>
              </w:rPr>
              <w:t>Sergni</w:t>
            </w:r>
            <w:proofErr w:type="spellEnd"/>
            <w:r w:rsidRPr="006B1E27">
              <w:rPr>
                <w:rFonts w:ascii="Verdana" w:hAnsi="Verdana"/>
                <w:sz w:val="20"/>
                <w:szCs w:val="20"/>
              </w:rPr>
              <w:t xml:space="preserve"> Pessoa Rosa Júnior</w:t>
            </w:r>
          </w:p>
        </w:tc>
      </w:tr>
      <w:tr w:rsidR="00C75CFD" w:rsidRPr="00E80808" w14:paraId="73E63048" w14:textId="77777777" w:rsidTr="001A3C5F">
        <w:trPr>
          <w:jc w:val="center"/>
        </w:trPr>
        <w:tc>
          <w:tcPr>
            <w:tcW w:w="4536" w:type="dxa"/>
            <w:tcBorders>
              <w:top w:val="nil"/>
              <w:left w:val="nil"/>
              <w:bottom w:val="nil"/>
              <w:right w:val="nil"/>
            </w:tcBorders>
          </w:tcPr>
          <w:p w14:paraId="77C275BB" w14:textId="77777777" w:rsidR="00C75CFD" w:rsidRPr="006B1E27" w:rsidRDefault="00C75CFD" w:rsidP="001A3C5F">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Cargo: </w:t>
            </w:r>
            <w:r w:rsidRPr="006B1E27">
              <w:rPr>
                <w:rFonts w:ascii="Verdana" w:hAnsi="Verdana"/>
                <w:sz w:val="20"/>
                <w:szCs w:val="20"/>
              </w:rPr>
              <w:t>Diretor Presidente</w:t>
            </w:r>
          </w:p>
        </w:tc>
        <w:tc>
          <w:tcPr>
            <w:tcW w:w="4395" w:type="dxa"/>
            <w:tcBorders>
              <w:top w:val="nil"/>
              <w:left w:val="nil"/>
              <w:bottom w:val="nil"/>
              <w:right w:val="nil"/>
            </w:tcBorders>
          </w:tcPr>
          <w:p w14:paraId="7A2B8DA7" w14:textId="77777777" w:rsidR="00C75CFD" w:rsidRPr="006B1E27" w:rsidRDefault="00C75CFD" w:rsidP="001A3C5F">
            <w:pPr>
              <w:tabs>
                <w:tab w:val="left" w:pos="660"/>
              </w:tabs>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Cargo: </w:t>
            </w:r>
            <w:r w:rsidRPr="006B1E27">
              <w:rPr>
                <w:rFonts w:ascii="Verdana" w:hAnsi="Verdana"/>
                <w:sz w:val="20"/>
                <w:szCs w:val="20"/>
              </w:rPr>
              <w:t xml:space="preserve">Diretor </w:t>
            </w:r>
          </w:p>
        </w:tc>
      </w:tr>
      <w:tr w:rsidR="00C75CFD" w:rsidRPr="00E80808" w14:paraId="54A7D28A" w14:textId="77777777" w:rsidTr="001A3C5F">
        <w:trPr>
          <w:jc w:val="center"/>
        </w:trPr>
        <w:tc>
          <w:tcPr>
            <w:tcW w:w="4536" w:type="dxa"/>
            <w:tcBorders>
              <w:top w:val="nil"/>
              <w:left w:val="nil"/>
              <w:bottom w:val="nil"/>
              <w:right w:val="nil"/>
            </w:tcBorders>
          </w:tcPr>
          <w:p w14:paraId="60D73AA8"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699.543.729-20</w:t>
            </w:r>
          </w:p>
        </w:tc>
        <w:tc>
          <w:tcPr>
            <w:tcW w:w="4395" w:type="dxa"/>
            <w:tcBorders>
              <w:top w:val="nil"/>
              <w:left w:val="nil"/>
              <w:bottom w:val="nil"/>
              <w:right w:val="nil"/>
            </w:tcBorders>
          </w:tcPr>
          <w:p w14:paraId="3BF22CA7"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197.478.568-83</w:t>
            </w:r>
          </w:p>
        </w:tc>
      </w:tr>
      <w:tr w:rsidR="00C75CFD" w:rsidRPr="00E80808" w14:paraId="423A6F2C" w14:textId="77777777" w:rsidTr="001A3C5F">
        <w:trPr>
          <w:jc w:val="center"/>
        </w:trPr>
        <w:tc>
          <w:tcPr>
            <w:tcW w:w="4536" w:type="dxa"/>
            <w:tcBorders>
              <w:top w:val="nil"/>
              <w:left w:val="nil"/>
              <w:bottom w:val="nil"/>
              <w:right w:val="nil"/>
            </w:tcBorders>
          </w:tcPr>
          <w:p w14:paraId="4544EA19"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 cassio.schreiner@portoitapoa.com</w:t>
            </w:r>
          </w:p>
        </w:tc>
        <w:tc>
          <w:tcPr>
            <w:tcW w:w="4395" w:type="dxa"/>
            <w:tcBorders>
              <w:top w:val="nil"/>
              <w:left w:val="nil"/>
              <w:bottom w:val="nil"/>
              <w:right w:val="nil"/>
            </w:tcBorders>
          </w:tcPr>
          <w:p w14:paraId="7FD5A57B"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 sergni.rosa@portoitapoa.com</w:t>
            </w:r>
          </w:p>
        </w:tc>
      </w:tr>
    </w:tbl>
    <w:p w14:paraId="56C7BED4" w14:textId="5AC4B128" w:rsidR="00C75CFD" w:rsidRDefault="00C75CFD" w:rsidP="00C75CFD">
      <w:pPr>
        <w:spacing w:line="320" w:lineRule="exact"/>
        <w:jc w:val="both"/>
        <w:rPr>
          <w:rFonts w:ascii="Verdana" w:eastAsia="Arial Unicode MS" w:hAnsi="Verdana" w:cs="Arial"/>
          <w:sz w:val="20"/>
          <w:szCs w:val="20"/>
        </w:rPr>
      </w:pPr>
      <w:r>
        <w:rPr>
          <w:rFonts w:ascii="Verdana" w:eastAsia="Arial Unicode MS" w:hAnsi="Verdana" w:cs="Arial"/>
          <w:sz w:val="20"/>
          <w:szCs w:val="20"/>
        </w:rPr>
        <w:br w:type="page"/>
      </w:r>
    </w:p>
    <w:p w14:paraId="4A7258E7" w14:textId="4D14F5CC" w:rsidR="00C75CFD" w:rsidRPr="00EB63D0" w:rsidRDefault="00C75CFD" w:rsidP="00C75CFD">
      <w:pPr>
        <w:spacing w:line="320" w:lineRule="exact"/>
        <w:jc w:val="both"/>
        <w:rPr>
          <w:rFonts w:ascii="Verdana" w:eastAsia="Arial Unicode MS" w:hAnsi="Verdana" w:cs="Arial"/>
          <w:i/>
          <w:sz w:val="20"/>
          <w:szCs w:val="20"/>
        </w:rPr>
      </w:pPr>
      <w:r w:rsidRPr="00EB63D0">
        <w:rPr>
          <w:rFonts w:ascii="Verdana" w:eastAsia="Arial Unicode MS" w:hAnsi="Verdana" w:cs="Arial"/>
          <w:i/>
          <w:sz w:val="20"/>
          <w:szCs w:val="20"/>
        </w:rPr>
        <w:lastRenderedPageBreak/>
        <w:t xml:space="preserve">(Página de Assinaturas 2/2 do </w:t>
      </w:r>
      <w:r w:rsidRPr="00EB63D0">
        <w:rPr>
          <w:rFonts w:ascii="Verdana" w:hAnsi="Verdana" w:cs="Arial"/>
          <w:i/>
          <w:sz w:val="20"/>
          <w:szCs w:val="20"/>
        </w:rPr>
        <w:t>“</w:t>
      </w:r>
      <w:r w:rsidR="00155FE3" w:rsidRPr="00155FE3">
        <w:rPr>
          <w:rFonts w:ascii="Verdana" w:hAnsi="Verdana" w:cs="Arial"/>
          <w:i/>
          <w:sz w:val="20"/>
          <w:szCs w:val="20"/>
        </w:rPr>
        <w:t>1º (Primeiro) Aditamento ao Instrumento Particular de Escritura da 4ª (Quarta) Emissão de Debêntures Simples, Não Conversíveis em Ações, da Espécie Quirografária, a ser Convolada na Espécie com Garantia Real, em Série Única, para Distribuição Pública com Esforços Restritos, da Itapoá Terminais Portuários S.A.</w:t>
      </w:r>
      <w:r w:rsidRPr="00EB63D0">
        <w:rPr>
          <w:rFonts w:ascii="Verdana" w:hAnsi="Verdana" w:cs="Arial"/>
          <w:i/>
          <w:sz w:val="20"/>
          <w:szCs w:val="20"/>
        </w:rPr>
        <w:t>”</w:t>
      </w:r>
      <w:r w:rsidRPr="00EB63D0">
        <w:rPr>
          <w:rFonts w:ascii="Verdana" w:eastAsia="Arial Unicode MS" w:hAnsi="Verdana" w:cs="Arial"/>
          <w:i/>
          <w:sz w:val="20"/>
          <w:szCs w:val="20"/>
        </w:rPr>
        <w:t>)</w:t>
      </w:r>
    </w:p>
    <w:p w14:paraId="1FC9771A" w14:textId="77777777" w:rsidR="00C75CFD" w:rsidRPr="00EB63D0" w:rsidRDefault="00C75CFD" w:rsidP="00C75CFD">
      <w:pPr>
        <w:spacing w:line="320" w:lineRule="exact"/>
        <w:jc w:val="both"/>
        <w:rPr>
          <w:rFonts w:ascii="Verdana" w:eastAsia="Arial Unicode MS" w:hAnsi="Verdana" w:cs="Arial"/>
          <w:sz w:val="20"/>
          <w:szCs w:val="20"/>
        </w:rPr>
      </w:pPr>
    </w:p>
    <w:p w14:paraId="0EEAEA7A" w14:textId="77777777" w:rsidR="00C75CFD" w:rsidRPr="00EB63D0" w:rsidRDefault="00C75CFD" w:rsidP="00C75CFD">
      <w:pPr>
        <w:spacing w:line="320" w:lineRule="exact"/>
        <w:rPr>
          <w:rFonts w:ascii="Verdana" w:eastAsia="Arial Unicode MS" w:hAnsi="Verdana" w:cs="Arial"/>
          <w:sz w:val="20"/>
          <w:szCs w:val="20"/>
        </w:rPr>
      </w:pPr>
    </w:p>
    <w:p w14:paraId="65320F7A" w14:textId="77777777" w:rsidR="00C75CFD" w:rsidRPr="00EB63D0" w:rsidRDefault="00C75CFD" w:rsidP="00C75CFD">
      <w:pPr>
        <w:spacing w:line="320" w:lineRule="exact"/>
        <w:rPr>
          <w:rFonts w:ascii="Verdana" w:eastAsia="Arial Unicode MS" w:hAnsi="Verdana" w:cs="Arial"/>
          <w:sz w:val="20"/>
          <w:szCs w:val="20"/>
        </w:rPr>
      </w:pPr>
    </w:p>
    <w:p w14:paraId="4C88AE43" w14:textId="77777777" w:rsidR="00C75CFD" w:rsidRPr="00EB63D0" w:rsidRDefault="00C75CFD" w:rsidP="00C75CFD">
      <w:pPr>
        <w:spacing w:line="320" w:lineRule="exact"/>
        <w:rPr>
          <w:rFonts w:ascii="Verdana" w:eastAsia="Arial Unicode MS" w:hAnsi="Verdana" w:cs="Arial"/>
          <w:sz w:val="20"/>
          <w:szCs w:val="20"/>
        </w:rPr>
      </w:pPr>
    </w:p>
    <w:p w14:paraId="32920C3E" w14:textId="77777777" w:rsidR="00C75CFD" w:rsidRPr="00EB63D0" w:rsidRDefault="00C75CFD" w:rsidP="00C75CFD">
      <w:pPr>
        <w:spacing w:line="320" w:lineRule="exact"/>
        <w:jc w:val="center"/>
        <w:rPr>
          <w:rFonts w:ascii="Verdana" w:hAnsi="Verdana" w:cs="Tahoma"/>
          <w:b/>
          <w:sz w:val="20"/>
          <w:szCs w:val="20"/>
        </w:rPr>
      </w:pPr>
      <w:bookmarkStart w:id="1" w:name="_Hlk41308420"/>
      <w:r w:rsidRPr="00EB63D0">
        <w:rPr>
          <w:rFonts w:ascii="Verdana" w:hAnsi="Verdana" w:cs="Tahoma"/>
          <w:b/>
          <w:sz w:val="20"/>
          <w:szCs w:val="20"/>
        </w:rPr>
        <w:t xml:space="preserve">SIMPLIFIC PAVARINI DISTRIBUIDORA DE TÍTULOS </w:t>
      </w:r>
    </w:p>
    <w:p w14:paraId="27EC8070" w14:textId="77777777" w:rsidR="00C75CFD" w:rsidRPr="00EB63D0" w:rsidRDefault="00C75CFD" w:rsidP="00C75CFD">
      <w:pPr>
        <w:spacing w:line="320" w:lineRule="exact"/>
        <w:jc w:val="center"/>
        <w:rPr>
          <w:rFonts w:ascii="Verdana" w:hAnsi="Verdana"/>
          <w:i/>
          <w:sz w:val="20"/>
          <w:szCs w:val="20"/>
        </w:rPr>
      </w:pPr>
      <w:r w:rsidRPr="00EB63D0">
        <w:rPr>
          <w:rFonts w:ascii="Verdana" w:hAnsi="Verdana" w:cs="Tahoma"/>
          <w:b/>
          <w:sz w:val="20"/>
          <w:szCs w:val="20"/>
        </w:rPr>
        <w:t>E VALORES MOBILIÁRIOS LTDA.</w:t>
      </w:r>
    </w:p>
    <w:bookmarkEnd w:id="1"/>
    <w:p w14:paraId="37082154" w14:textId="77777777" w:rsidR="00C75CFD" w:rsidRPr="00EB63D0" w:rsidRDefault="00C75CFD" w:rsidP="00C75CFD">
      <w:pPr>
        <w:spacing w:line="320" w:lineRule="exact"/>
        <w:jc w:val="both"/>
        <w:rPr>
          <w:rFonts w:ascii="Verdana" w:eastAsia="Arial Unicode MS" w:hAnsi="Verdana" w:cs="Arial"/>
          <w:sz w:val="20"/>
          <w:szCs w:val="20"/>
        </w:rPr>
      </w:pPr>
    </w:p>
    <w:tbl>
      <w:tblPr>
        <w:tblW w:w="4536" w:type="dxa"/>
        <w:jc w:val="center"/>
        <w:tblLayout w:type="fixed"/>
        <w:tblCellMar>
          <w:left w:w="70" w:type="dxa"/>
          <w:right w:w="70" w:type="dxa"/>
        </w:tblCellMar>
        <w:tblLook w:val="0000" w:firstRow="0" w:lastRow="0" w:firstColumn="0" w:lastColumn="0" w:noHBand="0" w:noVBand="0"/>
      </w:tblPr>
      <w:tblGrid>
        <w:gridCol w:w="4536"/>
      </w:tblGrid>
      <w:tr w:rsidR="00C75CFD" w:rsidRPr="00E80808" w14:paraId="0E07B59F" w14:textId="77777777" w:rsidTr="001A3C5F">
        <w:trPr>
          <w:jc w:val="center"/>
        </w:trPr>
        <w:tc>
          <w:tcPr>
            <w:tcW w:w="4536" w:type="dxa"/>
            <w:tcBorders>
              <w:top w:val="nil"/>
              <w:left w:val="nil"/>
              <w:bottom w:val="nil"/>
              <w:right w:val="nil"/>
            </w:tcBorders>
          </w:tcPr>
          <w:p w14:paraId="4DF368C9" w14:textId="77777777" w:rsidR="00C75CFD" w:rsidRPr="00EB63D0" w:rsidRDefault="00C75CFD" w:rsidP="001A3C5F">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r>
      <w:tr w:rsidR="00C75CFD" w:rsidRPr="00E80808" w14:paraId="262F5A03" w14:textId="77777777" w:rsidTr="001A3C5F">
        <w:trPr>
          <w:jc w:val="center"/>
        </w:trPr>
        <w:tc>
          <w:tcPr>
            <w:tcW w:w="4536" w:type="dxa"/>
            <w:tcBorders>
              <w:top w:val="nil"/>
              <w:left w:val="nil"/>
              <w:bottom w:val="nil"/>
              <w:right w:val="nil"/>
            </w:tcBorders>
          </w:tcPr>
          <w:p w14:paraId="58CF5CFE"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w:t>
            </w:r>
            <w:r w:rsidRPr="006B1E27">
              <w:rPr>
                <w:rFonts w:ascii="Verdana" w:hAnsi="Verdana"/>
                <w:sz w:val="20"/>
                <w:szCs w:val="20"/>
              </w:rPr>
              <w:t>Rinaldo Rabello Ferreira</w:t>
            </w:r>
          </w:p>
        </w:tc>
      </w:tr>
      <w:tr w:rsidR="00C75CFD" w:rsidRPr="00E80808" w14:paraId="7A8314F4" w14:textId="77777777" w:rsidTr="001A3C5F">
        <w:trPr>
          <w:jc w:val="center"/>
        </w:trPr>
        <w:tc>
          <w:tcPr>
            <w:tcW w:w="4536" w:type="dxa"/>
            <w:tcBorders>
              <w:top w:val="nil"/>
              <w:left w:val="nil"/>
              <w:bottom w:val="nil"/>
              <w:right w:val="nil"/>
            </w:tcBorders>
          </w:tcPr>
          <w:p w14:paraId="019CE17C"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Cargo: Diretor</w:t>
            </w:r>
          </w:p>
        </w:tc>
      </w:tr>
      <w:tr w:rsidR="00C75CFD" w:rsidRPr="00E80808" w14:paraId="3B6B121A" w14:textId="77777777" w:rsidTr="001A3C5F">
        <w:trPr>
          <w:jc w:val="center"/>
        </w:trPr>
        <w:tc>
          <w:tcPr>
            <w:tcW w:w="4536" w:type="dxa"/>
            <w:tcBorders>
              <w:top w:val="nil"/>
              <w:left w:val="nil"/>
              <w:bottom w:val="nil"/>
              <w:right w:val="nil"/>
            </w:tcBorders>
          </w:tcPr>
          <w:p w14:paraId="11C7DCB7"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509.941.827-91</w:t>
            </w:r>
          </w:p>
        </w:tc>
      </w:tr>
      <w:tr w:rsidR="00C75CFD" w:rsidRPr="00E80808" w14:paraId="0C0DBC46" w14:textId="77777777" w:rsidTr="001A3C5F">
        <w:trPr>
          <w:jc w:val="center"/>
        </w:trPr>
        <w:tc>
          <w:tcPr>
            <w:tcW w:w="4536" w:type="dxa"/>
            <w:tcBorders>
              <w:top w:val="nil"/>
              <w:left w:val="nil"/>
              <w:bottom w:val="nil"/>
              <w:right w:val="nil"/>
            </w:tcBorders>
          </w:tcPr>
          <w:p w14:paraId="15A23D13" w14:textId="77777777" w:rsidR="00C75CFD" w:rsidRPr="006B1E27" w:rsidRDefault="00C75CFD" w:rsidP="001A3C5F">
            <w:pPr>
              <w:rPr>
                <w:rFonts w:ascii="Verdana" w:eastAsia="Arial Unicode MS" w:hAnsi="Verdana" w:cs="Arial"/>
                <w:sz w:val="20"/>
                <w:szCs w:val="20"/>
              </w:rPr>
            </w:pPr>
            <w:r w:rsidRPr="006B1E27">
              <w:rPr>
                <w:rFonts w:ascii="Verdana" w:eastAsia="Arial Unicode MS" w:hAnsi="Verdana" w:cs="Arial"/>
                <w:sz w:val="20"/>
                <w:szCs w:val="20"/>
              </w:rPr>
              <w:t>E-mail: rinaldo@simplificpavarini.com.br</w:t>
            </w:r>
          </w:p>
        </w:tc>
      </w:tr>
    </w:tbl>
    <w:p w14:paraId="05FC9004" w14:textId="77777777" w:rsidR="00C75CFD" w:rsidRDefault="00C75CFD" w:rsidP="00C75CFD">
      <w:pPr>
        <w:spacing w:line="320" w:lineRule="exact"/>
        <w:jc w:val="both"/>
        <w:rPr>
          <w:rFonts w:ascii="Verdana" w:eastAsia="Arial Unicode MS" w:hAnsi="Verdana" w:cs="Arial"/>
          <w:sz w:val="20"/>
          <w:szCs w:val="20"/>
        </w:rPr>
      </w:pPr>
    </w:p>
    <w:p w14:paraId="452DA0FA" w14:textId="77777777" w:rsidR="00C75CFD" w:rsidRPr="00EB63D0" w:rsidRDefault="00C75CFD" w:rsidP="00C75CFD">
      <w:pPr>
        <w:spacing w:line="320" w:lineRule="exact"/>
        <w:jc w:val="both"/>
        <w:rPr>
          <w:rFonts w:ascii="Verdana" w:eastAsia="Arial Unicode MS" w:hAnsi="Verdana" w:cs="Arial"/>
          <w:sz w:val="20"/>
          <w:szCs w:val="20"/>
        </w:rPr>
      </w:pPr>
    </w:p>
    <w:p w14:paraId="02856127" w14:textId="77777777" w:rsidR="00C75CFD" w:rsidRPr="00EB63D0" w:rsidRDefault="00C75CFD" w:rsidP="00C75CFD">
      <w:pPr>
        <w:spacing w:line="320" w:lineRule="exact"/>
        <w:jc w:val="both"/>
        <w:rPr>
          <w:rFonts w:ascii="Verdana" w:eastAsia="Arial Unicode MS" w:hAnsi="Verdana" w:cs="Arial"/>
          <w:sz w:val="20"/>
          <w:szCs w:val="20"/>
        </w:rPr>
      </w:pPr>
    </w:p>
    <w:p w14:paraId="51ECCFD6" w14:textId="77777777" w:rsidR="00C75CFD" w:rsidRPr="00EB63D0" w:rsidRDefault="00C75CFD" w:rsidP="00C75CFD">
      <w:pPr>
        <w:spacing w:line="320" w:lineRule="exact"/>
        <w:jc w:val="both"/>
        <w:rPr>
          <w:rFonts w:ascii="Verdana" w:eastAsia="Arial Unicode MS" w:hAnsi="Verdana" w:cs="Arial"/>
          <w:b/>
          <w:bCs/>
          <w:sz w:val="20"/>
          <w:szCs w:val="20"/>
        </w:rPr>
      </w:pPr>
      <w:bookmarkStart w:id="2" w:name="_DV_M692"/>
      <w:bookmarkStart w:id="3" w:name="_DV_M694"/>
      <w:bookmarkEnd w:id="2"/>
      <w:bookmarkEnd w:id="3"/>
      <w:r w:rsidRPr="00EB63D0">
        <w:rPr>
          <w:rFonts w:ascii="Verdana" w:eastAsia="Arial Unicode MS" w:hAnsi="Verdana" w:cs="Arial"/>
          <w:b/>
          <w:bCs/>
          <w:sz w:val="20"/>
          <w:szCs w:val="20"/>
        </w:rPr>
        <w:t>Testemunhas:</w:t>
      </w:r>
    </w:p>
    <w:p w14:paraId="04EE2734" w14:textId="77777777" w:rsidR="00C75CFD" w:rsidRPr="00EB63D0" w:rsidRDefault="00C75CFD" w:rsidP="00C75CFD">
      <w:pPr>
        <w:spacing w:line="320" w:lineRule="exact"/>
        <w:jc w:val="both"/>
        <w:rPr>
          <w:rFonts w:ascii="Verdana" w:eastAsia="Arial Unicode MS" w:hAnsi="Verdana" w:cs="Arial"/>
          <w:sz w:val="20"/>
          <w:szCs w:val="20"/>
        </w:rPr>
      </w:pPr>
    </w:p>
    <w:p w14:paraId="3F62B3EE" w14:textId="77777777" w:rsidR="00C75CFD" w:rsidRPr="00EB63D0" w:rsidRDefault="00C75CFD" w:rsidP="00C75CFD">
      <w:pPr>
        <w:spacing w:line="320" w:lineRule="exact"/>
        <w:jc w:val="both"/>
        <w:rPr>
          <w:rFonts w:ascii="Verdana" w:eastAsia="Arial Unicode MS" w:hAnsi="Verdana" w:cs="Arial"/>
          <w:sz w:val="20"/>
          <w:szCs w:val="20"/>
        </w:rPr>
      </w:pPr>
    </w:p>
    <w:p w14:paraId="489D9A96" w14:textId="77777777" w:rsidR="00C75CFD" w:rsidRPr="00EB63D0" w:rsidRDefault="00C75CFD" w:rsidP="00C75CFD">
      <w:pPr>
        <w:spacing w:line="320" w:lineRule="exact"/>
        <w:jc w:val="both"/>
        <w:rPr>
          <w:rFonts w:ascii="Verdana" w:eastAsia="Arial Unicode MS" w:hAnsi="Verdana" w:cs="Arial"/>
          <w:sz w:val="20"/>
          <w:szCs w:val="20"/>
        </w:rPr>
      </w:pPr>
    </w:p>
    <w:p w14:paraId="61404043" w14:textId="77777777" w:rsidR="00C75CFD" w:rsidRPr="00EB63D0" w:rsidRDefault="00C75CFD" w:rsidP="00C75CFD">
      <w:pPr>
        <w:spacing w:line="320" w:lineRule="exact"/>
        <w:jc w:val="both"/>
        <w:rPr>
          <w:rFonts w:ascii="Verdana" w:eastAsia="Arial Unicode MS" w:hAnsi="Verdana" w:cs="Arial"/>
          <w:sz w:val="20"/>
          <w:szCs w:val="20"/>
        </w:rPr>
      </w:pPr>
    </w:p>
    <w:tbl>
      <w:tblPr>
        <w:tblW w:w="8789" w:type="dxa"/>
        <w:jc w:val="center"/>
        <w:tblLayout w:type="fixed"/>
        <w:tblCellMar>
          <w:left w:w="70" w:type="dxa"/>
          <w:right w:w="70" w:type="dxa"/>
        </w:tblCellMar>
        <w:tblLook w:val="0000" w:firstRow="0" w:lastRow="0" w:firstColumn="0" w:lastColumn="0" w:noHBand="0" w:noVBand="0"/>
      </w:tblPr>
      <w:tblGrid>
        <w:gridCol w:w="4536"/>
        <w:gridCol w:w="4253"/>
      </w:tblGrid>
      <w:tr w:rsidR="00C75CFD" w:rsidRPr="00E80808" w14:paraId="5C4AA2D6" w14:textId="77777777" w:rsidTr="001A3C5F">
        <w:trPr>
          <w:jc w:val="center"/>
        </w:trPr>
        <w:tc>
          <w:tcPr>
            <w:tcW w:w="4536" w:type="dxa"/>
            <w:tcBorders>
              <w:top w:val="nil"/>
              <w:left w:val="nil"/>
              <w:bottom w:val="nil"/>
              <w:right w:val="nil"/>
            </w:tcBorders>
          </w:tcPr>
          <w:p w14:paraId="78EE2706" w14:textId="77777777" w:rsidR="00C75CFD" w:rsidRPr="00EB63D0" w:rsidRDefault="00C75CFD" w:rsidP="001A3C5F">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w:t>
            </w:r>
          </w:p>
        </w:tc>
        <w:tc>
          <w:tcPr>
            <w:tcW w:w="4253" w:type="dxa"/>
            <w:tcBorders>
              <w:top w:val="nil"/>
              <w:left w:val="nil"/>
              <w:bottom w:val="nil"/>
              <w:right w:val="nil"/>
            </w:tcBorders>
          </w:tcPr>
          <w:p w14:paraId="635C0577" w14:textId="77777777" w:rsidR="00C75CFD" w:rsidRPr="00EB63D0" w:rsidRDefault="00C75CFD" w:rsidP="001A3C5F">
            <w:pPr>
              <w:spacing w:line="320" w:lineRule="exact"/>
              <w:jc w:val="center"/>
              <w:rPr>
                <w:rFonts w:ascii="Verdana" w:eastAsia="Arial Unicode MS" w:hAnsi="Verdana" w:cs="Arial"/>
                <w:sz w:val="20"/>
                <w:szCs w:val="20"/>
              </w:rPr>
            </w:pPr>
            <w:r w:rsidRPr="00EB63D0">
              <w:rPr>
                <w:rFonts w:ascii="Verdana" w:eastAsia="Arial Unicode MS" w:hAnsi="Verdana" w:cs="Arial"/>
                <w:sz w:val="20"/>
                <w:szCs w:val="20"/>
              </w:rPr>
              <w:t>_______________________________</w:t>
            </w:r>
          </w:p>
        </w:tc>
      </w:tr>
      <w:tr w:rsidR="00C75CFD" w:rsidRPr="00E80808" w14:paraId="38D72A09" w14:textId="77777777" w:rsidTr="001A3C5F">
        <w:trPr>
          <w:jc w:val="center"/>
        </w:trPr>
        <w:tc>
          <w:tcPr>
            <w:tcW w:w="4536" w:type="dxa"/>
            <w:tcBorders>
              <w:top w:val="nil"/>
              <w:left w:val="nil"/>
              <w:bottom w:val="nil"/>
              <w:right w:val="nil"/>
            </w:tcBorders>
          </w:tcPr>
          <w:p w14:paraId="3655C834"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Nome: Marcus </w:t>
            </w:r>
            <w:proofErr w:type="spellStart"/>
            <w:r w:rsidRPr="006B1E27">
              <w:rPr>
                <w:rFonts w:ascii="Verdana" w:eastAsia="Arial Unicode MS" w:hAnsi="Verdana" w:cs="Arial"/>
                <w:sz w:val="20"/>
                <w:szCs w:val="20"/>
              </w:rPr>
              <w:t>Venicius</w:t>
            </w:r>
            <w:proofErr w:type="spellEnd"/>
            <w:r w:rsidRPr="006B1E27">
              <w:rPr>
                <w:rFonts w:ascii="Verdana" w:eastAsia="Arial Unicode MS" w:hAnsi="Verdana" w:cs="Arial"/>
                <w:sz w:val="20"/>
                <w:szCs w:val="20"/>
              </w:rPr>
              <w:t xml:space="preserve"> </w:t>
            </w:r>
            <w:proofErr w:type="spellStart"/>
            <w:r w:rsidRPr="006B1E27">
              <w:rPr>
                <w:rFonts w:ascii="Verdana" w:eastAsia="Arial Unicode MS" w:hAnsi="Verdana" w:cs="Arial"/>
                <w:sz w:val="20"/>
                <w:szCs w:val="20"/>
              </w:rPr>
              <w:t>Bellinello</w:t>
            </w:r>
            <w:proofErr w:type="spellEnd"/>
            <w:r w:rsidRPr="006B1E27">
              <w:rPr>
                <w:rFonts w:ascii="Verdana" w:eastAsia="Arial Unicode MS" w:hAnsi="Verdana" w:cs="Arial"/>
                <w:sz w:val="20"/>
                <w:szCs w:val="20"/>
              </w:rPr>
              <w:t xml:space="preserve"> </w:t>
            </w:r>
            <w:r>
              <w:rPr>
                <w:rFonts w:ascii="Verdana" w:eastAsia="Arial Unicode MS" w:hAnsi="Verdana" w:cs="Arial"/>
                <w:sz w:val="20"/>
                <w:szCs w:val="20"/>
              </w:rPr>
              <w:t>d</w:t>
            </w:r>
            <w:r w:rsidRPr="006B1E27">
              <w:rPr>
                <w:rFonts w:ascii="Verdana" w:eastAsia="Arial Unicode MS" w:hAnsi="Verdana" w:cs="Arial"/>
                <w:sz w:val="20"/>
                <w:szCs w:val="20"/>
              </w:rPr>
              <w:t>a Rocha</w:t>
            </w:r>
          </w:p>
        </w:tc>
        <w:tc>
          <w:tcPr>
            <w:tcW w:w="4253" w:type="dxa"/>
            <w:tcBorders>
              <w:top w:val="nil"/>
              <w:left w:val="nil"/>
              <w:bottom w:val="nil"/>
              <w:right w:val="nil"/>
            </w:tcBorders>
          </w:tcPr>
          <w:p w14:paraId="13EE5247"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Nome: Fábio Moya Diez</w:t>
            </w:r>
          </w:p>
        </w:tc>
      </w:tr>
      <w:tr w:rsidR="00C75CFD" w:rsidRPr="00E80808" w14:paraId="2E1E71AC" w14:textId="77777777" w:rsidTr="001A3C5F">
        <w:trPr>
          <w:jc w:val="center"/>
        </w:trPr>
        <w:tc>
          <w:tcPr>
            <w:tcW w:w="4536" w:type="dxa"/>
            <w:tcBorders>
              <w:top w:val="nil"/>
              <w:left w:val="nil"/>
              <w:bottom w:val="nil"/>
              <w:right w:val="nil"/>
            </w:tcBorders>
          </w:tcPr>
          <w:p w14:paraId="3174769C"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961.101.807-00</w:t>
            </w:r>
          </w:p>
        </w:tc>
        <w:tc>
          <w:tcPr>
            <w:tcW w:w="4253" w:type="dxa"/>
            <w:tcBorders>
              <w:top w:val="nil"/>
              <w:left w:val="nil"/>
              <w:bottom w:val="nil"/>
              <w:right w:val="nil"/>
            </w:tcBorders>
          </w:tcPr>
          <w:p w14:paraId="5BF70241"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CPF: </w:t>
            </w:r>
            <w:r w:rsidRPr="006B1E27">
              <w:rPr>
                <w:rFonts w:ascii="Verdana" w:hAnsi="Verdana"/>
                <w:sz w:val="20"/>
                <w:szCs w:val="20"/>
              </w:rPr>
              <w:t>286.118.018-81</w:t>
            </w:r>
          </w:p>
        </w:tc>
      </w:tr>
      <w:tr w:rsidR="00C75CFD" w:rsidRPr="00E80808" w14:paraId="09322A0F" w14:textId="77777777" w:rsidTr="001A3C5F">
        <w:trPr>
          <w:jc w:val="center"/>
        </w:trPr>
        <w:tc>
          <w:tcPr>
            <w:tcW w:w="4536" w:type="dxa"/>
            <w:tcBorders>
              <w:top w:val="nil"/>
              <w:left w:val="nil"/>
              <w:bottom w:val="nil"/>
              <w:right w:val="nil"/>
            </w:tcBorders>
          </w:tcPr>
          <w:p w14:paraId="60FBA933"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E-mail: mrocha@simplificpavarini.com.br</w:t>
            </w:r>
          </w:p>
        </w:tc>
        <w:tc>
          <w:tcPr>
            <w:tcW w:w="4253" w:type="dxa"/>
            <w:tcBorders>
              <w:top w:val="nil"/>
              <w:left w:val="nil"/>
              <w:bottom w:val="nil"/>
              <w:right w:val="nil"/>
            </w:tcBorders>
          </w:tcPr>
          <w:p w14:paraId="319701F0" w14:textId="77777777" w:rsidR="00C75CFD" w:rsidRPr="006B1E27" w:rsidRDefault="00C75CFD" w:rsidP="001A3C5F">
            <w:pPr>
              <w:spacing w:line="320" w:lineRule="exact"/>
              <w:rPr>
                <w:rFonts w:ascii="Verdana" w:eastAsia="Arial Unicode MS" w:hAnsi="Verdana" w:cs="Arial"/>
                <w:sz w:val="20"/>
                <w:szCs w:val="20"/>
              </w:rPr>
            </w:pPr>
            <w:r w:rsidRPr="006B1E27">
              <w:rPr>
                <w:rFonts w:ascii="Verdana" w:eastAsia="Arial Unicode MS" w:hAnsi="Verdana" w:cs="Arial"/>
                <w:sz w:val="20"/>
                <w:szCs w:val="20"/>
              </w:rPr>
              <w:t xml:space="preserve">E-mail: fabio.diez@portoitapoa.com </w:t>
            </w:r>
          </w:p>
        </w:tc>
      </w:tr>
    </w:tbl>
    <w:p w14:paraId="46CD3B8D" w14:textId="77777777" w:rsidR="00C75CFD" w:rsidRPr="00EB63D0" w:rsidRDefault="00C75CFD" w:rsidP="00C75CFD">
      <w:pPr>
        <w:spacing w:line="320" w:lineRule="exact"/>
        <w:jc w:val="both"/>
        <w:rPr>
          <w:rFonts w:ascii="Verdana" w:eastAsia="Arial Unicode MS" w:hAnsi="Verdana" w:cs="Arial"/>
          <w:sz w:val="20"/>
          <w:szCs w:val="20"/>
        </w:rPr>
      </w:pPr>
    </w:p>
    <w:p w14:paraId="2FA6C546" w14:textId="77777777" w:rsidR="00451E0E" w:rsidRDefault="00451E0E"/>
    <w:sectPr w:rsidR="00451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55F81"/>
    <w:multiLevelType w:val="multilevel"/>
    <w:tmpl w:val="05F623EC"/>
    <w:lvl w:ilvl="0">
      <w:start w:val="1"/>
      <w:numFmt w:val="decimal"/>
      <w:lvlText w:val="%1."/>
      <w:lvlJc w:val="left"/>
      <w:pPr>
        <w:ind w:left="0" w:firstLine="0"/>
      </w:pPr>
      <w:rPr>
        <w:rFonts w:hint="default"/>
        <w:b/>
        <w:bCs/>
        <w:i w:val="0"/>
        <w:iCs w:val="0"/>
        <w:sz w:val="22"/>
        <w:szCs w:val="22"/>
      </w:rPr>
    </w:lvl>
    <w:lvl w:ilvl="1">
      <w:start w:val="1"/>
      <w:numFmt w:val="decimal"/>
      <w:lvlText w:val="%1.%2."/>
      <w:lvlJc w:val="left"/>
      <w:pPr>
        <w:ind w:left="0" w:firstLine="0"/>
      </w:pPr>
      <w:rPr>
        <w:rFonts w:hint="default"/>
        <w:b w:val="0"/>
        <w:bCs w:val="0"/>
        <w:i w:val="0"/>
        <w:iCs w:val="0"/>
        <w:sz w:val="22"/>
        <w:szCs w:val="22"/>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9"/>
    <w:rsid w:val="00155FE3"/>
    <w:rsid w:val="00400B18"/>
    <w:rsid w:val="00451E0E"/>
    <w:rsid w:val="006579D9"/>
    <w:rsid w:val="00AF38A8"/>
    <w:rsid w:val="00C75CFD"/>
    <w:rsid w:val="00D92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FCB2"/>
  <w15:chartTrackingRefBased/>
  <w15:docId w15:val="{657E5BDF-A355-4456-9578-300793E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D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d,5"/>
    <w:basedOn w:val="Normal"/>
    <w:next w:val="Lista2"/>
    <w:link w:val="CorpodetextoChar"/>
    <w:uiPriority w:val="99"/>
    <w:rsid w:val="006579D9"/>
  </w:style>
  <w:style w:type="character" w:customStyle="1" w:styleId="CorpodetextoChar">
    <w:name w:val="Corpo de texto Char"/>
    <w:aliases w:val="bt Char,BT Char,.BT Char,bd Char,5 Char"/>
    <w:basedOn w:val="Fontepargpadro"/>
    <w:link w:val="Corpodetexto"/>
    <w:uiPriority w:val="99"/>
    <w:rsid w:val="006579D9"/>
    <w:rPr>
      <w:rFonts w:ascii="Times New Roman" w:eastAsia="Times New Roman" w:hAnsi="Times New Roman" w:cs="Times New Roman"/>
      <w:sz w:val="24"/>
      <w:szCs w:val="24"/>
      <w:lang w:eastAsia="pt-BR"/>
    </w:rPr>
  </w:style>
  <w:style w:type="paragraph" w:customStyle="1" w:styleId="CesconCorpodeClusula">
    <w:name w:val="Cescon_Corpo de Cláusula"/>
    <w:basedOn w:val="PargrafodaLista"/>
    <w:qFormat/>
    <w:rsid w:val="006579D9"/>
    <w:pPr>
      <w:spacing w:after="240"/>
      <w:ind w:left="0"/>
      <w:contextualSpacing w:val="0"/>
      <w:jc w:val="both"/>
    </w:pPr>
    <w:rPr>
      <w:sz w:val="22"/>
      <w:szCs w:val="22"/>
    </w:rPr>
  </w:style>
  <w:style w:type="paragraph" w:styleId="Lista2">
    <w:name w:val="List 2"/>
    <w:basedOn w:val="Normal"/>
    <w:uiPriority w:val="99"/>
    <w:semiHidden/>
    <w:unhideWhenUsed/>
    <w:rsid w:val="006579D9"/>
    <w:pPr>
      <w:ind w:left="566" w:hanging="283"/>
      <w:contextualSpacing/>
    </w:pPr>
  </w:style>
  <w:style w:type="paragraph" w:styleId="PargrafodaLista">
    <w:name w:val="List Paragraph"/>
    <w:basedOn w:val="Normal"/>
    <w:uiPriority w:val="34"/>
    <w:qFormat/>
    <w:rsid w:val="0065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 T E X T ! 5 5 9 3 4 6 5 8 . 1 < / d o c u m e n t i d >  
     < s e n d e r i d > H D M < / s e n d e r i d >  
     < s e n d e r e m a i l > H D A H E R @ M A C H A D O M E Y E R . C O M . B R < / s e n d e r e m a i l >  
     < l a s t m o d i f i e d > 2 0 2 1 - 1 2 - 1 3 T 1 3 : 0 5 : 0 0 . 0 0 0 0 0 0 0 - 0 3 : 0 0 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40</TotalTime>
  <Pages>6</Pages>
  <Words>1534</Words>
  <Characters>8932</Characters>
  <Application>Microsoft Office Word</Application>
  <DocSecurity>0</DocSecurity>
  <Lines>255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Daher Rodrigues Moreira | Machado Meyer Advogados</dc:creator>
  <cp:keywords/>
  <dc:description/>
  <cp:lastModifiedBy>Helena Daher Rodrigues Moreira | Machado Meyer Advogados</cp:lastModifiedBy>
  <cp:revision>1</cp:revision>
  <dcterms:created xsi:type="dcterms:W3CDTF">2021-12-13T15:21:00Z</dcterms:created>
  <dcterms:modified xsi:type="dcterms:W3CDTF">2021-12-13T16:05:00Z</dcterms:modified>
</cp:coreProperties>
</file>