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8BE" w:rsidRPr="00F758BE" w:rsidRDefault="00F758BE" w:rsidP="003724C3">
      <w:pPr>
        <w:spacing w:after="0"/>
        <w:jc w:val="center"/>
        <w:rPr>
          <w:rFonts w:ascii="Times New Roman" w:hAnsi="Times New Roman" w:cs="Times New Roman"/>
          <w:sz w:val="24"/>
          <w:szCs w:val="26"/>
        </w:rPr>
      </w:pPr>
      <w:r w:rsidRPr="0099556D">
        <w:rPr>
          <w:rFonts w:ascii="Times New Roman" w:hAnsi="Times New Roman" w:cs="Times New Roman"/>
          <w:sz w:val="24"/>
          <w:szCs w:val="26"/>
        </w:rPr>
        <w:t xml:space="preserve">ATA DA ASSEMBLEIA GERAL DE DEBENTURISTAS DA </w:t>
      </w:r>
      <w:r w:rsidR="00E50CC8" w:rsidRPr="0099556D">
        <w:rPr>
          <w:rFonts w:ascii="Times New Roman" w:hAnsi="Times New Roman" w:cs="Times New Roman"/>
          <w:sz w:val="24"/>
          <w:szCs w:val="26"/>
        </w:rPr>
        <w:t>PRIMEIRA</w:t>
      </w:r>
      <w:r w:rsidR="0065471B" w:rsidRPr="0099556D">
        <w:rPr>
          <w:rFonts w:ascii="Times New Roman" w:hAnsi="Times New Roman" w:cs="Times New Roman"/>
          <w:sz w:val="24"/>
          <w:szCs w:val="26"/>
        </w:rPr>
        <w:t xml:space="preserve"> SÉRIE DA </w:t>
      </w:r>
      <w:r w:rsidRPr="0099556D">
        <w:rPr>
          <w:rFonts w:ascii="Times New Roman" w:hAnsi="Times New Roman" w:cs="Times New Roman"/>
          <w:sz w:val="24"/>
          <w:szCs w:val="26"/>
        </w:rPr>
        <w:t xml:space="preserve">TERCEIRA EMISSÃO </w:t>
      </w:r>
      <w:r w:rsidRPr="0099556D">
        <w:rPr>
          <w:rFonts w:ascii="Times New Roman" w:hAnsi="Times New Roman" w:cs="Times New Roman"/>
          <w:sz w:val="24"/>
          <w:szCs w:val="26"/>
          <w:u w:val="single"/>
        </w:rPr>
        <w:t xml:space="preserve">REALIZADA EM </w:t>
      </w:r>
      <w:r w:rsidR="00A37DCA" w:rsidRPr="0099556D">
        <w:rPr>
          <w:rFonts w:ascii="Times New Roman" w:hAnsi="Times New Roman" w:cs="Times New Roman"/>
          <w:sz w:val="24"/>
          <w:szCs w:val="26"/>
          <w:u w:val="single"/>
        </w:rPr>
        <w:t>13</w:t>
      </w:r>
      <w:bookmarkStart w:id="0" w:name="_GoBack"/>
      <w:bookmarkEnd w:id="0"/>
      <w:r w:rsidR="00B44562">
        <w:rPr>
          <w:rFonts w:ascii="Times New Roman" w:hAnsi="Times New Roman" w:cs="Times New Roman"/>
          <w:sz w:val="24"/>
          <w:szCs w:val="26"/>
          <w:u w:val="single"/>
        </w:rPr>
        <w:t xml:space="preserve"> </w:t>
      </w:r>
      <w:r w:rsidRPr="0099556D">
        <w:rPr>
          <w:rFonts w:ascii="Times New Roman" w:hAnsi="Times New Roman" w:cs="Times New Roman"/>
          <w:sz w:val="24"/>
          <w:szCs w:val="26"/>
          <w:u w:val="single"/>
        </w:rPr>
        <w:t>DE MAIO DE 2020</w:t>
      </w:r>
    </w:p>
    <w:p w:rsidR="00F758BE" w:rsidRDefault="00F758BE" w:rsidP="003724C3">
      <w:pPr>
        <w:spacing w:after="0"/>
        <w:rPr>
          <w:rFonts w:ascii="Times New Roman" w:hAnsi="Times New Roman" w:cs="Times New Roman"/>
          <w:sz w:val="26"/>
          <w:szCs w:val="26"/>
        </w:rPr>
      </w:pPr>
    </w:p>
    <w:p w:rsidR="00332323" w:rsidRDefault="00332323" w:rsidP="003724C3">
      <w:pPr>
        <w:spacing w:after="0"/>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r w:rsidRPr="0099556D">
        <w:rPr>
          <w:rFonts w:ascii="Times New Roman" w:hAnsi="Times New Roman" w:cs="Times New Roman"/>
          <w:sz w:val="26"/>
          <w:szCs w:val="26"/>
          <w:u w:val="single"/>
        </w:rPr>
        <w:t>DATA, HORÁRIO E LOCAL</w:t>
      </w:r>
      <w:r w:rsidRPr="0099556D">
        <w:rPr>
          <w:rFonts w:ascii="Times New Roman" w:hAnsi="Times New Roman" w:cs="Times New Roman"/>
          <w:sz w:val="26"/>
          <w:szCs w:val="26"/>
        </w:rPr>
        <w:t xml:space="preserve">: </w:t>
      </w:r>
      <w:r w:rsidR="00A37DCA" w:rsidRPr="0099556D">
        <w:rPr>
          <w:rFonts w:ascii="Times New Roman" w:hAnsi="Times New Roman" w:cs="Times New Roman"/>
          <w:sz w:val="26"/>
          <w:szCs w:val="26"/>
        </w:rPr>
        <w:t>13</w:t>
      </w:r>
      <w:r w:rsidRPr="0099556D">
        <w:rPr>
          <w:rFonts w:ascii="Times New Roman" w:hAnsi="Times New Roman" w:cs="Times New Roman"/>
          <w:sz w:val="26"/>
          <w:szCs w:val="26"/>
        </w:rPr>
        <w:t xml:space="preserve"> de maio de 2020, às 11 horas, na sede social da João Fortes Engenharia S.A. (“</w:t>
      </w:r>
      <w:r w:rsidRPr="0099556D">
        <w:rPr>
          <w:rFonts w:ascii="Times New Roman" w:hAnsi="Times New Roman" w:cs="Times New Roman"/>
          <w:sz w:val="26"/>
          <w:szCs w:val="26"/>
          <w:u w:val="single"/>
        </w:rPr>
        <w:t>Companhia</w:t>
      </w:r>
      <w:r w:rsidRPr="0099556D">
        <w:rPr>
          <w:rFonts w:ascii="Times New Roman" w:hAnsi="Times New Roman" w:cs="Times New Roman"/>
          <w:sz w:val="26"/>
          <w:szCs w:val="26"/>
        </w:rPr>
        <w:t>”), na Cidade do Rio de Janeiro, Estado do Rio de Janeiro, na Avenida das Américas 3.443, bloco, 3, loja 108.</w:t>
      </w:r>
      <w:r w:rsidRPr="00F758BE">
        <w:rPr>
          <w:rFonts w:ascii="Times New Roman" w:hAnsi="Times New Roman" w:cs="Times New Roman"/>
          <w:sz w:val="26"/>
          <w:szCs w:val="26"/>
        </w:rPr>
        <w:t xml:space="preserve"> </w:t>
      </w:r>
    </w:p>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sz w:val="26"/>
          <w:szCs w:val="26"/>
          <w:u w:val="single"/>
        </w:rPr>
        <w:t>CONVOCAÇÃO</w:t>
      </w:r>
      <w:r w:rsidRPr="00F758BE">
        <w:rPr>
          <w:rFonts w:ascii="Times New Roman" w:hAnsi="Times New Roman" w:cs="Times New Roman"/>
          <w:sz w:val="26"/>
          <w:szCs w:val="26"/>
        </w:rPr>
        <w:t>: dispensada a convocação por edital, nos termos do artigo 71 §2º, e artigo 124 §4º da Lei nº 6.404, de 15 de dezembro de 1976, conforme alterada, tendo em vista a presença da totalidade dos titulares das Debêntures (conforme definido abaixo) em circulação (“</w:t>
      </w:r>
      <w:r w:rsidRPr="00F758BE">
        <w:rPr>
          <w:rFonts w:ascii="Times New Roman" w:hAnsi="Times New Roman" w:cs="Times New Roman"/>
          <w:sz w:val="26"/>
          <w:szCs w:val="26"/>
          <w:u w:val="single"/>
        </w:rPr>
        <w:t>Debenturistas</w:t>
      </w:r>
      <w:r w:rsidRPr="00F758BE">
        <w:rPr>
          <w:rFonts w:ascii="Times New Roman" w:hAnsi="Times New Roman" w:cs="Times New Roman"/>
          <w:sz w:val="26"/>
          <w:szCs w:val="26"/>
        </w:rPr>
        <w:t>”), consistente do único Debenturista da Primeira Série. Para os fins desta assembleia, “Debêntures” significam as debêntures emitidas nos termos do “Instrumento Particular de Escritura de Emissão Pública de Debêntures Simples, Não Conversíveis em Ações, da Espécie com Garantia Real, com Garantia Adicional Fidejuss</w:t>
      </w:r>
      <w:r>
        <w:rPr>
          <w:rFonts w:ascii="Times New Roman" w:hAnsi="Times New Roman" w:cs="Times New Roman"/>
          <w:sz w:val="26"/>
          <w:szCs w:val="26"/>
        </w:rPr>
        <w:t>ó</w:t>
      </w:r>
      <w:r w:rsidRPr="00F758BE">
        <w:rPr>
          <w:rFonts w:ascii="Times New Roman" w:hAnsi="Times New Roman" w:cs="Times New Roman"/>
          <w:sz w:val="26"/>
          <w:szCs w:val="26"/>
        </w:rPr>
        <w:t xml:space="preserve">ria, da Terceira Emissão de João Fortes Engenharia S.A.”, celebrado em 1º de setembro de 2015, conforme alterado posteriormente e observadas as </w:t>
      </w:r>
      <w:r w:rsidR="004C6FFE">
        <w:rPr>
          <w:rFonts w:ascii="Times New Roman" w:hAnsi="Times New Roman" w:cs="Times New Roman"/>
          <w:sz w:val="26"/>
          <w:szCs w:val="26"/>
        </w:rPr>
        <w:t xml:space="preserve">aprovações expressas </w:t>
      </w:r>
      <w:r w:rsidR="00C50A43">
        <w:rPr>
          <w:rFonts w:ascii="Times New Roman" w:hAnsi="Times New Roman" w:cs="Times New Roman"/>
          <w:sz w:val="26"/>
          <w:szCs w:val="26"/>
        </w:rPr>
        <w:t xml:space="preserve">nas </w:t>
      </w:r>
      <w:r w:rsidRPr="00F758BE">
        <w:rPr>
          <w:rFonts w:ascii="Times New Roman" w:hAnsi="Times New Roman" w:cs="Times New Roman"/>
          <w:sz w:val="26"/>
          <w:szCs w:val="26"/>
        </w:rPr>
        <w:t>atas de Assembleias Gerais de Debenturistas realizadas até a presente data (“</w:t>
      </w:r>
      <w:r w:rsidRPr="00F758BE">
        <w:rPr>
          <w:rFonts w:ascii="Times New Roman" w:hAnsi="Times New Roman" w:cs="Times New Roman"/>
          <w:sz w:val="26"/>
          <w:szCs w:val="26"/>
          <w:u w:val="single"/>
        </w:rPr>
        <w:t>Escritura de Emissão</w:t>
      </w:r>
      <w:r w:rsidRPr="00F758BE">
        <w:rPr>
          <w:rFonts w:ascii="Times New Roman" w:hAnsi="Times New Roman" w:cs="Times New Roman"/>
          <w:sz w:val="26"/>
          <w:szCs w:val="26"/>
        </w:rPr>
        <w:t>”</w:t>
      </w:r>
      <w:r w:rsidR="00A93E9F">
        <w:rPr>
          <w:rFonts w:ascii="Times New Roman" w:hAnsi="Times New Roman" w:cs="Times New Roman"/>
          <w:sz w:val="26"/>
          <w:szCs w:val="26"/>
        </w:rPr>
        <w:t xml:space="preserve"> e “Debêntures”)</w:t>
      </w:r>
      <w:r>
        <w:rPr>
          <w:rFonts w:ascii="Times New Roman" w:hAnsi="Times New Roman" w:cs="Times New Roman"/>
          <w:sz w:val="26"/>
          <w:szCs w:val="26"/>
        </w:rPr>
        <w:t>.</w:t>
      </w:r>
      <w:r w:rsidR="0065471B">
        <w:rPr>
          <w:rFonts w:ascii="Times New Roman" w:hAnsi="Times New Roman" w:cs="Times New Roman"/>
          <w:sz w:val="26"/>
          <w:szCs w:val="26"/>
        </w:rPr>
        <w:t xml:space="preserve"> Fica registrado que não há debêntures em circulação da Segunda Série e da Terceira Série da </w:t>
      </w:r>
      <w:r w:rsidR="004C6FFE">
        <w:rPr>
          <w:rFonts w:ascii="Times New Roman" w:hAnsi="Times New Roman" w:cs="Times New Roman"/>
          <w:sz w:val="26"/>
          <w:szCs w:val="26"/>
        </w:rPr>
        <w:t>3</w:t>
      </w:r>
      <w:r w:rsidR="0065471B">
        <w:rPr>
          <w:rFonts w:ascii="Times New Roman" w:hAnsi="Times New Roman" w:cs="Times New Roman"/>
          <w:sz w:val="26"/>
          <w:szCs w:val="26"/>
        </w:rPr>
        <w:t>ª Emissão da Companhia.</w:t>
      </w:r>
    </w:p>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sz w:val="26"/>
          <w:szCs w:val="26"/>
          <w:u w:val="single"/>
        </w:rPr>
        <w:t>PRESENÇA</w:t>
      </w:r>
      <w:r w:rsidRPr="00F758BE">
        <w:rPr>
          <w:rFonts w:ascii="Times New Roman" w:hAnsi="Times New Roman" w:cs="Times New Roman"/>
          <w:sz w:val="26"/>
          <w:szCs w:val="26"/>
        </w:rPr>
        <w:t>: presente a totalidade dos Debenturistas, conforme se verifica das assinaturas na Lista de Presença de Debenturistas anexa a esta ata, a Simplific Pavarini Distribuidora de Títulos e Valores Mobiliários Ltda., na qualidade de agente fiduciário, nomeado na Escritura de Emissão, representando a comunhão dos Debenturistas (“</w:t>
      </w:r>
      <w:r w:rsidRPr="00F758BE">
        <w:rPr>
          <w:rFonts w:ascii="Times New Roman" w:hAnsi="Times New Roman" w:cs="Times New Roman"/>
          <w:sz w:val="26"/>
          <w:szCs w:val="26"/>
          <w:u w:val="single"/>
        </w:rPr>
        <w:t>Agente Fiduciário</w:t>
      </w:r>
      <w:r w:rsidRPr="00F758BE">
        <w:rPr>
          <w:rFonts w:ascii="Times New Roman" w:hAnsi="Times New Roman" w:cs="Times New Roman"/>
          <w:sz w:val="26"/>
          <w:szCs w:val="26"/>
        </w:rPr>
        <w:t xml:space="preserve">”) e a Companhia.  </w:t>
      </w:r>
    </w:p>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sz w:val="26"/>
          <w:szCs w:val="26"/>
          <w:u w:val="single"/>
        </w:rPr>
        <w:t>COMPOSIÇÃO DA MESA</w:t>
      </w:r>
      <w:r w:rsidRPr="00F758BE">
        <w:rPr>
          <w:rFonts w:ascii="Times New Roman" w:hAnsi="Times New Roman" w:cs="Times New Roman"/>
          <w:sz w:val="26"/>
          <w:szCs w:val="26"/>
        </w:rPr>
        <w:t xml:space="preserve">: Presidente: Antonio José de Almeida Carneiro; e Secretário: Roberto Alexandre de Alencar Araripe Quilelli Correa. </w:t>
      </w:r>
    </w:p>
    <w:p w:rsidR="00F758BE" w:rsidRPr="00F758BE" w:rsidRDefault="00F758BE" w:rsidP="003724C3">
      <w:pPr>
        <w:spacing w:after="0"/>
        <w:rPr>
          <w:rFonts w:ascii="Times New Roman" w:hAnsi="Times New Roman" w:cs="Times New Roman"/>
          <w:sz w:val="26"/>
          <w:szCs w:val="26"/>
        </w:rPr>
      </w:pPr>
    </w:p>
    <w:p w:rsidR="000D2FB3" w:rsidRDefault="00F758BE" w:rsidP="003724C3">
      <w:pPr>
        <w:spacing w:after="120"/>
        <w:rPr>
          <w:rFonts w:ascii="Times New Roman" w:hAnsi="Times New Roman" w:cs="Times New Roman"/>
          <w:sz w:val="26"/>
          <w:szCs w:val="26"/>
        </w:rPr>
      </w:pPr>
      <w:r w:rsidRPr="00F758BE">
        <w:rPr>
          <w:rFonts w:ascii="Times New Roman" w:hAnsi="Times New Roman" w:cs="Times New Roman"/>
          <w:sz w:val="26"/>
          <w:szCs w:val="26"/>
          <w:u w:val="single"/>
        </w:rPr>
        <w:t>ORDEM DO DIA</w:t>
      </w:r>
      <w:r w:rsidRPr="00F758BE">
        <w:rPr>
          <w:rFonts w:ascii="Times New Roman" w:hAnsi="Times New Roman" w:cs="Times New Roman"/>
          <w:sz w:val="26"/>
          <w:szCs w:val="26"/>
        </w:rPr>
        <w:t xml:space="preserve">: </w:t>
      </w:r>
    </w:p>
    <w:p w:rsidR="00F758BE" w:rsidRPr="00F758BE" w:rsidRDefault="000D2FB3" w:rsidP="003724C3">
      <w:pPr>
        <w:spacing w:after="120"/>
        <w:rPr>
          <w:rFonts w:ascii="Times New Roman" w:hAnsi="Times New Roman" w:cs="Times New Roman"/>
          <w:sz w:val="26"/>
          <w:szCs w:val="26"/>
        </w:rPr>
      </w:pPr>
      <w:r>
        <w:rPr>
          <w:rFonts w:ascii="Times New Roman" w:hAnsi="Times New Roman" w:cs="Times New Roman"/>
          <w:sz w:val="26"/>
          <w:szCs w:val="26"/>
        </w:rPr>
        <w:t>C</w:t>
      </w:r>
      <w:r w:rsidR="005F78F6">
        <w:rPr>
          <w:rFonts w:ascii="Times New Roman" w:hAnsi="Times New Roman" w:cs="Times New Roman"/>
          <w:sz w:val="26"/>
          <w:szCs w:val="26"/>
        </w:rPr>
        <w:t>onsiderando que:</w:t>
      </w:r>
      <w:r w:rsidR="00F758BE" w:rsidRPr="00F758BE">
        <w:rPr>
          <w:rFonts w:ascii="Times New Roman" w:hAnsi="Times New Roman" w:cs="Times New Roman"/>
          <w:sz w:val="26"/>
          <w:szCs w:val="26"/>
        </w:rPr>
        <w:t xml:space="preserve"> </w:t>
      </w:r>
    </w:p>
    <w:p w:rsidR="005F78F6" w:rsidRPr="003724C3" w:rsidRDefault="00F62D85" w:rsidP="003724C3">
      <w:pPr>
        <w:spacing w:after="120"/>
        <w:jc w:val="both"/>
        <w:rPr>
          <w:rFonts w:ascii="Times New Roman" w:hAnsi="Times New Roman" w:cs="Times New Roman"/>
          <w:sz w:val="26"/>
          <w:szCs w:val="26"/>
        </w:rPr>
      </w:pPr>
      <w:r>
        <w:rPr>
          <w:rFonts w:ascii="Times New Roman" w:hAnsi="Times New Roman" w:cs="Times New Roman"/>
          <w:sz w:val="26"/>
          <w:szCs w:val="26"/>
        </w:rPr>
        <w:t>(a)</w:t>
      </w:r>
      <w:r w:rsidR="00A93E9F">
        <w:rPr>
          <w:rFonts w:ascii="Times New Roman" w:hAnsi="Times New Roman" w:cs="Times New Roman"/>
          <w:sz w:val="26"/>
          <w:szCs w:val="26"/>
        </w:rPr>
        <w:t xml:space="preserve"> </w:t>
      </w:r>
      <w:r w:rsidR="005F78F6" w:rsidRPr="003724C3">
        <w:rPr>
          <w:rFonts w:ascii="Times New Roman" w:hAnsi="Times New Roman" w:cs="Times New Roman"/>
          <w:sz w:val="26"/>
          <w:szCs w:val="26"/>
        </w:rPr>
        <w:t>Foi a</w:t>
      </w:r>
      <w:r w:rsidR="00F758BE" w:rsidRPr="003724C3">
        <w:rPr>
          <w:rFonts w:ascii="Times New Roman" w:hAnsi="Times New Roman" w:cs="Times New Roman"/>
          <w:sz w:val="26"/>
          <w:szCs w:val="26"/>
        </w:rPr>
        <w:t>juizado pedido de recuperação judicial pela Companhia em 27/04/2020</w:t>
      </w:r>
      <w:r w:rsidR="005F78F6" w:rsidRPr="003724C3">
        <w:rPr>
          <w:rFonts w:ascii="Times New Roman" w:hAnsi="Times New Roman" w:cs="Times New Roman"/>
          <w:sz w:val="26"/>
          <w:szCs w:val="26"/>
        </w:rPr>
        <w:t>;</w:t>
      </w:r>
      <w:r w:rsidR="00F758BE" w:rsidRPr="003724C3">
        <w:rPr>
          <w:rFonts w:ascii="Times New Roman" w:hAnsi="Times New Roman" w:cs="Times New Roman"/>
          <w:sz w:val="26"/>
          <w:szCs w:val="26"/>
        </w:rPr>
        <w:t xml:space="preserve"> </w:t>
      </w:r>
    </w:p>
    <w:p w:rsidR="00F758BE" w:rsidRPr="003724C3" w:rsidRDefault="00F62D85" w:rsidP="003724C3">
      <w:pPr>
        <w:spacing w:after="120"/>
        <w:jc w:val="both"/>
        <w:rPr>
          <w:rFonts w:ascii="Times New Roman" w:hAnsi="Times New Roman" w:cs="Times New Roman"/>
          <w:sz w:val="26"/>
          <w:szCs w:val="26"/>
        </w:rPr>
      </w:pPr>
      <w:r>
        <w:rPr>
          <w:rFonts w:ascii="Times New Roman" w:hAnsi="Times New Roman" w:cs="Times New Roman"/>
          <w:sz w:val="26"/>
          <w:szCs w:val="26"/>
        </w:rPr>
        <w:t>(b)</w:t>
      </w:r>
      <w:r w:rsidR="00A93E9F">
        <w:rPr>
          <w:rFonts w:ascii="Times New Roman" w:hAnsi="Times New Roman" w:cs="Times New Roman"/>
          <w:sz w:val="26"/>
          <w:szCs w:val="26"/>
        </w:rPr>
        <w:t xml:space="preserve"> </w:t>
      </w:r>
      <w:r w:rsidR="005F78F6" w:rsidRPr="003724C3">
        <w:rPr>
          <w:rFonts w:ascii="Times New Roman" w:hAnsi="Times New Roman" w:cs="Times New Roman"/>
          <w:sz w:val="26"/>
          <w:szCs w:val="26"/>
        </w:rPr>
        <w:t>O</w:t>
      </w:r>
      <w:r w:rsidR="00F758BE" w:rsidRPr="003724C3">
        <w:rPr>
          <w:rFonts w:ascii="Times New Roman" w:hAnsi="Times New Roman" w:cs="Times New Roman"/>
          <w:sz w:val="26"/>
          <w:szCs w:val="26"/>
        </w:rPr>
        <w:t xml:space="preserve"> Agente Fiduciário notificou a Companhia em 30/04/2020 acerca do vencimento antecipado automático das Debêntures, em razão do disposto na</w:t>
      </w:r>
      <w:r w:rsidR="004C6FFE">
        <w:rPr>
          <w:rFonts w:ascii="Times New Roman" w:hAnsi="Times New Roman" w:cs="Times New Roman"/>
          <w:sz w:val="26"/>
          <w:szCs w:val="26"/>
        </w:rPr>
        <w:t>s</w:t>
      </w:r>
      <w:r w:rsidR="00F758BE" w:rsidRPr="003724C3">
        <w:rPr>
          <w:rFonts w:ascii="Times New Roman" w:hAnsi="Times New Roman" w:cs="Times New Roman"/>
          <w:sz w:val="26"/>
          <w:szCs w:val="26"/>
        </w:rPr>
        <w:t xml:space="preserve"> Cláusulas 6.33.1, inciso VIII, e 6.33.3 da Escritura de Emissão</w:t>
      </w:r>
      <w:r w:rsidR="004C6FFE">
        <w:rPr>
          <w:rFonts w:ascii="Times New Roman" w:hAnsi="Times New Roman" w:cs="Times New Roman"/>
          <w:sz w:val="26"/>
          <w:szCs w:val="26"/>
        </w:rPr>
        <w:t xml:space="preserve"> (</w:t>
      </w:r>
      <w:r w:rsidR="004C6FFE" w:rsidRPr="003724C3">
        <w:rPr>
          <w:rFonts w:ascii="Times New Roman" w:hAnsi="Times New Roman" w:cs="Times New Roman"/>
          <w:sz w:val="26"/>
          <w:szCs w:val="26"/>
          <w:u w:val="single"/>
        </w:rPr>
        <w:t>Anexo I</w:t>
      </w:r>
      <w:r w:rsidR="004C6FFE">
        <w:rPr>
          <w:rFonts w:ascii="Times New Roman" w:hAnsi="Times New Roman" w:cs="Times New Roman"/>
          <w:sz w:val="26"/>
          <w:szCs w:val="26"/>
        </w:rPr>
        <w:t>);</w:t>
      </w:r>
      <w:r w:rsidR="00332323">
        <w:rPr>
          <w:rFonts w:ascii="Times New Roman" w:hAnsi="Times New Roman" w:cs="Times New Roman"/>
          <w:sz w:val="26"/>
          <w:szCs w:val="26"/>
        </w:rPr>
        <w:t xml:space="preserve"> e</w:t>
      </w:r>
    </w:p>
    <w:p w:rsidR="000D2FB3" w:rsidRDefault="00F62D85" w:rsidP="003724C3">
      <w:pPr>
        <w:spacing w:after="120"/>
        <w:jc w:val="both"/>
        <w:rPr>
          <w:rFonts w:ascii="Times New Roman" w:hAnsi="Times New Roman" w:cs="Times New Roman"/>
          <w:sz w:val="26"/>
          <w:szCs w:val="26"/>
        </w:rPr>
      </w:pPr>
      <w:r>
        <w:rPr>
          <w:rFonts w:ascii="Times New Roman" w:hAnsi="Times New Roman" w:cs="Times New Roman"/>
          <w:sz w:val="26"/>
          <w:szCs w:val="26"/>
        </w:rPr>
        <w:t>(c)</w:t>
      </w:r>
      <w:r w:rsidR="004C6FFE">
        <w:rPr>
          <w:rFonts w:ascii="Times New Roman" w:hAnsi="Times New Roman" w:cs="Times New Roman"/>
          <w:sz w:val="26"/>
          <w:szCs w:val="26"/>
        </w:rPr>
        <w:t xml:space="preserve"> A Companhia contranotificou o Agente Fiduciário, em 04</w:t>
      </w:r>
      <w:r w:rsidR="00332323">
        <w:rPr>
          <w:rFonts w:ascii="Times New Roman" w:hAnsi="Times New Roman" w:cs="Times New Roman"/>
          <w:sz w:val="26"/>
          <w:szCs w:val="26"/>
        </w:rPr>
        <w:t>/05/2020</w:t>
      </w:r>
      <w:r w:rsidR="004C6FFE">
        <w:rPr>
          <w:rFonts w:ascii="Times New Roman" w:hAnsi="Times New Roman" w:cs="Times New Roman"/>
          <w:sz w:val="26"/>
          <w:szCs w:val="26"/>
        </w:rPr>
        <w:t>, revelando sua discordância com relação ao vencimento antecipado.</w:t>
      </w:r>
      <w:r>
        <w:rPr>
          <w:rFonts w:ascii="Times New Roman" w:hAnsi="Times New Roman" w:cs="Times New Roman"/>
          <w:sz w:val="26"/>
          <w:szCs w:val="26"/>
        </w:rPr>
        <w:t xml:space="preserve"> Nesse sentido, argumenta que cláusula de vencimento antecipado fundada exclusivamente em pedido de recuperação judicial é considerada abusiva</w:t>
      </w:r>
      <w:r w:rsidR="004C6FFE">
        <w:rPr>
          <w:rFonts w:ascii="Times New Roman" w:hAnsi="Times New Roman" w:cs="Times New Roman"/>
          <w:sz w:val="26"/>
          <w:szCs w:val="26"/>
        </w:rPr>
        <w:t xml:space="preserve"> (</w:t>
      </w:r>
      <w:r w:rsidR="004C6FFE" w:rsidRPr="003724C3">
        <w:rPr>
          <w:rFonts w:ascii="Times New Roman" w:hAnsi="Times New Roman" w:cs="Times New Roman"/>
          <w:sz w:val="26"/>
          <w:szCs w:val="26"/>
          <w:u w:val="single"/>
        </w:rPr>
        <w:t>Anexo II</w:t>
      </w:r>
      <w:r w:rsidR="004C6FFE">
        <w:rPr>
          <w:rFonts w:ascii="Times New Roman" w:hAnsi="Times New Roman" w:cs="Times New Roman"/>
          <w:sz w:val="26"/>
          <w:szCs w:val="26"/>
        </w:rPr>
        <w:t>)</w:t>
      </w:r>
      <w:r w:rsidR="000D2FB3">
        <w:rPr>
          <w:rFonts w:ascii="Times New Roman" w:hAnsi="Times New Roman" w:cs="Times New Roman"/>
          <w:sz w:val="26"/>
          <w:szCs w:val="26"/>
        </w:rPr>
        <w:t>.</w:t>
      </w:r>
    </w:p>
    <w:p w:rsidR="000D2FB3" w:rsidRDefault="000D2FB3" w:rsidP="003724C3">
      <w:pPr>
        <w:spacing w:after="120"/>
        <w:ind w:left="567"/>
        <w:jc w:val="both"/>
        <w:rPr>
          <w:rFonts w:ascii="Times New Roman" w:hAnsi="Times New Roman" w:cs="Times New Roman"/>
          <w:sz w:val="26"/>
          <w:szCs w:val="26"/>
        </w:rPr>
      </w:pPr>
    </w:p>
    <w:p w:rsidR="00F758BE" w:rsidRPr="003724C3" w:rsidRDefault="000D2FB3" w:rsidP="003724C3">
      <w:pPr>
        <w:spacing w:after="120"/>
        <w:jc w:val="both"/>
        <w:rPr>
          <w:rFonts w:ascii="Times New Roman" w:hAnsi="Times New Roman" w:cs="Times New Roman"/>
          <w:sz w:val="26"/>
          <w:szCs w:val="26"/>
        </w:rPr>
      </w:pPr>
      <w:r>
        <w:rPr>
          <w:rFonts w:ascii="Times New Roman" w:hAnsi="Times New Roman" w:cs="Times New Roman"/>
          <w:sz w:val="26"/>
          <w:szCs w:val="26"/>
        </w:rPr>
        <w:t>E</w:t>
      </w:r>
      <w:r w:rsidRPr="00F758BE">
        <w:rPr>
          <w:rFonts w:ascii="Times New Roman" w:hAnsi="Times New Roman" w:cs="Times New Roman"/>
          <w:sz w:val="26"/>
          <w:szCs w:val="26"/>
        </w:rPr>
        <w:t>xaminar, discutir e deliberar sobre as seguintes matérias</w:t>
      </w:r>
      <w:r>
        <w:rPr>
          <w:rFonts w:ascii="Times New Roman" w:hAnsi="Times New Roman" w:cs="Times New Roman"/>
          <w:sz w:val="26"/>
          <w:szCs w:val="26"/>
        </w:rPr>
        <w:t xml:space="preserve">: </w:t>
      </w:r>
    </w:p>
    <w:p w:rsidR="003A2B94" w:rsidRPr="003724C3" w:rsidRDefault="000D2FB3" w:rsidP="003724C3">
      <w:pPr>
        <w:pStyle w:val="PargrafodaLista"/>
        <w:numPr>
          <w:ilvl w:val="0"/>
          <w:numId w:val="7"/>
        </w:numPr>
        <w:spacing w:after="0"/>
        <w:ind w:left="0" w:firstLine="0"/>
        <w:jc w:val="both"/>
        <w:rPr>
          <w:rFonts w:ascii="Times New Roman" w:hAnsi="Times New Roman" w:cs="Times New Roman"/>
          <w:sz w:val="26"/>
          <w:szCs w:val="26"/>
        </w:rPr>
      </w:pPr>
      <w:r>
        <w:rPr>
          <w:rFonts w:ascii="Times New Roman" w:hAnsi="Times New Roman" w:cs="Times New Roman"/>
          <w:sz w:val="26"/>
          <w:szCs w:val="26"/>
        </w:rPr>
        <w:t xml:space="preserve">O </w:t>
      </w:r>
      <w:r w:rsidR="00F758BE" w:rsidRPr="003724C3">
        <w:rPr>
          <w:rFonts w:ascii="Times New Roman" w:hAnsi="Times New Roman" w:cs="Times New Roman"/>
          <w:sz w:val="26"/>
          <w:szCs w:val="26"/>
        </w:rPr>
        <w:t>vencimento antecipado</w:t>
      </w:r>
      <w:r w:rsidR="0076085D" w:rsidRPr="003724C3">
        <w:rPr>
          <w:rFonts w:ascii="Times New Roman" w:hAnsi="Times New Roman" w:cs="Times New Roman"/>
          <w:sz w:val="26"/>
          <w:szCs w:val="26"/>
        </w:rPr>
        <w:t xml:space="preserve">, ou não, </w:t>
      </w:r>
      <w:r w:rsidR="00F758BE" w:rsidRPr="003724C3">
        <w:rPr>
          <w:rFonts w:ascii="Times New Roman" w:hAnsi="Times New Roman" w:cs="Times New Roman"/>
          <w:sz w:val="26"/>
          <w:szCs w:val="26"/>
        </w:rPr>
        <w:t>das obrigações decorrentes das Debêntures</w:t>
      </w:r>
      <w:r w:rsidRPr="003724C3">
        <w:rPr>
          <w:rFonts w:ascii="Times New Roman" w:hAnsi="Times New Roman" w:cs="Times New Roman"/>
          <w:sz w:val="26"/>
          <w:szCs w:val="26"/>
        </w:rPr>
        <w:t xml:space="preserve"> </w:t>
      </w:r>
      <w:r w:rsidR="00332323" w:rsidRPr="003724C3">
        <w:rPr>
          <w:rFonts w:ascii="Times New Roman" w:hAnsi="Times New Roman" w:cs="Times New Roman"/>
          <w:sz w:val="26"/>
          <w:szCs w:val="26"/>
        </w:rPr>
        <w:t>previsto na Cláusula 6.33.1, inciso VII, item “d”</w:t>
      </w:r>
      <w:r w:rsidR="00AF671D" w:rsidRPr="003724C3">
        <w:rPr>
          <w:rFonts w:ascii="Times New Roman" w:hAnsi="Times New Roman" w:cs="Times New Roman"/>
          <w:sz w:val="26"/>
          <w:szCs w:val="26"/>
        </w:rPr>
        <w:t xml:space="preserve"> </w:t>
      </w:r>
      <w:r w:rsidR="00332323" w:rsidRPr="003724C3">
        <w:rPr>
          <w:rFonts w:ascii="Times New Roman" w:hAnsi="Times New Roman" w:cs="Times New Roman"/>
          <w:sz w:val="26"/>
          <w:szCs w:val="26"/>
        </w:rPr>
        <w:t>da Escritura de Emissão</w:t>
      </w:r>
      <w:r w:rsidRPr="003724C3">
        <w:rPr>
          <w:rFonts w:ascii="Times New Roman" w:hAnsi="Times New Roman" w:cs="Times New Roman"/>
          <w:sz w:val="26"/>
          <w:szCs w:val="26"/>
        </w:rPr>
        <w:t>; e</w:t>
      </w:r>
    </w:p>
    <w:p w:rsidR="00F758BE" w:rsidRPr="00F758BE" w:rsidRDefault="00F758BE" w:rsidP="003724C3">
      <w:pPr>
        <w:spacing w:after="0"/>
        <w:rPr>
          <w:rFonts w:ascii="Times New Roman" w:hAnsi="Times New Roman" w:cs="Times New Roman"/>
          <w:sz w:val="26"/>
          <w:szCs w:val="26"/>
        </w:rPr>
      </w:pPr>
      <w:r w:rsidRPr="00F758BE">
        <w:rPr>
          <w:rFonts w:ascii="Times New Roman" w:hAnsi="Times New Roman" w:cs="Times New Roman"/>
          <w:sz w:val="26"/>
          <w:szCs w:val="26"/>
        </w:rPr>
        <w:t xml:space="preserve"> </w:t>
      </w:r>
    </w:p>
    <w:p w:rsidR="0076085D" w:rsidRPr="003724C3" w:rsidRDefault="000D2FB3" w:rsidP="003724C3">
      <w:pPr>
        <w:pStyle w:val="PargrafodaLista"/>
        <w:numPr>
          <w:ilvl w:val="0"/>
          <w:numId w:val="5"/>
        </w:numPr>
        <w:spacing w:after="120"/>
        <w:ind w:left="0" w:hanging="11"/>
        <w:jc w:val="both"/>
        <w:rPr>
          <w:rFonts w:ascii="Times New Roman" w:hAnsi="Times New Roman" w:cs="Times New Roman"/>
          <w:sz w:val="26"/>
          <w:szCs w:val="26"/>
        </w:rPr>
      </w:pPr>
      <w:r w:rsidRPr="003724C3">
        <w:rPr>
          <w:rFonts w:ascii="Times New Roman" w:hAnsi="Times New Roman" w:cs="Times New Roman"/>
          <w:sz w:val="26"/>
          <w:szCs w:val="26"/>
        </w:rPr>
        <w:t>A</w:t>
      </w:r>
      <w:r w:rsidR="00AF671D" w:rsidRPr="003724C3">
        <w:rPr>
          <w:rFonts w:ascii="Times New Roman" w:hAnsi="Times New Roman" w:cs="Times New Roman"/>
          <w:sz w:val="26"/>
          <w:szCs w:val="26"/>
        </w:rPr>
        <w:t xml:space="preserve"> </w:t>
      </w:r>
      <w:r w:rsidR="00751108" w:rsidRPr="003724C3">
        <w:rPr>
          <w:rFonts w:ascii="Times New Roman" w:hAnsi="Times New Roman" w:cs="Times New Roman"/>
          <w:sz w:val="26"/>
          <w:szCs w:val="26"/>
        </w:rPr>
        <w:t xml:space="preserve">representação </w:t>
      </w:r>
      <w:r w:rsidR="00F30BC3" w:rsidRPr="003724C3">
        <w:rPr>
          <w:rFonts w:ascii="Times New Roman" w:hAnsi="Times New Roman" w:cs="Times New Roman"/>
          <w:sz w:val="26"/>
          <w:szCs w:val="26"/>
        </w:rPr>
        <w:t xml:space="preserve">dos Debenturistas </w:t>
      </w:r>
      <w:r w:rsidR="00751108" w:rsidRPr="003724C3">
        <w:rPr>
          <w:rFonts w:ascii="Times New Roman" w:hAnsi="Times New Roman" w:cs="Times New Roman"/>
          <w:sz w:val="26"/>
          <w:szCs w:val="26"/>
        </w:rPr>
        <w:t>no processo de Recuperação Judicial da Companhia.</w:t>
      </w:r>
    </w:p>
    <w:p w:rsidR="00EE775D" w:rsidRPr="003724C3" w:rsidRDefault="00751108" w:rsidP="003724C3">
      <w:pPr>
        <w:pStyle w:val="PargrafodaLista"/>
        <w:spacing w:after="120"/>
        <w:ind w:left="567"/>
        <w:jc w:val="both"/>
        <w:rPr>
          <w:rFonts w:ascii="Times New Roman" w:hAnsi="Times New Roman" w:cs="Times New Roman"/>
          <w:sz w:val="26"/>
          <w:szCs w:val="26"/>
        </w:rPr>
      </w:pPr>
      <w:r w:rsidRPr="00EE775D">
        <w:rPr>
          <w:rFonts w:ascii="Times New Roman" w:hAnsi="Times New Roman" w:cs="Times New Roman"/>
          <w:sz w:val="26"/>
          <w:szCs w:val="26"/>
        </w:rPr>
        <w:t xml:space="preserve"> </w:t>
      </w:r>
    </w:p>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sz w:val="26"/>
          <w:szCs w:val="26"/>
          <w:u w:val="single"/>
        </w:rPr>
        <w:t>DELIBERAÇÕES</w:t>
      </w:r>
      <w:r w:rsidRPr="00F758BE">
        <w:rPr>
          <w:rFonts w:ascii="Times New Roman" w:hAnsi="Times New Roman" w:cs="Times New Roman"/>
          <w:sz w:val="26"/>
          <w:szCs w:val="26"/>
        </w:rPr>
        <w:t>: Após a leitura da Ordem do Dia, a totalidade dos Debenturistas deliberou, por unanimidade</w:t>
      </w:r>
      <w:r w:rsidR="0076085D">
        <w:rPr>
          <w:rFonts w:ascii="Times New Roman" w:hAnsi="Times New Roman" w:cs="Times New Roman"/>
          <w:sz w:val="26"/>
          <w:szCs w:val="26"/>
        </w:rPr>
        <w:t>:</w:t>
      </w:r>
      <w:r w:rsidRPr="00F758BE">
        <w:rPr>
          <w:rFonts w:ascii="Times New Roman" w:hAnsi="Times New Roman" w:cs="Times New Roman"/>
          <w:sz w:val="26"/>
          <w:szCs w:val="26"/>
        </w:rPr>
        <w:t xml:space="preserve"> </w:t>
      </w:r>
    </w:p>
    <w:p w:rsidR="00F758BE" w:rsidRDefault="00F758BE">
      <w:pPr>
        <w:spacing w:after="0"/>
        <w:rPr>
          <w:rFonts w:ascii="Times New Roman" w:hAnsi="Times New Roman" w:cs="Times New Roman"/>
          <w:sz w:val="26"/>
          <w:szCs w:val="26"/>
        </w:rPr>
      </w:pPr>
    </w:p>
    <w:p w:rsidR="003A2B94" w:rsidRPr="003724C3" w:rsidRDefault="0076085D" w:rsidP="003724C3">
      <w:pPr>
        <w:pStyle w:val="PargrafodaLista"/>
        <w:numPr>
          <w:ilvl w:val="0"/>
          <w:numId w:val="2"/>
        </w:numPr>
        <w:spacing w:after="0"/>
        <w:ind w:left="0" w:hanging="11"/>
        <w:jc w:val="both"/>
        <w:rPr>
          <w:rFonts w:ascii="Times New Roman" w:hAnsi="Times New Roman" w:cs="Times New Roman"/>
          <w:sz w:val="26"/>
          <w:szCs w:val="26"/>
        </w:rPr>
      </w:pPr>
      <w:r>
        <w:rPr>
          <w:rFonts w:ascii="Times New Roman" w:hAnsi="Times New Roman" w:cs="Times New Roman"/>
          <w:sz w:val="26"/>
          <w:szCs w:val="26"/>
        </w:rPr>
        <w:t>Aprovar o Não Vencimento Antecipado da Debêntures</w:t>
      </w:r>
      <w:r w:rsidR="00555E27">
        <w:rPr>
          <w:rFonts w:ascii="Times New Roman" w:hAnsi="Times New Roman" w:cs="Times New Roman"/>
          <w:sz w:val="26"/>
          <w:szCs w:val="26"/>
        </w:rPr>
        <w:t xml:space="preserve"> pela ocorrência da hipótese prevista na Cláusula 6.33.1, inciso VII, item “d” da Escritura de Emissão, </w:t>
      </w:r>
      <w:r w:rsidR="003A2B94">
        <w:rPr>
          <w:rFonts w:ascii="Times New Roman" w:hAnsi="Times New Roman" w:cs="Times New Roman"/>
          <w:sz w:val="26"/>
          <w:szCs w:val="26"/>
        </w:rPr>
        <w:t xml:space="preserve">ficando o Agente Fiduciário dispensado </w:t>
      </w:r>
      <w:r w:rsidR="003A2B94" w:rsidRPr="00F758BE">
        <w:rPr>
          <w:rFonts w:ascii="Times New Roman" w:hAnsi="Times New Roman" w:cs="Times New Roman"/>
          <w:sz w:val="26"/>
          <w:szCs w:val="26"/>
        </w:rPr>
        <w:t xml:space="preserve">do cumprimento de qualquer obrigação de promover medidas judiciais ou extrajudiciais em face da Companhia, relacionadas à </w:t>
      </w:r>
      <w:r w:rsidR="003A2B94">
        <w:rPr>
          <w:rFonts w:ascii="Times New Roman" w:hAnsi="Times New Roman" w:cs="Times New Roman"/>
          <w:sz w:val="26"/>
          <w:szCs w:val="26"/>
        </w:rPr>
        <w:t xml:space="preserve">satisfação do crédito debenturístico, incluindo a </w:t>
      </w:r>
      <w:r w:rsidR="003A2B94" w:rsidRPr="00F758BE">
        <w:rPr>
          <w:rFonts w:ascii="Times New Roman" w:hAnsi="Times New Roman" w:cs="Times New Roman"/>
          <w:sz w:val="26"/>
          <w:szCs w:val="26"/>
        </w:rPr>
        <w:t xml:space="preserve">execução das Debêntures. </w:t>
      </w:r>
    </w:p>
    <w:p w:rsidR="003A2B94" w:rsidRDefault="003A2B94" w:rsidP="003724C3">
      <w:pPr>
        <w:pStyle w:val="PargrafodaLista"/>
        <w:spacing w:after="0"/>
        <w:ind w:left="0" w:hanging="11"/>
        <w:rPr>
          <w:rFonts w:ascii="Times New Roman" w:hAnsi="Times New Roman" w:cs="Times New Roman"/>
          <w:sz w:val="26"/>
          <w:szCs w:val="26"/>
        </w:rPr>
      </w:pPr>
    </w:p>
    <w:p w:rsidR="003A2B94" w:rsidRPr="003724C3" w:rsidRDefault="0076085D" w:rsidP="003724C3">
      <w:pPr>
        <w:pStyle w:val="PargrafodaLista"/>
        <w:numPr>
          <w:ilvl w:val="0"/>
          <w:numId w:val="2"/>
        </w:numPr>
        <w:spacing w:after="0"/>
        <w:ind w:left="0" w:hanging="11"/>
        <w:jc w:val="both"/>
        <w:rPr>
          <w:rFonts w:ascii="Times New Roman" w:hAnsi="Times New Roman" w:cs="Times New Roman"/>
          <w:sz w:val="26"/>
          <w:szCs w:val="26"/>
        </w:rPr>
      </w:pPr>
      <w:r w:rsidRPr="003724C3">
        <w:rPr>
          <w:rFonts w:ascii="Times New Roman" w:hAnsi="Times New Roman" w:cs="Times New Roman"/>
          <w:sz w:val="26"/>
          <w:szCs w:val="26"/>
        </w:rPr>
        <w:t>Aprova</w:t>
      </w:r>
      <w:r w:rsidR="003A2B94">
        <w:rPr>
          <w:rFonts w:ascii="Times New Roman" w:hAnsi="Times New Roman" w:cs="Times New Roman"/>
          <w:sz w:val="26"/>
          <w:szCs w:val="26"/>
        </w:rPr>
        <w:t>r</w:t>
      </w:r>
      <w:r w:rsidRPr="003724C3">
        <w:rPr>
          <w:rFonts w:ascii="Times New Roman" w:hAnsi="Times New Roman" w:cs="Times New Roman"/>
          <w:sz w:val="26"/>
          <w:szCs w:val="26"/>
        </w:rPr>
        <w:t xml:space="preserve"> a opção </w:t>
      </w:r>
      <w:r w:rsidR="003A2B94" w:rsidRPr="003724C3">
        <w:rPr>
          <w:rFonts w:ascii="Times New Roman" w:hAnsi="Times New Roman" w:cs="Times New Roman"/>
          <w:sz w:val="26"/>
          <w:szCs w:val="26"/>
        </w:rPr>
        <w:t xml:space="preserve">dos Debenturistas pela sua representação individual e em próprio nome, no processo de Recuperação Judicial da Companhia, eximindo o </w:t>
      </w:r>
      <w:r w:rsidR="003A2B94">
        <w:rPr>
          <w:rFonts w:ascii="Times New Roman" w:hAnsi="Times New Roman" w:cs="Times New Roman"/>
          <w:sz w:val="26"/>
          <w:szCs w:val="26"/>
        </w:rPr>
        <w:t>Agente Fiduciário</w:t>
      </w:r>
      <w:r w:rsidR="003A2B94" w:rsidRPr="003724C3">
        <w:rPr>
          <w:rFonts w:ascii="Times New Roman" w:hAnsi="Times New Roman" w:cs="Times New Roman"/>
          <w:sz w:val="26"/>
          <w:szCs w:val="26"/>
        </w:rPr>
        <w:t xml:space="preserve"> da responsabilidade pela não adoção das medidas que lhe seriam atribuídas por força da Cláusula 8.5, inciso V, da Escritura de Emissão, nos termos previstos na Cláusula 8.6.1 do mesmo instrumento contratual.</w:t>
      </w:r>
    </w:p>
    <w:p w:rsidR="003A2B94" w:rsidRDefault="003A2B94" w:rsidP="003724C3">
      <w:pPr>
        <w:pStyle w:val="PargrafodaLista"/>
        <w:spacing w:after="0"/>
        <w:rPr>
          <w:rFonts w:ascii="Times New Roman" w:hAnsi="Times New Roman" w:cs="Times New Roman"/>
          <w:sz w:val="26"/>
          <w:szCs w:val="26"/>
        </w:rPr>
      </w:pPr>
    </w:p>
    <w:p w:rsidR="00F758BE" w:rsidRPr="003724C3" w:rsidRDefault="00F758BE" w:rsidP="003724C3">
      <w:pPr>
        <w:spacing w:after="0"/>
        <w:rPr>
          <w:rFonts w:ascii="Times New Roman" w:hAnsi="Times New Roman" w:cs="Times New Roman"/>
          <w:sz w:val="26"/>
          <w:szCs w:val="26"/>
        </w:rPr>
      </w:pPr>
      <w:r w:rsidRPr="003724C3">
        <w:rPr>
          <w:rFonts w:ascii="Times New Roman" w:hAnsi="Times New Roman" w:cs="Times New Roman"/>
          <w:sz w:val="26"/>
          <w:szCs w:val="26"/>
          <w:u w:val="single"/>
        </w:rPr>
        <w:t>ENCERRAMENTO</w:t>
      </w:r>
      <w:r w:rsidRPr="003724C3">
        <w:rPr>
          <w:rFonts w:ascii="Times New Roman" w:hAnsi="Times New Roman" w:cs="Times New Roman"/>
          <w:sz w:val="26"/>
          <w:szCs w:val="26"/>
        </w:rPr>
        <w:t xml:space="preserve">: nada mais havendo a ser tratado, foi a presente ata lavrada, lida, aprovada e assinada por todos os presentes. </w:t>
      </w:r>
    </w:p>
    <w:p w:rsidR="00F758BE" w:rsidRPr="00F758BE" w:rsidRDefault="00F758BE" w:rsidP="003724C3">
      <w:pPr>
        <w:spacing w:after="0"/>
        <w:rPr>
          <w:rFonts w:ascii="Times New Roman" w:hAnsi="Times New Roman" w:cs="Times New Roman"/>
          <w:sz w:val="26"/>
          <w:szCs w:val="26"/>
        </w:rPr>
      </w:pPr>
    </w:p>
    <w:p w:rsidR="00F758BE" w:rsidRDefault="00F758BE" w:rsidP="003724C3">
      <w:pPr>
        <w:spacing w:after="0"/>
        <w:jc w:val="center"/>
        <w:rPr>
          <w:rFonts w:ascii="Times New Roman" w:hAnsi="Times New Roman" w:cs="Times New Roman"/>
          <w:sz w:val="26"/>
          <w:szCs w:val="26"/>
        </w:rPr>
      </w:pPr>
      <w:r w:rsidRPr="0099556D">
        <w:rPr>
          <w:rFonts w:ascii="Times New Roman" w:hAnsi="Times New Roman" w:cs="Times New Roman"/>
          <w:sz w:val="26"/>
          <w:szCs w:val="26"/>
        </w:rPr>
        <w:t xml:space="preserve">Rio de Janeiro, </w:t>
      </w:r>
      <w:r w:rsidR="00A37DCA" w:rsidRPr="0099556D">
        <w:rPr>
          <w:rFonts w:ascii="Times New Roman" w:hAnsi="Times New Roman" w:cs="Times New Roman"/>
          <w:sz w:val="26"/>
          <w:szCs w:val="26"/>
        </w:rPr>
        <w:t>13</w:t>
      </w:r>
      <w:r w:rsidRPr="0099556D">
        <w:rPr>
          <w:rFonts w:ascii="Times New Roman" w:hAnsi="Times New Roman" w:cs="Times New Roman"/>
          <w:sz w:val="26"/>
          <w:szCs w:val="26"/>
        </w:rPr>
        <w:t xml:space="preserve"> de maio de 2020.</w:t>
      </w:r>
    </w:p>
    <w:p w:rsidR="00F758BE" w:rsidRDefault="00F758BE" w:rsidP="003724C3">
      <w:pPr>
        <w:spacing w:after="0"/>
        <w:rPr>
          <w:sz w:val="26"/>
          <w:szCs w:val="26"/>
        </w:rPr>
      </w:pPr>
    </w:p>
    <w:p w:rsidR="00555E27" w:rsidRDefault="00555E27" w:rsidP="003724C3">
      <w:pPr>
        <w:spacing w:after="0"/>
        <w:rPr>
          <w:sz w:val="26"/>
          <w:szCs w:val="26"/>
        </w:rPr>
      </w:pPr>
    </w:p>
    <w:p w:rsidR="00555E27" w:rsidRPr="00F758BE" w:rsidRDefault="00555E27" w:rsidP="003724C3">
      <w:pPr>
        <w:spacing w:after="0"/>
        <w:rPr>
          <w:sz w:val="26"/>
          <w:szCs w:val="26"/>
        </w:rPr>
      </w:pPr>
    </w:p>
    <w:p w:rsidR="00F758BE" w:rsidRPr="00F758BE" w:rsidRDefault="00F758BE" w:rsidP="003724C3">
      <w:pPr>
        <w:spacing w:after="0"/>
        <w:rPr>
          <w:sz w:val="26"/>
          <w:szCs w:val="26"/>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0"/>
        <w:gridCol w:w="701"/>
        <w:gridCol w:w="3903"/>
      </w:tblGrid>
      <w:tr w:rsidR="00F758BE" w:rsidRPr="00F758BE" w:rsidTr="00D62244">
        <w:trPr>
          <w:trHeight w:val="543"/>
          <w:jc w:val="center"/>
        </w:trPr>
        <w:tc>
          <w:tcPr>
            <w:tcW w:w="4060" w:type="dxa"/>
            <w:tcBorders>
              <w:top w:val="single" w:sz="4" w:space="0" w:color="auto"/>
            </w:tcBorders>
          </w:tcPr>
          <w:p w:rsidR="00F758BE" w:rsidRPr="00F758BE" w:rsidRDefault="00F758BE" w:rsidP="00EE775D">
            <w:pPr>
              <w:rPr>
                <w:sz w:val="26"/>
                <w:szCs w:val="26"/>
              </w:rPr>
            </w:pPr>
            <w:r w:rsidRPr="00F758BE">
              <w:rPr>
                <w:sz w:val="26"/>
                <w:szCs w:val="26"/>
              </w:rPr>
              <w:t>Antonio José de Almeida Carneiro</w:t>
            </w:r>
            <w:r w:rsidRPr="00F758BE">
              <w:rPr>
                <w:sz w:val="26"/>
                <w:szCs w:val="26"/>
              </w:rPr>
              <w:br/>
              <w:t>Presidente</w:t>
            </w:r>
          </w:p>
        </w:tc>
        <w:tc>
          <w:tcPr>
            <w:tcW w:w="730" w:type="dxa"/>
          </w:tcPr>
          <w:p w:rsidR="00F758BE" w:rsidRPr="00F758BE" w:rsidRDefault="00F758BE">
            <w:pPr>
              <w:rPr>
                <w:sz w:val="26"/>
                <w:szCs w:val="26"/>
              </w:rPr>
            </w:pPr>
          </w:p>
        </w:tc>
        <w:tc>
          <w:tcPr>
            <w:tcW w:w="4062" w:type="dxa"/>
            <w:tcBorders>
              <w:top w:val="single" w:sz="4" w:space="0" w:color="auto"/>
            </w:tcBorders>
          </w:tcPr>
          <w:p w:rsidR="00F758BE" w:rsidRPr="00F758BE" w:rsidRDefault="00F758BE">
            <w:pPr>
              <w:rPr>
                <w:sz w:val="26"/>
                <w:szCs w:val="26"/>
              </w:rPr>
            </w:pPr>
            <w:r w:rsidRPr="00F758BE">
              <w:rPr>
                <w:sz w:val="26"/>
                <w:szCs w:val="26"/>
              </w:rPr>
              <w:t>Roberto Alexandre de Alencar Araripe Quilleli Correa</w:t>
            </w:r>
            <w:r w:rsidRPr="00F758BE">
              <w:rPr>
                <w:sz w:val="26"/>
                <w:szCs w:val="26"/>
              </w:rPr>
              <w:br/>
              <w:t>Secretário</w:t>
            </w:r>
          </w:p>
        </w:tc>
      </w:tr>
    </w:tbl>
    <w:p w:rsidR="003A2B94" w:rsidRDefault="003A2B94">
      <w:pPr>
        <w:spacing w:after="0"/>
        <w:rPr>
          <w:rFonts w:ascii="Times New Roman" w:hAnsi="Times New Roman" w:cs="Times New Roman"/>
          <w:sz w:val="26"/>
          <w:szCs w:val="26"/>
        </w:rPr>
      </w:pPr>
    </w:p>
    <w:p w:rsidR="00F758BE" w:rsidRPr="00F758BE" w:rsidRDefault="003A2B94" w:rsidP="003724C3">
      <w:pPr>
        <w:spacing w:after="0"/>
        <w:jc w:val="both"/>
        <w:rPr>
          <w:rFonts w:ascii="Times New Roman" w:hAnsi="Times New Roman" w:cs="Times New Roman"/>
          <w:i/>
          <w:sz w:val="26"/>
          <w:szCs w:val="26"/>
        </w:rPr>
      </w:pPr>
      <w:r>
        <w:rPr>
          <w:rFonts w:ascii="Times New Roman" w:hAnsi="Times New Roman" w:cs="Times New Roman"/>
          <w:sz w:val="26"/>
          <w:szCs w:val="26"/>
        </w:rPr>
        <w:br w:type="page"/>
      </w:r>
      <w:r w:rsidR="00F758BE" w:rsidRPr="00F758BE">
        <w:rPr>
          <w:rFonts w:ascii="Times New Roman" w:hAnsi="Times New Roman" w:cs="Times New Roman"/>
          <w:i/>
          <w:sz w:val="26"/>
          <w:szCs w:val="26"/>
        </w:rPr>
        <w:t xml:space="preserve">PÁGINA DE ASSINATURAS 1/2 DA ATA DA ASSEMBLEIA GERAL DE DEBENTURISTAS DA </w:t>
      </w:r>
      <w:r w:rsidR="00555E27">
        <w:rPr>
          <w:rFonts w:ascii="Times New Roman" w:hAnsi="Times New Roman" w:cs="Times New Roman"/>
          <w:i/>
          <w:sz w:val="26"/>
          <w:szCs w:val="26"/>
        </w:rPr>
        <w:t xml:space="preserve">PRIMEIRA SÉRIE DA </w:t>
      </w:r>
      <w:r w:rsidR="00F758BE" w:rsidRPr="00F758BE">
        <w:rPr>
          <w:rFonts w:ascii="Times New Roman" w:hAnsi="Times New Roman" w:cs="Times New Roman"/>
          <w:i/>
          <w:sz w:val="26"/>
          <w:szCs w:val="26"/>
        </w:rPr>
        <w:t xml:space="preserve">TERCEIRA EMISSÃO </w:t>
      </w:r>
      <w:r w:rsidR="00F758BE" w:rsidRPr="0099556D">
        <w:rPr>
          <w:rFonts w:ascii="Times New Roman" w:hAnsi="Times New Roman" w:cs="Times New Roman"/>
          <w:i/>
          <w:sz w:val="26"/>
          <w:szCs w:val="26"/>
        </w:rPr>
        <w:t xml:space="preserve">REALIZADA EM </w:t>
      </w:r>
      <w:r w:rsidR="00A37DCA" w:rsidRPr="0099556D">
        <w:rPr>
          <w:rFonts w:ascii="Times New Roman" w:hAnsi="Times New Roman" w:cs="Times New Roman"/>
          <w:i/>
          <w:sz w:val="26"/>
          <w:szCs w:val="26"/>
        </w:rPr>
        <w:t>13</w:t>
      </w:r>
      <w:r w:rsidR="00F758BE" w:rsidRPr="0099556D">
        <w:rPr>
          <w:rFonts w:ascii="Times New Roman" w:hAnsi="Times New Roman" w:cs="Times New Roman"/>
          <w:i/>
          <w:sz w:val="26"/>
          <w:szCs w:val="26"/>
        </w:rPr>
        <w:t xml:space="preserve"> DE MAIO DE 2020</w:t>
      </w: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sz w:val="26"/>
          <w:szCs w:val="26"/>
        </w:rPr>
        <w:t>Agente Fiduciário:</w:t>
      </w: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b/>
          <w:sz w:val="26"/>
          <w:szCs w:val="26"/>
        </w:rPr>
      </w:pPr>
      <w:r w:rsidRPr="00F758BE">
        <w:rPr>
          <w:rFonts w:ascii="Times New Roman" w:hAnsi="Times New Roman" w:cs="Times New Roman"/>
          <w:b/>
          <w:sz w:val="26"/>
          <w:szCs w:val="26"/>
        </w:rPr>
        <w:t>Simplific Pavarini Distribuidora de Títulos e Valores Mobiliários Ltda.</w:t>
      </w: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p>
    <w:tbl>
      <w:tblPr>
        <w:tblStyle w:val="Tabelacomgrade"/>
        <w:tblW w:w="4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gridCol w:w="730"/>
      </w:tblGrid>
      <w:tr w:rsidR="00F758BE" w:rsidRPr="00F758BE" w:rsidTr="00D62244">
        <w:trPr>
          <w:trHeight w:val="543"/>
          <w:jc w:val="center"/>
        </w:trPr>
        <w:tc>
          <w:tcPr>
            <w:tcW w:w="4060" w:type="dxa"/>
            <w:tcBorders>
              <w:top w:val="single" w:sz="4" w:space="0" w:color="auto"/>
            </w:tcBorders>
          </w:tcPr>
          <w:p w:rsidR="00F758BE" w:rsidRPr="00F758BE" w:rsidRDefault="00F758BE" w:rsidP="00EE775D">
            <w:pPr>
              <w:jc w:val="both"/>
              <w:rPr>
                <w:sz w:val="26"/>
                <w:szCs w:val="26"/>
              </w:rPr>
            </w:pPr>
            <w:r w:rsidRPr="00F758BE">
              <w:rPr>
                <w:sz w:val="26"/>
                <w:szCs w:val="26"/>
              </w:rPr>
              <w:t>Nome:</w:t>
            </w:r>
            <w:r w:rsidRPr="00F758BE">
              <w:rPr>
                <w:sz w:val="26"/>
                <w:szCs w:val="26"/>
              </w:rPr>
              <w:br/>
              <w:t>Cargo:</w:t>
            </w:r>
          </w:p>
        </w:tc>
        <w:tc>
          <w:tcPr>
            <w:tcW w:w="730" w:type="dxa"/>
          </w:tcPr>
          <w:p w:rsidR="00F758BE" w:rsidRPr="00F758BE" w:rsidRDefault="00F758BE">
            <w:pPr>
              <w:jc w:val="both"/>
              <w:rPr>
                <w:sz w:val="26"/>
                <w:szCs w:val="26"/>
              </w:rPr>
            </w:pPr>
          </w:p>
        </w:tc>
      </w:tr>
    </w:tbl>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sz w:val="26"/>
          <w:szCs w:val="26"/>
        </w:rPr>
        <w:t>Companhia:</w:t>
      </w: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b/>
          <w:sz w:val="26"/>
          <w:szCs w:val="26"/>
        </w:rPr>
      </w:pPr>
      <w:r w:rsidRPr="00F758BE">
        <w:rPr>
          <w:rFonts w:ascii="Times New Roman" w:hAnsi="Times New Roman" w:cs="Times New Roman"/>
          <w:b/>
          <w:sz w:val="26"/>
          <w:szCs w:val="26"/>
        </w:rPr>
        <w:t>João Fortes Engenharia S.A.</w:t>
      </w: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gridCol w:w="730"/>
        <w:gridCol w:w="4062"/>
      </w:tblGrid>
      <w:tr w:rsidR="00F758BE" w:rsidRPr="00F758BE" w:rsidTr="00D62244">
        <w:trPr>
          <w:trHeight w:val="543"/>
          <w:jc w:val="center"/>
        </w:trPr>
        <w:tc>
          <w:tcPr>
            <w:tcW w:w="4060" w:type="dxa"/>
            <w:tcBorders>
              <w:top w:val="single" w:sz="4" w:space="0" w:color="auto"/>
            </w:tcBorders>
          </w:tcPr>
          <w:p w:rsidR="00F758BE" w:rsidRPr="00F758BE" w:rsidRDefault="00F758BE" w:rsidP="00EE775D">
            <w:pPr>
              <w:jc w:val="both"/>
              <w:rPr>
                <w:sz w:val="26"/>
                <w:szCs w:val="26"/>
              </w:rPr>
            </w:pPr>
            <w:r w:rsidRPr="00F758BE">
              <w:rPr>
                <w:sz w:val="26"/>
                <w:szCs w:val="26"/>
              </w:rPr>
              <w:t>Nome:</w:t>
            </w:r>
            <w:r w:rsidRPr="00F758BE">
              <w:rPr>
                <w:sz w:val="26"/>
                <w:szCs w:val="26"/>
              </w:rPr>
              <w:br/>
              <w:t>Cargo:</w:t>
            </w:r>
          </w:p>
        </w:tc>
        <w:tc>
          <w:tcPr>
            <w:tcW w:w="730" w:type="dxa"/>
          </w:tcPr>
          <w:p w:rsidR="00F758BE" w:rsidRPr="00F758BE" w:rsidRDefault="00F758BE">
            <w:pPr>
              <w:jc w:val="both"/>
              <w:rPr>
                <w:sz w:val="26"/>
                <w:szCs w:val="26"/>
              </w:rPr>
            </w:pPr>
          </w:p>
        </w:tc>
        <w:tc>
          <w:tcPr>
            <w:tcW w:w="4062" w:type="dxa"/>
            <w:tcBorders>
              <w:top w:val="single" w:sz="4" w:space="0" w:color="auto"/>
            </w:tcBorders>
          </w:tcPr>
          <w:p w:rsidR="00F758BE" w:rsidRPr="00F758BE" w:rsidRDefault="00F758BE">
            <w:pPr>
              <w:jc w:val="both"/>
              <w:rPr>
                <w:sz w:val="26"/>
                <w:szCs w:val="26"/>
              </w:rPr>
            </w:pPr>
            <w:r w:rsidRPr="00F758BE">
              <w:rPr>
                <w:sz w:val="26"/>
                <w:szCs w:val="26"/>
              </w:rPr>
              <w:t>Nome:</w:t>
            </w:r>
            <w:r w:rsidRPr="00F758BE">
              <w:rPr>
                <w:sz w:val="26"/>
                <w:szCs w:val="26"/>
              </w:rPr>
              <w:br/>
              <w:t>Cargo:</w:t>
            </w:r>
          </w:p>
        </w:tc>
      </w:tr>
    </w:tbl>
    <w:p w:rsidR="00F758BE" w:rsidRDefault="00F758BE" w:rsidP="003724C3">
      <w:pPr>
        <w:spacing w:after="0"/>
        <w:jc w:val="center"/>
        <w:rPr>
          <w:rFonts w:ascii="Times New Roman" w:hAnsi="Times New Roman" w:cs="Times New Roman"/>
          <w:sz w:val="26"/>
          <w:szCs w:val="26"/>
        </w:rPr>
      </w:pPr>
    </w:p>
    <w:p w:rsidR="00F758BE" w:rsidRDefault="00F758BE" w:rsidP="003724C3">
      <w:pPr>
        <w:spacing w:after="0"/>
        <w:rPr>
          <w:rFonts w:ascii="Times New Roman" w:hAnsi="Times New Roman" w:cs="Times New Roman"/>
          <w:sz w:val="26"/>
          <w:szCs w:val="26"/>
        </w:rPr>
      </w:pPr>
      <w:r>
        <w:rPr>
          <w:rFonts w:ascii="Times New Roman" w:hAnsi="Times New Roman" w:cs="Times New Roman"/>
          <w:sz w:val="26"/>
          <w:szCs w:val="26"/>
        </w:rPr>
        <w:br w:type="page"/>
      </w:r>
    </w:p>
    <w:p w:rsidR="00F758BE" w:rsidRPr="00F758BE" w:rsidRDefault="00F758BE" w:rsidP="003724C3">
      <w:pPr>
        <w:spacing w:after="0"/>
        <w:jc w:val="both"/>
        <w:rPr>
          <w:rFonts w:ascii="Times New Roman" w:hAnsi="Times New Roman" w:cs="Times New Roman"/>
          <w:i/>
          <w:sz w:val="26"/>
          <w:szCs w:val="26"/>
        </w:rPr>
      </w:pPr>
      <w:r w:rsidRPr="00F758BE">
        <w:rPr>
          <w:rFonts w:ascii="Times New Roman" w:hAnsi="Times New Roman" w:cs="Times New Roman"/>
          <w:i/>
          <w:sz w:val="26"/>
          <w:szCs w:val="26"/>
        </w:rPr>
        <w:t xml:space="preserve">PÁGINA DE ASSINATURAS 2/2 DA ATA DA ASSEMBLEIA GERAL DE DEBENTURISTAS DA </w:t>
      </w:r>
      <w:r w:rsidR="00555E27">
        <w:rPr>
          <w:rFonts w:ascii="Times New Roman" w:hAnsi="Times New Roman" w:cs="Times New Roman"/>
          <w:i/>
          <w:sz w:val="26"/>
          <w:szCs w:val="26"/>
        </w:rPr>
        <w:t xml:space="preserve">PRIMEIRA SÉRIE DA </w:t>
      </w:r>
      <w:r w:rsidRPr="00F758BE">
        <w:rPr>
          <w:rFonts w:ascii="Times New Roman" w:hAnsi="Times New Roman" w:cs="Times New Roman"/>
          <w:i/>
          <w:sz w:val="26"/>
          <w:szCs w:val="26"/>
        </w:rPr>
        <w:t xml:space="preserve">TERCEIRA EMISSÃO </w:t>
      </w:r>
      <w:r w:rsidRPr="0099556D">
        <w:rPr>
          <w:rFonts w:ascii="Times New Roman" w:hAnsi="Times New Roman" w:cs="Times New Roman"/>
          <w:i/>
          <w:sz w:val="26"/>
          <w:szCs w:val="26"/>
        </w:rPr>
        <w:t xml:space="preserve">REALIZADA EM </w:t>
      </w:r>
      <w:r w:rsidR="00A37DCA" w:rsidRPr="0099556D">
        <w:rPr>
          <w:rFonts w:ascii="Times New Roman" w:hAnsi="Times New Roman" w:cs="Times New Roman"/>
          <w:i/>
          <w:sz w:val="26"/>
          <w:szCs w:val="26"/>
        </w:rPr>
        <w:t>13</w:t>
      </w:r>
      <w:r w:rsidRPr="0099556D">
        <w:rPr>
          <w:rFonts w:ascii="Times New Roman" w:hAnsi="Times New Roman" w:cs="Times New Roman"/>
          <w:i/>
          <w:sz w:val="26"/>
          <w:szCs w:val="26"/>
        </w:rPr>
        <w:t xml:space="preserve"> DE MAIO DE 2020</w:t>
      </w:r>
    </w:p>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rPr>
          <w:rFonts w:ascii="Times New Roman" w:hAnsi="Times New Roman" w:cs="Times New Roman"/>
          <w:sz w:val="26"/>
          <w:szCs w:val="26"/>
        </w:rPr>
      </w:pPr>
      <w:r w:rsidRPr="00F758BE">
        <w:rPr>
          <w:rFonts w:ascii="Times New Roman" w:hAnsi="Times New Roman" w:cs="Times New Roman"/>
          <w:sz w:val="26"/>
          <w:szCs w:val="26"/>
        </w:rPr>
        <w:t>Lista de Presença de Debenturistas</w:t>
      </w:r>
    </w:p>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sz w:val="26"/>
          <w:szCs w:val="26"/>
        </w:rPr>
        <w:t xml:space="preserve">Compareceram debenturistas representando a totalidade das 34 (trinta e quatro) debêntures em circulação da </w:t>
      </w:r>
      <w:r w:rsidR="0069431E">
        <w:rPr>
          <w:rFonts w:ascii="Times New Roman" w:hAnsi="Times New Roman" w:cs="Times New Roman"/>
          <w:sz w:val="26"/>
          <w:szCs w:val="26"/>
        </w:rPr>
        <w:t>Primeira Série da T</w:t>
      </w:r>
      <w:r w:rsidRPr="00F758BE">
        <w:rPr>
          <w:rFonts w:ascii="Times New Roman" w:hAnsi="Times New Roman" w:cs="Times New Roman"/>
          <w:sz w:val="26"/>
          <w:szCs w:val="26"/>
        </w:rPr>
        <w:t xml:space="preserve">erceira </w:t>
      </w:r>
      <w:r w:rsidR="0069431E">
        <w:rPr>
          <w:rFonts w:ascii="Times New Roman" w:hAnsi="Times New Roman" w:cs="Times New Roman"/>
          <w:sz w:val="26"/>
          <w:szCs w:val="26"/>
        </w:rPr>
        <w:t>E</w:t>
      </w:r>
      <w:r w:rsidRPr="00F758BE">
        <w:rPr>
          <w:rFonts w:ascii="Times New Roman" w:hAnsi="Times New Roman" w:cs="Times New Roman"/>
          <w:sz w:val="26"/>
          <w:szCs w:val="26"/>
        </w:rPr>
        <w:t>missão de Debêntures da João Fortes Engenharia S.A., conforme atestam as assinaturas abaixo.</w:t>
      </w:r>
    </w:p>
    <w:p w:rsidR="00F758BE" w:rsidRPr="00F758BE" w:rsidRDefault="00F758BE" w:rsidP="003724C3">
      <w:pPr>
        <w:spacing w:after="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1666"/>
      </w:tblGrid>
      <w:tr w:rsidR="00F758BE" w:rsidRPr="00F758BE" w:rsidTr="00D62244">
        <w:trPr>
          <w:cantSplit/>
        </w:trPr>
        <w:tc>
          <w:tcPr>
            <w:tcW w:w="11448" w:type="dxa"/>
          </w:tcPr>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rPr>
                <w:rFonts w:ascii="Times New Roman" w:hAnsi="Times New Roman" w:cs="Times New Roman"/>
                <w:sz w:val="26"/>
                <w:szCs w:val="26"/>
              </w:rPr>
            </w:pPr>
            <w:r w:rsidRPr="00F758BE">
              <w:rPr>
                <w:rFonts w:ascii="Times New Roman" w:hAnsi="Times New Roman" w:cs="Times New Roman"/>
                <w:sz w:val="26"/>
                <w:szCs w:val="26"/>
              </w:rPr>
              <w:t>Debenturista da Primeira Série</w:t>
            </w:r>
          </w:p>
        </w:tc>
        <w:tc>
          <w:tcPr>
            <w:tcW w:w="2268" w:type="dxa"/>
          </w:tcPr>
          <w:p w:rsidR="00F758BE" w:rsidRPr="00F758BE" w:rsidRDefault="00F758BE" w:rsidP="003724C3">
            <w:pPr>
              <w:spacing w:after="0"/>
              <w:rPr>
                <w:rFonts w:ascii="Times New Roman" w:hAnsi="Times New Roman" w:cs="Times New Roman"/>
                <w:sz w:val="26"/>
                <w:szCs w:val="26"/>
              </w:rPr>
            </w:pPr>
            <w:r w:rsidRPr="00F758BE">
              <w:rPr>
                <w:rFonts w:ascii="Times New Roman" w:hAnsi="Times New Roman" w:cs="Times New Roman"/>
                <w:sz w:val="26"/>
                <w:szCs w:val="26"/>
              </w:rPr>
              <w:t>Quantidade de Debêntures</w:t>
            </w:r>
          </w:p>
        </w:tc>
      </w:tr>
      <w:tr w:rsidR="00F758BE" w:rsidRPr="00F758BE" w:rsidTr="00D62244">
        <w:trPr>
          <w:cantSplit/>
        </w:trPr>
        <w:tc>
          <w:tcPr>
            <w:tcW w:w="11448" w:type="dxa"/>
          </w:tcPr>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b/>
                <w:sz w:val="26"/>
                <w:szCs w:val="26"/>
              </w:rPr>
              <w:t>GASTER PARTICIPAÇÕES S/A</w:t>
            </w:r>
            <w:r w:rsidRPr="00F758BE">
              <w:rPr>
                <w:rFonts w:ascii="Times New Roman" w:hAnsi="Times New Roman" w:cs="Times New Roman"/>
                <w:sz w:val="26"/>
                <w:szCs w:val="26"/>
              </w:rPr>
              <w:t>, sociedade com sede na Rua Rainha Guilhermina, nº 75, Rio de Janeiro, RJ, inscrita no CNPJ sob o nº 10.512.581/0001-02, neste ato representada por seu diretor Antonio José Carneiro, brasileiro, casado, empresário, portador da identidade nº. 2.381.252-2 DIC/RJ e inscrito no CPF/MF sob o nº 028.600.667-72</w:t>
            </w:r>
          </w:p>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rPr>
                <w:rFonts w:ascii="Times New Roman" w:hAnsi="Times New Roman" w:cs="Times New Roman"/>
                <w:sz w:val="26"/>
                <w:szCs w:val="26"/>
              </w:rPr>
            </w:pPr>
            <w:r w:rsidRPr="00F758BE">
              <w:rPr>
                <w:rFonts w:ascii="Times New Roman" w:hAnsi="Times New Roman" w:cs="Times New Roman"/>
                <w:sz w:val="26"/>
                <w:szCs w:val="26"/>
              </w:rPr>
              <w:t>____________________________________</w:t>
            </w:r>
            <w:r w:rsidRPr="00F758BE">
              <w:rPr>
                <w:rFonts w:ascii="Times New Roman" w:hAnsi="Times New Roman" w:cs="Times New Roman"/>
                <w:sz w:val="26"/>
                <w:szCs w:val="26"/>
              </w:rPr>
              <w:tab/>
            </w:r>
          </w:p>
          <w:p w:rsidR="00F758BE" w:rsidRPr="00F758BE" w:rsidRDefault="00F758BE" w:rsidP="003724C3">
            <w:pPr>
              <w:spacing w:after="0"/>
              <w:rPr>
                <w:rFonts w:ascii="Times New Roman" w:hAnsi="Times New Roman" w:cs="Times New Roman"/>
                <w:sz w:val="26"/>
                <w:szCs w:val="26"/>
              </w:rPr>
            </w:pPr>
            <w:r w:rsidRPr="00F758BE">
              <w:rPr>
                <w:rFonts w:ascii="Times New Roman" w:hAnsi="Times New Roman" w:cs="Times New Roman"/>
                <w:sz w:val="26"/>
                <w:szCs w:val="26"/>
              </w:rPr>
              <w:t>Nome:</w:t>
            </w:r>
          </w:p>
          <w:p w:rsidR="00F758BE" w:rsidRPr="00F758BE" w:rsidRDefault="00F758BE" w:rsidP="003724C3">
            <w:pPr>
              <w:spacing w:after="0"/>
              <w:rPr>
                <w:rFonts w:ascii="Times New Roman" w:hAnsi="Times New Roman" w:cs="Times New Roman"/>
                <w:sz w:val="26"/>
                <w:szCs w:val="26"/>
              </w:rPr>
            </w:pPr>
            <w:r w:rsidRPr="00F758BE">
              <w:rPr>
                <w:rFonts w:ascii="Times New Roman" w:hAnsi="Times New Roman" w:cs="Times New Roman"/>
                <w:sz w:val="26"/>
                <w:szCs w:val="26"/>
              </w:rPr>
              <w:t xml:space="preserve">Cargo: </w:t>
            </w:r>
          </w:p>
          <w:p w:rsidR="00F758BE" w:rsidRPr="00F758BE" w:rsidRDefault="00F758BE" w:rsidP="003724C3">
            <w:pPr>
              <w:spacing w:after="0"/>
              <w:rPr>
                <w:rFonts w:ascii="Times New Roman" w:hAnsi="Times New Roman" w:cs="Times New Roman"/>
                <w:sz w:val="26"/>
                <w:szCs w:val="26"/>
              </w:rPr>
            </w:pPr>
          </w:p>
        </w:tc>
        <w:tc>
          <w:tcPr>
            <w:tcW w:w="2268" w:type="dxa"/>
          </w:tcPr>
          <w:p w:rsidR="00F758BE" w:rsidRPr="00F758BE" w:rsidRDefault="00F758BE" w:rsidP="003724C3">
            <w:pPr>
              <w:spacing w:after="0"/>
              <w:rPr>
                <w:rFonts w:ascii="Times New Roman" w:hAnsi="Times New Roman" w:cs="Times New Roman"/>
                <w:sz w:val="26"/>
                <w:szCs w:val="26"/>
              </w:rPr>
            </w:pPr>
            <w:r w:rsidRPr="00F758BE">
              <w:rPr>
                <w:rFonts w:ascii="Times New Roman" w:hAnsi="Times New Roman" w:cs="Times New Roman"/>
                <w:sz w:val="26"/>
                <w:szCs w:val="26"/>
              </w:rPr>
              <w:t>34</w:t>
            </w:r>
          </w:p>
        </w:tc>
      </w:tr>
    </w:tbl>
    <w:p w:rsidR="00F758BE" w:rsidRPr="00F758BE" w:rsidRDefault="00F758BE" w:rsidP="003724C3">
      <w:pPr>
        <w:spacing w:after="0"/>
        <w:jc w:val="center"/>
        <w:rPr>
          <w:rFonts w:ascii="Times New Roman" w:hAnsi="Times New Roman" w:cs="Times New Roman"/>
          <w:sz w:val="26"/>
          <w:szCs w:val="26"/>
        </w:rPr>
      </w:pPr>
    </w:p>
    <w:sectPr w:rsidR="00F758BE" w:rsidRPr="00F758B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C45" w:rsidRDefault="00BF0C45" w:rsidP="00F758BE">
      <w:pPr>
        <w:spacing w:after="0" w:line="240" w:lineRule="auto"/>
      </w:pPr>
      <w:r>
        <w:separator/>
      </w:r>
    </w:p>
  </w:endnote>
  <w:endnote w:type="continuationSeparator" w:id="0">
    <w:p w:rsidR="00BF0C45" w:rsidRDefault="00BF0C45" w:rsidP="00F7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69906"/>
      <w:docPartObj>
        <w:docPartGallery w:val="Page Numbers (Bottom of Page)"/>
        <w:docPartUnique/>
      </w:docPartObj>
    </w:sdtPr>
    <w:sdtEndPr/>
    <w:sdtContent>
      <w:p w:rsidR="00F758BE" w:rsidRDefault="00F758BE">
        <w:pPr>
          <w:pStyle w:val="Rodap"/>
          <w:jc w:val="center"/>
        </w:pPr>
        <w:r>
          <w:fldChar w:fldCharType="begin"/>
        </w:r>
        <w:r>
          <w:instrText>PAGE   \* MERGEFORMAT</w:instrText>
        </w:r>
        <w:r>
          <w:fldChar w:fldCharType="separate"/>
        </w:r>
        <w:r w:rsidR="00A86655">
          <w:rPr>
            <w:noProof/>
          </w:rPr>
          <w:t>4</w:t>
        </w:r>
        <w:r>
          <w:fldChar w:fldCharType="end"/>
        </w:r>
      </w:p>
    </w:sdtContent>
  </w:sdt>
  <w:p w:rsidR="00F758BE" w:rsidRDefault="00F758BE">
    <w:pPr>
      <w:pStyle w:val="Rodap"/>
    </w:pPr>
  </w:p>
  <w:p w:rsidR="003A5138" w:rsidRDefault="003A51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C45" w:rsidRDefault="00BF0C45" w:rsidP="00F758BE">
      <w:pPr>
        <w:spacing w:after="0" w:line="240" w:lineRule="auto"/>
      </w:pPr>
      <w:r>
        <w:separator/>
      </w:r>
    </w:p>
  </w:footnote>
  <w:footnote w:type="continuationSeparator" w:id="0">
    <w:p w:rsidR="00BF0C45" w:rsidRDefault="00BF0C45" w:rsidP="00F75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8BE" w:rsidRPr="00D26CDE" w:rsidRDefault="00F758BE" w:rsidP="00F758BE">
    <w:pPr>
      <w:spacing w:after="120"/>
      <w:jc w:val="center"/>
      <w:rPr>
        <w:rFonts w:ascii="Times New Roman" w:hAnsi="Times New Roman" w:cs="Times New Roman"/>
        <w:b/>
        <w:smallCaps/>
        <w:sz w:val="26"/>
        <w:szCs w:val="26"/>
      </w:rPr>
    </w:pPr>
    <w:r w:rsidRPr="00D26CDE">
      <w:rPr>
        <w:rFonts w:ascii="Times New Roman" w:hAnsi="Times New Roman" w:cs="Times New Roman"/>
        <w:b/>
        <w:smallCaps/>
        <w:sz w:val="26"/>
        <w:szCs w:val="26"/>
      </w:rPr>
      <w:t>João Fortes Engenharia S.A.</w:t>
    </w:r>
  </w:p>
  <w:p w:rsidR="003A5138" w:rsidRDefault="00F758BE" w:rsidP="00F758BE">
    <w:pPr>
      <w:pStyle w:val="Cabealho"/>
      <w:jc w:val="center"/>
      <w:rPr>
        <w:rFonts w:ascii="Times New Roman" w:hAnsi="Times New Roman" w:cs="Times New Roman"/>
        <w:bCs/>
        <w:sz w:val="26"/>
        <w:szCs w:val="26"/>
      </w:rPr>
    </w:pPr>
    <w:r w:rsidRPr="00D26CDE">
      <w:rPr>
        <w:rFonts w:ascii="Times New Roman" w:hAnsi="Times New Roman" w:cs="Times New Roman"/>
        <w:sz w:val="26"/>
        <w:szCs w:val="26"/>
      </w:rPr>
      <w:t>NIRE 33.3.00103911</w:t>
    </w:r>
    <w:r w:rsidRPr="00D26CDE">
      <w:rPr>
        <w:rFonts w:ascii="Times New Roman" w:hAnsi="Times New Roman" w:cs="Times New Roman"/>
        <w:sz w:val="26"/>
        <w:szCs w:val="26"/>
      </w:rPr>
      <w:br/>
      <w:t xml:space="preserve">CNPJ </w:t>
    </w:r>
    <w:r w:rsidRPr="00D26CDE">
      <w:rPr>
        <w:rFonts w:ascii="Times New Roman" w:hAnsi="Times New Roman" w:cs="Times New Roman"/>
        <w:bCs/>
        <w:sz w:val="26"/>
        <w:szCs w:val="26"/>
      </w:rPr>
      <w:t>33.035.536/0001-00</w:t>
    </w:r>
  </w:p>
  <w:p w:rsidR="00F758BE" w:rsidRPr="00F758BE" w:rsidRDefault="00F758BE" w:rsidP="00F758BE">
    <w:pPr>
      <w:pStyle w:val="Cabealho"/>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4AE"/>
    <w:multiLevelType w:val="hybridMultilevel"/>
    <w:tmpl w:val="FB3CE17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902D00"/>
    <w:multiLevelType w:val="hybridMultilevel"/>
    <w:tmpl w:val="3ABCA38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9172D3D"/>
    <w:multiLevelType w:val="hybridMultilevel"/>
    <w:tmpl w:val="388261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343A1"/>
    <w:multiLevelType w:val="hybridMultilevel"/>
    <w:tmpl w:val="F430586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2497233"/>
    <w:multiLevelType w:val="hybridMultilevel"/>
    <w:tmpl w:val="4F8AEA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D051D08"/>
    <w:multiLevelType w:val="multilevel"/>
    <w:tmpl w:val="0BFC1B9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D1B3C10"/>
    <w:multiLevelType w:val="hybridMultilevel"/>
    <w:tmpl w:val="30A6C4B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BE"/>
    <w:rsid w:val="000D2FB3"/>
    <w:rsid w:val="001C7C7F"/>
    <w:rsid w:val="00332323"/>
    <w:rsid w:val="003724C3"/>
    <w:rsid w:val="003A2B94"/>
    <w:rsid w:val="003A5138"/>
    <w:rsid w:val="004C6FFE"/>
    <w:rsid w:val="00523995"/>
    <w:rsid w:val="00555E27"/>
    <w:rsid w:val="005F78F6"/>
    <w:rsid w:val="0065471B"/>
    <w:rsid w:val="0066291F"/>
    <w:rsid w:val="0069431E"/>
    <w:rsid w:val="00751108"/>
    <w:rsid w:val="0076085D"/>
    <w:rsid w:val="00765BD9"/>
    <w:rsid w:val="00871D17"/>
    <w:rsid w:val="0099556D"/>
    <w:rsid w:val="009F5CF3"/>
    <w:rsid w:val="00A37DCA"/>
    <w:rsid w:val="00A86655"/>
    <w:rsid w:val="00A93E9F"/>
    <w:rsid w:val="00AF671D"/>
    <w:rsid w:val="00B44562"/>
    <w:rsid w:val="00BF0C45"/>
    <w:rsid w:val="00C50A43"/>
    <w:rsid w:val="00D344DD"/>
    <w:rsid w:val="00E50CC8"/>
    <w:rsid w:val="00EE775D"/>
    <w:rsid w:val="00EF0A02"/>
    <w:rsid w:val="00F30BC3"/>
    <w:rsid w:val="00F62027"/>
    <w:rsid w:val="00F62D85"/>
    <w:rsid w:val="00F758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ADE68-0028-4DF5-9231-9B71AA90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758BE"/>
    <w:pPr>
      <w:tabs>
        <w:tab w:val="center" w:pos="4252"/>
        <w:tab w:val="right" w:pos="8504"/>
      </w:tabs>
      <w:spacing w:after="0" w:line="240" w:lineRule="auto"/>
    </w:pPr>
  </w:style>
  <w:style w:type="character" w:customStyle="1" w:styleId="CabealhoChar">
    <w:name w:val="Cabeçalho Char"/>
    <w:basedOn w:val="Fontepargpadro"/>
    <w:link w:val="Cabealho"/>
    <w:rsid w:val="00F758BE"/>
  </w:style>
  <w:style w:type="paragraph" w:styleId="Rodap">
    <w:name w:val="footer"/>
    <w:basedOn w:val="Normal"/>
    <w:link w:val="RodapChar"/>
    <w:uiPriority w:val="99"/>
    <w:unhideWhenUsed/>
    <w:rsid w:val="00F758BE"/>
    <w:pPr>
      <w:tabs>
        <w:tab w:val="center" w:pos="4252"/>
        <w:tab w:val="right" w:pos="8504"/>
      </w:tabs>
      <w:spacing w:after="0" w:line="240" w:lineRule="auto"/>
    </w:pPr>
  </w:style>
  <w:style w:type="character" w:customStyle="1" w:styleId="RodapChar">
    <w:name w:val="Rodapé Char"/>
    <w:basedOn w:val="Fontepargpadro"/>
    <w:link w:val="Rodap"/>
    <w:uiPriority w:val="99"/>
    <w:rsid w:val="00F758BE"/>
  </w:style>
  <w:style w:type="paragraph" w:styleId="PargrafodaLista">
    <w:name w:val="List Paragraph"/>
    <w:basedOn w:val="Normal"/>
    <w:uiPriority w:val="34"/>
    <w:qFormat/>
    <w:rsid w:val="00F758BE"/>
    <w:pPr>
      <w:ind w:left="720"/>
      <w:contextualSpacing/>
    </w:pPr>
  </w:style>
  <w:style w:type="table" w:styleId="Tabelacomgrade">
    <w:name w:val="Table Grid"/>
    <w:basedOn w:val="Tabelanormal"/>
    <w:rsid w:val="00F758B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50A4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50A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4308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Xavier Alencar</dc:creator>
  <cp:keywords/>
  <dc:description/>
  <cp:lastModifiedBy>Natália Xavier Alencar</cp:lastModifiedBy>
  <cp:revision>2</cp:revision>
  <dcterms:created xsi:type="dcterms:W3CDTF">2020-05-13T15:52:00Z</dcterms:created>
  <dcterms:modified xsi:type="dcterms:W3CDTF">2020-05-13T15:52:00Z</dcterms:modified>
</cp:coreProperties>
</file>