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7EFA46D8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252879" w:rsidRPr="00DA38F5">
        <w:rPr>
          <w:rFonts w:ascii="Verdana" w:hAnsi="Verdana" w:cs="Tahoma"/>
          <w:b/>
          <w:bCs/>
          <w:sz w:val="20"/>
        </w:rPr>
        <w:t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55582C" w:rsidRPr="0055582C">
        <w:rPr>
          <w:rFonts w:ascii="Verdana" w:hAnsi="Verdana" w:cs="Tahoma"/>
          <w:b/>
          <w:bCs/>
          <w:sz w:val="20"/>
        </w:rPr>
        <w:t>[=] DE NOVEMBRO DE 2022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6A2A57DE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5F5594">
        <w:rPr>
          <w:rFonts w:ascii="Verdana" w:hAnsi="Verdana" w:cs="Tahoma"/>
          <w:sz w:val="20"/>
        </w:rPr>
        <w:t>[=] de novembro de 2022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1BAFAFCB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“</w:t>
      </w:r>
      <w:r w:rsidR="0039645F" w:rsidRPr="00DA38F5">
        <w:rPr>
          <w:rFonts w:ascii="Verdana" w:hAnsi="Verdana" w:cs="Tahoma"/>
          <w:i/>
          <w:sz w:val="20"/>
        </w:rPr>
        <w:t>Instrumento Particular de Escritura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</w:t>
      </w:r>
      <w:r w:rsidR="00B1449D" w:rsidRPr="00DA38F5">
        <w:rPr>
          <w:rFonts w:ascii="Verdana" w:hAnsi="Verdana" w:cs="Tahoma"/>
          <w:sz w:val="20"/>
        </w:rPr>
        <w:t>” (“</w:t>
      </w:r>
      <w:r w:rsidR="00B1449D" w:rsidRPr="00F21570">
        <w:rPr>
          <w:rFonts w:ascii="Verdana" w:hAnsi="Verdana" w:cs="Tahoma"/>
          <w:sz w:val="20"/>
          <w:u w:val="single"/>
        </w:rPr>
        <w:t>Escritura de Emissão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 representante da Simplific Pavarini Distribuidora de Títulos e Valores Mobiliários Ltda. 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962247" w:rsidRPr="00DA38F5">
        <w:rPr>
          <w:rFonts w:ascii="Verdana" w:hAnsi="Verdana" w:cs="Tahoma"/>
          <w:b/>
          <w:bCs/>
          <w:sz w:val="20"/>
        </w:rPr>
        <w:t>ii</w:t>
      </w:r>
      <w:proofErr w:type="spellEnd"/>
      <w:r w:rsidR="00962247" w:rsidRPr="00DA38F5">
        <w:rPr>
          <w:rFonts w:ascii="Verdana" w:hAnsi="Verdana" w:cs="Tahoma"/>
          <w:b/>
          <w:bCs/>
          <w:sz w:val="20"/>
        </w:rPr>
        <w:t>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39645F" w:rsidRPr="00DA38F5">
        <w:rPr>
          <w:rFonts w:ascii="Verdana" w:hAnsi="Verdana" w:cs="Tahoma"/>
          <w:b/>
          <w:bCs/>
          <w:sz w:val="20"/>
        </w:rPr>
        <w:t>iii</w:t>
      </w:r>
      <w:proofErr w:type="spellEnd"/>
      <w:r w:rsidR="0039645F" w:rsidRPr="00DA38F5">
        <w:rPr>
          <w:rFonts w:ascii="Verdana" w:hAnsi="Verdana" w:cs="Tahoma"/>
          <w:b/>
          <w:bCs/>
          <w:sz w:val="20"/>
        </w:rPr>
        <w:t>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E03AAE" w:rsidRPr="00DA38F5">
        <w:rPr>
          <w:rFonts w:ascii="Verdana" w:hAnsi="Verdana" w:cs="Tahoma"/>
          <w:b/>
          <w:bCs/>
          <w:sz w:val="20"/>
        </w:rPr>
        <w:t>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proofErr w:type="spellEnd"/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>SANDRA SANTANA SOARES COSTA, brasileira, casada sob o regime de comunhão universal de bens, farmacêutica bioquímica, portadora do RG nº 1.314.758 SSP/MG, inscrita no Cadastro Nacional de Pessoas Físicas do Ministério da Economia (“</w:t>
      </w:r>
      <w:r w:rsidR="0039645F" w:rsidRPr="00F21570">
        <w:rPr>
          <w:rFonts w:ascii="Verdana" w:hAnsi="Verdana" w:cs="Tahoma"/>
          <w:sz w:val="20"/>
          <w:u w:val="single"/>
        </w:rPr>
        <w:t>CPF/ME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</w:t>
      </w:r>
      <w:r w:rsidR="0039645F" w:rsidRPr="00DA38F5">
        <w:rPr>
          <w:rFonts w:ascii="Verdana" w:hAnsi="Verdana" w:cs="Tahoma"/>
          <w:sz w:val="20"/>
        </w:rPr>
        <w:lastRenderedPageBreak/>
        <w:t>total de bens, 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7D1C318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DA38F5">
        <w:rPr>
          <w:rFonts w:ascii="Verdana" w:hAnsi="Verdana" w:cs="Tahoma"/>
          <w:sz w:val="20"/>
        </w:rPr>
        <w:t xml:space="preserve"> Sr. 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77777777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discutir e deliberar sobre</w:t>
      </w:r>
      <w:r w:rsidR="00F21570">
        <w:rPr>
          <w:rFonts w:ascii="Verdana" w:hAnsi="Verdana" w:cs="Tahoma"/>
          <w:sz w:val="20"/>
        </w:rPr>
        <w:t xml:space="preserve"> a</w:t>
      </w:r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475FB43A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3" w:name="_Hlk114011874"/>
      <w:r w:rsidRPr="00853F26">
        <w:rPr>
          <w:rFonts w:ascii="Verdana" w:hAnsi="Verdana"/>
          <w:sz w:val="20"/>
        </w:rPr>
        <w:t>concessão de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 xml:space="preserve">) e aprovação do </w:t>
      </w:r>
      <w:bookmarkEnd w:id="3"/>
      <w:r w:rsidRPr="00853F26">
        <w:rPr>
          <w:rFonts w:ascii="Verdana" w:hAnsi="Verdana"/>
          <w:sz w:val="20"/>
        </w:rPr>
        <w:t xml:space="preserve">compartilhamento </w:t>
      </w:r>
      <w:r w:rsidRPr="00853F26">
        <w:rPr>
          <w:rFonts w:ascii="Verdana" w:hAnsi="Verdana"/>
          <w:sz w:val="20"/>
        </w:rPr>
        <w:t>das garantias</w:t>
      </w:r>
      <w:r w:rsidRPr="00853F26">
        <w:rPr>
          <w:rFonts w:ascii="Verdana" w:hAnsi="Verdana"/>
          <w:sz w:val="20"/>
        </w:rPr>
        <w:t xml:space="preserve"> reais prestada</w:t>
      </w:r>
      <w:r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Emissão</w:t>
      </w:r>
      <w:r>
        <w:rPr>
          <w:rFonts w:ascii="Verdana" w:hAnsi="Verdana"/>
          <w:sz w:val="20"/>
        </w:rPr>
        <w:t xml:space="preserve"> </w:t>
      </w:r>
      <w:r w:rsidRPr="00853F26">
        <w:rPr>
          <w:rFonts w:ascii="Verdana" w:hAnsi="Verdana"/>
          <w:sz w:val="20"/>
        </w:rPr>
        <w:t>(“</w:t>
      </w:r>
      <w:r w:rsidRPr="00853F26">
        <w:rPr>
          <w:rFonts w:ascii="Verdana" w:hAnsi="Verdana"/>
          <w:sz w:val="20"/>
          <w:u w:val="single"/>
        </w:rPr>
        <w:t>Compartilhamento de Garantias</w:t>
      </w:r>
      <w:r w:rsidRPr="00853F26">
        <w:rPr>
          <w:rFonts w:ascii="Verdana" w:hAnsi="Verdana"/>
          <w:sz w:val="20"/>
        </w:rPr>
        <w:t>”)</w:t>
      </w:r>
      <w:r>
        <w:rPr>
          <w:rFonts w:ascii="Verdana" w:hAnsi="Verdana"/>
          <w:sz w:val="20"/>
        </w:rPr>
        <w:t xml:space="preserve">, ou seja: </w:t>
      </w:r>
      <w:r w:rsidRPr="003F01F1">
        <w:rPr>
          <w:rFonts w:ascii="Verdana" w:hAnsi="Verdana"/>
          <w:color w:val="000000"/>
          <w:sz w:val="20"/>
        </w:rPr>
        <w:t>dos</w:t>
      </w:r>
      <w:r>
        <w:rPr>
          <w:rFonts w:ascii="Verdana" w:hAnsi="Verdana"/>
          <w:color w:val="000000"/>
          <w:sz w:val="20"/>
        </w:rPr>
        <w:t xml:space="preserve"> </w:t>
      </w:r>
      <w:r w:rsidRPr="006F23AE">
        <w:rPr>
          <w:rFonts w:ascii="Verdana" w:hAnsi="Verdana"/>
          <w:color w:val="000000"/>
          <w:sz w:val="20"/>
        </w:rPr>
        <w:t xml:space="preserve">(1) </w:t>
      </w:r>
      <w:r>
        <w:rPr>
          <w:rFonts w:ascii="Verdana" w:hAnsi="Verdana"/>
          <w:color w:val="000000"/>
          <w:sz w:val="20"/>
        </w:rPr>
        <w:t xml:space="preserve">direitos </w:t>
      </w:r>
      <w:r w:rsidRPr="00216D88">
        <w:rPr>
          <w:rFonts w:ascii="Verdana" w:hAnsi="Verdana"/>
          <w:color w:val="000000" w:themeColor="text1"/>
          <w:sz w:val="20"/>
        </w:rPr>
        <w:t xml:space="preserve">creditórios, atuais e futuros, detidos e a serem detidos </w:t>
      </w:r>
      <w:r>
        <w:rPr>
          <w:rFonts w:ascii="Verdana" w:hAnsi="Verdana"/>
          <w:color w:val="000000" w:themeColor="text1"/>
          <w:sz w:val="20"/>
        </w:rPr>
        <w:t>pelas Cedentes (conforme definido no Contrato de Cessão Fiduciária)</w:t>
      </w:r>
      <w:r>
        <w:rPr>
          <w:rFonts w:ascii="Verdana" w:hAnsi="Verdana"/>
          <w:sz w:val="20"/>
        </w:rPr>
        <w:t xml:space="preserve"> e/ou suas filiais </w:t>
      </w:r>
      <w:r w:rsidRPr="006F23AE">
        <w:rPr>
          <w:rFonts w:ascii="Verdana" w:hAnsi="Verdana"/>
          <w:color w:val="000000" w:themeColor="text1"/>
          <w:sz w:val="20"/>
        </w:rPr>
        <w:t>no montante correspondente a Agenda Mínima de Recebíveis de Cartão (conforme definido no Contrato de Cessão Fiduciária)</w:t>
      </w:r>
      <w:r w:rsidRPr="006F23AE">
        <w:rPr>
          <w:rFonts w:ascii="Verdana" w:hAnsi="Verdana"/>
          <w:sz w:val="20"/>
        </w:rPr>
        <w:t xml:space="preserve">, </w:t>
      </w:r>
      <w:r w:rsidRPr="006F23AE">
        <w:rPr>
          <w:rFonts w:ascii="Verdana" w:hAnsi="Verdana"/>
          <w:color w:val="000000" w:themeColor="text1"/>
          <w:sz w:val="20"/>
        </w:rPr>
        <w:t xml:space="preserve">contra quaisquer credenciadoras de cartão de crédito com as quais </w:t>
      </w:r>
      <w:r>
        <w:rPr>
          <w:rFonts w:ascii="Verdana" w:hAnsi="Verdana"/>
          <w:color w:val="000000" w:themeColor="text1"/>
          <w:sz w:val="20"/>
        </w:rPr>
        <w:t>as Cedentes</w:t>
      </w:r>
      <w:r w:rsidRPr="006F23AE">
        <w:rPr>
          <w:rFonts w:ascii="Verdana" w:hAnsi="Verdana"/>
          <w:sz w:val="20"/>
        </w:rPr>
        <w:t xml:space="preserve"> </w:t>
      </w:r>
      <w:r w:rsidRPr="006F23AE">
        <w:rPr>
          <w:rFonts w:ascii="Verdana" w:hAnsi="Verdana"/>
          <w:color w:val="000000" w:themeColor="text1"/>
          <w:sz w:val="20"/>
        </w:rPr>
        <w:t xml:space="preserve">e/ou suas filiais tenham ou venham a ter relacionamento </w:t>
      </w:r>
      <w:bookmarkStart w:id="4" w:name="_Hlk118950381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Credenciadoras</w:t>
      </w:r>
      <w:r w:rsidRPr="006F23AE">
        <w:rPr>
          <w:rFonts w:ascii="Verdana" w:hAnsi="Verdana"/>
          <w:color w:val="000000" w:themeColor="text1"/>
          <w:sz w:val="20"/>
        </w:rPr>
        <w:t>”)</w:t>
      </w:r>
      <w:bookmarkEnd w:id="4"/>
      <w:r w:rsidRPr="006F23AE">
        <w:rPr>
          <w:rFonts w:ascii="Verdana" w:hAnsi="Verdana"/>
          <w:color w:val="000000" w:themeColor="text1"/>
          <w:sz w:val="20"/>
        </w:rPr>
        <w:t xml:space="preserve">, decorrentes de transações com uso de cartões de crédito e débito de todas as bandeiras utilizadas nesta data ou que venham a ser utilizadas no futuro </w:t>
      </w:r>
      <w:bookmarkStart w:id="5" w:name="_Hlk118950726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Bandeiras</w:t>
      </w:r>
      <w:r w:rsidRPr="006F23AE">
        <w:rPr>
          <w:rFonts w:ascii="Verdana" w:hAnsi="Verdana"/>
          <w:color w:val="000000" w:themeColor="text1"/>
          <w:sz w:val="20"/>
        </w:rPr>
        <w:t xml:space="preserve">”), </w:t>
      </w:r>
      <w:bookmarkEnd w:id="5"/>
      <w:r w:rsidRPr="006F23AE">
        <w:rPr>
          <w:rFonts w:ascii="Verdana" w:hAnsi="Verdana"/>
          <w:color w:val="000000" w:themeColor="text1"/>
          <w:sz w:val="20"/>
        </w:rPr>
        <w:t>em todos os estabelecimentos comerciais da</w:t>
      </w:r>
      <w:r>
        <w:rPr>
          <w:rFonts w:ascii="Verdana" w:hAnsi="Verdana"/>
          <w:color w:val="000000" w:themeColor="text1"/>
          <w:sz w:val="20"/>
        </w:rPr>
        <w:t>s</w:t>
      </w:r>
      <w:r w:rsidRPr="006F23AE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Cedentes</w:t>
      </w:r>
      <w:r w:rsidRPr="006F23AE">
        <w:rPr>
          <w:rFonts w:ascii="Verdana" w:hAnsi="Verdana"/>
          <w:color w:val="000000" w:themeColor="text1"/>
          <w:sz w:val="20"/>
        </w:rPr>
        <w:t xml:space="preserve"> e/ou suas filiais, </w:t>
      </w:r>
      <w:r w:rsidRPr="006F23AE">
        <w:rPr>
          <w:rFonts w:ascii="Verdana" w:hAnsi="Verdana"/>
          <w:color w:val="000000"/>
          <w:sz w:val="20"/>
        </w:rPr>
        <w:t>a qualquer tempo a partir da constituição e durante a vigência das Debêntures</w:t>
      </w:r>
      <w:r w:rsidRPr="006F23AE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6F23AE">
        <w:rPr>
          <w:rFonts w:ascii="Verdana" w:hAnsi="Verdana"/>
          <w:color w:val="000000" w:themeColor="text1"/>
          <w:sz w:val="20"/>
          <w:u w:val="single"/>
        </w:rPr>
        <w:t>Recebíveis Cartão</w:t>
      </w:r>
      <w:r w:rsidRPr="006F23AE">
        <w:rPr>
          <w:rFonts w:ascii="Verdana" w:hAnsi="Verdana"/>
          <w:color w:val="000000" w:themeColor="text1"/>
          <w:sz w:val="20"/>
        </w:rPr>
        <w:t>”), a serem depositados nas Contas Vinculadas Cartões (conforme definido no Contrato de Cessão Fiduciária)</w:t>
      </w:r>
      <w:r w:rsidRPr="006F23AE">
        <w:rPr>
          <w:rFonts w:ascii="Verdana" w:hAnsi="Verdana"/>
          <w:color w:val="000000"/>
          <w:sz w:val="20"/>
        </w:rPr>
        <w:t xml:space="preserve">; e </w:t>
      </w:r>
      <w:r w:rsidRPr="0087790B">
        <w:rPr>
          <w:rFonts w:ascii="Verdana" w:hAnsi="Verdana"/>
          <w:color w:val="000000"/>
          <w:sz w:val="20"/>
        </w:rPr>
        <w:t xml:space="preserve">(2) </w:t>
      </w:r>
      <w:bookmarkStart w:id="6" w:name="_Hlk119637174"/>
      <w:r w:rsidRPr="0087790B">
        <w:rPr>
          <w:rFonts w:ascii="Verdana" w:hAnsi="Verdana"/>
          <w:color w:val="000000" w:themeColor="text1"/>
          <w:sz w:val="20"/>
        </w:rPr>
        <w:t>direitos creditórios, atuais e futuros, detidos e a serem detidos pela Emissora</w:t>
      </w:r>
      <w:r w:rsidRPr="0087790B">
        <w:rPr>
          <w:rFonts w:ascii="Verdana" w:hAnsi="Verdana"/>
          <w:sz w:val="20"/>
        </w:rPr>
        <w:t xml:space="preserve"> </w:t>
      </w:r>
      <w:r w:rsidRPr="0087790B">
        <w:rPr>
          <w:rFonts w:ascii="Verdana" w:hAnsi="Verdana"/>
          <w:color w:val="000000" w:themeColor="text1"/>
          <w:sz w:val="20"/>
        </w:rPr>
        <w:t xml:space="preserve">contra quaisquer operadoras de planos privado de assistência à saúde com as quais a Emissora, </w:t>
      </w:r>
      <w:bookmarkStart w:id="7" w:name="_Hlk118950546"/>
      <w:r w:rsidRPr="0087790B">
        <w:rPr>
          <w:rFonts w:ascii="Verdana" w:hAnsi="Verdana"/>
          <w:color w:val="000000" w:themeColor="text1"/>
          <w:sz w:val="20"/>
        </w:rPr>
        <w:t>no montante correspondente a Agenda Mínima de Recebíveis de Planos de Saúde (conforme definido no Contrato de Cessão Fiduciária)</w:t>
      </w:r>
      <w:bookmarkEnd w:id="7"/>
      <w:r w:rsidRPr="0087790B">
        <w:rPr>
          <w:rFonts w:ascii="Verdana" w:hAnsi="Verdana"/>
          <w:sz w:val="20"/>
        </w:rPr>
        <w:t>,</w:t>
      </w:r>
      <w:r w:rsidRPr="0087790B">
        <w:rPr>
          <w:rFonts w:ascii="Verdana" w:hAnsi="Verdana"/>
          <w:color w:val="000000" w:themeColor="text1"/>
          <w:sz w:val="20"/>
        </w:rPr>
        <w:t xml:space="preserve"> e/ou suas filiais tenham ou venham a ter relacionamento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Operadoras</w:t>
      </w:r>
      <w:r w:rsidRPr="0087790B">
        <w:rPr>
          <w:rFonts w:ascii="Verdana" w:hAnsi="Verdana"/>
          <w:color w:val="000000" w:themeColor="text1"/>
          <w:sz w:val="20"/>
        </w:rPr>
        <w:t>”), decorrentes da prestação de serviços médicos, pela Emissora aos beneficiários vinculados aos planos de saúde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”), em todos os estabelecimentos comerciais da Emissora, </w:t>
      </w:r>
      <w:r w:rsidRPr="0087790B">
        <w:rPr>
          <w:rFonts w:ascii="Verdana" w:hAnsi="Verdana"/>
          <w:color w:val="000000"/>
          <w:sz w:val="20"/>
        </w:rPr>
        <w:t>a partir da constituição e durante a vigência das Debêntures</w:t>
      </w:r>
      <w:r w:rsidRPr="0087790B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Recebíveis de Planos de Saúde</w:t>
      </w:r>
      <w:r w:rsidRPr="0087790B">
        <w:rPr>
          <w:rFonts w:ascii="Verdana" w:hAnsi="Verdana"/>
          <w:color w:val="000000" w:themeColor="text1"/>
          <w:sz w:val="20"/>
        </w:rPr>
        <w:t>”), a serem depositados</w:t>
      </w:r>
      <w:r w:rsidRPr="0087790B">
        <w:rPr>
          <w:rFonts w:ascii="Verdana" w:hAnsi="Verdana"/>
          <w:sz w:val="20"/>
        </w:rPr>
        <w:t xml:space="preserve"> </w:t>
      </w:r>
      <w:bookmarkStart w:id="8" w:name="_Hlk118950900"/>
      <w:r w:rsidRPr="00A37A82">
        <w:rPr>
          <w:rFonts w:ascii="Verdana" w:hAnsi="Verdana"/>
          <w:color w:val="000000" w:themeColor="text1"/>
          <w:sz w:val="20"/>
        </w:rPr>
        <w:t>Conta Vinculada 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 (conforme definido no Contrato de Cessão) que, quando referida em conjunto com a Contas Vinculadas Cartões, as “</w:t>
      </w:r>
      <w:r w:rsidRPr="0087790B">
        <w:rPr>
          <w:rFonts w:ascii="Verdana" w:hAnsi="Verdana"/>
          <w:color w:val="000000" w:themeColor="text1"/>
          <w:sz w:val="20"/>
          <w:u w:val="single"/>
        </w:rPr>
        <w:t>Contas Vinculadas</w:t>
      </w:r>
      <w:r w:rsidRPr="0087790B">
        <w:rPr>
          <w:rFonts w:ascii="Verdana" w:hAnsi="Verdana"/>
          <w:color w:val="000000" w:themeColor="text1"/>
          <w:sz w:val="20"/>
        </w:rPr>
        <w:t>”</w:t>
      </w:r>
      <w:bookmarkEnd w:id="6"/>
      <w:bookmarkEnd w:id="8"/>
      <w:r w:rsidRPr="0087790B">
        <w:rPr>
          <w:rFonts w:ascii="Verdana" w:hAnsi="Verdana"/>
          <w:color w:val="000000" w:themeColor="text1"/>
          <w:sz w:val="20"/>
        </w:rPr>
        <w:t xml:space="preserve"> </w:t>
      </w:r>
      <w:r w:rsidRPr="0087790B">
        <w:rPr>
          <w:rFonts w:ascii="Verdana" w:hAnsi="Verdana"/>
          <w:color w:val="000000"/>
          <w:sz w:val="20"/>
        </w:rPr>
        <w:t>(</w:t>
      </w:r>
      <w:r w:rsidR="001107D3">
        <w:rPr>
          <w:rFonts w:ascii="Verdana" w:hAnsi="Verdana"/>
          <w:color w:val="000000"/>
          <w:sz w:val="20"/>
        </w:rPr>
        <w:t>“</w:t>
      </w:r>
      <w:r w:rsidR="001107D3" w:rsidRPr="001107D3">
        <w:rPr>
          <w:rFonts w:ascii="Verdana" w:hAnsi="Verdana"/>
          <w:color w:val="000000"/>
          <w:sz w:val="20"/>
          <w:u w:val="single"/>
        </w:rPr>
        <w:t>Cessão Fiduciária</w:t>
      </w:r>
      <w:r w:rsidR="001107D3">
        <w:rPr>
          <w:rFonts w:ascii="Verdana" w:hAnsi="Verdana"/>
          <w:color w:val="000000"/>
          <w:sz w:val="20"/>
        </w:rPr>
        <w:t xml:space="preserve">” e </w:t>
      </w:r>
      <w:r w:rsidRPr="0087790B">
        <w:rPr>
          <w:rFonts w:ascii="Verdana" w:hAnsi="Verdana"/>
          <w:color w:val="000000"/>
          <w:sz w:val="20"/>
        </w:rPr>
        <w:t>“</w:t>
      </w:r>
      <w:r w:rsidRPr="0087790B">
        <w:rPr>
          <w:rFonts w:ascii="Verdana" w:hAnsi="Verdana"/>
          <w:color w:val="000000"/>
          <w:sz w:val="20"/>
          <w:u w:val="single"/>
        </w:rPr>
        <w:t>Garantia Real</w:t>
      </w:r>
      <w:r w:rsidRPr="0087790B">
        <w:rPr>
          <w:rFonts w:ascii="Verdana" w:hAnsi="Verdana"/>
          <w:color w:val="000000"/>
          <w:sz w:val="20"/>
        </w:rPr>
        <w:t>”)</w:t>
      </w:r>
      <w:r>
        <w:rPr>
          <w:rFonts w:ascii="Verdana" w:hAnsi="Verdana"/>
          <w:color w:val="000000"/>
          <w:sz w:val="20"/>
        </w:rPr>
        <w:t>; sendo tal compartilhamento a ser realizado</w:t>
      </w:r>
      <w:r w:rsidR="001107D3">
        <w:rPr>
          <w:rFonts w:ascii="Verdana" w:hAnsi="Verdana"/>
          <w:color w:val="000000"/>
          <w:sz w:val="20"/>
        </w:rPr>
        <w:t xml:space="preserve"> com a </w:t>
      </w:r>
      <w:r w:rsidR="001107D3" w:rsidRPr="00DA38F5">
        <w:rPr>
          <w:rFonts w:ascii="Verdana" w:hAnsi="Verdana" w:cs="Tahoma"/>
          <w:sz w:val="20"/>
        </w:rPr>
        <w:t xml:space="preserve">Simplific </w:t>
      </w:r>
      <w:r w:rsidR="001107D3" w:rsidRPr="00DA38F5">
        <w:rPr>
          <w:rFonts w:ascii="Verdana" w:hAnsi="Verdana" w:cs="Tahoma"/>
          <w:sz w:val="20"/>
        </w:rPr>
        <w:lastRenderedPageBreak/>
        <w:t>Pavarini Distribuidora de Títulos e Valores Mobiliários Ltda</w:t>
      </w:r>
      <w:r w:rsidR="001107D3">
        <w:rPr>
          <w:rFonts w:ascii="Verdana" w:hAnsi="Verdana" w:cs="Tahoma"/>
          <w:sz w:val="20"/>
        </w:rPr>
        <w:t xml:space="preserve"> (“</w:t>
      </w:r>
      <w:r w:rsidR="001107D3" w:rsidRPr="001107D3">
        <w:rPr>
          <w:rFonts w:ascii="Verdana" w:hAnsi="Verdana" w:cs="Tahoma"/>
          <w:sz w:val="20"/>
          <w:u w:val="single"/>
        </w:rPr>
        <w:t>Agente Fiduciário da Terceira Emissão</w:t>
      </w:r>
      <w:r w:rsidR="001107D3">
        <w:rPr>
          <w:rFonts w:ascii="Verdana" w:hAnsi="Verdana" w:cs="Tahoma"/>
          <w:sz w:val="20"/>
        </w:rPr>
        <w:t>”)</w:t>
      </w:r>
      <w:r w:rsidR="001107D3">
        <w:rPr>
          <w:rFonts w:ascii="Verdana" w:hAnsi="Verdana"/>
          <w:color w:val="000000"/>
          <w:sz w:val="20"/>
        </w:rPr>
        <w:t xml:space="preserve"> para assegurar as Obrigações Garantidas (conforme definido na Escritura de Emissão da Terceira Emissão) pela Emissora</w:t>
      </w:r>
      <w:r>
        <w:rPr>
          <w:rFonts w:ascii="Verdana" w:hAnsi="Verdana"/>
          <w:color w:val="000000"/>
          <w:sz w:val="20"/>
        </w:rPr>
        <w:t xml:space="preserve"> no âmbito da </w:t>
      </w:r>
      <w:r w:rsidRPr="00ED0966">
        <w:rPr>
          <w:rFonts w:ascii="Verdana" w:hAnsi="Verdana" w:cs="Tahoma"/>
          <w:sz w:val="20"/>
        </w:rPr>
        <w:t xml:space="preserve">3ª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</w:t>
      </w:r>
      <w:r w:rsidR="001107D3">
        <w:rPr>
          <w:rFonts w:ascii="Verdana" w:hAnsi="Verdana" w:cs="Tahoma"/>
          <w:sz w:val="20"/>
        </w:rPr>
        <w:t xml:space="preserve">nos termos do </w:t>
      </w:r>
      <w:r w:rsidR="001107D3" w:rsidRPr="00226547">
        <w:rPr>
          <w:rFonts w:ascii="Verdana" w:hAnsi="Verdana"/>
          <w:color w:val="000000"/>
          <w:sz w:val="20"/>
        </w:rPr>
        <w:t>“</w:t>
      </w:r>
      <w:r w:rsidR="001107D3" w:rsidRPr="00226547">
        <w:rPr>
          <w:rFonts w:ascii="Verdana" w:hAnsi="Verdana"/>
          <w:i/>
          <w:iCs/>
          <w:color w:val="000000"/>
          <w:sz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="001107D3" w:rsidRPr="00226547">
        <w:rPr>
          <w:rFonts w:ascii="Verdana" w:eastAsia="MS Mincho" w:hAnsi="Verdana"/>
          <w:sz w:val="20"/>
        </w:rPr>
        <w:t xml:space="preserve"> (“</w:t>
      </w:r>
      <w:r w:rsidR="001107D3" w:rsidRPr="00226547">
        <w:rPr>
          <w:rFonts w:ascii="Verdana" w:eastAsia="MS Mincho" w:hAnsi="Verdana"/>
          <w:sz w:val="20"/>
          <w:u w:val="single"/>
        </w:rPr>
        <w:t>Escritura de Emissão da Terceira Emissão</w:t>
      </w:r>
      <w:r w:rsidR="001107D3" w:rsidRPr="00226547">
        <w:rPr>
          <w:rFonts w:ascii="Verdana" w:eastAsia="MS Mincho" w:hAnsi="Verdana"/>
          <w:sz w:val="20"/>
        </w:rPr>
        <w:t>” e, em conjunto com a Escritura de Emissão da Primeira Emissão, “</w:t>
      </w:r>
      <w:r w:rsidR="001107D3" w:rsidRPr="00226547">
        <w:rPr>
          <w:rFonts w:ascii="Verdana" w:eastAsia="MS Mincho" w:hAnsi="Verdana"/>
          <w:sz w:val="20"/>
          <w:u w:val="single"/>
        </w:rPr>
        <w:t>Escrituras de Emissão</w:t>
      </w:r>
      <w:r w:rsidR="001107D3" w:rsidRPr="00226547">
        <w:rPr>
          <w:rFonts w:ascii="Verdana" w:eastAsia="MS Mincho" w:hAnsi="Verdana"/>
          <w:sz w:val="20"/>
        </w:rPr>
        <w:t>”)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02210B77" w:rsidR="00ED0966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(1)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Pr="0091646E">
        <w:rPr>
          <w:rFonts w:ascii="Verdana" w:hAnsi="Verdana"/>
          <w:i/>
          <w:iCs/>
          <w:spacing w:val="-4"/>
          <w:sz w:val="20"/>
        </w:rPr>
        <w:t xml:space="preserve">Segundo Aditamento ao Instrumento Particular de Escritura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1ª Emissão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e Debêntures Simples, Não Conversíveis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Ações,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Espécie Quirografária, Com Garantia Fidejussória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 Garantia Real Adicional,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Série Única,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p</w:t>
      </w:r>
      <w:r w:rsidRPr="0091646E">
        <w:rPr>
          <w:rFonts w:ascii="Verdana" w:hAnsi="Verdana"/>
          <w:i/>
          <w:iCs/>
          <w:spacing w:val="-4"/>
          <w:sz w:val="20"/>
        </w:rPr>
        <w:t xml:space="preserve">ara Distribuição Pública,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c</w:t>
      </w:r>
      <w:r w:rsidRPr="0091646E">
        <w:rPr>
          <w:rFonts w:ascii="Verdana" w:hAnsi="Verdana"/>
          <w:i/>
          <w:iCs/>
          <w:spacing w:val="-4"/>
          <w:sz w:val="20"/>
        </w:rPr>
        <w:t xml:space="preserve">om Esforços Restritos De Distribuição,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>o Laboratório Sabin De Análises Clínicas S.A.</w:t>
      </w:r>
      <w:r w:rsidR="0091646E" w:rsidRPr="0091646E">
        <w:rPr>
          <w:rFonts w:ascii="Verdana" w:hAnsi="Verdana"/>
          <w:i/>
          <w:iCs/>
          <w:spacing w:val="-4"/>
          <w:sz w:val="20"/>
        </w:rPr>
        <w:t>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à Escritura de Emissão</w:t>
      </w:r>
      <w:r w:rsidR="0091646E">
        <w:rPr>
          <w:rFonts w:ascii="Verdana" w:hAnsi="Verdana"/>
          <w:spacing w:val="-4"/>
          <w:sz w:val="20"/>
        </w:rPr>
        <w:t>”)</w:t>
      </w:r>
      <w:r w:rsidR="0091646E">
        <w:rPr>
          <w:rFonts w:ascii="Verdana" w:hAnsi="Verdana"/>
          <w:i/>
          <w:iCs/>
          <w:spacing w:val="-4"/>
          <w:sz w:val="20"/>
        </w:rPr>
        <w:t xml:space="preserve">; </w:t>
      </w:r>
      <w:r w:rsidR="0091646E">
        <w:rPr>
          <w:rFonts w:ascii="Verdana" w:hAnsi="Verdana"/>
          <w:spacing w:val="-4"/>
          <w:sz w:val="20"/>
        </w:rPr>
        <w:t xml:space="preserve">(2)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“Segundo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ao Contrato de Cessão</w:t>
      </w:r>
      <w:r w:rsidR="0091646E">
        <w:rPr>
          <w:rFonts w:ascii="Verdana" w:hAnsi="Verdana"/>
          <w:spacing w:val="-4"/>
          <w:sz w:val="20"/>
        </w:rPr>
        <w:t>”), afim de que este instrumentos reflitam toda e qualquer alteração que se faça necessária para o aperfeiçoamento do Compartilhamento de Garantias;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6326D0C2" w14:textId="77777777" w:rsidR="0091646E" w:rsidRPr="0091646E" w:rsidRDefault="0091646E" w:rsidP="0091646E">
      <w:pPr>
        <w:pStyle w:val="PargrafodaLista"/>
        <w:rPr>
          <w:rFonts w:ascii="Verdana" w:hAnsi="Verdana" w:cs="Tahoma"/>
          <w:i/>
          <w:iCs/>
          <w:sz w:val="20"/>
        </w:rPr>
      </w:pPr>
    </w:p>
    <w:p w14:paraId="5988256A" w14:textId="4EA5485F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>
        <w:rPr>
          <w:rFonts w:ascii="Verdana" w:hAnsi="Verdana" w:cs="Tahoma"/>
          <w:i/>
          <w:iCs/>
          <w:sz w:val="20"/>
        </w:rPr>
        <w:t xml:space="preserve"> </w:t>
      </w:r>
      <w:r w:rsidRPr="00853F26">
        <w:rPr>
          <w:rFonts w:ascii="Verdana" w:hAnsi="Verdana"/>
          <w:sz w:val="20"/>
        </w:rPr>
        <w:t>autorização ao Agente Fiduciário para praticar todos os atos necessários à implementação das deliberações aprovadas nesta Assembleia incluindo, sem limitação, a assinatura dos aditamentos listados no item 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 xml:space="preserve">” acima além da assinatura e celebração do </w:t>
      </w:r>
      <w:r w:rsidRPr="0091646E">
        <w:rPr>
          <w:rFonts w:ascii="Verdana" w:hAnsi="Verdana"/>
          <w:i/>
          <w:iCs/>
          <w:sz w:val="20"/>
        </w:rPr>
        <w:t>“</w:t>
      </w:r>
      <w:r w:rsidRPr="0091646E">
        <w:rPr>
          <w:rFonts w:ascii="Verdana" w:hAnsi="Verdana"/>
          <w:i/>
          <w:iCs/>
          <w:sz w:val="20"/>
        </w:rPr>
        <w:t>Contrato de Compartilhamento de Garantias</w:t>
      </w:r>
      <w:r w:rsidRPr="0091646E">
        <w:rPr>
          <w:rFonts w:ascii="Verdana" w:hAnsi="Verdana"/>
          <w:i/>
          <w:iCs/>
          <w:sz w:val="20"/>
        </w:rPr>
        <w:t>”</w:t>
      </w:r>
      <w:r w:rsidRPr="00853F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7772493E" w14:textId="74065F2F" w:rsidR="00C131A7" w:rsidRPr="00DA38F5" w:rsidRDefault="004D6582" w:rsidP="00C97E8E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F21570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 xml:space="preserve">(I)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 w:rsidR="0055582C">
        <w:rPr>
          <w:rFonts w:ascii="Verdana" w:hAnsi="Verdana"/>
          <w:sz w:val="20"/>
        </w:rPr>
        <w:t>e conceder</w:t>
      </w:r>
      <w:r w:rsidR="0055582C" w:rsidRPr="00853F26">
        <w:rPr>
          <w:rFonts w:ascii="Verdana" w:hAnsi="Verdana"/>
          <w:sz w:val="20"/>
        </w:rPr>
        <w:t xml:space="preserve"> </w:t>
      </w:r>
      <w:r w:rsidR="0055582C">
        <w:rPr>
          <w:rFonts w:ascii="Verdana" w:hAnsi="Verdana"/>
          <w:sz w:val="20"/>
        </w:rPr>
        <w:t>a</w:t>
      </w:r>
      <w:r w:rsidR="0055582C" w:rsidRPr="00853F26">
        <w:rPr>
          <w:rFonts w:ascii="Verdana" w:hAnsi="Verdana"/>
          <w:sz w:val="20"/>
        </w:rPr>
        <w:t xml:space="preserve"> anuência prévia (</w:t>
      </w:r>
      <w:proofErr w:type="spellStart"/>
      <w:r w:rsidR="0055582C" w:rsidRPr="00853F26">
        <w:rPr>
          <w:rFonts w:ascii="Verdana" w:hAnsi="Verdana"/>
          <w:i/>
          <w:sz w:val="20"/>
        </w:rPr>
        <w:t>waiver</w:t>
      </w:r>
      <w:proofErr w:type="spellEnd"/>
      <w:r w:rsidR="0055582C" w:rsidRPr="00853F26">
        <w:rPr>
          <w:rFonts w:ascii="Verdana" w:hAnsi="Verdana"/>
          <w:sz w:val="20"/>
        </w:rPr>
        <w:t xml:space="preserve">) </w:t>
      </w:r>
      <w:r w:rsidR="0055582C">
        <w:rPr>
          <w:rFonts w:ascii="Verdana" w:hAnsi="Verdana"/>
          <w:sz w:val="20"/>
        </w:rPr>
        <w:t>para o</w:t>
      </w:r>
      <w:r w:rsidR="0055582C" w:rsidRPr="00853F26">
        <w:rPr>
          <w:rFonts w:ascii="Verdana" w:hAnsi="Verdana"/>
          <w:sz w:val="20"/>
        </w:rPr>
        <w:t xml:space="preserve"> compartilhamento das garantias reais prestada</w:t>
      </w:r>
      <w:r w:rsidR="0055582C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</w:t>
      </w:r>
      <w:r w:rsidR="0055582C">
        <w:rPr>
          <w:rFonts w:ascii="Verdana" w:hAnsi="Verdana"/>
          <w:sz w:val="20"/>
        </w:rPr>
        <w:t xml:space="preserve">Emissão; (II) aprovou a celebração do Segundo Aditamento à Escritura de Emissão e do Segundo Aditamento ao Contrato de Cessão para o </w:t>
      </w:r>
      <w:r w:rsidR="0055582C">
        <w:rPr>
          <w:rFonts w:ascii="Verdana" w:hAnsi="Verdana"/>
          <w:spacing w:val="-4"/>
          <w:sz w:val="20"/>
        </w:rPr>
        <w:t>aperfeiçoamento do Compartilhamento de Garantias</w:t>
      </w:r>
      <w:r w:rsidR="0055582C">
        <w:rPr>
          <w:rFonts w:ascii="Verdana" w:hAnsi="Verdana" w:cs="Tahoma"/>
          <w:sz w:val="20"/>
        </w:rPr>
        <w:t xml:space="preserve">; e </w:t>
      </w:r>
      <w:r w:rsidR="0055582C" w:rsidRPr="00853F26">
        <w:rPr>
          <w:rFonts w:ascii="Verdana" w:hAnsi="Verdana"/>
          <w:sz w:val="20"/>
        </w:rPr>
        <w:lastRenderedPageBreak/>
        <w:t>autorização ao Agente Fiduciário para praticar todos os atos necessários à implementação das deliberações aprovadas nesta Assembleia incluindo, sem limitação, a assinatura dos aditamentos listados no item “</w:t>
      </w:r>
      <w:r w:rsidR="0055582C">
        <w:rPr>
          <w:rFonts w:ascii="Verdana" w:hAnsi="Verdana"/>
          <w:sz w:val="20"/>
        </w:rPr>
        <w:t>II</w:t>
      </w:r>
      <w:r w:rsidR="0055582C" w:rsidRPr="00853F26">
        <w:rPr>
          <w:rFonts w:ascii="Verdana" w:hAnsi="Verdana"/>
          <w:sz w:val="20"/>
        </w:rPr>
        <w:t xml:space="preserve">” acima além da assinatura e celebração do </w:t>
      </w:r>
      <w:r w:rsidR="0055582C" w:rsidRPr="0091646E">
        <w:rPr>
          <w:rFonts w:ascii="Verdana" w:hAnsi="Verdana"/>
          <w:i/>
          <w:iCs/>
          <w:sz w:val="20"/>
        </w:rPr>
        <w:t>“Contrato de Compartilhamento de Garantias”</w:t>
      </w:r>
      <w:r w:rsidR="0055582C" w:rsidRPr="00853F26">
        <w:rPr>
          <w:rFonts w:ascii="Verdana" w:hAnsi="Verdana"/>
          <w:sz w:val="20"/>
        </w:rPr>
        <w:t>,</w:t>
      </w:r>
      <w:r w:rsidR="0055582C"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="0055582C"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/>
          <w:sz w:val="20"/>
        </w:rPr>
        <w:t>.</w:t>
      </w:r>
    </w:p>
    <w:p w14:paraId="7670D51E" w14:textId="77777777" w:rsidR="00C131A7" w:rsidRPr="00820498" w:rsidRDefault="00C131A7" w:rsidP="00820498">
      <w:pPr>
        <w:spacing w:line="320" w:lineRule="atLeast"/>
        <w:rPr>
          <w:rFonts w:ascii="Verdana" w:hAnsi="Verdana" w:cs="Tahoma"/>
          <w:sz w:val="20"/>
        </w:rPr>
      </w:pPr>
    </w:p>
    <w:p w14:paraId="70DFAA48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4E3550F2" w14:textId="3A2D248B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 xml:space="preserve">, decorrentes de lei e/ou previstos na Escritura de Emissão, sendo a sua aplicação exclusiva e restrita para o aprovado nesta assembleia. </w:t>
      </w:r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04657CED" w:rsidR="009F501F" w:rsidRDefault="009F501F" w:rsidP="00C97E8E">
      <w:pPr>
        <w:pStyle w:val="Corpodetexto"/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</w:p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246D606B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>[=] de novembro de 2022</w:t>
      </w:r>
      <w:r w:rsidR="004D6582" w:rsidRPr="00DA38F5">
        <w:rPr>
          <w:rFonts w:ascii="Verdana" w:hAnsi="Verdana" w:cs="Tahoma"/>
          <w:sz w:val="20"/>
        </w:rPr>
        <w:t>.</w:t>
      </w:r>
    </w:p>
    <w:p w14:paraId="53627D15" w14:textId="0A33173F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4F83B980" w14:textId="0B7045BC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D2FF5CA" w14:textId="77777777" w:rsidR="00820498" w:rsidRPr="00DA38F5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B5EB231" w:rsidR="000B0598" w:rsidRPr="00DA38F5" w:rsidRDefault="00820498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</w:p>
          <w:p w14:paraId="600865C5" w14:textId="5CE902BF" w:rsidR="004D6582" w:rsidRPr="00DA38F5" w:rsidRDefault="00096CEF" w:rsidP="00C97E8E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44CE73" w14:textId="77777777" w:rsidR="00820498" w:rsidRDefault="00820498" w:rsidP="00C97E8E">
      <w:pPr>
        <w:spacing w:line="320" w:lineRule="atLeast"/>
        <w:jc w:val="both"/>
        <w:rPr>
          <w:rFonts w:ascii="Verdana" w:hAnsi="Verdana" w:cs="Tahoma"/>
          <w:i/>
          <w:sz w:val="20"/>
        </w:rPr>
      </w:pPr>
    </w:p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45A97A10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>(</w:t>
      </w:r>
      <w:r w:rsidR="0037695A" w:rsidRPr="00DA38F5">
        <w:rPr>
          <w:rFonts w:ascii="Verdana" w:hAnsi="Verdana" w:cs="Tahoma"/>
          <w:i/>
          <w:sz w:val="20"/>
        </w:rPr>
        <w:t xml:space="preserve">PÁGINA DE ASSINATURAS DA </w:t>
      </w:r>
      <w:r w:rsidR="006E5041" w:rsidRPr="00DA38F5">
        <w:rPr>
          <w:rFonts w:ascii="Verdana" w:hAnsi="Verdana" w:cs="Tahoma"/>
          <w:i/>
          <w:sz w:val="20"/>
        </w:rPr>
        <w:t xml:space="preserve">ATA DA ASSEMBLEIA GERAL DOS DEBENTURISTAS DA </w:t>
      </w:r>
      <w:r w:rsidR="00C4587E" w:rsidRPr="00DA38F5">
        <w:rPr>
          <w:rFonts w:ascii="Verdana" w:hAnsi="Verdana" w:cs="Tahoma"/>
          <w:i/>
          <w:sz w:val="20"/>
        </w:rPr>
        <w:t xml:space="preserve"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="00C4587E" w:rsidRPr="00DA38F5">
        <w:rPr>
          <w:rFonts w:ascii="Verdana" w:hAnsi="Verdana" w:cs="Tahoma"/>
          <w:i/>
          <w:sz w:val="20"/>
        </w:rPr>
        <w:t>.</w:t>
      </w:r>
      <w:r w:rsidRPr="00DA38F5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0E3E3F1" w14:textId="0967023D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6C5EB4" w14:paraId="76FA2DFD" w14:textId="77777777" w:rsidTr="006C5EB4">
        <w:trPr>
          <w:jc w:val="center"/>
        </w:trPr>
        <w:tc>
          <w:tcPr>
            <w:tcW w:w="4508" w:type="dxa"/>
          </w:tcPr>
          <w:p w14:paraId="0CADA364" w14:textId="77777777" w:rsidR="006C5EB4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14DFBEF" w14:textId="4C24F60F" w:rsidR="006C5EB4" w:rsidRPr="00820498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31038BF9" w14:textId="2AFF0AD3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50B447F6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2F397EB0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1F1591AB" w14:textId="77777777" w:rsidR="00820498" w:rsidRDefault="00C4587E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  <w:r w:rsidR="00820498" w:rsidRPr="00820498">
        <w:rPr>
          <w:rFonts w:ascii="Verdana" w:hAnsi="Verdana" w:cs="Tahoma"/>
          <w:bCs/>
          <w:sz w:val="20"/>
        </w:rPr>
        <w:t xml:space="preserve">, 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41913F84" w14:textId="7364739D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51BA1986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6B71FBE0" w14:textId="77777777" w:rsidR="004D6582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274971FC" w:rsidR="006E5041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CNPJ/M</w:t>
      </w:r>
      <w:r w:rsidR="00C97E8E">
        <w:rPr>
          <w:rFonts w:ascii="Verdana" w:hAnsi="Verdana" w:cs="Tahoma"/>
          <w:sz w:val="20"/>
        </w:rPr>
        <w:t>E</w:t>
      </w:r>
      <w:r w:rsidRPr="00DA38F5">
        <w:rPr>
          <w:rFonts w:ascii="Verdana" w:hAnsi="Verdana" w:cs="Tahoma"/>
          <w:sz w:val="20"/>
        </w:rPr>
        <w:t xml:space="preserve"> </w:t>
      </w:r>
      <w:r w:rsidR="00145A13" w:rsidRPr="00DA38F5">
        <w:rPr>
          <w:rFonts w:ascii="Verdana" w:hAnsi="Verdana" w:cs="Tahoma"/>
          <w:sz w:val="20"/>
        </w:rPr>
        <w:t>60.746.948/0001-12</w:t>
      </w:r>
    </w:p>
    <w:p w14:paraId="5261A52F" w14:textId="7EEE879C" w:rsidR="006E5041" w:rsidRPr="00DA38F5" w:rsidRDefault="006E5041" w:rsidP="00820498">
      <w:pPr>
        <w:spacing w:line="280" w:lineRule="atLeast"/>
        <w:rPr>
          <w:rFonts w:ascii="Verdana" w:hAnsi="Verdana" w:cs="Tahoma"/>
          <w:b/>
          <w:sz w:val="20"/>
        </w:rPr>
      </w:pPr>
    </w:p>
    <w:sectPr w:rsidR="006E5041" w:rsidRPr="00DA38F5" w:rsidSect="00AC6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87D2" w14:textId="77777777" w:rsidR="004B3EDF" w:rsidRDefault="004B3EDF">
      <w:r>
        <w:separator/>
      </w:r>
    </w:p>
  </w:endnote>
  <w:endnote w:type="continuationSeparator" w:id="0">
    <w:p w14:paraId="3DD5A475" w14:textId="77777777" w:rsidR="004B3EDF" w:rsidRDefault="004B3EDF">
      <w:r>
        <w:continuationSeparator/>
      </w:r>
    </w:p>
  </w:endnote>
  <w:endnote w:type="continuationNotice" w:id="1">
    <w:p w14:paraId="19172FF0" w14:textId="77777777" w:rsidR="004B3EDF" w:rsidRDefault="004B3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BD10" w14:textId="77777777" w:rsidR="004B3EDF" w:rsidRDefault="004B3EDF">
      <w:r>
        <w:separator/>
      </w:r>
    </w:p>
  </w:footnote>
  <w:footnote w:type="continuationSeparator" w:id="0">
    <w:p w14:paraId="2B703C47" w14:textId="77777777" w:rsidR="004B3EDF" w:rsidRDefault="004B3EDF">
      <w:r>
        <w:continuationSeparator/>
      </w:r>
    </w:p>
  </w:footnote>
  <w:footnote w:type="continuationNotice" w:id="1">
    <w:p w14:paraId="26009311" w14:textId="77777777" w:rsidR="004B3EDF" w:rsidRDefault="004B3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02778">
    <w:abstractNumId w:val="3"/>
  </w:num>
  <w:num w:numId="2" w16cid:durableId="407921554">
    <w:abstractNumId w:val="6"/>
  </w:num>
  <w:num w:numId="3" w16cid:durableId="1188787100">
    <w:abstractNumId w:val="8"/>
  </w:num>
  <w:num w:numId="4" w16cid:durableId="118955824">
    <w:abstractNumId w:val="18"/>
  </w:num>
  <w:num w:numId="5" w16cid:durableId="1791318998">
    <w:abstractNumId w:val="1"/>
  </w:num>
  <w:num w:numId="6" w16cid:durableId="1576740003">
    <w:abstractNumId w:val="12"/>
  </w:num>
  <w:num w:numId="7" w16cid:durableId="767890314">
    <w:abstractNumId w:val="9"/>
  </w:num>
  <w:num w:numId="8" w16cid:durableId="907612711">
    <w:abstractNumId w:val="5"/>
  </w:num>
  <w:num w:numId="9" w16cid:durableId="1893956848">
    <w:abstractNumId w:val="10"/>
  </w:num>
  <w:num w:numId="10" w16cid:durableId="71928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953618">
    <w:abstractNumId w:val="4"/>
  </w:num>
  <w:num w:numId="12" w16cid:durableId="1324704130">
    <w:abstractNumId w:val="17"/>
  </w:num>
  <w:num w:numId="13" w16cid:durableId="684677244">
    <w:abstractNumId w:val="16"/>
  </w:num>
  <w:num w:numId="14" w16cid:durableId="123667866">
    <w:abstractNumId w:val="11"/>
  </w:num>
  <w:num w:numId="15" w16cid:durableId="238251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3081876">
    <w:abstractNumId w:val="22"/>
  </w:num>
  <w:num w:numId="17" w16cid:durableId="1401171437">
    <w:abstractNumId w:val="2"/>
  </w:num>
  <w:num w:numId="18" w16cid:durableId="678503657">
    <w:abstractNumId w:val="19"/>
  </w:num>
  <w:num w:numId="19" w16cid:durableId="394547494">
    <w:abstractNumId w:val="7"/>
  </w:num>
  <w:num w:numId="20" w16cid:durableId="671639496">
    <w:abstractNumId w:val="23"/>
  </w:num>
  <w:num w:numId="21" w16cid:durableId="231163643">
    <w:abstractNumId w:val="14"/>
  </w:num>
  <w:num w:numId="22" w16cid:durableId="554394078">
    <w:abstractNumId w:val="15"/>
  </w:num>
  <w:num w:numId="23" w16cid:durableId="526527378">
    <w:abstractNumId w:val="20"/>
  </w:num>
  <w:num w:numId="24" w16cid:durableId="1960140306">
    <w:abstractNumId w:val="21"/>
  </w:num>
  <w:num w:numId="25" w16cid:durableId="1240099823">
    <w:abstractNumId w:val="13"/>
  </w:num>
  <w:num w:numId="26" w16cid:durableId="34833888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44C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87E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9797</Characters>
  <Application>Microsoft Office Word</Application>
  <DocSecurity>0</DocSecurity>
  <Lines>233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Guilherme Vieira Tavares | Machado Meyer Advogados</cp:lastModifiedBy>
  <cp:revision>2</cp:revision>
  <cp:lastPrinted>2019-08-15T14:50:00Z</cp:lastPrinted>
  <dcterms:created xsi:type="dcterms:W3CDTF">2022-11-22T20:36:00Z</dcterms:created>
  <dcterms:modified xsi:type="dcterms:W3CDTF">2022-11-22T20:36:00Z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